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spacing w:before="156" w:beforeLines="50" w:after="156"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156" w:beforeLines="50" w:after="156"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156" w:beforeLines="50" w:after="156"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trPr>
        <w:tc>
          <w:tcPr>
            <w:tcW w:w="2277" w:type="dxa"/>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6245" w:type="dxa"/>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横沥镇交通信号灯维护、优化配时项目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6245" w:type="dxa"/>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GSDG2022-007C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6245" w:type="dxa"/>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东莞市公安局交通警察支队横沥大队</w:t>
            </w:r>
            <w:bookmarkStart w:id="187" w:name="_GoBack"/>
            <w:bookmarkEnd w:id="1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6245" w:type="dxa"/>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2022年</w:t>
      </w:r>
      <w:r>
        <w:rPr>
          <w:rFonts w:hint="eastAsia" w:ascii="黑体" w:hAnsi="黑体" w:eastAsia="黑体" w:cs="黑体"/>
          <w:color w:val="auto"/>
          <w:sz w:val="30"/>
          <w:szCs w:val="30"/>
          <w:highlight w:val="none"/>
          <w:lang w:val="en-US" w:eastAsia="zh-CN"/>
        </w:rPr>
        <w:t>06</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08</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15:color w:val="DBDBDB"/>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3"/>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3"/>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3"/>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4"/>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4"/>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16.★投标保证金（本项目不收取）</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5"/>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3"/>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3"/>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3"/>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23"/>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23"/>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23"/>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lang w:eastAsia="zh-CN"/>
        </w:rPr>
        <w:t>横沥镇交通信号灯维护、优化配时项目</w:t>
      </w:r>
      <w:r>
        <w:rPr>
          <w:rFonts w:hint="eastAsia" w:ascii="宋体" w:hAnsi="宋体" w:cs="宋体"/>
          <w:color w:val="auto"/>
          <w:szCs w:val="21"/>
          <w:highlight w:val="none"/>
        </w:rPr>
        <w:t xml:space="preserve"> 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b/>
          <w:bCs/>
          <w:color w:val="auto"/>
          <w:szCs w:val="21"/>
          <w:highlight w:val="none"/>
          <w:u w:val="single"/>
          <w:lang w:val="en-US" w:eastAsia="zh-CN"/>
        </w:rPr>
        <w:t>2022</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06</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29</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before="0" w:after="0" w:line="360" w:lineRule="auto"/>
        <w:jc w:val="left"/>
        <w:rPr>
          <w:rFonts w:ascii="宋体" w:hAnsi="宋体" w:cs="宋体"/>
          <w:bCs/>
          <w:color w:val="auto"/>
          <w:sz w:val="21"/>
          <w:szCs w:val="21"/>
          <w:highlight w:val="none"/>
        </w:rPr>
      </w:pPr>
      <w:bookmarkStart w:id="4" w:name="_Toc35393621"/>
      <w:bookmarkStart w:id="5" w:name="_Toc28359079"/>
      <w:bookmarkStart w:id="6" w:name="_Toc35393790"/>
      <w:bookmarkStart w:id="7" w:name="_Toc28359002"/>
      <w:bookmarkStart w:id="8" w:name="_Toc2169"/>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GSDG2022-007C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横沥镇交通信号灯维护、优化配时项目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b/>
          <w:bCs/>
          <w:color w:val="auto"/>
          <w:szCs w:val="21"/>
          <w:highlight w:val="none"/>
        </w:rPr>
        <w:t>¥</w:t>
      </w:r>
      <w:r>
        <w:rPr>
          <w:rFonts w:hint="eastAsia" w:ascii="宋体" w:hAnsi="宋体"/>
          <w:b/>
          <w:bCs/>
          <w:color w:val="auto"/>
          <w:szCs w:val="21"/>
          <w:highlight w:val="none"/>
          <w:u w:val="none"/>
        </w:rPr>
        <w:t>720,700.00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b/>
          <w:bCs/>
          <w:color w:val="auto"/>
          <w:szCs w:val="21"/>
          <w:highlight w:val="none"/>
        </w:rPr>
        <w:t>¥720,700.00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4"/>
        <w:tblW w:w="90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5212"/>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4" w:type="dxa"/>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5212"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2790" w:type="dxa"/>
            <w:vAlign w:val="center"/>
          </w:tcPr>
          <w:p>
            <w:pPr>
              <w:spacing w:line="360" w:lineRule="auto"/>
              <w:jc w:val="center"/>
              <w:rPr>
                <w:rFonts w:hAnsi="宋体"/>
                <w:b/>
                <w:color w:val="auto"/>
                <w:szCs w:val="21"/>
                <w:highlight w:val="none"/>
              </w:rPr>
            </w:pPr>
            <w:r>
              <w:rPr>
                <w:rFonts w:hint="eastAsia" w:hAnsi="宋体"/>
                <w:b/>
                <w:color w:val="auto"/>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044" w:type="dxa"/>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5212" w:type="dxa"/>
            <w:vAlign w:val="center"/>
          </w:tcPr>
          <w:p>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横沥镇交通信号灯维护、优化配时</w:t>
            </w:r>
            <w:r>
              <w:rPr>
                <w:rFonts w:hint="eastAsia" w:hAnsi="宋体"/>
                <w:color w:val="auto"/>
                <w:szCs w:val="21"/>
                <w:highlight w:val="none"/>
              </w:rPr>
              <w:t>采购一项</w:t>
            </w:r>
          </w:p>
        </w:tc>
        <w:tc>
          <w:tcPr>
            <w:tcW w:w="2790" w:type="dxa"/>
            <w:vAlign w:val="center"/>
          </w:tcPr>
          <w:p>
            <w:pPr>
              <w:spacing w:line="360" w:lineRule="auto"/>
              <w:jc w:val="center"/>
              <w:rPr>
                <w:rFonts w:hAnsi="宋体"/>
                <w:color w:val="auto"/>
                <w:szCs w:val="21"/>
                <w:highlight w:val="none"/>
              </w:rPr>
            </w:pPr>
            <w:r>
              <w:rPr>
                <w:rFonts w:hint="eastAsia" w:ascii="宋体" w:hAnsi="宋体" w:cs="宋体"/>
                <w:color w:val="auto"/>
                <w:szCs w:val="21"/>
                <w:highlight w:val="none"/>
              </w:rPr>
              <w:t>自签订合同之日起12个月</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3、合同履行期限：自签订合同之日起12个月</w:t>
      </w:r>
      <w:r>
        <w:rPr>
          <w:rFonts w:hint="eastAsia" w:ascii="宋体" w:hAnsi="宋体" w:cs="Times New Roman"/>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本项目不接受联合体投标。</w:t>
      </w:r>
    </w:p>
    <w:p>
      <w:pPr>
        <w:pStyle w:val="4"/>
        <w:spacing w:before="0" w:after="0" w:line="360" w:lineRule="auto"/>
        <w:jc w:val="left"/>
        <w:rPr>
          <w:rFonts w:ascii="宋体" w:hAnsi="宋体" w:cs="宋体"/>
          <w:b w:val="0"/>
          <w:color w:val="auto"/>
          <w:sz w:val="21"/>
          <w:szCs w:val="21"/>
          <w:highlight w:val="none"/>
        </w:rPr>
      </w:pPr>
      <w:bookmarkStart w:id="10" w:name="_Toc35393791"/>
      <w:bookmarkStart w:id="11" w:name="_Toc28359003"/>
      <w:bookmarkStart w:id="12" w:name="_Toc28359080"/>
      <w:bookmarkStart w:id="13" w:name="_Toc35393622"/>
      <w:bookmarkStart w:id="14" w:name="_Toc25198"/>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81"/>
      <w:bookmarkStart w:id="17" w:name="_Toc28359004"/>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3）具有良好的商业信誉和健全的财务会计制度：供应商必须具有良好的商业信誉和健全的财务会计制度（提供2020年度</w:t>
      </w:r>
      <w:r>
        <w:rPr>
          <w:rFonts w:hint="eastAsia" w:ascii="宋体" w:hAnsi="宋体"/>
          <w:color w:val="auto"/>
          <w:szCs w:val="21"/>
          <w:highlight w:val="none"/>
          <w:lang w:val="en-US" w:eastAsia="zh-CN"/>
        </w:rPr>
        <w:t>或2021年度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6）信用记录：供应商未被列入“信用中国”网站(www.creditchina.gov.cn)“记录失信被执行人或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 xml:space="preserve">”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投标人（含其上级分公司及总公司）具有公安部门颁发的《安全技术防范系统设计、施工、维修资格证》四级或以上资质（非广东省企业须提供所在地省（自治区、直辖市）公安厅（局）发放的有效的安全技术防范系统设计、施工、维修资格证书，或者是省级以上安防行业协会颁发的有效的安防工程企业设计施工维护能力证书及广东省公安部门颁发的同等级备案证明）。</w:t>
      </w:r>
    </w:p>
    <w:p>
      <w:pPr>
        <w:pStyle w:val="4"/>
        <w:spacing w:before="0" w:after="0" w:line="360" w:lineRule="auto"/>
        <w:jc w:val="left"/>
        <w:rPr>
          <w:rFonts w:ascii="宋体" w:hAnsi="宋体" w:cs="宋体"/>
          <w:bCs/>
          <w:color w:val="auto"/>
          <w:sz w:val="21"/>
          <w:szCs w:val="21"/>
          <w:highlight w:val="none"/>
        </w:rPr>
      </w:pPr>
      <w:bookmarkStart w:id="19" w:name="_Toc173"/>
      <w:bookmarkStart w:id="20" w:name="_Toc35393792"/>
      <w:bookmarkStart w:id="21" w:name="_Toc3539362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19"/>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1、项目公示时间：2022年</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日起至2022年</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p>
    <w:p>
      <w:pPr>
        <w:pStyle w:val="19"/>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2、获取招标文件时间：2022年</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日起至2022年</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 xml:space="preserve">日（节假日除外），上午9：00～12：00，下午14：30～17：30（北京时间）； </w:t>
      </w:r>
    </w:p>
    <w:p>
      <w:pPr>
        <w:pStyle w:val="19"/>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19"/>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（2）招标文件电子版可在中国政府采购网以及中国采购与招标网相关招标信息公告下自行下载。</w:t>
      </w:r>
    </w:p>
    <w:p>
      <w:pPr>
        <w:pStyle w:val="19"/>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19"/>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19"/>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19"/>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售价：200.00元</w:t>
      </w:r>
    </w:p>
    <w:p>
      <w:pPr>
        <w:pStyle w:val="4"/>
        <w:spacing w:before="0" w:after="0" w:line="360" w:lineRule="auto"/>
        <w:jc w:val="left"/>
        <w:rPr>
          <w:rFonts w:ascii="宋体" w:hAnsi="宋体" w:cs="宋体"/>
          <w:bCs/>
          <w:color w:val="auto"/>
          <w:sz w:val="21"/>
          <w:szCs w:val="21"/>
          <w:highlight w:val="none"/>
        </w:rPr>
      </w:pPr>
      <w:bookmarkStart w:id="22" w:name="_Toc28359082"/>
      <w:bookmarkStart w:id="23" w:name="_Toc28359005"/>
      <w:bookmarkStart w:id="24" w:name="_Toc28585"/>
      <w:bookmarkStart w:id="25" w:name="_Toc35393793"/>
      <w:bookmarkStart w:id="26" w:name="_Toc35393624"/>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2022</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06</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w:t>
      </w:r>
      <w:r>
        <w:rPr>
          <w:rFonts w:hint="eastAsia" w:ascii="宋体" w:hAnsi="宋体" w:cs="宋体"/>
          <w:color w:val="auto"/>
          <w:szCs w:val="21"/>
          <w:highlight w:val="none"/>
          <w:lang w:val="en-US" w:eastAsia="zh-CN"/>
        </w:rPr>
        <w:t>层</w:t>
      </w:r>
      <w:r>
        <w:rPr>
          <w:rFonts w:hint="eastAsia" w:ascii="宋体" w:hAnsi="宋体" w:cs="宋体"/>
          <w:color w:val="auto"/>
          <w:szCs w:val="21"/>
          <w:highlight w:val="none"/>
        </w:rPr>
        <w:t>01室</w:t>
      </w:r>
    </w:p>
    <w:p>
      <w:pPr>
        <w:pStyle w:val="4"/>
        <w:spacing w:before="0" w:after="0" w:line="360" w:lineRule="auto"/>
        <w:jc w:val="left"/>
        <w:rPr>
          <w:rFonts w:ascii="宋体" w:hAnsi="宋体" w:cs="宋体"/>
          <w:bCs/>
          <w:color w:val="auto"/>
          <w:sz w:val="21"/>
          <w:szCs w:val="21"/>
          <w:highlight w:val="none"/>
        </w:rPr>
      </w:pPr>
      <w:bookmarkStart w:id="27" w:name="_Toc28359007"/>
      <w:bookmarkStart w:id="28" w:name="_Toc35393625"/>
      <w:bookmarkStart w:id="29" w:name="_Toc28359084"/>
      <w:bookmarkStart w:id="30" w:name="_Toc25695"/>
      <w:bookmarkStart w:id="31" w:name="_Toc35393794"/>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before="0" w:after="0" w:line="360" w:lineRule="auto"/>
        <w:jc w:val="left"/>
        <w:rPr>
          <w:rFonts w:ascii="宋体" w:hAnsi="宋体" w:cs="宋体"/>
          <w:bCs/>
          <w:color w:val="auto"/>
          <w:sz w:val="21"/>
          <w:szCs w:val="21"/>
          <w:highlight w:val="none"/>
        </w:rPr>
      </w:pPr>
      <w:bookmarkStart w:id="32" w:name="_Toc1519"/>
      <w:bookmarkStart w:id="33" w:name="_Toc35393795"/>
      <w:bookmarkStart w:id="34" w:name="_Toc35393626"/>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28359085"/>
      <w:bookmarkStart w:id="36" w:name="_Toc28359008"/>
      <w:bookmarkStart w:id="37" w:name="_Toc35393796"/>
      <w:bookmarkStart w:id="38" w:name="_Toc35393627"/>
      <w:r>
        <w:rPr>
          <w:rFonts w:hint="eastAsia" w:ascii="宋体" w:hAnsi="宋体"/>
          <w:color w:val="auto"/>
          <w:szCs w:val="21"/>
          <w:highlight w:val="none"/>
        </w:rPr>
        <w:t>1、招标文件公示/下载媒体</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中国政府采购网(http://www.ccgp.gov.cn/)以及中国采购与招标网（http://www.chinabidding.com.cn/）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before="0" w:after="0"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东莞市公安局交通警察支队横沥大队</w:t>
      </w:r>
      <w:r>
        <w:rPr>
          <w:rFonts w:hint="eastAsia" w:ascii="宋体" w:hAnsi="宋体" w:cs="宋体"/>
          <w:color w:val="auto"/>
          <w:szCs w:val="21"/>
          <w:highlight w:val="none"/>
        </w:rPr>
        <w:t>　　　　　　　　　　　　</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bCs/>
          <w:color w:val="auto"/>
          <w:szCs w:val="21"/>
          <w:highlight w:val="none"/>
        </w:rPr>
        <w:t>东莞市横沥镇</w:t>
      </w:r>
      <w:r>
        <w:rPr>
          <w:rFonts w:hint="eastAsia" w:ascii="宋体" w:hAnsi="宋体" w:cs="宋体"/>
          <w:color w:val="auto"/>
          <w:szCs w:val="21"/>
          <w:highlight w:val="none"/>
        </w:rPr>
        <w:t>　　　　　　　　　　　　</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bCs/>
          <w:color w:val="auto"/>
          <w:szCs w:val="21"/>
          <w:highlight w:val="none"/>
        </w:rPr>
        <w:t>曾</w:t>
      </w:r>
      <w:r>
        <w:rPr>
          <w:rFonts w:hint="eastAsia" w:ascii="宋体" w:hAnsi="宋体" w:eastAsia="宋体"/>
          <w:bCs/>
          <w:color w:val="auto"/>
          <w:sz w:val="21"/>
          <w:szCs w:val="21"/>
          <w:highlight w:val="none"/>
          <w:lang w:val="en-US" w:eastAsia="zh-CN"/>
        </w:rPr>
        <w:t>先生</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olor w:val="auto"/>
          <w:szCs w:val="21"/>
          <w:highlight w:val="none"/>
        </w:rPr>
        <w:t>0769-81011638</w:t>
      </w:r>
      <w:r>
        <w:rPr>
          <w:rFonts w:hint="eastAsia" w:ascii="宋体" w:hAnsi="宋体" w:cs="宋体"/>
          <w:color w:val="auto"/>
          <w:szCs w:val="21"/>
          <w:highlight w:val="none"/>
        </w:rPr>
        <w:t xml:space="preserve">　　　　　 </w:t>
      </w:r>
      <w:bookmarkStart w:id="41" w:name="_Toc28359009"/>
      <w:bookmarkStart w:id="42" w:name="_Toc28359086"/>
    </w:p>
    <w:p>
      <w:pPr>
        <w:spacing w:line="360" w:lineRule="auto"/>
        <w:ind w:left="264" w:hanging="264" w:hangingChars="125"/>
        <w:outlineLvl w:val="2"/>
        <w:rPr>
          <w:rFonts w:ascii="宋体" w:hAnsi="宋体" w:cs="宋体"/>
          <w:b/>
          <w:bCs/>
          <w:color w:val="auto"/>
          <w:szCs w:val="21"/>
          <w:highlight w:val="none"/>
        </w:rPr>
      </w:pPr>
      <w:bookmarkStart w:id="43" w:name="_Toc4580"/>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10"/>
      <w:bookmarkStart w:id="45" w:name="_Toc28359087"/>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9"/>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9"/>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before="0" w:after="0" w:line="360" w:lineRule="auto"/>
        <w:rPr>
          <w:color w:val="auto"/>
          <w:highlight w:val="none"/>
        </w:rPr>
      </w:pPr>
      <w:bookmarkStart w:id="47" w:name="_Toc29954"/>
      <w:r>
        <w:rPr>
          <w:rFonts w:hint="eastAsia"/>
          <w:color w:val="auto"/>
          <w:highlight w:val="none"/>
        </w:rPr>
        <w:t>投标人须知</w:t>
      </w:r>
      <w:bookmarkEnd w:id="47"/>
    </w:p>
    <w:p>
      <w:pPr>
        <w:pStyle w:val="4"/>
        <w:spacing w:before="0" w:after="0" w:line="360" w:lineRule="auto"/>
        <w:rPr>
          <w:color w:val="auto"/>
          <w:highlight w:val="none"/>
          <w:lang w:val="zh-CN"/>
        </w:rPr>
      </w:pPr>
      <w:bookmarkStart w:id="48" w:name="_Toc413402429"/>
      <w:bookmarkStart w:id="49" w:name="_Toc497983494"/>
      <w:bookmarkStart w:id="50" w:name="_Toc652"/>
      <w:bookmarkStart w:id="51" w:name="_Toc396137231"/>
      <w:r>
        <w:rPr>
          <w:rFonts w:hint="eastAsia"/>
          <w:color w:val="auto"/>
          <w:highlight w:val="none"/>
          <w:lang w:val="zh-CN"/>
        </w:rPr>
        <w:t>一、投标须知前附表</w:t>
      </w:r>
      <w:bookmarkEnd w:id="48"/>
      <w:bookmarkEnd w:id="49"/>
      <w:bookmarkEnd w:id="50"/>
      <w:bookmarkEnd w:id="51"/>
    </w:p>
    <w:tbl>
      <w:tblPr>
        <w:tblStyle w:val="14"/>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93"/>
        <w:gridCol w:w="70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93"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016"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五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color w:val="auto"/>
                <w:highlight w:val="none"/>
              </w:rPr>
            </w:pPr>
            <w:r>
              <w:rPr>
                <w:rFonts w:hint="eastAsia"/>
                <w:color w:val="auto"/>
                <w:highlight w:val="none"/>
              </w:rPr>
              <w:t>投标保证金金额：¥ /元。</w:t>
            </w:r>
          </w:p>
          <w:p>
            <w:pPr>
              <w:spacing w:line="360" w:lineRule="auto"/>
              <w:jc w:val="both"/>
              <w:rPr>
                <w:color w:val="auto"/>
                <w:highlight w:val="none"/>
              </w:rPr>
            </w:pPr>
            <w:r>
              <w:rPr>
                <w:rFonts w:hint="eastAsia"/>
                <w:color w:val="auto"/>
                <w:highlight w:val="none"/>
              </w:rPr>
              <w:t>投标保证金账户：</w:t>
            </w:r>
          </w:p>
          <w:p>
            <w:pPr>
              <w:spacing w:line="360" w:lineRule="auto"/>
              <w:jc w:val="both"/>
              <w:rPr>
                <w:color w:val="auto"/>
                <w:highlight w:val="none"/>
              </w:rPr>
            </w:pPr>
            <w:r>
              <w:rPr>
                <w:rFonts w:hint="eastAsia"/>
                <w:color w:val="auto"/>
                <w:highlight w:val="none"/>
              </w:rPr>
              <w:t>开户名称：国顺招标有限公司</w:t>
            </w:r>
          </w:p>
          <w:p>
            <w:pPr>
              <w:spacing w:line="360" w:lineRule="auto"/>
              <w:jc w:val="both"/>
              <w:rPr>
                <w:color w:val="auto"/>
                <w:highlight w:val="none"/>
              </w:rPr>
            </w:pPr>
            <w:r>
              <w:rPr>
                <w:rFonts w:hint="eastAsia"/>
                <w:color w:val="auto"/>
                <w:highlight w:val="none"/>
              </w:rPr>
              <w:t>开户银行：广发银行股份有限公司东莞城区支行</w:t>
            </w:r>
          </w:p>
          <w:p>
            <w:pPr>
              <w:spacing w:line="360" w:lineRule="auto"/>
              <w:jc w:val="both"/>
              <w:rPr>
                <w:color w:val="auto"/>
                <w:highlight w:val="none"/>
              </w:rPr>
            </w:pPr>
            <w:r>
              <w:rPr>
                <w:rFonts w:hint="eastAsia"/>
                <w:color w:val="auto"/>
                <w:highlight w:val="none"/>
              </w:rPr>
              <w:t>账号</w:t>
            </w:r>
            <w:r>
              <w:rPr>
                <w:rFonts w:hint="eastAsia" w:ascii="宋体" w:hAnsi="宋体" w:cs="宋体"/>
                <w:color w:val="auto"/>
                <w:highlight w:val="none"/>
              </w:rPr>
              <w:t>：9550880226934600216</w:t>
            </w:r>
          </w:p>
          <w:p>
            <w:pPr>
              <w:spacing w:line="360" w:lineRule="auto"/>
              <w:jc w:val="both"/>
              <w:rPr>
                <w:color w:val="auto"/>
                <w:highlight w:val="none"/>
              </w:rPr>
            </w:pPr>
            <w:r>
              <w:rPr>
                <w:rFonts w:hint="eastAsia" w:ascii="宋体" w:hAnsi="宋体"/>
                <w:b/>
                <w:color w:val="auto"/>
                <w:szCs w:val="21"/>
                <w:highlight w:val="none"/>
              </w:rPr>
              <w:t>（本项目不收取）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5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及中国采购与招标网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016"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履约保证金账户：招标人指定账户(单位基本账户) 。</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（特别提醒，本账户非投标保证金账户）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016"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伍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4"/>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381"/>
      <w:bookmarkStart w:id="54" w:name="_Toc20860"/>
      <w:r>
        <w:rPr>
          <w:rFonts w:hint="eastAsia"/>
          <w:color w:val="auto"/>
          <w:highlight w:val="none"/>
        </w:rPr>
        <w:t>1.适用范围</w:t>
      </w:r>
      <w:bookmarkEnd w:id="53"/>
      <w:bookmarkEnd w:id="54"/>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15203"/>
      <w:bookmarkStart w:id="56" w:name="_Toc6621"/>
      <w:r>
        <w:rPr>
          <w:rFonts w:hint="eastAsia"/>
          <w:color w:val="auto"/>
          <w:highlight w:val="none"/>
        </w:rPr>
        <w:t>2.</w:t>
      </w:r>
      <w:bookmarkStart w:id="57" w:name="_Toc1530"/>
      <w:bookmarkStart w:id="58" w:name="_Toc298847174"/>
      <w:bookmarkStart w:id="59" w:name="_Toc303084246"/>
      <w:bookmarkStart w:id="60" w:name="_Toc382049092"/>
      <w:r>
        <w:rPr>
          <w:rFonts w:hint="eastAsia"/>
          <w:color w:val="auto"/>
          <w:highlight w:val="none"/>
        </w:rPr>
        <w:t>定义</w:t>
      </w:r>
      <w:bookmarkEnd w:id="55"/>
      <w:bookmarkEnd w:id="56"/>
      <w:bookmarkEnd w:id="57"/>
      <w:bookmarkEnd w:id="58"/>
      <w:bookmarkEnd w:id="59"/>
      <w:bookmarkEnd w:id="60"/>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31531"/>
      <w:bookmarkStart w:id="62" w:name="_Toc1072"/>
      <w:r>
        <w:rPr>
          <w:rFonts w:hint="eastAsia"/>
          <w:color w:val="auto"/>
          <w:highlight w:val="none"/>
        </w:rPr>
        <w:t>3.货物和服务</w:t>
      </w:r>
      <w:bookmarkEnd w:id="61"/>
      <w:bookmarkEnd w:id="62"/>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4" w:name="_Toc32610"/>
      <w:bookmarkStart w:id="65" w:name="_Toc16909"/>
      <w:r>
        <w:rPr>
          <w:rFonts w:hint="eastAsia"/>
          <w:color w:val="auto"/>
          <w:highlight w:val="none"/>
        </w:rPr>
        <w:t>4.投标费用</w:t>
      </w:r>
      <w:bookmarkEnd w:id="64"/>
      <w:bookmarkEnd w:id="65"/>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6" w:name="_Toc13316"/>
      <w:bookmarkStart w:id="67" w:name="_Toc24409"/>
      <w:r>
        <w:rPr>
          <w:rFonts w:hint="eastAsia"/>
          <w:color w:val="auto"/>
          <w:highlight w:val="none"/>
        </w:rPr>
        <w:t>5.知识产权</w:t>
      </w:r>
      <w:bookmarkEnd w:id="66"/>
      <w:bookmarkEnd w:id="67"/>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8" w:name="_Toc25530"/>
      <w:bookmarkStart w:id="69" w:name="_Toc25911"/>
      <w:r>
        <w:rPr>
          <w:rFonts w:hint="eastAsia"/>
          <w:color w:val="auto"/>
          <w:highlight w:val="none"/>
        </w:rPr>
        <w:t>6.关于联合体投标</w:t>
      </w:r>
      <w:bookmarkEnd w:id="68"/>
      <w:bookmarkEnd w:id="69"/>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0" w:name="_Toc27528"/>
      <w:bookmarkStart w:id="71" w:name="_Toc24312"/>
      <w:r>
        <w:rPr>
          <w:rFonts w:hint="eastAsia"/>
          <w:color w:val="auto"/>
          <w:highlight w:val="none"/>
        </w:rPr>
        <w:t>7.关于分支机构投标</w:t>
      </w:r>
      <w:bookmarkEnd w:id="70"/>
      <w:bookmarkEnd w:id="71"/>
    </w:p>
    <w:p>
      <w:pPr>
        <w:pStyle w:val="19"/>
        <w:numPr>
          <w:ilvl w:val="0"/>
          <w:numId w:val="5"/>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5"/>
        <w:rPr>
          <w:color w:val="auto"/>
          <w:highlight w:val="none"/>
        </w:rPr>
      </w:pPr>
      <w:bookmarkStart w:id="73" w:name="_Toc15490"/>
      <w:bookmarkStart w:id="74" w:name="_Toc13645"/>
      <w:r>
        <w:rPr>
          <w:rFonts w:hint="eastAsia"/>
          <w:color w:val="auto"/>
          <w:highlight w:val="none"/>
        </w:rPr>
        <w:t>8.招标文件的组成</w:t>
      </w:r>
      <w:bookmarkEnd w:id="73"/>
      <w:bookmarkEnd w:id="74"/>
    </w:p>
    <w:p>
      <w:pPr>
        <w:pStyle w:val="19"/>
        <w:numPr>
          <w:ilvl w:val="0"/>
          <w:numId w:val="5"/>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5" w:name="_Toc7789"/>
      <w:bookmarkStart w:id="76" w:name="_Toc644"/>
      <w:r>
        <w:rPr>
          <w:rFonts w:hint="eastAsia"/>
          <w:color w:val="auto"/>
          <w:highlight w:val="none"/>
        </w:rPr>
        <w:t>9.招标文件的澄清或修改</w:t>
      </w:r>
      <w:bookmarkEnd w:id="75"/>
      <w:bookmarkEnd w:id="76"/>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2"/>
        <w:ind w:left="0"/>
        <w:rPr>
          <w:color w:val="auto"/>
          <w:sz w:val="21"/>
          <w:szCs w:val="21"/>
          <w:highlight w:val="none"/>
        </w:rPr>
      </w:pPr>
    </w:p>
    <w:p>
      <w:pPr>
        <w:pStyle w:val="5"/>
        <w:rPr>
          <w:color w:val="auto"/>
          <w:highlight w:val="none"/>
        </w:rPr>
      </w:pPr>
      <w:bookmarkStart w:id="77" w:name="_Toc6458"/>
      <w:bookmarkStart w:id="78" w:name="_Toc708"/>
      <w:r>
        <w:rPr>
          <w:rFonts w:hint="eastAsia"/>
          <w:color w:val="auto"/>
          <w:highlight w:val="none"/>
        </w:rPr>
        <w:t>10.投标文件的语言及度量衡单位</w:t>
      </w:r>
      <w:bookmarkEnd w:id="77"/>
      <w:bookmarkEnd w:id="78"/>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9" w:name="_Toc303084256"/>
      <w:bookmarkStart w:id="80" w:name="_Toc29420"/>
      <w:bookmarkStart w:id="81" w:name="_Toc28866"/>
      <w:bookmarkStart w:id="82" w:name="_Toc382049103"/>
      <w:bookmarkStart w:id="83" w:name="_Toc8246"/>
      <w:bookmarkStart w:id="84" w:name="_Toc307934854"/>
      <w:r>
        <w:rPr>
          <w:rFonts w:hint="eastAsia"/>
          <w:color w:val="auto"/>
          <w:highlight w:val="none"/>
        </w:rPr>
        <w:t>11.投标文件的组成</w:t>
      </w:r>
      <w:bookmarkEnd w:id="79"/>
      <w:bookmarkEnd w:id="80"/>
      <w:bookmarkEnd w:id="81"/>
      <w:bookmarkEnd w:id="82"/>
      <w:bookmarkEnd w:id="83"/>
      <w:bookmarkEnd w:id="84"/>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5" w:name="_Toc5980"/>
      <w:bookmarkStart w:id="86" w:name="_Toc11356"/>
      <w:r>
        <w:rPr>
          <w:rFonts w:hint="eastAsia"/>
          <w:color w:val="auto"/>
          <w:highlight w:val="none"/>
        </w:rPr>
        <w:t>12.投标文件编制</w:t>
      </w:r>
      <w:bookmarkEnd w:id="85"/>
      <w:bookmarkEnd w:id="86"/>
    </w:p>
    <w:p>
      <w:pPr>
        <w:pStyle w:val="19"/>
        <w:numPr>
          <w:ilvl w:val="0"/>
          <w:numId w:val="5"/>
        </w:numPr>
        <w:spacing w:line="400" w:lineRule="exact"/>
        <w:ind w:firstLineChars="0"/>
        <w:jc w:val="both"/>
        <w:rPr>
          <w:rFonts w:ascii="宋体" w:hAnsi="宋体" w:cs="宋体"/>
          <w:vanish/>
          <w:color w:val="auto"/>
          <w:szCs w:val="21"/>
          <w:highlight w:val="none"/>
        </w:rPr>
      </w:pPr>
      <w:bookmarkStart w:id="87" w:name="_Toc303084258"/>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8" w:name="_Toc28034"/>
      <w:bookmarkStart w:id="89" w:name="_Toc1355"/>
      <w:r>
        <w:rPr>
          <w:rFonts w:hint="eastAsia"/>
          <w:color w:val="auto"/>
          <w:highlight w:val="none"/>
        </w:rPr>
        <w:t>13.投标报价说明</w:t>
      </w:r>
      <w:bookmarkEnd w:id="88"/>
      <w:bookmarkEnd w:id="89"/>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90" w:name="_Toc6729"/>
      <w:bookmarkStart w:id="91" w:name="_Toc34"/>
      <w:r>
        <w:rPr>
          <w:rFonts w:hint="eastAsia"/>
          <w:color w:val="auto"/>
          <w:highlight w:val="none"/>
        </w:rPr>
        <w:t>14.投标人所提供的服务或货物的证明文件</w:t>
      </w:r>
      <w:bookmarkEnd w:id="90"/>
      <w:bookmarkEnd w:id="91"/>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bookmarkStart w:id="92" w:name="_Hlt107925668"/>
      <w:bookmarkEnd w:id="92"/>
      <w:bookmarkStart w:id="93" w:name="_Hlt10792563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19"/>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4" w:name="_Toc10940"/>
      <w:bookmarkStart w:id="95" w:name="_Toc29725"/>
      <w:r>
        <w:rPr>
          <w:rFonts w:hint="eastAsia"/>
          <w:color w:val="auto"/>
          <w:highlight w:val="none"/>
        </w:rPr>
        <w:t>15.★投标有效期</w:t>
      </w:r>
      <w:bookmarkEnd w:id="94"/>
      <w:bookmarkEnd w:id="95"/>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96" w:name="_Toc5483"/>
      <w:bookmarkStart w:id="97" w:name="_Toc15529"/>
      <w:r>
        <w:rPr>
          <w:rFonts w:hint="eastAsia"/>
          <w:color w:val="auto"/>
          <w:highlight w:val="none"/>
        </w:rPr>
        <w:t>16.★投标保证金</w:t>
      </w:r>
      <w:bookmarkEnd w:id="96"/>
      <w:r>
        <w:rPr>
          <w:rFonts w:hint="eastAsia"/>
          <w:color w:val="auto"/>
          <w:highlight w:val="none"/>
        </w:rPr>
        <w:t>（本项目不收取）</w:t>
      </w:r>
      <w:bookmarkEnd w:id="97"/>
    </w:p>
    <w:p>
      <w:pPr>
        <w:pStyle w:val="19"/>
        <w:numPr>
          <w:ilvl w:val="0"/>
          <w:numId w:val="5"/>
        </w:numPr>
        <w:spacing w:line="400" w:lineRule="exact"/>
        <w:ind w:firstLineChars="0"/>
        <w:jc w:val="both"/>
        <w:rPr>
          <w:rFonts w:ascii="宋体" w:hAnsi="宋体" w:cs="宋体"/>
          <w:vanish/>
          <w:color w:val="auto"/>
          <w:szCs w:val="21"/>
          <w:highlight w:val="none"/>
        </w:rPr>
      </w:pPr>
      <w:bookmarkStart w:id="98" w:name="_Ref179619405"/>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5"/>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2"/>
        <w:rPr>
          <w:color w:val="auto"/>
          <w:sz w:val="21"/>
          <w:szCs w:val="21"/>
          <w:highlight w:val="none"/>
        </w:rPr>
      </w:pPr>
    </w:p>
    <w:p>
      <w:pPr>
        <w:pStyle w:val="5"/>
        <w:rPr>
          <w:color w:val="auto"/>
          <w:highlight w:val="none"/>
        </w:rPr>
      </w:pPr>
      <w:bookmarkStart w:id="99" w:name="_Toc382049111"/>
      <w:bookmarkStart w:id="100" w:name="_Toc16724"/>
      <w:bookmarkStart w:id="101" w:name="_Toc303084264"/>
      <w:bookmarkStart w:id="102" w:name="_Toc24997"/>
      <w:bookmarkStart w:id="103" w:name="_Toc16286"/>
      <w:r>
        <w:rPr>
          <w:rFonts w:hint="eastAsia"/>
          <w:color w:val="auto"/>
          <w:highlight w:val="none"/>
        </w:rPr>
        <w:t>17.投标文件的装订，签署，密封和标记</w:t>
      </w:r>
      <w:bookmarkEnd w:id="99"/>
      <w:bookmarkEnd w:id="100"/>
      <w:bookmarkEnd w:id="101"/>
      <w:bookmarkEnd w:id="102"/>
      <w:bookmarkEnd w:id="103"/>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4" w:name="_Toc30088"/>
      <w:bookmarkStart w:id="105" w:name="_Toc17636"/>
      <w:r>
        <w:rPr>
          <w:rFonts w:hint="eastAsia"/>
          <w:color w:val="auto"/>
          <w:highlight w:val="none"/>
        </w:rPr>
        <w:t>18.迟交的投标文件</w:t>
      </w:r>
      <w:bookmarkEnd w:id="104"/>
      <w:bookmarkEnd w:id="105"/>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6" w:name="_Toc24269"/>
      <w:bookmarkStart w:id="107" w:name="_Toc15912"/>
      <w:r>
        <w:rPr>
          <w:rFonts w:hint="eastAsia"/>
          <w:color w:val="auto"/>
          <w:highlight w:val="none"/>
        </w:rPr>
        <w:t>19.投标样品、投标演示（如有要求）</w:t>
      </w:r>
      <w:bookmarkEnd w:id="106"/>
      <w:bookmarkEnd w:id="107"/>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8" w:name="_Toc22355"/>
      <w:bookmarkStart w:id="109" w:name="_Toc9777"/>
      <w:bookmarkStart w:id="110" w:name="_Toc382049112"/>
      <w:bookmarkStart w:id="111" w:name="_Toc28098"/>
      <w:bookmarkStart w:id="112" w:name="_Toc303084265"/>
      <w:r>
        <w:rPr>
          <w:rFonts w:hint="eastAsia"/>
          <w:color w:val="auto"/>
          <w:highlight w:val="none"/>
        </w:rPr>
        <w:t>20.投标截止期</w:t>
      </w:r>
      <w:bookmarkEnd w:id="108"/>
      <w:bookmarkEnd w:id="109"/>
      <w:bookmarkEnd w:id="110"/>
      <w:bookmarkEnd w:id="111"/>
      <w:bookmarkEnd w:id="112"/>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3" w:name="_Toc4270"/>
      <w:bookmarkStart w:id="114" w:name="_Toc22260"/>
      <w:r>
        <w:rPr>
          <w:rFonts w:hint="eastAsia"/>
          <w:color w:val="auto"/>
          <w:highlight w:val="none"/>
        </w:rPr>
        <w:t>21.投标文件的补充、修改与撤回</w:t>
      </w:r>
      <w:bookmarkEnd w:id="113"/>
      <w:bookmarkEnd w:id="114"/>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2"/>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6" w:name="_Toc318"/>
      <w:bookmarkStart w:id="117" w:name="_Toc23244"/>
      <w:r>
        <w:rPr>
          <w:rFonts w:hint="eastAsia"/>
          <w:color w:val="auto"/>
          <w:highlight w:val="none"/>
        </w:rPr>
        <w:t>23.评标委员会及评标方法</w:t>
      </w:r>
      <w:bookmarkEnd w:id="116"/>
      <w:bookmarkEnd w:id="117"/>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8" w:name="_Toc15635"/>
      <w:bookmarkStart w:id="119" w:name="_Toc21911"/>
      <w:r>
        <w:rPr>
          <w:rFonts w:hint="eastAsia"/>
          <w:color w:val="auto"/>
          <w:highlight w:val="none"/>
        </w:rPr>
        <w:t>24.评审原则及评标过程的保密</w:t>
      </w:r>
      <w:bookmarkEnd w:id="118"/>
      <w:bookmarkEnd w:id="119"/>
    </w:p>
    <w:p>
      <w:pPr>
        <w:pStyle w:val="19"/>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20" w:name="_Toc12318"/>
      <w:bookmarkStart w:id="121" w:name="_Toc10950"/>
      <w:r>
        <w:rPr>
          <w:rFonts w:hint="eastAsia"/>
          <w:color w:val="auto"/>
          <w:highlight w:val="none"/>
        </w:rPr>
        <w:t>25.投标文件的初审</w:t>
      </w:r>
      <w:bookmarkEnd w:id="120"/>
      <w:bookmarkEnd w:id="121"/>
    </w:p>
    <w:p>
      <w:pPr>
        <w:pStyle w:val="19"/>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2" w:name="_Toc19657"/>
      <w:bookmarkStart w:id="123" w:name="_Toc24775"/>
      <w:r>
        <w:rPr>
          <w:rFonts w:hint="eastAsia"/>
          <w:color w:val="auto"/>
          <w:highlight w:val="none"/>
        </w:rPr>
        <w:t>26.商务、技术、价格评审</w:t>
      </w:r>
      <w:bookmarkEnd w:id="122"/>
      <w:bookmarkEnd w:id="123"/>
    </w:p>
    <w:p>
      <w:pPr>
        <w:pStyle w:val="19"/>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4" w:name="_Toc316375620"/>
      <w:bookmarkStart w:id="125" w:name="_Toc382049120"/>
      <w:bookmarkStart w:id="126" w:name="_Toc5898"/>
      <w:bookmarkStart w:id="127" w:name="_Toc20328"/>
      <w:bookmarkStart w:id="128" w:name="_Toc19304"/>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19"/>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pStyle w:val="5"/>
        <w:widowControl/>
        <w:adjustRightInd w:val="0"/>
        <w:snapToGrid w:val="0"/>
        <w:jc w:val="both"/>
        <w:rPr>
          <w:rFonts w:ascii="宋体" w:hAnsi="宋体" w:cs="宋体"/>
          <w:color w:val="auto"/>
          <w:szCs w:val="21"/>
          <w:highlight w:val="none"/>
        </w:rPr>
      </w:pPr>
    </w:p>
    <w:p>
      <w:pPr>
        <w:pStyle w:val="5"/>
        <w:rPr>
          <w:color w:val="auto"/>
          <w:highlight w:val="none"/>
        </w:rPr>
      </w:pPr>
      <w:bookmarkStart w:id="129" w:name="_Toc1994"/>
      <w:bookmarkStart w:id="130" w:name="_Toc508284011"/>
      <w:bookmarkStart w:id="131" w:name="_Toc4954"/>
      <w:r>
        <w:rPr>
          <w:rFonts w:hint="eastAsia"/>
          <w:color w:val="auto"/>
          <w:highlight w:val="none"/>
        </w:rPr>
        <w:t>28.合同授予标准</w:t>
      </w:r>
      <w:bookmarkEnd w:id="129"/>
      <w:bookmarkEnd w:id="130"/>
      <w:bookmarkEnd w:id="131"/>
    </w:p>
    <w:p>
      <w:pPr>
        <w:pStyle w:val="19"/>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2" w:name="_Toc14141"/>
      <w:bookmarkStart w:id="133" w:name="_Toc22043"/>
      <w:bookmarkStart w:id="134" w:name="_Toc508284013"/>
      <w:r>
        <w:rPr>
          <w:rFonts w:hint="eastAsia"/>
          <w:color w:val="auto"/>
          <w:highlight w:val="none"/>
        </w:rPr>
        <w:t>30.发布采购结果</w:t>
      </w:r>
      <w:bookmarkEnd w:id="132"/>
      <w:bookmarkEnd w:id="133"/>
      <w:bookmarkEnd w:id="134"/>
    </w:p>
    <w:p>
      <w:pPr>
        <w:pStyle w:val="19"/>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5" w:name="_Toc8411"/>
      <w:bookmarkStart w:id="136" w:name="_Toc11977"/>
      <w:r>
        <w:rPr>
          <w:rFonts w:hint="eastAsia"/>
          <w:color w:val="auto"/>
          <w:highlight w:val="none"/>
        </w:rPr>
        <w:t>30.合同的签订与履行</w:t>
      </w:r>
      <w:bookmarkEnd w:id="135"/>
      <w:bookmarkEnd w:id="136"/>
    </w:p>
    <w:p>
      <w:pPr>
        <w:pStyle w:val="19"/>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2"/>
        <w:rPr>
          <w:color w:val="auto"/>
          <w:sz w:val="21"/>
          <w:szCs w:val="21"/>
          <w:highlight w:val="none"/>
        </w:rPr>
      </w:pPr>
    </w:p>
    <w:p>
      <w:pPr>
        <w:pStyle w:val="5"/>
        <w:rPr>
          <w:color w:val="auto"/>
          <w:highlight w:val="none"/>
        </w:rPr>
      </w:pPr>
      <w:bookmarkStart w:id="137" w:name="_Toc23400"/>
      <w:bookmarkStart w:id="138" w:name="_Toc19434"/>
      <w:r>
        <w:rPr>
          <w:rFonts w:hint="eastAsia"/>
          <w:color w:val="auto"/>
          <w:highlight w:val="none"/>
        </w:rPr>
        <w:t>31.招标文件的解释权</w:t>
      </w:r>
      <w:bookmarkEnd w:id="137"/>
      <w:bookmarkEnd w:id="138"/>
    </w:p>
    <w:p>
      <w:pPr>
        <w:pStyle w:val="19"/>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9" w:name="_Toc27892"/>
      <w:r>
        <w:rPr>
          <w:rFonts w:hint="eastAsia"/>
          <w:color w:val="auto"/>
          <w:highlight w:val="none"/>
        </w:rPr>
        <w:t>用户需求书</w:t>
      </w:r>
      <w:bookmarkEnd w:id="139"/>
    </w:p>
    <w:p>
      <w:pPr>
        <w:jc w:val="center"/>
        <w:outlineLvl w:val="1"/>
        <w:rPr>
          <w:b/>
          <w:bCs/>
          <w:color w:val="auto"/>
          <w:sz w:val="28"/>
          <w:szCs w:val="36"/>
          <w:highlight w:val="none"/>
        </w:rPr>
      </w:pPr>
      <w:bookmarkStart w:id="140" w:name="_Toc16006"/>
      <w:r>
        <w:rPr>
          <w:rFonts w:hint="eastAsia"/>
          <w:b/>
          <w:bCs/>
          <w:color w:val="auto"/>
          <w:sz w:val="28"/>
          <w:szCs w:val="36"/>
          <w:highlight w:val="none"/>
        </w:rPr>
        <w:t>商务要求</w:t>
      </w:r>
      <w:bookmarkEnd w:id="140"/>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6"/>
        <w:gridCol w:w="1365"/>
        <w:gridCol w:w="64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7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48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67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3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维护期</w:t>
            </w:r>
          </w:p>
        </w:tc>
        <w:tc>
          <w:tcPr>
            <w:tcW w:w="6481" w:type="dxa"/>
            <w:vAlign w:val="center"/>
          </w:tcPr>
          <w:p>
            <w:pPr>
              <w:rPr>
                <w:rFonts w:ascii="宋体" w:hAnsi="宋体" w:cs="宋体"/>
                <w:color w:val="auto"/>
                <w:szCs w:val="21"/>
                <w:highlight w:val="none"/>
              </w:rPr>
            </w:pPr>
            <w:r>
              <w:rPr>
                <w:rFonts w:hint="eastAsia" w:ascii="宋体" w:hAnsi="宋体" w:cs="宋体"/>
                <w:color w:val="auto"/>
                <w:szCs w:val="21"/>
                <w:highlight w:val="none"/>
              </w:rPr>
              <w:t>自签订合同之日起12个月。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596" w:hRule="atLeast"/>
          <w:jc w:val="center"/>
        </w:trPr>
        <w:tc>
          <w:tcPr>
            <w:tcW w:w="67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3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w:t>
            </w:r>
          </w:p>
        </w:tc>
        <w:tc>
          <w:tcPr>
            <w:tcW w:w="6481" w:type="dxa"/>
            <w:vAlign w:val="center"/>
          </w:tcPr>
          <w:p>
            <w:pPr>
              <w:rPr>
                <w:rFonts w:ascii="宋体" w:hAnsi="宋体" w:cs="宋体"/>
                <w:color w:val="auto"/>
                <w:szCs w:val="21"/>
                <w:highlight w:val="none"/>
              </w:rPr>
            </w:pPr>
            <w:r>
              <w:rPr>
                <w:rFonts w:hint="eastAsia" w:ascii="宋体" w:hAnsi="宋体" w:cs="宋体"/>
                <w:color w:val="auto"/>
                <w:szCs w:val="21"/>
                <w:highlight w:val="none"/>
              </w:rPr>
              <w:t>合同签订后，服务费按合同总价分4个季度支付，每季度验收合格后支付季度服务费。</w:t>
            </w:r>
          </w:p>
          <w:p>
            <w:pPr>
              <w:rPr>
                <w:rFonts w:ascii="宋体" w:hAnsi="宋体" w:cs="宋体"/>
                <w:b/>
                <w:color w:val="auto"/>
                <w:szCs w:val="21"/>
                <w:highlight w:val="none"/>
              </w:rPr>
            </w:pPr>
            <w:r>
              <w:rPr>
                <w:rFonts w:hint="eastAsia" w:ascii="宋体" w:hAnsi="宋体" w:cs="宋体"/>
                <w:color w:val="auto"/>
                <w:szCs w:val="21"/>
                <w:highlight w:val="none"/>
              </w:rPr>
              <w:t>注：本项目资金来源为财政资金，相关付款程序严格遵守东莞市财政局横沥分局财政资金支付程序规定。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6" w:hRule="atLeast"/>
          <w:jc w:val="center"/>
        </w:trPr>
        <w:tc>
          <w:tcPr>
            <w:tcW w:w="67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3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报价内容</w:t>
            </w:r>
          </w:p>
        </w:tc>
        <w:tc>
          <w:tcPr>
            <w:tcW w:w="6481" w:type="dxa"/>
            <w:vAlign w:val="center"/>
          </w:tcPr>
          <w:p>
            <w:pPr>
              <w:pStyle w:val="19"/>
              <w:ind w:firstLine="0" w:firstLineChars="0"/>
              <w:rPr>
                <w:rFonts w:ascii="宋体" w:hAnsi="宋体" w:cs="宋体"/>
                <w:color w:val="auto"/>
                <w:szCs w:val="21"/>
                <w:highlight w:val="none"/>
              </w:rPr>
            </w:pPr>
            <w:r>
              <w:rPr>
                <w:rFonts w:hint="eastAsia" w:ascii="宋体" w:hAnsi="宋体" w:cs="宋体"/>
                <w:color w:val="auto"/>
                <w:szCs w:val="21"/>
                <w:highlight w:val="none"/>
              </w:rPr>
              <w:t>1、报价应包括应包含人工工资、设备费用及其它的配件或设备（包括自然损坏、人为破坏、车辆撞击损坏查证不到、被盗）、各种税费及合同实施过程中的不可预见费用等全部费用等。</w:t>
            </w:r>
          </w:p>
          <w:p>
            <w:pPr>
              <w:pStyle w:val="19"/>
              <w:ind w:firstLine="0" w:firstLineChars="0"/>
              <w:rPr>
                <w:rFonts w:ascii="宋体" w:hAnsi="宋体" w:cs="宋体"/>
                <w:color w:val="auto"/>
                <w:szCs w:val="21"/>
                <w:highlight w:val="none"/>
              </w:rPr>
            </w:pPr>
            <w:r>
              <w:rPr>
                <w:rFonts w:hint="eastAsia" w:ascii="宋体" w:hAnsi="宋体" w:cs="宋体"/>
                <w:color w:val="auto"/>
                <w:szCs w:val="21"/>
                <w:highlight w:val="none"/>
              </w:rPr>
              <w:t>2、合同总价包括国家规定的所有税费及与项目相关的所有费用。</w:t>
            </w:r>
          </w:p>
          <w:p>
            <w:pPr>
              <w:pStyle w:val="19"/>
              <w:ind w:firstLine="0" w:firstLineChars="0"/>
              <w:rPr>
                <w:rFonts w:ascii="宋体" w:hAnsi="宋体" w:cs="宋体"/>
                <w:color w:val="auto"/>
                <w:szCs w:val="21"/>
                <w:highlight w:val="none"/>
              </w:rPr>
            </w:pPr>
            <w:r>
              <w:rPr>
                <w:rFonts w:hint="eastAsia" w:ascii="宋体" w:hAnsi="宋体" w:cs="宋体"/>
                <w:color w:val="auto"/>
                <w:szCs w:val="21"/>
                <w:highlight w:val="none"/>
              </w:rPr>
              <w:t>3、供应商应以人民币为结算单位。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67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3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服务地点</w:t>
            </w:r>
          </w:p>
        </w:tc>
        <w:tc>
          <w:tcPr>
            <w:tcW w:w="6481" w:type="dxa"/>
            <w:vAlign w:val="center"/>
          </w:tcPr>
          <w:p>
            <w:pPr>
              <w:rPr>
                <w:rFonts w:ascii="宋体" w:hAnsi="宋体" w:cs="宋体"/>
                <w:color w:val="auto"/>
                <w:szCs w:val="21"/>
                <w:highlight w:val="none"/>
              </w:rPr>
            </w:pPr>
            <w:r>
              <w:rPr>
                <w:rFonts w:hint="eastAsia" w:ascii="宋体" w:hAnsi="宋体" w:cs="宋体"/>
                <w:color w:val="auto"/>
                <w:szCs w:val="21"/>
                <w:highlight w:val="none"/>
              </w:rPr>
              <w:t>采购人指定的地点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9" w:hRule="atLeast"/>
          <w:jc w:val="center"/>
        </w:trPr>
        <w:tc>
          <w:tcPr>
            <w:tcW w:w="67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3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合同条款及其他说明</w:t>
            </w:r>
          </w:p>
        </w:tc>
        <w:tc>
          <w:tcPr>
            <w:tcW w:w="6481" w:type="dxa"/>
            <w:vAlign w:val="center"/>
          </w:tcPr>
          <w:p>
            <w:pPr>
              <w:rPr>
                <w:rFonts w:ascii="宋体" w:hAnsi="宋体" w:cs="宋体"/>
                <w:bCs/>
                <w:color w:val="auto"/>
                <w:szCs w:val="21"/>
                <w:highlight w:val="none"/>
              </w:rPr>
            </w:pPr>
            <w:r>
              <w:rPr>
                <w:rFonts w:hint="eastAsia" w:ascii="宋体" w:hAnsi="宋体" w:cs="宋体"/>
                <w:bCs/>
                <w:color w:val="auto"/>
                <w:szCs w:val="21"/>
                <w:highlight w:val="none"/>
              </w:rPr>
              <w:t>1、供应商实质响应合同各条款</w:t>
            </w:r>
          </w:p>
          <w:p>
            <w:pPr>
              <w:rPr>
                <w:rFonts w:ascii="宋体" w:hAnsi="宋体" w:cs="宋体"/>
                <w:bCs/>
                <w:color w:val="auto"/>
                <w:szCs w:val="21"/>
                <w:highlight w:val="none"/>
              </w:rPr>
            </w:pPr>
            <w:r>
              <w:rPr>
                <w:rFonts w:hint="eastAsia" w:ascii="宋体" w:hAnsi="宋体" w:cs="宋体"/>
                <w:bCs/>
                <w:color w:val="auto"/>
                <w:szCs w:val="21"/>
                <w:highlight w:val="none"/>
              </w:rPr>
              <w:t>2、信号灯接电问题：在维护期内信号灯接电与被接电方产生用电纠纷，或信号灯设备被他人接电从而产生额外费用，乙方须前往协调解决纠纷，期间产生的费用由乙方支付。</w:t>
            </w:r>
          </w:p>
        </w:tc>
      </w:tr>
    </w:tbl>
    <w:p>
      <w:pPr>
        <w:rPr>
          <w:color w:val="auto"/>
          <w:highlight w:val="none"/>
        </w:rPr>
      </w:pPr>
      <w:r>
        <w:rPr>
          <w:color w:val="auto"/>
          <w:highlight w:val="none"/>
        </w:rPr>
        <w:br w:type="page"/>
      </w:r>
    </w:p>
    <w:p>
      <w:pPr>
        <w:jc w:val="center"/>
        <w:outlineLvl w:val="1"/>
        <w:rPr>
          <w:b/>
          <w:bCs/>
          <w:color w:val="auto"/>
          <w:sz w:val="28"/>
          <w:szCs w:val="36"/>
          <w:highlight w:val="none"/>
        </w:rPr>
      </w:pPr>
      <w:bookmarkStart w:id="141" w:name="_Toc4572"/>
      <w:r>
        <w:rPr>
          <w:rFonts w:hint="eastAsia"/>
          <w:b/>
          <w:bCs/>
          <w:color w:val="auto"/>
          <w:sz w:val="28"/>
          <w:szCs w:val="36"/>
          <w:highlight w:val="none"/>
        </w:rPr>
        <w:t>技术要求</w:t>
      </w:r>
      <w:bookmarkEnd w:id="141"/>
    </w:p>
    <w:p>
      <w:pPr>
        <w:pStyle w:val="6"/>
        <w:rPr>
          <w:color w:val="auto"/>
          <w:highlight w:val="none"/>
        </w:rPr>
      </w:pPr>
      <w:r>
        <w:rPr>
          <w:rFonts w:hint="eastAsia"/>
          <w:color w:val="auto"/>
          <w:highlight w:val="none"/>
        </w:rPr>
        <w:t>一、项目内容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横沥镇交通信号灯维护、优化配时项目（包括信号灯灯组、灯杆、地下管线、线路、线材、沙井、控制机箱等维护及信号优化配时），服务期为壹年。</w:t>
      </w:r>
    </w:p>
    <w:p>
      <w:pPr>
        <w:pStyle w:val="6"/>
        <w:rPr>
          <w:color w:val="auto"/>
          <w:highlight w:val="none"/>
        </w:rPr>
      </w:pPr>
      <w:r>
        <w:rPr>
          <w:rFonts w:hint="eastAsia"/>
          <w:color w:val="auto"/>
          <w:highlight w:val="none"/>
        </w:rPr>
        <w:t>二、项目路口清单</w:t>
      </w:r>
    </w:p>
    <w:p>
      <w:pPr>
        <w:rPr>
          <w:rFonts w:ascii="宋体" w:hAnsi="宋体" w:cs="宋体"/>
          <w:b/>
          <w:bCs/>
          <w:color w:val="auto"/>
          <w:szCs w:val="21"/>
          <w:highlight w:val="none"/>
        </w:rPr>
      </w:pPr>
      <w:r>
        <w:rPr>
          <w:rFonts w:hint="eastAsia" w:ascii="宋体" w:hAnsi="宋体" w:cs="宋体"/>
          <w:b/>
          <w:bCs/>
          <w:color w:val="auto"/>
          <w:szCs w:val="21"/>
          <w:highlight w:val="none"/>
        </w:rPr>
        <w:t>1、维护交通信号灯清单：</w:t>
      </w:r>
    </w:p>
    <w:tbl>
      <w:tblPr>
        <w:tblStyle w:val="14"/>
        <w:tblW w:w="0" w:type="auto"/>
        <w:tblInd w:w="0" w:type="dxa"/>
        <w:tblLayout w:type="autofit"/>
        <w:tblCellMar>
          <w:top w:w="0" w:type="dxa"/>
          <w:left w:w="0" w:type="dxa"/>
          <w:bottom w:w="0" w:type="dxa"/>
          <w:right w:w="0" w:type="dxa"/>
        </w:tblCellMar>
      </w:tblPr>
      <w:tblGrid>
        <w:gridCol w:w="440"/>
        <w:gridCol w:w="1642"/>
        <w:gridCol w:w="301"/>
        <w:gridCol w:w="301"/>
        <w:gridCol w:w="934"/>
        <w:gridCol w:w="4708"/>
      </w:tblGrid>
      <w:tr>
        <w:tblPrEx>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路口名称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维护工期（月）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说明</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东莞市横沥镇沿江中山路口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东莞市横沥镇新城振兴路口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东莞市横沥镇康乐北环路口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东莞市横沥镇恒泉西环路口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东莞市横沥镇天桥中山路口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东莞市横沥镇振兴田饶步村路口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东莞市横沥镇南环田头村路口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东莞市横沥镇东环振兴路口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东莞市横沥镇骏马北环路口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东莞市横沥镇北环月塘村路口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东莞市横沥镇康乐路康乐骏马路口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东莞市横沥镇江南中山路口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东莞市横沥镇昌鸿西环路口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东莞市横沥镇东环龙子路口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东莞市横沥镇北环山厦工业区路口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 xml:space="preserve">东莞市横沥镇北环油榨村路口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 xml:space="preserve">东莞市横沥镇东环育才路口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东莞市横沥镇东环兴业路口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东莞市横沥镇东环新城路口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东莞市横沥镇西环金龙路口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东莞市横沥镇水边村委会育才路口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东莞市横沥镇新城兴业路口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东莞市横沥镇中山振兴路口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东莞市横沥镇中山贝涌路口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东莞市横沥镇西环和平路口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东莞市横沥镇振兴双岔路口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东莞市横沥镇村头红绿灯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东莞市横沥镇银岗加油站红绿灯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信控路口配时优化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对横沥镇交通信号灯路口进行调研、方案设计及下方调试的工作，对不合理的信号灯设置进行相位、配时优化，以达到缓解交通拥堵的目的。</w:t>
            </w:r>
          </w:p>
        </w:tc>
      </w:tr>
    </w:tbl>
    <w:p>
      <w:pPr>
        <w:rPr>
          <w:color w:val="auto"/>
          <w:highlight w:val="none"/>
        </w:rPr>
      </w:pPr>
    </w:p>
    <w:p>
      <w:pPr>
        <w:pStyle w:val="6"/>
        <w:rPr>
          <w:color w:val="auto"/>
          <w:highlight w:val="none"/>
        </w:rPr>
      </w:pPr>
      <w:r>
        <w:rPr>
          <w:rFonts w:hint="eastAsia"/>
          <w:color w:val="auto"/>
          <w:highlight w:val="none"/>
        </w:rPr>
        <w:t>三、项目需求细则</w:t>
      </w:r>
    </w:p>
    <w:p>
      <w:pPr>
        <w:rPr>
          <w:color w:val="auto"/>
          <w:highlight w:val="none"/>
        </w:rPr>
      </w:pPr>
      <w:r>
        <w:rPr>
          <w:rFonts w:hint="eastAsia"/>
          <w:color w:val="auto"/>
          <w:highlight w:val="none"/>
        </w:rPr>
        <w:t>1、交通信号灯维修保养责任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（1）中标供应商负责维修保养，所有的人工工资、设备费用及其它的配件或设备（包括自然损坏、人为破坏、车辆撞击损坏查证不到、被盗）均由中标供应商负责支付费用。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维护期内中标供应商要配备专业技术人员定位、维修设备、专用工具，维修电话，每天要派出专人到合同指定的每个路口巡查，保障维修电话一天24小时畅通，发现信号灯发生故障或造成交通阻塞，立即要向采购人负责部门报告，同时通知中标供应商专业维修队，马上到现场抢修，做到接到报修通知1小时内到达现场，2小时内修复，重大的维修做到当日问题当日解决，当日无法维修的，要求中标供应商提供同等品质的备件，直至修复能正常使用为止。</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（3）在合同规定的保修期内，中标供应商负责对所承包范围内的交通信号灯进行维护保养，保证每个路口信号灯完好无损，正常运行。维护期间，采购人不再另行支付费用。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（4）维护期间，中标供应商须对承包范围内的信号灯灯组、灯杆、地下管线、线路、线材、沙井、控制机、机箱等进行全面检查，具体内容：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1)、信号灯杆安装牢固、垂直，坚固件无松动，垂直安装的倾斜度不得超过杆体长度1%。信号灯杆、信号灯机箱清洁干净，无文字广告，无污迹，无生锈变形，机械强度满足要求。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性能测试：以三个月为一周期，中标供应商对各类电器设备进行检测、并做好参数记录。在每年的3月份雷雨季节来临前，着重对所有信号灯的接地电阻进行测试和数据记录，并检查所有的信号灯的避雷是否正常。对测试后数据达不到要求的点采用增加接地桩等措施解决，以减小接地电阻。并更换被雷击穿的避雷器。同时，检查各接地线是否正常。以保证在雷雨季节避雷器被击而造成设备损坏。依据接地电阻测试要求（信号杆及信号机箱外壳接地阻抗在10欧姆以下），对接地电阻六个月为一测试周期，因避雷器被击而造成设备损坏，由中标供应商自行承担所需费用。如果由于地接线不符合要求发生触电事故的，由中标供应商承担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对被盗窃、短路、断线、老化、绝缘不符合要求的电缆中标供应商应免费予以更换。信号灯与信号机之间的电缆颜色要与灯具颜色对应连接，电缆在灯具端和信号机端连接牢固，电缆线在信号机端要根据采购人的要求进行编号。</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4)、路口信号灯有树林或其它障碍物遮挡视线时，应马上进行处理，不能处理的应上报采购人的管理部门。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5)、主动配合采购人对路口信号灯设施进行定期（每季度一次）或不定期的抽查。对抽查中发现的问题马上进行修复并对维护责任人进行扣款扣分处理。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定期（半年一次）对信号灯具清洗和保养，做到灯具外壳、透光玻璃、背板、遮罩、内部反光杆干净无尘，无破损，无老化变形。灯壳内无积水，密封性能好，亮度符合要求，信号灯具在杆上安装牢固，竖式安装时应垂直，横向安装时应平行，机动车信号灯具显示面正对所控制的机动车道，人行横道信号灯具显示面应正对人行横道，若有损坏或不完整的需要及时更换。</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信号灯沙井要求无缺无损坏，密封性能好，新换的井盖必须有“公安交通”的标志，自觉遵守市政管理部门的工作要求，对损坏的井盖要及时更换，对被盗、损坏的井盖没有及时维修而引发的安全事故由中标供应商承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8)、主动配合采购人信号灯信号配时的调试工作，积极满足信号调试部门的要求。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（5）维护期内中标供应商对承包范围内的交通信号灯进行安全检查，因维护不到位而发生安全事故的，由中标供应商承担责任。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（6）中标供应商须配备以下清单的备品备件，做好本项目备品备件库存工作。</w:t>
      </w:r>
    </w:p>
    <w:p>
      <w:pPr>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rPr>
        <w:t>备品备件清单：</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shd w:val="clear" w:color="auto" w:fill="FFFFFF" w:themeFill="background1"/>
            <w:vAlign w:val="center"/>
          </w:tcPr>
          <w:p>
            <w:pPr>
              <w:spacing w:line="24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8" w:type="pct"/>
            <w:shd w:val="clear" w:color="auto" w:fill="FFFFFF" w:themeFill="background1"/>
            <w:vAlign w:val="center"/>
          </w:tcPr>
          <w:p>
            <w:pPr>
              <w:spacing w:line="240" w:lineRule="auto"/>
              <w:jc w:val="center"/>
              <w:rPr>
                <w:rFonts w:ascii="宋体" w:hAnsi="宋体" w:cs="宋体"/>
                <w:b/>
                <w:color w:val="auto"/>
                <w:szCs w:val="21"/>
                <w:highlight w:val="none"/>
              </w:rPr>
            </w:pPr>
            <w:r>
              <w:rPr>
                <w:rFonts w:hint="eastAsia" w:ascii="宋体" w:hAnsi="宋体" w:cs="宋体"/>
                <w:b/>
                <w:color w:val="auto"/>
                <w:szCs w:val="21"/>
                <w:highlight w:val="none"/>
              </w:rPr>
              <w:t>备品备件名称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shd w:val="clear" w:color="auto" w:fill="FFFFFF" w:themeFill="background1"/>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218" w:type="pct"/>
            <w:shd w:val="clear" w:color="auto" w:fill="FFFFFF" w:themeFill="background1"/>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发电机/电源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shd w:val="clear" w:color="auto" w:fill="auto"/>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218" w:type="pct"/>
            <w:shd w:val="clear" w:color="auto" w:fill="auto"/>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机动车信号灯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shd w:val="clear" w:color="auto" w:fill="auto"/>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218" w:type="pct"/>
            <w:shd w:val="clear" w:color="auto" w:fill="auto"/>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人行信号灯</w:t>
            </w:r>
          </w:p>
        </w:tc>
      </w:tr>
    </w:tbl>
    <w:p>
      <w:pPr>
        <w:ind w:firstLine="420" w:firstLineChars="200"/>
        <w:rPr>
          <w:rFonts w:ascii="宋体" w:hAnsi="宋体" w:cs="宋体"/>
          <w:color w:val="auto"/>
          <w:szCs w:val="21"/>
          <w:highlight w:val="none"/>
        </w:rPr>
      </w:pPr>
      <w:r>
        <w:rPr>
          <w:rFonts w:hint="eastAsia" w:ascii="宋体" w:hAnsi="宋体" w:cs="宋体"/>
          <w:color w:val="auto"/>
          <w:szCs w:val="21"/>
          <w:highlight w:val="none"/>
        </w:rPr>
        <w:t>（7）必须每天对大队所有信号灯路口进行故障排查并建立巡查台帐（要求有当天巡查图片）交由大队。</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（8）同一个信号灯路口一个月内设备故障不能超过两次，三个月内不能超过三次，否则按双方协定进行扣款（片区电路跳阐、停电及因施工损坏的除外）</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（9）智能交通综合平台与各智能路口做好联网对接及对智能交通设备进行维护保养。（需做好巡查台账及图片）</w:t>
      </w:r>
    </w:p>
    <w:p>
      <w:pPr>
        <w:rPr>
          <w:color w:val="auto"/>
          <w:highlight w:val="none"/>
        </w:rPr>
      </w:pPr>
      <w:r>
        <w:rPr>
          <w:rFonts w:hint="eastAsia"/>
          <w:color w:val="auto"/>
          <w:highlight w:val="none"/>
        </w:rPr>
        <w:t>2、横沥镇交通信号配时方案优化需求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 道路交通运行数据调查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调查的内容主要包括道路几何结构数据与交通运行特性数据两个方面。道路几何结构数据主要包括交叉口类型、车道功能划分等。交通运行特性数据主要包括交叉口信号配时方案、交叉口流量、大型车构成、车流高峰和平峰特性等。</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 现状交通特征与问题分析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结合研究片区的土地利用现状、周边道路条件、交通运行情况，分析项目研究区域道路现状交通特征和交通问题，以问题为导向展开现状车流分析和区域交通组织策划。</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 交叉口交通仿真及信号优化方案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根据交叉口运行实际情况及运行需求，构建网络级的区域交通仿真模型，结合仿真模型，对现有交叉口开展信号控制优化，并比选不同方案的优缺点，以供交警选择最佳方案，提高道路通行能力和服务水平。</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 干道信号协调控制优化方案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根据区域内干道沿线交叉口运行实际情况及运行需求，开展干道信号协调控制优化，提高道路通行能力和服务水平。</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 方案评价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根据研究区域的交通现状及需求特征，对项目交通信号协调控制方案进行仿真评价，并将仿真结果与现状运行情况进行对比分析，对设计方案提出反馈。 </w:t>
      </w:r>
    </w:p>
    <w:p>
      <w:pPr>
        <w:rPr>
          <w:color w:val="auto"/>
          <w:highlight w:val="none"/>
        </w:rPr>
      </w:pPr>
      <w:r>
        <w:rPr>
          <w:rFonts w:hint="eastAsia"/>
          <w:color w:val="auto"/>
          <w:highlight w:val="none"/>
        </w:rPr>
        <w:t>3、服务需求明细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中标供应商承包及负责招标文件对中标供应商要求的一切事宜及责任。包括产品供货、配套备品备件提供、运输、安装、施工、调试、验收、质保期保障、维护等相关服务以及中标供应商认为必要的其他服务；中标供应商应自行增加设备正常、合法、安全运行及使用所必需但招标文件没有包含的所有部件、版权、专利等一切费用，如果中标供应商在中标并签署合同后，在供货、安装、调试、维护等工作中出现货物的任何遗漏，均由中标供应商免费提供，采购人将不再支付任何费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中标供应商需提供必要的技术文件及相关的培训计划。中标供应商应负责对用户使用、操作、维修、保养人员免费进行培训，并提供安装使用维护说明及一定数量的必要的备品备件；中标方应将所有培训费用（含培训教材费）及各项支出分别报价，并计入投标总价；中标供应商应指派具有丰富理论知识和操作维修经验的资深技术人员担任培训讲师，对于采购人认为不合格的培训讲师，采购人有权要求更换；培训工作必须在合同执行完毕之前完成；操作培训时间安排2-5天。</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（3）采购人有权在签订合同时对项目方案作适当修改或对产品数量作适当增加或减少。</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（4）招标文件明确外，中标供应商不得以任何方式转包或分包本项目。</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（5）中标供应商所投设备必须是厂商原装的、全新的，型号、性能及指标符合国家及招标文件提出的有关技术、质量、安全标准。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（6）对于影响设备正常工作的必要组成部分，无论在技术规范及用户的技术要求中指出与否，中标供应商都应提供并在投标文件中明确列出。</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（7）中标供应商应设项目负责人，负责合同执行全过程，投标书中需应介绍项目负责人的姓名、性别、联系方式。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（8）中标供应商须无偿提供甲方所需的有关的一切材料。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（9）中标供应商需提供详细的质量保证和售后服务计划。</w:t>
      </w:r>
    </w:p>
    <w:p>
      <w:pPr>
        <w:pStyle w:val="6"/>
        <w:rPr>
          <w:color w:val="auto"/>
          <w:highlight w:val="none"/>
        </w:rPr>
      </w:pPr>
      <w:r>
        <w:rPr>
          <w:rFonts w:hint="eastAsia"/>
          <w:color w:val="auto"/>
          <w:highlight w:val="none"/>
        </w:rPr>
        <w:t>四、服务考核评价</w:t>
      </w:r>
    </w:p>
    <w:p>
      <w:pPr>
        <w:rPr>
          <w:color w:val="auto"/>
          <w:highlight w:val="none"/>
        </w:rPr>
      </w:pPr>
      <w:bookmarkStart w:id="142" w:name="_Toc9286"/>
      <w:bookmarkStart w:id="143" w:name="_Toc22921"/>
      <w:r>
        <w:rPr>
          <w:rFonts w:hint="eastAsia"/>
          <w:color w:val="auto"/>
          <w:highlight w:val="none"/>
        </w:rPr>
        <w:t>1、考核内容</w:t>
      </w:r>
      <w:bookmarkEnd w:id="142"/>
      <w:bookmarkEnd w:id="143"/>
    </w:p>
    <w:p>
      <w:pPr>
        <w:pStyle w:val="22"/>
        <w:spacing w:line="360" w:lineRule="auto"/>
        <w:ind w:firstLine="430" w:firstLineChars="205"/>
        <w:rPr>
          <w:rFonts w:ascii="宋体" w:eastAsia="宋体" w:cs="宋体"/>
          <w:color w:val="auto"/>
          <w:sz w:val="21"/>
          <w:szCs w:val="21"/>
          <w:highlight w:val="none"/>
        </w:rPr>
      </w:pPr>
      <w:r>
        <w:rPr>
          <w:rFonts w:hint="eastAsia" w:ascii="宋体" w:eastAsia="宋体" w:cs="宋体"/>
          <w:color w:val="auto"/>
          <w:sz w:val="21"/>
          <w:szCs w:val="21"/>
          <w:highlight w:val="none"/>
        </w:rPr>
        <w:t>为了保证横沥交通信号灯系统维护工作顺利高效的进行，用户单位根据交通信号灯系统维护的特点，将维护单位的维护费用纳入维护考核，并依据对维护单位的考核结果，结付维护金额。用户单位把整个管理养护项目分为如下几个部分对维护单位进行考核：</w:t>
      </w:r>
    </w:p>
    <w:p>
      <w:pPr>
        <w:pStyle w:val="22"/>
        <w:spacing w:line="360" w:lineRule="auto"/>
        <w:ind w:firstLine="430" w:firstLineChars="205"/>
        <w:rPr>
          <w:rFonts w:ascii="宋体" w:eastAsia="宋体" w:cs="宋体"/>
          <w:color w:val="auto"/>
          <w:sz w:val="21"/>
          <w:szCs w:val="21"/>
          <w:highlight w:val="none"/>
        </w:rPr>
      </w:pPr>
      <w:r>
        <w:rPr>
          <w:rFonts w:hint="eastAsia" w:ascii="宋体" w:eastAsia="宋体" w:cs="宋体"/>
          <w:color w:val="auto"/>
          <w:sz w:val="21"/>
          <w:szCs w:val="21"/>
          <w:highlight w:val="none"/>
        </w:rPr>
        <w:t>1）设备点巡查记录；</w:t>
      </w:r>
    </w:p>
    <w:p>
      <w:pPr>
        <w:pStyle w:val="22"/>
        <w:spacing w:line="360" w:lineRule="auto"/>
        <w:ind w:firstLine="430" w:firstLineChars="205"/>
        <w:rPr>
          <w:rFonts w:ascii="宋体" w:eastAsia="宋体" w:cs="宋体"/>
          <w:color w:val="auto"/>
          <w:sz w:val="21"/>
          <w:szCs w:val="21"/>
          <w:highlight w:val="none"/>
        </w:rPr>
      </w:pPr>
      <w:r>
        <w:rPr>
          <w:rFonts w:hint="eastAsia" w:ascii="宋体" w:eastAsia="宋体" w:cs="宋体"/>
          <w:color w:val="auto"/>
          <w:sz w:val="21"/>
          <w:szCs w:val="21"/>
          <w:highlight w:val="none"/>
        </w:rPr>
        <w:t>2）维修设备质量；</w:t>
      </w:r>
    </w:p>
    <w:p>
      <w:pPr>
        <w:pStyle w:val="22"/>
        <w:spacing w:line="360" w:lineRule="auto"/>
        <w:ind w:firstLine="430" w:firstLineChars="205"/>
        <w:rPr>
          <w:rFonts w:ascii="宋体" w:eastAsia="宋体" w:cs="宋体"/>
          <w:color w:val="auto"/>
          <w:sz w:val="21"/>
          <w:szCs w:val="21"/>
          <w:highlight w:val="none"/>
        </w:rPr>
      </w:pPr>
      <w:r>
        <w:rPr>
          <w:rFonts w:hint="eastAsia" w:ascii="宋体" w:eastAsia="宋体" w:cs="宋体"/>
          <w:color w:val="auto"/>
          <w:sz w:val="21"/>
          <w:szCs w:val="21"/>
          <w:highlight w:val="none"/>
        </w:rPr>
        <w:t>3）安全文明施工执行情况；</w:t>
      </w:r>
    </w:p>
    <w:p>
      <w:pPr>
        <w:rPr>
          <w:color w:val="auto"/>
          <w:highlight w:val="none"/>
        </w:rPr>
      </w:pPr>
      <w:bookmarkStart w:id="144" w:name="_Toc18095"/>
      <w:bookmarkStart w:id="145" w:name="_Toc217"/>
      <w:r>
        <w:rPr>
          <w:rFonts w:hint="eastAsia"/>
          <w:color w:val="auto"/>
          <w:highlight w:val="none"/>
        </w:rPr>
        <w:t>2、考核依据</w:t>
      </w:r>
      <w:bookmarkEnd w:id="144"/>
      <w:bookmarkEnd w:id="145"/>
    </w:p>
    <w:p>
      <w:pPr>
        <w:pStyle w:val="22"/>
        <w:spacing w:line="360" w:lineRule="auto"/>
        <w:ind w:firstLine="430" w:firstLineChars="205"/>
        <w:rPr>
          <w:rFonts w:ascii="宋体" w:eastAsia="宋体" w:cs="宋体"/>
          <w:color w:val="auto"/>
          <w:sz w:val="21"/>
          <w:szCs w:val="21"/>
          <w:highlight w:val="none"/>
        </w:rPr>
      </w:pPr>
      <w:r>
        <w:rPr>
          <w:rFonts w:hint="eastAsia" w:ascii="宋体" w:eastAsia="宋体" w:cs="宋体"/>
          <w:color w:val="auto"/>
          <w:sz w:val="21"/>
          <w:szCs w:val="21"/>
          <w:highlight w:val="none"/>
        </w:rPr>
        <w:t>采购单位对系统故障申告，中标单位必须有文字记录，必须对故障发生的时间、故障情况、处理措施、值班人员等进行详实记录。中标单位维护工程师每次的故障处理，必须由采购单位值班人员与中标工程师双方签字确认。中标单位必须每周提供一份截至本周末时设备故障情况的汇总报表，该报表为季度考核的依据。</w:t>
      </w:r>
      <w:bookmarkStart w:id="146" w:name="_Toc22145"/>
      <w:bookmarkStart w:id="147" w:name="_Toc4815"/>
    </w:p>
    <w:p>
      <w:pPr>
        <w:rPr>
          <w:rFonts w:ascii="宋体" w:hAnsi="宋体" w:cs="宋体"/>
          <w:color w:val="auto"/>
          <w:highlight w:val="none"/>
        </w:rPr>
      </w:pPr>
      <w:r>
        <w:rPr>
          <w:rFonts w:hint="eastAsia" w:ascii="宋体" w:hAnsi="宋体" w:cs="宋体"/>
          <w:color w:val="auto"/>
          <w:highlight w:val="none"/>
        </w:rPr>
        <w:t>3、考核</w:t>
      </w:r>
      <w:bookmarkEnd w:id="146"/>
      <w:bookmarkEnd w:id="147"/>
      <w:r>
        <w:rPr>
          <w:rFonts w:hint="eastAsia" w:ascii="宋体" w:hAnsi="宋体" w:cs="宋体"/>
          <w:color w:val="auto"/>
          <w:highlight w:val="none"/>
        </w:rPr>
        <w:t>办法</w:t>
      </w:r>
    </w:p>
    <w:p>
      <w:pPr>
        <w:adjustRightInd/>
        <w:snapToGrid/>
        <w:rPr>
          <w:rFonts w:ascii="宋体" w:hAnsi="宋体" w:cs="宋体"/>
          <w:color w:val="auto"/>
          <w:szCs w:val="21"/>
          <w:highlight w:val="none"/>
        </w:rPr>
      </w:pPr>
      <w:r>
        <w:rPr>
          <w:rFonts w:hint="eastAsia" w:ascii="宋体" w:hAnsi="宋体" w:cs="宋体"/>
          <w:color w:val="auto"/>
          <w:szCs w:val="21"/>
          <w:highlight w:val="none"/>
        </w:rPr>
        <w:t xml:space="preserve">     系统维护考核采用百分制进行考核，考核周期为季度考核、维护维护期考核。中标单位需每季度统计该季度的维护情况报表，对每部分的维护工作进行汇总，由采购单位对口管理部门进行考核评分。实行维护服务分期考核与费用支付挂钩机制,凡达不到标准要求的，均须扣减该季度维护考核得分。维护保养工作的考核由使用部门每季度按照以下考核项目逐项打分，汇总的季度考核得分与当季度结算费用挂钩,具体评分方法见下表:</w:t>
      </w:r>
    </w:p>
    <w:p>
      <w:pPr>
        <w:adjustRightInd/>
        <w:snapToGrid/>
        <w:jc w:val="center"/>
        <w:rPr>
          <w:rFonts w:ascii="宋体" w:hAnsi="宋体" w:cs="宋体"/>
          <w:b/>
          <w:color w:val="auto"/>
          <w:szCs w:val="21"/>
          <w:highlight w:val="none"/>
        </w:rPr>
      </w:pPr>
      <w:r>
        <w:rPr>
          <w:rFonts w:hint="eastAsia" w:ascii="宋体" w:hAnsi="宋体" w:cs="宋体"/>
          <w:b/>
          <w:color w:val="auto"/>
          <w:szCs w:val="21"/>
          <w:highlight w:val="none"/>
        </w:rPr>
        <w:t>巡检季度评定评分表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3"/>
        <w:gridCol w:w="2752"/>
        <w:gridCol w:w="1853"/>
        <w:gridCol w:w="3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0" w:type="auto"/>
            <w:vAlign w:val="center"/>
          </w:tcPr>
          <w:p>
            <w:pPr>
              <w:adjustRightInd/>
              <w:snapToGrid/>
              <w:spacing w:line="24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0" w:type="auto"/>
            <w:vAlign w:val="center"/>
          </w:tcPr>
          <w:p>
            <w:pPr>
              <w:adjustRightInd/>
              <w:snapToGrid/>
              <w:spacing w:line="240" w:lineRule="auto"/>
              <w:jc w:val="center"/>
              <w:rPr>
                <w:rFonts w:ascii="宋体" w:hAnsi="宋体" w:cs="宋体"/>
                <w:b/>
                <w:color w:val="auto"/>
                <w:szCs w:val="21"/>
                <w:highlight w:val="none"/>
              </w:rPr>
            </w:pPr>
            <w:r>
              <w:rPr>
                <w:rFonts w:hint="eastAsia" w:ascii="宋体" w:hAnsi="宋体" w:cs="宋体"/>
                <w:b/>
                <w:color w:val="auto"/>
                <w:szCs w:val="21"/>
                <w:highlight w:val="none"/>
              </w:rPr>
              <w:t>考核内容</w:t>
            </w:r>
          </w:p>
        </w:tc>
        <w:tc>
          <w:tcPr>
            <w:tcW w:w="0" w:type="auto"/>
            <w:vAlign w:val="center"/>
          </w:tcPr>
          <w:p>
            <w:pPr>
              <w:adjustRightInd/>
              <w:snapToGrid/>
              <w:spacing w:line="240" w:lineRule="auto"/>
              <w:jc w:val="center"/>
              <w:rPr>
                <w:rFonts w:ascii="宋体" w:hAnsi="宋体" w:cs="宋体"/>
                <w:b/>
                <w:color w:val="auto"/>
                <w:szCs w:val="21"/>
                <w:highlight w:val="none"/>
              </w:rPr>
            </w:pPr>
            <w:r>
              <w:rPr>
                <w:rFonts w:hint="eastAsia" w:ascii="宋体" w:hAnsi="宋体" w:cs="宋体"/>
                <w:b/>
                <w:color w:val="auto"/>
                <w:szCs w:val="21"/>
                <w:highlight w:val="none"/>
              </w:rPr>
              <w:t>扣分标准</w:t>
            </w:r>
          </w:p>
        </w:tc>
        <w:tc>
          <w:tcPr>
            <w:tcW w:w="0" w:type="auto"/>
            <w:vAlign w:val="center"/>
          </w:tcPr>
          <w:p>
            <w:pPr>
              <w:adjustRightInd/>
              <w:snapToGrid/>
              <w:spacing w:line="240" w:lineRule="auto"/>
              <w:jc w:val="center"/>
              <w:rPr>
                <w:rFonts w:ascii="宋体" w:hAnsi="宋体" w:cs="宋体"/>
                <w:b/>
                <w:color w:val="auto"/>
                <w:szCs w:val="21"/>
                <w:highlight w:val="none"/>
              </w:rPr>
            </w:pPr>
            <w:r>
              <w:rPr>
                <w:rFonts w:hint="eastAsia" w:ascii="宋体" w:hAnsi="宋体" w:cs="宋体"/>
                <w:b/>
                <w:color w:val="auto"/>
                <w:szCs w:val="21"/>
                <w:highlight w:val="none"/>
              </w:rPr>
              <w:t>数据来源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0" w:type="auto"/>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1</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每个月对每个设备点进行一次巡检（25分）</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每少巡检一个设备点超过1次扣1分</w:t>
            </w:r>
          </w:p>
        </w:tc>
        <w:tc>
          <w:tcPr>
            <w:tcW w:w="0" w:type="auto"/>
            <w:vAlign w:val="center"/>
          </w:tcPr>
          <w:p>
            <w:pPr>
              <w:adjustRightInd/>
              <w:snapToGrid/>
              <w:jc w:val="left"/>
              <w:rPr>
                <w:rFonts w:ascii="宋体" w:hAnsi="宋体" w:cs="宋体"/>
                <w:color w:val="auto"/>
                <w:szCs w:val="21"/>
                <w:highlight w:val="none"/>
              </w:rPr>
            </w:pPr>
            <w:r>
              <w:rPr>
                <w:rFonts w:hint="eastAsia" w:ascii="宋体" w:hAnsi="宋体" w:cs="宋体"/>
                <w:color w:val="auto"/>
                <w:szCs w:val="21"/>
                <w:highlight w:val="none"/>
              </w:rPr>
              <w:t>由中标供应商《巡查记录表》进行评定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0" w:type="auto"/>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2</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维护服务实施质量（25分）</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发现未符合超过1次扣1分</w:t>
            </w:r>
          </w:p>
        </w:tc>
        <w:tc>
          <w:tcPr>
            <w:tcW w:w="0" w:type="auto"/>
            <w:vAlign w:val="center"/>
          </w:tcPr>
          <w:p>
            <w:pPr>
              <w:adjustRightInd/>
              <w:snapToGrid/>
              <w:jc w:val="left"/>
              <w:rPr>
                <w:rFonts w:ascii="宋体" w:hAnsi="宋体" w:cs="宋体"/>
                <w:color w:val="auto"/>
                <w:szCs w:val="21"/>
                <w:highlight w:val="none"/>
              </w:rPr>
            </w:pPr>
            <w:r>
              <w:rPr>
                <w:rFonts w:hint="eastAsia" w:ascii="宋体" w:hAnsi="宋体" w:cs="宋体"/>
                <w:color w:val="auto"/>
                <w:szCs w:val="21"/>
                <w:highlight w:val="none"/>
              </w:rPr>
              <w:t>由中标供应商《维护记录表》进行评定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0" w:type="auto"/>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3</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建立设备点维修记录（10分）</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发现未符合1次扣1分</w:t>
            </w:r>
          </w:p>
        </w:tc>
        <w:tc>
          <w:tcPr>
            <w:tcW w:w="0" w:type="auto"/>
            <w:vAlign w:val="center"/>
          </w:tcPr>
          <w:p>
            <w:pPr>
              <w:adjustRightInd/>
              <w:snapToGrid/>
              <w:jc w:val="left"/>
              <w:rPr>
                <w:rFonts w:ascii="宋体" w:hAnsi="宋体" w:cs="宋体"/>
                <w:color w:val="auto"/>
                <w:szCs w:val="21"/>
                <w:highlight w:val="none"/>
              </w:rPr>
            </w:pPr>
            <w:r>
              <w:rPr>
                <w:rFonts w:hint="eastAsia" w:ascii="宋体" w:hAnsi="宋体" w:cs="宋体"/>
                <w:color w:val="auto"/>
                <w:szCs w:val="21"/>
                <w:highlight w:val="none"/>
              </w:rPr>
              <w:t>由中标供应商《维护记录表》维修记录进行评定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0" w:type="auto"/>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4</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维护期间符合相关安全措施并做好文明施工。（10分）</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发现未符合1次扣1分</w:t>
            </w:r>
          </w:p>
        </w:tc>
        <w:tc>
          <w:tcPr>
            <w:tcW w:w="0" w:type="auto"/>
            <w:vAlign w:val="center"/>
          </w:tcPr>
          <w:p>
            <w:pPr>
              <w:adjustRightInd/>
              <w:snapToGrid/>
              <w:jc w:val="left"/>
              <w:rPr>
                <w:rFonts w:ascii="宋体" w:hAnsi="宋体" w:cs="宋体"/>
                <w:color w:val="auto"/>
                <w:szCs w:val="21"/>
                <w:highlight w:val="none"/>
              </w:rPr>
            </w:pPr>
            <w:r>
              <w:rPr>
                <w:rFonts w:hint="eastAsia" w:ascii="宋体" w:hAnsi="宋体" w:cs="宋体"/>
                <w:color w:val="auto"/>
                <w:szCs w:val="21"/>
                <w:highlight w:val="none"/>
              </w:rPr>
              <w:t>由中标供应商《巡查记录表》进行评定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0" w:type="auto"/>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5</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规定时间内维护质量按原设计标准修复。（10分）</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达不到要求每次扣1分</w:t>
            </w:r>
          </w:p>
        </w:tc>
        <w:tc>
          <w:tcPr>
            <w:tcW w:w="0" w:type="auto"/>
            <w:vAlign w:val="center"/>
          </w:tcPr>
          <w:p>
            <w:pPr>
              <w:adjustRightInd/>
              <w:snapToGrid/>
              <w:jc w:val="left"/>
              <w:rPr>
                <w:rFonts w:ascii="宋体" w:hAnsi="宋体" w:cs="宋体"/>
                <w:color w:val="auto"/>
                <w:szCs w:val="21"/>
                <w:highlight w:val="none"/>
              </w:rPr>
            </w:pPr>
            <w:r>
              <w:rPr>
                <w:rFonts w:hint="eastAsia" w:ascii="宋体" w:hAnsi="宋体" w:cs="宋体"/>
                <w:color w:val="auto"/>
                <w:szCs w:val="21"/>
                <w:highlight w:val="none"/>
              </w:rPr>
              <w:t>由中标供应商《维护记录表》维修记录进行评定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0" w:type="auto"/>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6</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文书质量（5分）</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达不到要求每次扣1分</w:t>
            </w:r>
          </w:p>
        </w:tc>
        <w:tc>
          <w:tcPr>
            <w:tcW w:w="0" w:type="auto"/>
            <w:vAlign w:val="center"/>
          </w:tcPr>
          <w:p>
            <w:pPr>
              <w:adjustRightInd/>
              <w:snapToGrid/>
              <w:jc w:val="left"/>
              <w:rPr>
                <w:rFonts w:ascii="宋体" w:hAnsi="宋体" w:cs="宋体"/>
                <w:color w:val="auto"/>
                <w:szCs w:val="21"/>
                <w:highlight w:val="none"/>
              </w:rPr>
            </w:pPr>
            <w:r>
              <w:rPr>
                <w:rFonts w:hint="eastAsia" w:ascii="宋体" w:hAnsi="宋体" w:cs="宋体"/>
                <w:color w:val="auto"/>
                <w:szCs w:val="21"/>
                <w:highlight w:val="none"/>
              </w:rPr>
              <w:t>由中标供应商《维护记录表》维修记录进行评定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0" w:type="auto"/>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7</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提交报告时限（5分）</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达不到要求每次扣1分</w:t>
            </w:r>
          </w:p>
        </w:tc>
        <w:tc>
          <w:tcPr>
            <w:tcW w:w="0" w:type="auto"/>
            <w:vAlign w:val="center"/>
          </w:tcPr>
          <w:p>
            <w:pPr>
              <w:adjustRightInd/>
              <w:snapToGrid/>
              <w:jc w:val="left"/>
              <w:rPr>
                <w:rFonts w:ascii="宋体" w:hAnsi="宋体" w:cs="宋体"/>
                <w:color w:val="auto"/>
                <w:szCs w:val="21"/>
                <w:highlight w:val="none"/>
              </w:rPr>
            </w:pPr>
            <w:r>
              <w:rPr>
                <w:rFonts w:hint="eastAsia" w:ascii="宋体" w:hAnsi="宋体" w:cs="宋体"/>
                <w:color w:val="auto"/>
                <w:szCs w:val="21"/>
                <w:highlight w:val="none"/>
              </w:rPr>
              <w:t>由中标供应商《维护记录表》维修记录进行评定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0" w:type="auto"/>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8</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没有客户有理投诉（10分）</w:t>
            </w:r>
          </w:p>
        </w:tc>
        <w:tc>
          <w:tcPr>
            <w:tcW w:w="0" w:type="auto"/>
            <w:vAlign w:val="center"/>
          </w:tcPr>
          <w:p>
            <w:pPr>
              <w:adjustRightInd/>
              <w:snapToGrid/>
              <w:rPr>
                <w:rFonts w:ascii="宋体" w:hAnsi="宋体" w:cs="宋体"/>
                <w:color w:val="auto"/>
                <w:szCs w:val="21"/>
                <w:highlight w:val="none"/>
              </w:rPr>
            </w:pPr>
            <w:r>
              <w:rPr>
                <w:rFonts w:hint="eastAsia" w:ascii="宋体" w:hAnsi="宋体" w:cs="宋体"/>
                <w:color w:val="auto"/>
                <w:szCs w:val="21"/>
                <w:highlight w:val="none"/>
              </w:rPr>
              <w:t>达不到要求每次扣1分</w:t>
            </w:r>
          </w:p>
        </w:tc>
        <w:tc>
          <w:tcPr>
            <w:tcW w:w="0" w:type="auto"/>
            <w:vAlign w:val="center"/>
          </w:tcPr>
          <w:p>
            <w:pPr>
              <w:adjustRightInd/>
              <w:snapToGrid/>
              <w:jc w:val="left"/>
              <w:rPr>
                <w:rFonts w:ascii="宋体" w:hAnsi="宋体" w:cs="宋体"/>
                <w:color w:val="auto"/>
                <w:szCs w:val="21"/>
                <w:highlight w:val="none"/>
              </w:rPr>
            </w:pPr>
            <w:r>
              <w:rPr>
                <w:rFonts w:hint="eastAsia" w:ascii="宋体" w:hAnsi="宋体" w:cs="宋体"/>
                <w:color w:val="auto"/>
                <w:szCs w:val="21"/>
                <w:highlight w:val="none"/>
              </w:rPr>
              <w:t>客户确认的现场服务单、客服中心回访记录及客户确认的客户走访记录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总分</w:t>
            </w:r>
          </w:p>
        </w:tc>
        <w:tc>
          <w:tcPr>
            <w:tcW w:w="0" w:type="auto"/>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100分</w:t>
            </w:r>
          </w:p>
        </w:tc>
        <w:tc>
          <w:tcPr>
            <w:tcW w:w="0" w:type="auto"/>
            <w:vAlign w:val="center"/>
          </w:tcPr>
          <w:p>
            <w:pPr>
              <w:adjustRightInd/>
              <w:snapToGrid/>
              <w:jc w:val="center"/>
              <w:rPr>
                <w:rFonts w:ascii="宋体" w:hAnsi="宋体" w:cs="宋体"/>
                <w:color w:val="auto"/>
                <w:szCs w:val="21"/>
                <w:highlight w:val="none"/>
              </w:rPr>
            </w:pPr>
          </w:p>
        </w:tc>
        <w:tc>
          <w:tcPr>
            <w:tcW w:w="0" w:type="auto"/>
            <w:vAlign w:val="center"/>
          </w:tcPr>
          <w:p>
            <w:pPr>
              <w:adjustRightInd/>
              <w:snapToGrid/>
              <w:jc w:val="center"/>
              <w:rPr>
                <w:rFonts w:ascii="宋体" w:hAnsi="宋体" w:cs="宋体"/>
                <w:color w:val="auto"/>
                <w:szCs w:val="21"/>
                <w:highlight w:val="none"/>
              </w:rPr>
            </w:pPr>
          </w:p>
        </w:tc>
      </w:tr>
    </w:tbl>
    <w:p>
      <w:pPr>
        <w:spacing w:line="360" w:lineRule="auto"/>
        <w:ind w:firstLine="420" w:firstLineChars="200"/>
        <w:rPr>
          <w:rFonts w:ascii="宋体" w:hAnsi="宋体" w:cs="Times New Roman"/>
          <w:color w:val="auto"/>
          <w:szCs w:val="21"/>
          <w:highlight w:val="none"/>
        </w:rPr>
      </w:pPr>
      <w:r>
        <w:rPr>
          <w:rFonts w:hint="eastAsia" w:ascii="宋体" w:eastAsia="宋体" w:cs="宋体"/>
          <w:color w:val="auto"/>
          <w:sz w:val="21"/>
          <w:szCs w:val="21"/>
          <w:highlight w:val="none"/>
        </w:rPr>
        <w:t>说明：评分采用百分制， 100-95分为好达标，不扣款；90分以上至95分（不包括95分）的，扣1500元；80分以上至90分（不包括90分）的，扣2000元； 70分以上至80分（不包括80分）的，扣2500元；60分以上至70分（不包括70分）的，扣3000元；60分以下为差，取消上季度支付，考核分值连续3个月低于75分，采购人有权终止中标供应商资格，由此引起的损失责任由中标供应商负责。</w:t>
      </w:r>
    </w:p>
    <w:p>
      <w:pPr>
        <w:autoSpaceDE w:val="0"/>
        <w:autoSpaceDN w:val="0"/>
        <w:spacing w:line="360" w:lineRule="auto"/>
        <w:ind w:right="565" w:rightChars="269"/>
        <w:rPr>
          <w:rFonts w:ascii="宋体" w:hAnsi="宋体" w:cs="宋体"/>
          <w:b/>
          <w:bCs/>
          <w:color w:val="auto"/>
          <w:kern w:val="0"/>
          <w:szCs w:val="21"/>
          <w:highlight w:val="none"/>
          <w:lang w:val="zh-CN" w:bidi="zh-CN"/>
        </w:rPr>
      </w:pPr>
    </w:p>
    <w:p>
      <w:pPr>
        <w:autoSpaceDE w:val="0"/>
        <w:autoSpaceDN w:val="0"/>
        <w:spacing w:line="360" w:lineRule="auto"/>
        <w:ind w:right="565" w:rightChars="269"/>
        <w:rPr>
          <w:rFonts w:ascii="宋体" w:hAnsi="宋体" w:cs="宋体"/>
          <w:b/>
          <w:bCs/>
          <w:color w:val="auto"/>
          <w:kern w:val="0"/>
          <w:szCs w:val="21"/>
          <w:highlight w:val="none"/>
          <w:lang w:val="zh-CN" w:bidi="zh-CN"/>
        </w:rPr>
      </w:pPr>
    </w:p>
    <w:p>
      <w:pPr>
        <w:autoSpaceDE w:val="0"/>
        <w:autoSpaceDN w:val="0"/>
        <w:spacing w:line="360" w:lineRule="auto"/>
        <w:ind w:right="565" w:rightChars="269"/>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2"/>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br w:type="page"/>
      </w:r>
    </w:p>
    <w:p>
      <w:pPr>
        <w:pStyle w:val="3"/>
        <w:numPr>
          <w:ilvl w:val="0"/>
          <w:numId w:val="1"/>
        </w:numPr>
        <w:rPr>
          <w:color w:val="auto"/>
          <w:highlight w:val="none"/>
        </w:rPr>
      </w:pPr>
      <w:bookmarkStart w:id="148" w:name="_Toc28584"/>
      <w:r>
        <w:rPr>
          <w:rFonts w:hint="eastAsia"/>
          <w:color w:val="auto"/>
          <w:highlight w:val="none"/>
        </w:rPr>
        <w:t>详细评审</w:t>
      </w:r>
      <w:bookmarkEnd w:id="148"/>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762"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商务评审（26分）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vMerge w:val="restart"/>
            <w:tcBorders>
              <w:top w:val="single" w:color="auto" w:sz="4" w:space="0"/>
              <w:left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vMerge w:val="restart"/>
            <w:tcBorders>
              <w:top w:val="single" w:color="auto" w:sz="4" w:space="0"/>
              <w:left w:val="single" w:color="auto" w:sz="4" w:space="0"/>
              <w:right w:val="single" w:color="auto" w:sz="4" w:space="0"/>
            </w:tcBorders>
            <w:vAlign w:val="center"/>
          </w:tcPr>
          <w:p>
            <w:pPr>
              <w:spacing w:before="36" w:beforeLines="10" w:after="30" w:line="440" w:lineRule="exact"/>
              <w:jc w:val="center"/>
              <w:rPr>
                <w:rFonts w:ascii="宋体" w:cs="宋体"/>
                <w:color w:val="auto"/>
                <w:szCs w:val="21"/>
                <w:highlight w:val="none"/>
              </w:rPr>
            </w:pPr>
            <w:r>
              <w:rPr>
                <w:rFonts w:hint="eastAsia" w:ascii="宋体" w:hAnsi="宋体" w:cs="宋体"/>
                <w:bCs/>
                <w:color w:val="auto"/>
                <w:kern w:val="2"/>
                <w:szCs w:val="21"/>
                <w:highlight w:val="none"/>
                <w:lang w:val="zh-CN"/>
              </w:rPr>
              <w:t>投标人实力</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6" w:beforeLines="10" w:after="30" w:line="440" w:lineRule="exact"/>
              <w:jc w:val="center"/>
              <w:rPr>
                <w:rFonts w:hint="eastAsia" w:ascii="宋体" w:eastAsia="宋体" w:cs="宋体"/>
                <w:color w:val="auto"/>
                <w:szCs w:val="21"/>
                <w:highlight w:val="none"/>
                <w:lang w:eastAsia="zh-CN"/>
              </w:rPr>
            </w:pPr>
            <w:r>
              <w:rPr>
                <w:rFonts w:hint="eastAsia" w:ascii="宋体" w:hAnsi="宋体" w:cs="宋体"/>
                <w:color w:val="auto"/>
                <w:kern w:val="2"/>
                <w:szCs w:val="21"/>
                <w:highlight w:val="none"/>
                <w:lang w:val="en-US" w:eastAsia="zh-CN"/>
              </w:rPr>
              <w:t>4</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投标人（含其上级分公司及总公司）具有由国家认证认可监督管理部门批准设立的认证机构颁发并在有效期内的信息技术（IT）服务管理体系认证</w:t>
            </w:r>
            <w:r>
              <w:rPr>
                <w:rFonts w:hint="eastAsia" w:ascii="宋体" w:eastAsia="宋体" w:cs="宋体"/>
                <w:bCs/>
                <w:color w:val="auto"/>
                <w:sz w:val="21"/>
                <w:szCs w:val="21"/>
                <w:highlight w:val="none"/>
              </w:rPr>
              <w:t>证书、信息安全管理体系认证证书</w:t>
            </w:r>
            <w:r>
              <w:rPr>
                <w:rFonts w:hint="eastAsia" w:ascii="宋体" w:eastAsia="宋体" w:cs="宋体"/>
                <w:bCs/>
                <w:color w:val="auto"/>
                <w:sz w:val="21"/>
                <w:szCs w:val="21"/>
                <w:highlight w:val="none"/>
                <w:lang w:val="zh-CN"/>
              </w:rPr>
              <w:t>，每提供一个得2分，最高得</w:t>
            </w:r>
            <w:r>
              <w:rPr>
                <w:rFonts w:hint="eastAsia" w:ascii="宋体" w:eastAsia="宋体" w:cs="宋体"/>
                <w:bCs/>
                <w:color w:val="auto"/>
                <w:sz w:val="21"/>
                <w:szCs w:val="21"/>
                <w:highlight w:val="none"/>
                <w:lang w:val="en-US" w:eastAsia="zh-CN"/>
              </w:rPr>
              <w:t>4</w:t>
            </w:r>
            <w:r>
              <w:rPr>
                <w:rFonts w:hint="eastAsia" w:ascii="宋体" w:eastAsia="宋体" w:cs="宋体"/>
                <w:bCs/>
                <w:color w:val="auto"/>
                <w:sz w:val="21"/>
                <w:szCs w:val="21"/>
                <w:highlight w:val="none"/>
                <w:lang w:val="zh-CN"/>
              </w:rPr>
              <w:t>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注：须提供有效证书复印件及网上查询截图加盖投标人公章，</w:t>
            </w:r>
            <w:r>
              <w:rPr>
                <w:rFonts w:hint="eastAsia" w:ascii="宋体" w:eastAsia="宋体" w:cs="宋体"/>
                <w:bCs/>
                <w:color w:val="auto"/>
                <w:sz w:val="21"/>
                <w:szCs w:val="21"/>
                <w:highlight w:val="none"/>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vMerge w:val="continue"/>
            <w:tcBorders>
              <w:left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p>
        </w:tc>
        <w:tc>
          <w:tcPr>
            <w:tcW w:w="1607" w:type="dxa"/>
            <w:vMerge w:val="continue"/>
            <w:tcBorders>
              <w:left w:val="single" w:color="auto" w:sz="4" w:space="0"/>
              <w:right w:val="single" w:color="auto" w:sz="4" w:space="0"/>
            </w:tcBorders>
            <w:vAlign w:val="center"/>
          </w:tcPr>
          <w:p>
            <w:pPr>
              <w:spacing w:before="36" w:beforeLines="10" w:after="30" w:line="440" w:lineRule="exact"/>
              <w:jc w:val="center"/>
              <w:rPr>
                <w:rFonts w:ascii="宋体" w:hAnsi="宋体" w:cs="宋体"/>
                <w:bCs/>
                <w:color w:val="auto"/>
                <w:kern w:val="2"/>
                <w:szCs w:val="21"/>
                <w:highlight w:val="none"/>
                <w:lang w:val="zh-CN"/>
              </w:rPr>
            </w:pPr>
          </w:p>
        </w:tc>
        <w:tc>
          <w:tcPr>
            <w:tcW w:w="762" w:type="dxa"/>
            <w:tcBorders>
              <w:top w:val="single" w:color="auto" w:sz="4" w:space="0"/>
              <w:left w:val="single" w:color="auto" w:sz="4" w:space="0"/>
              <w:bottom w:val="single" w:color="auto" w:sz="4" w:space="0"/>
              <w:right w:val="single" w:color="auto" w:sz="4" w:space="0"/>
            </w:tcBorders>
            <w:vAlign w:val="center"/>
          </w:tcPr>
          <w:p>
            <w:pPr>
              <w:spacing w:before="36" w:beforeLines="10" w:after="30" w:line="44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投标人（含其上级分公司及总公司）具有由国家认监委批准设立的认证机构颁发并在有效期内的质量管理体系认证、环境管理体系认证、职业健康安全管理体系认证，每个得1分，最高得3分。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注：须提供有效证书复印件并加盖投标人公章，</w:t>
            </w:r>
            <w:r>
              <w:rPr>
                <w:rFonts w:hint="eastAsia" w:ascii="宋体" w:eastAsia="宋体" w:cs="宋体"/>
                <w:bCs/>
                <w:color w:val="auto"/>
                <w:sz w:val="21"/>
                <w:szCs w:val="21"/>
                <w:highlight w:val="none"/>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0" w:type="dxa"/>
            <w:tcBorders>
              <w:left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7" w:type="dxa"/>
            <w:tcBorders>
              <w:left w:val="single" w:color="auto" w:sz="4" w:space="0"/>
              <w:right w:val="single" w:color="auto" w:sz="4" w:space="0"/>
            </w:tcBorders>
            <w:vAlign w:val="center"/>
          </w:tcPr>
          <w:p>
            <w:pPr>
              <w:spacing w:before="36" w:beforeLines="10" w:after="30" w:line="44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业绩情况</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6" w:beforeLines="10" w:after="30" w:line="440" w:lineRule="exact"/>
              <w:jc w:val="center"/>
              <w:rPr>
                <w:rFonts w:hint="eastAsia" w:ascii="宋体" w:hAnsi="宋体" w:eastAsia="宋体" w:cs="宋体"/>
                <w:color w:val="auto"/>
                <w:kern w:val="2"/>
                <w:szCs w:val="21"/>
                <w:highlight w:val="none"/>
                <w:lang w:eastAsia="zh-CN"/>
              </w:rPr>
            </w:pPr>
            <w:r>
              <w:rPr>
                <w:rFonts w:ascii="宋体" w:hAnsi="宋体" w:cs="宋体"/>
                <w:color w:val="auto"/>
                <w:kern w:val="2"/>
                <w:szCs w:val="21"/>
                <w:highlight w:val="none"/>
              </w:rPr>
              <w:t>1</w:t>
            </w:r>
            <w:r>
              <w:rPr>
                <w:rFonts w:hint="eastAsia" w:ascii="宋体" w:hAnsi="宋体" w:cs="宋体"/>
                <w:color w:val="auto"/>
                <w:kern w:val="2"/>
                <w:szCs w:val="21"/>
                <w:highlight w:val="none"/>
                <w:lang w:val="en-US" w:eastAsia="zh-CN"/>
              </w:rPr>
              <w:t>6</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根据投标人（含其上级分公司及总公司）</w:t>
            </w:r>
            <w:r>
              <w:rPr>
                <w:rFonts w:hint="eastAsia" w:ascii="宋体" w:eastAsia="宋体" w:cs="宋体"/>
                <w:bCs/>
                <w:color w:val="auto"/>
                <w:sz w:val="21"/>
                <w:szCs w:val="21"/>
                <w:highlight w:val="none"/>
                <w:lang w:val="en-US" w:eastAsia="zh-CN"/>
              </w:rPr>
              <w:t>自2020年1月1日以来</w:t>
            </w:r>
            <w:r>
              <w:rPr>
                <w:rFonts w:hint="eastAsia" w:ascii="宋体" w:eastAsia="宋体" w:cs="宋体"/>
                <w:bCs/>
                <w:color w:val="auto"/>
                <w:sz w:val="21"/>
                <w:szCs w:val="21"/>
                <w:highlight w:val="none"/>
                <w:lang w:val="zh-CN"/>
              </w:rPr>
              <w:t>具有交通信号灯、电子警察、监控类建设或维护类项目业绩的，每提供一个得1分，最高得1</w:t>
            </w:r>
            <w:r>
              <w:rPr>
                <w:rFonts w:hint="eastAsia" w:ascii="宋体" w:eastAsia="宋体" w:cs="宋体"/>
                <w:bCs/>
                <w:color w:val="auto"/>
                <w:sz w:val="21"/>
                <w:szCs w:val="21"/>
                <w:highlight w:val="none"/>
                <w:lang w:val="en-US" w:eastAsia="zh-CN"/>
              </w:rPr>
              <w:t>6</w:t>
            </w:r>
            <w:r>
              <w:rPr>
                <w:rFonts w:hint="eastAsia" w:ascii="宋体" w:eastAsia="宋体" w:cs="宋体"/>
                <w:bCs/>
                <w:color w:val="auto"/>
                <w:sz w:val="21"/>
                <w:szCs w:val="21"/>
                <w:highlight w:val="none"/>
                <w:lang w:val="zh-CN"/>
              </w:rPr>
              <w:t>分。</w:t>
            </w:r>
          </w:p>
          <w:p>
            <w:pPr>
              <w:pStyle w:val="22"/>
              <w:spacing w:line="360" w:lineRule="auto"/>
              <w:ind w:firstLine="420" w:firstLineChars="200"/>
              <w:rPr>
                <w:rFonts w:ascii="宋体" w:eastAsia="宋体" w:cs="宋体"/>
                <w:bCs/>
                <w:color w:val="auto"/>
                <w:sz w:val="21"/>
                <w:szCs w:val="21"/>
                <w:highlight w:val="none"/>
                <w:lang w:val="pt-BR"/>
              </w:rPr>
            </w:pPr>
            <w:r>
              <w:rPr>
                <w:rFonts w:hint="eastAsia" w:ascii="宋体" w:eastAsia="宋体" w:cs="宋体"/>
                <w:bCs/>
                <w:color w:val="auto"/>
                <w:sz w:val="21"/>
                <w:szCs w:val="21"/>
                <w:highlight w:val="none"/>
                <w:lang w:val="zh-CN"/>
              </w:rPr>
              <w:t>须提供中标（成交）通知书</w:t>
            </w:r>
            <w:r>
              <w:rPr>
                <w:rFonts w:hint="eastAsia" w:ascii="宋体" w:eastAsia="宋体" w:cs="宋体"/>
                <w:bCs/>
                <w:color w:val="auto"/>
                <w:sz w:val="21"/>
                <w:szCs w:val="21"/>
                <w:highlight w:val="none"/>
                <w:lang w:val="en-US" w:eastAsia="zh-CN"/>
              </w:rPr>
              <w:t>及</w:t>
            </w:r>
            <w:r>
              <w:rPr>
                <w:rFonts w:hint="eastAsia" w:ascii="宋体" w:eastAsia="宋体" w:cs="宋体"/>
                <w:bCs/>
                <w:color w:val="auto"/>
                <w:sz w:val="21"/>
                <w:szCs w:val="21"/>
                <w:highlight w:val="none"/>
                <w:lang w:val="zh-CN"/>
              </w:rPr>
              <w:t>合同</w:t>
            </w:r>
            <w:r>
              <w:rPr>
                <w:rFonts w:hint="eastAsia" w:ascii="宋体" w:eastAsia="宋体" w:cs="宋体"/>
                <w:bCs/>
                <w:color w:val="auto"/>
                <w:sz w:val="21"/>
                <w:szCs w:val="21"/>
                <w:highlight w:val="none"/>
                <w:lang w:val="en-US" w:eastAsia="zh-CN"/>
              </w:rPr>
              <w:t>复印件</w:t>
            </w:r>
            <w:r>
              <w:rPr>
                <w:rFonts w:hint="eastAsia" w:ascii="宋体" w:eastAsia="宋体" w:cs="宋体"/>
                <w:bCs/>
                <w:color w:val="auto"/>
                <w:sz w:val="21"/>
                <w:szCs w:val="21"/>
                <w:highlight w:val="none"/>
                <w:lang w:val="zh-CN"/>
              </w:rPr>
              <w:t>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607" w:type="dxa"/>
            <w:tcBorders>
              <w:top w:val="single" w:color="auto" w:sz="4" w:space="0"/>
              <w:left w:val="single" w:color="auto" w:sz="4" w:space="0"/>
              <w:bottom w:val="single" w:color="auto" w:sz="4" w:space="0"/>
              <w:right w:val="single" w:color="auto" w:sz="4" w:space="0"/>
            </w:tcBorders>
            <w:vAlign w:val="center"/>
          </w:tcPr>
          <w:p>
            <w:pPr>
              <w:spacing w:before="36" w:beforeLines="10" w:after="30" w:line="44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服务便利性</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6" w:beforeLines="10" w:after="30" w:line="44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根据投标人提供的服务响应时间承诺进行评分：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1、投标人承诺在接到采购人通知后1小时内（不含）到指定地点的，得3分；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2、投标人承诺在接到采购人通知后2小时内（不含）到指定地点的，得2分；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3、投标人承诺在接到采购人通知后</w:t>
            </w:r>
            <w:r>
              <w:rPr>
                <w:rFonts w:hint="eastAsia" w:ascii="宋体" w:eastAsia="宋体" w:cs="宋体"/>
                <w:bCs/>
                <w:color w:val="auto"/>
                <w:sz w:val="21"/>
                <w:szCs w:val="21"/>
                <w:highlight w:val="none"/>
              </w:rPr>
              <w:t>3</w:t>
            </w:r>
            <w:r>
              <w:rPr>
                <w:rFonts w:hint="eastAsia" w:ascii="宋体" w:eastAsia="宋体" w:cs="宋体"/>
                <w:bCs/>
                <w:color w:val="auto"/>
                <w:sz w:val="21"/>
                <w:szCs w:val="21"/>
                <w:highlight w:val="none"/>
                <w:lang w:val="zh-CN"/>
              </w:rPr>
              <w:t>小时内（不含）到指定地点的，得1分；</w:t>
            </w:r>
            <w:r>
              <w:rPr>
                <w:rFonts w:hint="eastAsia" w:ascii="宋体" w:eastAsia="宋体" w:cs="宋体"/>
                <w:bCs/>
                <w:color w:val="auto"/>
                <w:sz w:val="21"/>
                <w:szCs w:val="21"/>
                <w:highlight w:val="none"/>
              </w:rPr>
              <w:t xml:space="preserve">    </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4</w:t>
            </w:r>
            <w:r>
              <w:rPr>
                <w:rFonts w:hint="eastAsia" w:ascii="宋体" w:eastAsia="宋体" w:cs="宋体"/>
                <w:bCs/>
                <w:color w:val="auto"/>
                <w:sz w:val="21"/>
                <w:szCs w:val="21"/>
                <w:highlight w:val="none"/>
                <w:lang w:val="zh-CN"/>
              </w:rPr>
              <w:t>、投标人</w:t>
            </w:r>
            <w:r>
              <w:rPr>
                <w:rFonts w:hint="eastAsia" w:ascii="宋体" w:eastAsia="宋体" w:cs="宋体"/>
                <w:bCs/>
                <w:color w:val="auto"/>
                <w:sz w:val="21"/>
                <w:szCs w:val="21"/>
                <w:highlight w:val="none"/>
              </w:rPr>
              <w:t>未提供承诺或</w:t>
            </w:r>
            <w:r>
              <w:rPr>
                <w:rFonts w:hint="eastAsia" w:ascii="宋体" w:eastAsia="宋体" w:cs="宋体"/>
                <w:bCs/>
                <w:color w:val="auto"/>
                <w:sz w:val="21"/>
                <w:szCs w:val="21"/>
                <w:highlight w:val="none"/>
                <w:lang w:val="zh-CN"/>
              </w:rPr>
              <w:t>承诺在接到采购人通知后</w:t>
            </w:r>
            <w:r>
              <w:rPr>
                <w:rFonts w:hint="eastAsia" w:ascii="宋体" w:eastAsia="宋体" w:cs="宋体"/>
                <w:bCs/>
                <w:color w:val="auto"/>
                <w:sz w:val="21"/>
                <w:szCs w:val="21"/>
                <w:highlight w:val="none"/>
              </w:rPr>
              <w:t>超过3</w:t>
            </w:r>
            <w:r>
              <w:rPr>
                <w:rFonts w:hint="eastAsia" w:ascii="宋体" w:eastAsia="宋体" w:cs="宋体"/>
                <w:bCs/>
                <w:color w:val="auto"/>
                <w:sz w:val="21"/>
                <w:szCs w:val="21"/>
                <w:highlight w:val="none"/>
                <w:lang w:val="zh-CN"/>
              </w:rPr>
              <w:t>小时（</w:t>
            </w:r>
            <w:r>
              <w:rPr>
                <w:rFonts w:hint="eastAsia" w:ascii="宋体" w:eastAsia="宋体" w:cs="宋体"/>
                <w:bCs/>
                <w:color w:val="auto"/>
                <w:sz w:val="21"/>
                <w:szCs w:val="21"/>
                <w:highlight w:val="none"/>
              </w:rPr>
              <w:t>含</w:t>
            </w:r>
            <w:r>
              <w:rPr>
                <w:rFonts w:hint="eastAsia" w:ascii="宋体" w:eastAsia="宋体" w:cs="宋体"/>
                <w:bCs/>
                <w:color w:val="auto"/>
                <w:sz w:val="21"/>
                <w:szCs w:val="21"/>
                <w:highlight w:val="none"/>
                <w:lang w:val="zh-CN"/>
              </w:rPr>
              <w:t>）到指定地点的，不得分。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注：</w:t>
            </w:r>
            <w:r>
              <w:rPr>
                <w:rFonts w:hint="eastAsia" w:ascii="宋体" w:eastAsia="宋体" w:cs="宋体"/>
                <w:bCs/>
                <w:color w:val="auto"/>
                <w:sz w:val="21"/>
                <w:szCs w:val="21"/>
                <w:highlight w:val="none"/>
                <w:lang w:val="zh-CN"/>
              </w:rPr>
              <w:t>须在提供单独的服务响应承诺书并加盖投标人公章，</w:t>
            </w:r>
            <w:r>
              <w:rPr>
                <w:rFonts w:hint="eastAsia" w:ascii="宋体" w:eastAsia="宋体" w:cs="宋体"/>
                <w:bCs/>
                <w:color w:val="auto"/>
                <w:sz w:val="21"/>
                <w:szCs w:val="21"/>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技术评审（54分）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bottom w:val="single" w:color="auto" w:sz="4" w:space="0"/>
              <w:right w:val="single" w:color="auto" w:sz="4" w:space="0"/>
            </w:tcBorders>
            <w:vAlign w:val="center"/>
          </w:tcPr>
          <w:p>
            <w:pPr>
              <w:spacing w:before="36" w:beforeLines="10" w:after="30" w:line="44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对本项目的理解</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6" w:beforeLines="10" w:after="30" w:line="44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12</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根据投</w:t>
            </w:r>
            <w:r>
              <w:rPr>
                <w:rFonts w:hint="eastAsia" w:ascii="宋体" w:eastAsia="宋体" w:cs="宋体"/>
                <w:bCs/>
                <w:color w:val="auto"/>
                <w:sz w:val="21"/>
                <w:szCs w:val="21"/>
                <w:highlight w:val="none"/>
                <w:lang w:val="zh-CN"/>
              </w:rPr>
              <w:t>标人对本项目的理解（施工内容、实施现场、路面现状情况等理解熟悉情况）进行综合评审：</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1</w:t>
            </w:r>
            <w:r>
              <w:rPr>
                <w:rFonts w:hint="eastAsia" w:ascii="宋体" w:eastAsia="宋体" w:cs="宋体"/>
                <w:bCs/>
                <w:color w:val="auto"/>
                <w:sz w:val="21"/>
                <w:szCs w:val="21"/>
                <w:highlight w:val="none"/>
                <w:lang w:val="zh-CN"/>
              </w:rPr>
              <w:t>)项目施工内容理解透彻，对实施现场、路面情况非常熟悉，有利于项目实施，得</w:t>
            </w:r>
            <w:r>
              <w:rPr>
                <w:rFonts w:hint="eastAsia" w:ascii="宋体" w:eastAsia="宋体" w:cs="宋体"/>
                <w:bCs/>
                <w:color w:val="auto"/>
                <w:sz w:val="21"/>
                <w:szCs w:val="21"/>
                <w:highlight w:val="none"/>
              </w:rPr>
              <w:t>12</w:t>
            </w:r>
            <w:r>
              <w:rPr>
                <w:rFonts w:hint="eastAsia" w:ascii="宋体" w:eastAsia="宋体" w:cs="宋体"/>
                <w:bCs/>
                <w:color w:val="auto"/>
                <w:sz w:val="21"/>
                <w:szCs w:val="21"/>
                <w:highlight w:val="none"/>
                <w:lang w:val="zh-CN"/>
              </w:rPr>
              <w:t>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2</w:t>
            </w:r>
            <w:r>
              <w:rPr>
                <w:rFonts w:hint="eastAsia" w:ascii="宋体" w:eastAsia="宋体" w:cs="宋体"/>
                <w:bCs/>
                <w:color w:val="auto"/>
                <w:sz w:val="21"/>
                <w:szCs w:val="21"/>
                <w:highlight w:val="none"/>
                <w:lang w:val="zh-CN"/>
              </w:rPr>
              <w:t>)项目施工内容理解清晰，对实施现场、路面情况熟悉，基本符合项目要求，得</w:t>
            </w:r>
            <w:r>
              <w:rPr>
                <w:rFonts w:hint="eastAsia" w:ascii="宋体" w:eastAsia="宋体" w:cs="宋体"/>
                <w:bCs/>
                <w:color w:val="auto"/>
                <w:sz w:val="21"/>
                <w:szCs w:val="21"/>
                <w:highlight w:val="none"/>
              </w:rPr>
              <w:t>8</w:t>
            </w:r>
            <w:r>
              <w:rPr>
                <w:rFonts w:hint="eastAsia" w:ascii="宋体" w:eastAsia="宋体" w:cs="宋体"/>
                <w:bCs/>
                <w:color w:val="auto"/>
                <w:sz w:val="21"/>
                <w:szCs w:val="21"/>
                <w:highlight w:val="none"/>
                <w:lang w:val="zh-CN"/>
              </w:rPr>
              <w:t>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3</w:t>
            </w:r>
            <w:r>
              <w:rPr>
                <w:rFonts w:hint="eastAsia" w:ascii="宋体" w:eastAsia="宋体" w:cs="宋体"/>
                <w:bCs/>
                <w:color w:val="auto"/>
                <w:sz w:val="21"/>
                <w:szCs w:val="21"/>
                <w:highlight w:val="none"/>
                <w:lang w:val="zh-CN"/>
              </w:rPr>
              <w:t>)对本项目施工内容理解薄弱，对实施现场、路面情况不完全熟悉，较难顺利完成本项目要求，得</w:t>
            </w:r>
            <w:r>
              <w:rPr>
                <w:rFonts w:hint="eastAsia" w:ascii="宋体" w:eastAsia="宋体" w:cs="宋体"/>
                <w:bCs/>
                <w:color w:val="auto"/>
                <w:sz w:val="21"/>
                <w:szCs w:val="21"/>
                <w:highlight w:val="none"/>
              </w:rPr>
              <w:t>4</w:t>
            </w:r>
            <w:r>
              <w:rPr>
                <w:rFonts w:hint="eastAsia" w:ascii="宋体" w:eastAsia="宋体" w:cs="宋体"/>
                <w:bCs/>
                <w:color w:val="auto"/>
                <w:sz w:val="21"/>
                <w:szCs w:val="21"/>
                <w:highlight w:val="none"/>
                <w:lang w:val="zh-CN"/>
              </w:rPr>
              <w:t>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4</w:t>
            </w:r>
            <w:r>
              <w:rPr>
                <w:rFonts w:hint="eastAsia" w:ascii="宋体" w:eastAsia="宋体" w:cs="宋体"/>
                <w:bCs/>
                <w:color w:val="auto"/>
                <w:sz w:val="21"/>
                <w:szCs w:val="21"/>
                <w:highlight w:val="none"/>
                <w:lang w:val="zh-CN"/>
              </w:rPr>
              <w:t>)对本项目施工内容理解</w:t>
            </w:r>
            <w:r>
              <w:rPr>
                <w:rFonts w:hint="eastAsia" w:ascii="宋体" w:eastAsia="宋体" w:cs="宋体"/>
                <w:bCs/>
                <w:color w:val="auto"/>
                <w:sz w:val="21"/>
                <w:szCs w:val="21"/>
                <w:highlight w:val="none"/>
              </w:rPr>
              <w:t>不清晰</w:t>
            </w:r>
            <w:r>
              <w:rPr>
                <w:rFonts w:hint="eastAsia" w:ascii="宋体" w:eastAsia="宋体" w:cs="宋体"/>
                <w:bCs/>
                <w:color w:val="auto"/>
                <w:sz w:val="21"/>
                <w:szCs w:val="21"/>
                <w:highlight w:val="none"/>
                <w:lang w:val="zh-CN"/>
              </w:rPr>
              <w:t>，对实施现场、路面情况不熟悉，</w:t>
            </w:r>
            <w:r>
              <w:rPr>
                <w:rFonts w:hint="eastAsia" w:ascii="宋体" w:eastAsia="宋体" w:cs="宋体"/>
                <w:bCs/>
                <w:color w:val="auto"/>
                <w:sz w:val="21"/>
                <w:szCs w:val="21"/>
                <w:highlight w:val="none"/>
              </w:rPr>
              <w:t>不能</w:t>
            </w:r>
            <w:r>
              <w:rPr>
                <w:rFonts w:hint="eastAsia" w:ascii="宋体" w:eastAsia="宋体" w:cs="宋体"/>
                <w:bCs/>
                <w:color w:val="auto"/>
                <w:sz w:val="21"/>
                <w:szCs w:val="21"/>
                <w:highlight w:val="none"/>
                <w:lang w:val="zh-CN"/>
              </w:rPr>
              <w:t>顺利完成本项目要求，得1分；</w:t>
            </w:r>
          </w:p>
          <w:p>
            <w:pPr>
              <w:pStyle w:val="22"/>
              <w:spacing w:line="360" w:lineRule="auto"/>
              <w:ind w:firstLine="420" w:firstLineChars="200"/>
              <w:rPr>
                <w:rFonts w:ascii="宋体" w:eastAsia="宋体" w:cs="宋体"/>
                <w:color w:val="auto"/>
                <w:sz w:val="21"/>
                <w:szCs w:val="21"/>
                <w:highlight w:val="none"/>
              </w:rPr>
            </w:pPr>
            <w:r>
              <w:rPr>
                <w:rFonts w:hint="eastAsia" w:ascii="宋体" w:eastAsia="宋体" w:cs="宋体"/>
                <w:bCs/>
                <w:color w:val="auto"/>
                <w:sz w:val="21"/>
                <w:szCs w:val="21"/>
                <w:highlight w:val="none"/>
              </w:rPr>
              <w:t>5</w:t>
            </w:r>
            <w:r>
              <w:rPr>
                <w:rFonts w:hint="eastAsia" w:ascii="宋体" w:eastAsia="宋体" w:cs="宋体"/>
                <w:bCs/>
                <w:color w:val="auto"/>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7" w:type="dxa"/>
            <w:tcBorders>
              <w:top w:val="single" w:color="auto" w:sz="4" w:space="0"/>
              <w:left w:val="single" w:color="auto" w:sz="4" w:space="0"/>
              <w:bottom w:val="single" w:color="auto" w:sz="4" w:space="0"/>
              <w:right w:val="single" w:color="auto" w:sz="4" w:space="0"/>
            </w:tcBorders>
            <w:vAlign w:val="center"/>
          </w:tcPr>
          <w:p>
            <w:pPr>
              <w:spacing w:before="36" w:beforeLines="10" w:after="30" w:line="44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维护方案</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6" w:beforeLines="10" w:after="30" w:line="44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15</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根据投标人所提供维护方案的详细性、合理性、针对性等进行综合评审：</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1</w:t>
            </w:r>
            <w:r>
              <w:rPr>
                <w:rFonts w:hint="eastAsia" w:ascii="宋体" w:eastAsia="宋体" w:cs="宋体"/>
                <w:bCs/>
                <w:color w:val="auto"/>
                <w:sz w:val="21"/>
                <w:szCs w:val="21"/>
                <w:highlight w:val="none"/>
                <w:lang w:val="zh-CN"/>
              </w:rPr>
              <w:t>）施工方案详细完整合理，方案针对性高，切合本项目需求，得15分；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2</w:t>
            </w:r>
            <w:r>
              <w:rPr>
                <w:rFonts w:hint="eastAsia" w:ascii="宋体" w:eastAsia="宋体" w:cs="宋体"/>
                <w:bCs/>
                <w:color w:val="auto"/>
                <w:sz w:val="21"/>
                <w:szCs w:val="21"/>
                <w:highlight w:val="none"/>
                <w:lang w:val="zh-CN"/>
              </w:rPr>
              <w:t>）施工方案较详细，方案针对性和合理性较高，较为满足本项目需求，</w:t>
            </w:r>
            <w:r>
              <w:rPr>
                <w:rFonts w:hint="eastAsia" w:ascii="宋体" w:eastAsia="宋体" w:cs="宋体"/>
                <w:bCs/>
                <w:color w:val="auto"/>
                <w:sz w:val="21"/>
                <w:szCs w:val="21"/>
                <w:highlight w:val="none"/>
              </w:rPr>
              <w:t>10</w:t>
            </w:r>
            <w:r>
              <w:rPr>
                <w:rFonts w:hint="eastAsia" w:ascii="宋体" w:eastAsia="宋体" w:cs="宋体"/>
                <w:bCs/>
                <w:color w:val="auto"/>
                <w:sz w:val="21"/>
                <w:szCs w:val="21"/>
                <w:highlight w:val="none"/>
                <w:lang w:val="zh-CN"/>
              </w:rPr>
              <w:t>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3</w:t>
            </w:r>
            <w:r>
              <w:rPr>
                <w:rFonts w:hint="eastAsia" w:ascii="宋体" w:eastAsia="宋体" w:cs="宋体"/>
                <w:bCs/>
                <w:color w:val="auto"/>
                <w:sz w:val="21"/>
                <w:szCs w:val="21"/>
                <w:highlight w:val="none"/>
                <w:lang w:val="zh-CN"/>
              </w:rPr>
              <w:t>）施工方案存在缺漏，方案针对性和合理性一般，基本满足本项目需求，得</w:t>
            </w:r>
            <w:r>
              <w:rPr>
                <w:rFonts w:hint="eastAsia" w:ascii="宋体" w:eastAsia="宋体" w:cs="宋体"/>
                <w:bCs/>
                <w:color w:val="auto"/>
                <w:sz w:val="21"/>
                <w:szCs w:val="21"/>
                <w:highlight w:val="none"/>
              </w:rPr>
              <w:t>5</w:t>
            </w:r>
            <w:r>
              <w:rPr>
                <w:rFonts w:hint="eastAsia" w:ascii="宋体" w:eastAsia="宋体" w:cs="宋体"/>
                <w:bCs/>
                <w:color w:val="auto"/>
                <w:sz w:val="21"/>
                <w:szCs w:val="21"/>
                <w:highlight w:val="none"/>
                <w:lang w:val="zh-CN"/>
              </w:rPr>
              <w:t>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4</w:t>
            </w:r>
            <w:r>
              <w:rPr>
                <w:rFonts w:hint="eastAsia" w:ascii="宋体" w:eastAsia="宋体" w:cs="宋体"/>
                <w:bCs/>
                <w:color w:val="auto"/>
                <w:sz w:val="21"/>
                <w:szCs w:val="21"/>
                <w:highlight w:val="none"/>
                <w:lang w:val="zh-CN"/>
              </w:rPr>
              <w:t>）施工方案缺漏较多，方案针对性和合理性较差，得1分；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5</w:t>
            </w:r>
            <w:r>
              <w:rPr>
                <w:rFonts w:hint="eastAsia" w:ascii="宋体" w:eastAsia="宋体" w:cs="宋体"/>
                <w:bCs/>
                <w:color w:val="auto"/>
                <w:sz w:val="21"/>
                <w:szCs w:val="21"/>
                <w:highlight w:val="none"/>
                <w:lang w:val="zh-CN"/>
              </w:rPr>
              <w:t>）未提供施工方案不得分。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607" w:type="dxa"/>
            <w:tcBorders>
              <w:top w:val="single" w:color="auto" w:sz="4" w:space="0"/>
              <w:left w:val="single" w:color="auto" w:sz="4" w:space="0"/>
              <w:bottom w:val="single" w:color="auto" w:sz="4" w:space="0"/>
              <w:right w:val="single" w:color="auto" w:sz="4" w:space="0"/>
            </w:tcBorders>
            <w:vAlign w:val="center"/>
          </w:tcPr>
          <w:p>
            <w:pPr>
              <w:spacing w:before="36" w:beforeLines="10" w:after="30" w:line="44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人员配置情况</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6" w:beforeLines="10" w:after="30" w:line="44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12</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根据投标人（含其上级分公司及总公司）拟投入本项目的服务人员情况进行评审：</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1、具有由省级或以上公共安全技术防范协会颁发的安防从业人员证书，每提供一个得1分，最高得3分；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2、具有信息安全保障人员认证证书（CISAW）或注册信息安全员（CISM），每提供一个得1分，最高得3分；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3、具有人力资源和社会保障部门或工业和信息化部门颁发的网络规划设计师（高级），每提供一个得1分，最高得1分；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4、具有人力资源和社会保障部门或工业和信息化部门颁发的信息系统项目管理师证书（高级），每提供一个得1分，最高得3分；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5、具有人力资源和社会保障部门或工业和信息化部门颁发的中级（或以上）工程师职称证书（证书类别为软件、通信、网络、电子类中的任意一类），每提供一个得0.2分，最高得2分；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注：以上同一人员具有多个证书的不重复得分，以得分最高的计分；须提供人员证书及投标人为其缴纳的距开标时间（不含当月）近半年内任意</w:t>
            </w:r>
            <w:r>
              <w:rPr>
                <w:rFonts w:hint="eastAsia" w:ascii="宋体" w:eastAsia="宋体" w:cs="宋体"/>
                <w:bCs/>
                <w:color w:val="auto"/>
                <w:sz w:val="21"/>
                <w:szCs w:val="21"/>
                <w:highlight w:val="none"/>
                <w:lang w:val="en-US" w:eastAsia="zh-CN"/>
              </w:rPr>
              <w:t>一</w:t>
            </w:r>
            <w:r>
              <w:rPr>
                <w:rFonts w:hint="eastAsia" w:ascii="宋体" w:eastAsia="宋体" w:cs="宋体"/>
                <w:bCs/>
                <w:color w:val="auto"/>
                <w:sz w:val="21"/>
                <w:szCs w:val="21"/>
                <w:highlight w:val="none"/>
                <w:lang w:val="zh-CN"/>
              </w:rPr>
              <w:t>个月投标人为其购买的社保证明复印件加盖投标人公章。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90" w:type="dxa"/>
            <w:vMerge w:val="restart"/>
            <w:tcBorders>
              <w:top w:val="single" w:color="auto" w:sz="4" w:space="0"/>
              <w:left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607" w:type="dxa"/>
            <w:vMerge w:val="restart"/>
            <w:tcBorders>
              <w:top w:val="single" w:color="auto" w:sz="4" w:space="0"/>
              <w:left w:val="single" w:color="auto" w:sz="4" w:space="0"/>
              <w:right w:val="single" w:color="auto" w:sz="4" w:space="0"/>
            </w:tcBorders>
            <w:vAlign w:val="center"/>
          </w:tcPr>
          <w:p>
            <w:pPr>
              <w:spacing w:before="36" w:beforeLines="10" w:after="30" w:line="44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售后服务保障</w:t>
            </w:r>
          </w:p>
        </w:tc>
        <w:tc>
          <w:tcPr>
            <w:tcW w:w="762" w:type="dxa"/>
            <w:vMerge w:val="restart"/>
            <w:tcBorders>
              <w:top w:val="single" w:color="auto" w:sz="4" w:space="0"/>
              <w:left w:val="single" w:color="auto" w:sz="4" w:space="0"/>
              <w:right w:val="single" w:color="auto" w:sz="4" w:space="0"/>
            </w:tcBorders>
            <w:vAlign w:val="center"/>
          </w:tcPr>
          <w:p>
            <w:pPr>
              <w:spacing w:before="36" w:beforeLines="10" w:after="30" w:line="44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15</w:t>
            </w: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1、</w:t>
            </w:r>
            <w:r>
              <w:rPr>
                <w:rFonts w:hint="eastAsia" w:ascii="宋体" w:eastAsia="宋体" w:cs="宋体"/>
                <w:bCs/>
                <w:color w:val="auto"/>
                <w:sz w:val="21"/>
                <w:szCs w:val="21"/>
                <w:highlight w:val="none"/>
                <w:lang w:val="zh-CN"/>
              </w:rPr>
              <w:t>投标人具有由国家认证认可监督管理部门批准设立的认证机构颁发并在有效期内的售后服务认证证书，五星级得5 分，</w:t>
            </w:r>
            <w:r>
              <w:rPr>
                <w:rFonts w:hint="eastAsia" w:ascii="宋体" w:eastAsia="宋体" w:cs="宋体"/>
                <w:bCs/>
                <w:color w:val="auto"/>
                <w:sz w:val="21"/>
                <w:szCs w:val="21"/>
                <w:highlight w:val="none"/>
              </w:rPr>
              <w:t>四</w:t>
            </w:r>
            <w:r>
              <w:rPr>
                <w:rFonts w:hint="eastAsia" w:ascii="宋体" w:eastAsia="宋体" w:cs="宋体"/>
                <w:bCs/>
                <w:color w:val="auto"/>
                <w:sz w:val="21"/>
                <w:szCs w:val="21"/>
                <w:highlight w:val="none"/>
                <w:lang w:val="zh-CN"/>
              </w:rPr>
              <w:t>星级得</w:t>
            </w:r>
            <w:r>
              <w:rPr>
                <w:rFonts w:hint="eastAsia" w:ascii="宋体" w:eastAsia="宋体" w:cs="宋体"/>
                <w:bCs/>
                <w:color w:val="auto"/>
                <w:sz w:val="21"/>
                <w:szCs w:val="21"/>
                <w:highlight w:val="none"/>
              </w:rPr>
              <w:t>3</w:t>
            </w:r>
            <w:r>
              <w:rPr>
                <w:rFonts w:hint="eastAsia" w:ascii="宋体" w:eastAsia="宋体" w:cs="宋体"/>
                <w:bCs/>
                <w:color w:val="auto"/>
                <w:sz w:val="21"/>
                <w:szCs w:val="21"/>
                <w:highlight w:val="none"/>
                <w:lang w:val="zh-CN"/>
              </w:rPr>
              <w:t xml:space="preserve"> 分，</w:t>
            </w:r>
            <w:r>
              <w:rPr>
                <w:rFonts w:hint="eastAsia" w:ascii="宋体" w:eastAsia="宋体" w:cs="宋体"/>
                <w:bCs/>
                <w:color w:val="auto"/>
                <w:sz w:val="21"/>
                <w:szCs w:val="21"/>
                <w:highlight w:val="none"/>
              </w:rPr>
              <w:t>三</w:t>
            </w:r>
            <w:r>
              <w:rPr>
                <w:rFonts w:hint="eastAsia" w:ascii="宋体" w:eastAsia="宋体" w:cs="宋体"/>
                <w:bCs/>
                <w:color w:val="auto"/>
                <w:sz w:val="21"/>
                <w:szCs w:val="21"/>
                <w:highlight w:val="none"/>
                <w:lang w:val="zh-CN"/>
              </w:rPr>
              <w:t>星级得</w:t>
            </w:r>
            <w:r>
              <w:rPr>
                <w:rFonts w:hint="eastAsia" w:ascii="宋体" w:eastAsia="宋体" w:cs="宋体"/>
                <w:bCs/>
                <w:color w:val="auto"/>
                <w:sz w:val="21"/>
                <w:szCs w:val="21"/>
                <w:highlight w:val="none"/>
              </w:rPr>
              <w:t>1</w:t>
            </w:r>
            <w:r>
              <w:rPr>
                <w:rFonts w:hint="eastAsia" w:ascii="宋体" w:eastAsia="宋体" w:cs="宋体"/>
                <w:bCs/>
                <w:color w:val="auto"/>
                <w:sz w:val="21"/>
                <w:szCs w:val="21"/>
                <w:highlight w:val="none"/>
                <w:lang w:val="zh-CN"/>
              </w:rPr>
              <w:t xml:space="preserve"> 分，无</w:t>
            </w:r>
            <w:r>
              <w:rPr>
                <w:rFonts w:hint="eastAsia" w:ascii="宋体" w:eastAsia="宋体" w:cs="宋体"/>
                <w:bCs/>
                <w:color w:val="auto"/>
                <w:sz w:val="21"/>
                <w:szCs w:val="21"/>
                <w:highlight w:val="none"/>
              </w:rPr>
              <w:t>提供</w:t>
            </w:r>
            <w:r>
              <w:rPr>
                <w:rFonts w:hint="eastAsia" w:ascii="宋体" w:eastAsia="宋体" w:cs="宋体"/>
                <w:bCs/>
                <w:color w:val="auto"/>
                <w:sz w:val="21"/>
                <w:szCs w:val="21"/>
                <w:highlight w:val="none"/>
                <w:lang w:val="zh-CN"/>
              </w:rPr>
              <w:t>不得分。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注：须提供有效证书复印件</w:t>
            </w:r>
            <w:r>
              <w:rPr>
                <w:rFonts w:hint="eastAsia" w:ascii="宋体" w:eastAsia="宋体" w:cs="宋体"/>
                <w:bCs/>
                <w:color w:val="auto"/>
                <w:sz w:val="21"/>
                <w:szCs w:val="21"/>
                <w:highlight w:val="none"/>
              </w:rPr>
              <w:t>并</w:t>
            </w:r>
            <w:r>
              <w:rPr>
                <w:rFonts w:hint="eastAsia" w:ascii="宋体" w:eastAsia="宋体" w:cs="宋体"/>
                <w:bCs/>
                <w:color w:val="auto"/>
                <w:sz w:val="21"/>
                <w:szCs w:val="21"/>
                <w:highlight w:val="none"/>
                <w:lang w:val="zh-CN"/>
              </w:rPr>
              <w:t>加盖投标人公章，</w:t>
            </w:r>
            <w:r>
              <w:rPr>
                <w:rFonts w:hint="eastAsia" w:ascii="宋体" w:eastAsia="宋体" w:cs="宋体"/>
                <w:bCs/>
                <w:color w:val="auto"/>
                <w:sz w:val="21"/>
                <w:szCs w:val="21"/>
                <w:highlight w:val="none"/>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vMerge w:val="continue"/>
            <w:tcBorders>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p>
        </w:tc>
        <w:tc>
          <w:tcPr>
            <w:tcW w:w="1607" w:type="dxa"/>
            <w:vMerge w:val="continue"/>
            <w:tcBorders>
              <w:left w:val="single" w:color="auto" w:sz="4" w:space="0"/>
              <w:bottom w:val="single" w:color="auto" w:sz="4" w:space="0"/>
              <w:right w:val="single" w:color="auto" w:sz="4" w:space="0"/>
            </w:tcBorders>
            <w:vAlign w:val="center"/>
          </w:tcPr>
          <w:p>
            <w:pPr>
              <w:spacing w:before="36" w:beforeLines="10" w:after="30" w:line="440" w:lineRule="exact"/>
              <w:jc w:val="center"/>
              <w:rPr>
                <w:rFonts w:ascii="宋体" w:hAnsi="宋体" w:cs="宋体"/>
                <w:color w:val="auto"/>
                <w:kern w:val="2"/>
                <w:szCs w:val="21"/>
                <w:highlight w:val="none"/>
              </w:rPr>
            </w:pPr>
          </w:p>
        </w:tc>
        <w:tc>
          <w:tcPr>
            <w:tcW w:w="762" w:type="dxa"/>
            <w:vMerge w:val="continue"/>
            <w:tcBorders>
              <w:left w:val="single" w:color="auto" w:sz="4" w:space="0"/>
              <w:bottom w:val="single" w:color="auto" w:sz="4" w:space="0"/>
              <w:right w:val="single" w:color="auto" w:sz="4" w:space="0"/>
            </w:tcBorders>
            <w:vAlign w:val="center"/>
          </w:tcPr>
          <w:p>
            <w:pPr>
              <w:spacing w:before="36" w:beforeLines="10" w:after="30" w:line="440" w:lineRule="exact"/>
              <w:jc w:val="center"/>
              <w:rPr>
                <w:rFonts w:ascii="宋体" w:hAnsi="宋体" w:cs="宋体"/>
                <w:color w:val="auto"/>
                <w:kern w:val="2"/>
                <w:szCs w:val="21"/>
                <w:highlight w:val="none"/>
              </w:rPr>
            </w:pPr>
          </w:p>
        </w:tc>
        <w:tc>
          <w:tcPr>
            <w:tcW w:w="546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2、</w:t>
            </w:r>
            <w:r>
              <w:rPr>
                <w:rFonts w:hint="eastAsia" w:ascii="宋体" w:eastAsia="宋体" w:cs="宋体"/>
                <w:bCs/>
                <w:color w:val="auto"/>
                <w:sz w:val="21"/>
                <w:szCs w:val="21"/>
                <w:highlight w:val="none"/>
                <w:lang w:val="zh-CN"/>
              </w:rPr>
              <w:t>投标人具有日常巡查维护车，每提供一辆自有车辆的得1分，最高得10分，日常巡查维护车中至少有一辆为中型（或以上）专项作业车辆 ，否则不予计分。</w:t>
            </w:r>
          </w:p>
          <w:p>
            <w:pPr>
              <w:pStyle w:val="2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注：所投入的车辆须提供清晰车辆照片、有效的车辆行驶证复印件加盖投标人公章，</w:t>
            </w:r>
            <w:r>
              <w:rPr>
                <w:rFonts w:hint="eastAsia" w:ascii="宋体" w:eastAsia="宋体" w:cs="宋体"/>
                <w:bCs/>
                <w:color w:val="auto"/>
                <w:sz w:val="21"/>
                <w:szCs w:val="21"/>
                <w:highlight w:val="none"/>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line="360" w:lineRule="exact"/>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widowControl w:val="0"/>
              <w:tabs>
                <w:tab w:val="left" w:pos="907"/>
              </w:tabs>
              <w:adjustRightInd/>
              <w:snapToGrid/>
              <w:spacing w:line="360" w:lineRule="exact"/>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widowControl w:val="0"/>
              <w:tabs>
                <w:tab w:val="left" w:pos="907"/>
              </w:tabs>
              <w:adjustRightInd/>
              <w:snapToGrid/>
              <w:spacing w:line="360" w:lineRule="exact"/>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widowControl w:val="0"/>
              <w:tabs>
                <w:tab w:val="left" w:pos="907"/>
              </w:tabs>
              <w:adjustRightInd/>
              <w:snapToGrid/>
              <w:spacing w:line="360" w:lineRule="exact"/>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lang w:val="zh-CN"/>
              </w:rPr>
            </w:pPr>
            <w:r>
              <w:rPr>
                <w:rFonts w:hint="eastAsia" w:ascii="宋体" w:eastAsia="宋体" w:cs="宋体"/>
                <w:color w:val="auto"/>
                <w:sz w:val="21"/>
                <w:szCs w:val="21"/>
                <w:highlight w:val="none"/>
              </w:rPr>
              <w:t>价格评审（20分）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ind w:firstLine="420" w:firstLineChars="200"/>
              <w:jc w:val="both"/>
              <w:rPr>
                <w:rFonts w:ascii="宋体" w:hAnsi="宋体"/>
                <w:color w:val="auto"/>
                <w:szCs w:val="21"/>
                <w:highlight w:val="none"/>
              </w:rPr>
            </w:pPr>
            <w:r>
              <w:rPr>
                <w:rFonts w:hint="eastAsia" w:ascii="宋体" w:hAnsi="宋体"/>
                <w:color w:val="auto"/>
                <w:szCs w:val="21"/>
                <w:highlight w:val="none"/>
              </w:rPr>
              <w:t>价格分计算方法：满足招标文件要求且投标价格最低的投标报价为评标基准价，其价格分为满分。其他投标人的价格分统一按照下列公式计算：</w:t>
            </w:r>
          </w:p>
          <w:p>
            <w:pPr>
              <w:ind w:firstLine="420" w:firstLineChars="200"/>
              <w:rPr>
                <w:rFonts w:ascii="宋体" w:hAnsi="宋体"/>
                <w:color w:val="auto"/>
                <w:szCs w:val="21"/>
                <w:highlight w:val="none"/>
              </w:rPr>
            </w:pPr>
            <w:r>
              <w:rPr>
                <w:rFonts w:hint="eastAsia" w:ascii="宋体" w:hAnsi="宋体"/>
                <w:color w:val="auto"/>
                <w:szCs w:val="21"/>
                <w:highlight w:val="none"/>
              </w:rPr>
              <w:t>投标报价得分=(评标基准价／投标报价)×价格权值</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9" w:name="_Toc32522"/>
      <w:r>
        <w:rPr>
          <w:rFonts w:hint="eastAsia"/>
          <w:color w:val="auto"/>
          <w:highlight w:val="none"/>
        </w:rPr>
        <w:t>合同文本参考格式</w:t>
      </w:r>
      <w:bookmarkEnd w:id="149"/>
    </w:p>
    <w:p>
      <w:pPr>
        <w:jc w:val="center"/>
        <w:outlineLvl w:val="1"/>
        <w:rPr>
          <w:color w:val="auto"/>
          <w:sz w:val="18"/>
          <w:szCs w:val="21"/>
          <w:highlight w:val="none"/>
        </w:rPr>
      </w:pPr>
      <w:bookmarkStart w:id="150" w:name="_Toc1541"/>
      <w:r>
        <w:rPr>
          <w:rFonts w:hint="eastAsia" w:ascii="宋体" w:hAnsi="宋体" w:cs="宋体"/>
          <w:b/>
          <w:bCs/>
          <w:color w:val="auto"/>
          <w:sz w:val="22"/>
          <w:szCs w:val="22"/>
          <w:highlight w:val="none"/>
        </w:rPr>
        <w:t>（本格式编排在招标文件中，供投标人参考，投标时不需填写）</w:t>
      </w:r>
      <w:bookmarkEnd w:id="150"/>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项目的采购结果，按照《中华人民共和国政府采购法》，《中华人民共和国民法典(合同编)》的规定，经双方协商，本着平等互利和诚实信用的原则，一致同意遵守本合同如下。</w:t>
      </w:r>
    </w:p>
    <w:p>
      <w:pPr>
        <w:spacing w:line="360" w:lineRule="auto"/>
        <w:outlineLvl w:val="1"/>
        <w:rPr>
          <w:b/>
          <w:bCs/>
          <w:color w:val="auto"/>
          <w:highlight w:val="none"/>
        </w:rPr>
      </w:pPr>
      <w:bookmarkStart w:id="151" w:name="_Toc864"/>
      <w:r>
        <w:rPr>
          <w:rFonts w:hint="eastAsia"/>
          <w:b/>
          <w:bCs/>
          <w:color w:val="auto"/>
          <w:highlight w:val="none"/>
        </w:rPr>
        <w:t>一、合同金额</w:t>
      </w:r>
      <w:bookmarkEnd w:id="151"/>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outlineLvl w:val="1"/>
        <w:rPr>
          <w:b/>
          <w:bCs/>
          <w:color w:val="auto"/>
          <w:highlight w:val="none"/>
        </w:rPr>
      </w:pPr>
      <w:bookmarkStart w:id="152" w:name="_Toc32599"/>
      <w:r>
        <w:rPr>
          <w:rFonts w:hint="eastAsia"/>
          <w:b/>
          <w:bCs/>
          <w:color w:val="auto"/>
          <w:highlight w:val="none"/>
        </w:rPr>
        <w:t>二、服务范围</w:t>
      </w:r>
      <w:bookmarkEnd w:id="152"/>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53" w:name="_Toc28304"/>
      <w:r>
        <w:rPr>
          <w:rFonts w:hint="eastAsia"/>
          <w:b/>
          <w:bCs/>
          <w:color w:val="auto"/>
          <w:highlight w:val="none"/>
        </w:rPr>
        <w:t>三、甲方乙方的权利和义务</w:t>
      </w:r>
      <w:bookmarkEnd w:id="153"/>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54" w:name="_Toc31228"/>
      <w:r>
        <w:rPr>
          <w:rFonts w:hint="eastAsia"/>
          <w:b/>
          <w:bCs/>
          <w:color w:val="auto"/>
          <w:highlight w:val="none"/>
        </w:rPr>
        <w:t>四、服务期间（项目完成期限）</w:t>
      </w:r>
      <w:bookmarkEnd w:id="154"/>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55" w:name="_Toc1315"/>
      <w:r>
        <w:rPr>
          <w:rFonts w:hint="eastAsia"/>
          <w:b/>
          <w:bCs/>
          <w:color w:val="auto"/>
          <w:highlight w:val="none"/>
        </w:rPr>
        <w:t>五、付款方式</w:t>
      </w:r>
      <w:bookmarkEnd w:id="155"/>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56" w:name="_Toc29016"/>
      <w:r>
        <w:rPr>
          <w:rFonts w:hint="eastAsia"/>
          <w:b/>
          <w:bCs/>
          <w:color w:val="auto"/>
          <w:highlight w:val="none"/>
        </w:rPr>
        <w:t>六、知识产权归属</w:t>
      </w:r>
      <w:bookmarkEnd w:id="156"/>
    </w:p>
    <w:p>
      <w:pPr>
        <w:spacing w:line="360" w:lineRule="auto"/>
        <w:outlineLvl w:val="1"/>
        <w:rPr>
          <w:b/>
          <w:bCs/>
          <w:color w:val="auto"/>
          <w:highlight w:val="none"/>
        </w:rPr>
      </w:pPr>
      <w:bookmarkStart w:id="157" w:name="_Toc491"/>
      <w:r>
        <w:rPr>
          <w:rFonts w:hint="eastAsia"/>
          <w:b/>
          <w:bCs/>
          <w:color w:val="auto"/>
          <w:highlight w:val="none"/>
        </w:rPr>
        <w:t>七、保密</w:t>
      </w:r>
      <w:bookmarkEnd w:id="157"/>
    </w:p>
    <w:p>
      <w:pPr>
        <w:spacing w:line="360" w:lineRule="auto"/>
        <w:outlineLvl w:val="1"/>
        <w:rPr>
          <w:b/>
          <w:bCs/>
          <w:color w:val="auto"/>
          <w:highlight w:val="none"/>
        </w:rPr>
      </w:pPr>
      <w:bookmarkStart w:id="158" w:name="_Toc5642"/>
      <w:r>
        <w:rPr>
          <w:rFonts w:hint="eastAsia"/>
          <w:b/>
          <w:bCs/>
          <w:color w:val="auto"/>
          <w:highlight w:val="none"/>
        </w:rPr>
        <w:t>八、违约责任与赔偿损失</w:t>
      </w:r>
      <w:bookmarkEnd w:id="158"/>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4.其它违约责任按《中华人民共和国民法典(合同编)》处理</w:t>
      </w:r>
    </w:p>
    <w:p>
      <w:pPr>
        <w:spacing w:line="360" w:lineRule="auto"/>
        <w:outlineLvl w:val="1"/>
        <w:rPr>
          <w:b/>
          <w:bCs/>
          <w:color w:val="auto"/>
          <w:highlight w:val="none"/>
        </w:rPr>
      </w:pPr>
      <w:bookmarkStart w:id="159" w:name="_Toc30679"/>
      <w:r>
        <w:rPr>
          <w:rFonts w:hint="eastAsia"/>
          <w:b/>
          <w:bCs/>
          <w:color w:val="auto"/>
          <w:highlight w:val="none"/>
        </w:rPr>
        <w:t>九、争议的解决</w:t>
      </w:r>
      <w:bookmarkEnd w:id="159"/>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60" w:name="_Toc26856"/>
      <w:r>
        <w:rPr>
          <w:rFonts w:hint="eastAsia"/>
          <w:b/>
          <w:bCs/>
          <w:color w:val="auto"/>
          <w:highlight w:val="none"/>
        </w:rPr>
        <w:t>十、不可抗力</w:t>
      </w:r>
      <w:bookmarkEnd w:id="160"/>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61" w:name="_Toc16247"/>
      <w:r>
        <w:rPr>
          <w:rFonts w:hint="eastAsia"/>
          <w:b/>
          <w:bCs/>
          <w:color w:val="auto"/>
          <w:highlight w:val="none"/>
        </w:rPr>
        <w:t>十一、税费</w:t>
      </w:r>
      <w:bookmarkEnd w:id="161"/>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62" w:name="_Toc14065"/>
      <w:r>
        <w:rPr>
          <w:rFonts w:hint="eastAsia"/>
          <w:b/>
          <w:bCs/>
          <w:color w:val="auto"/>
          <w:highlight w:val="none"/>
        </w:rPr>
        <w:t>十二、其它</w:t>
      </w:r>
      <w:bookmarkEnd w:id="162"/>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63" w:name="_Toc13763"/>
      <w:r>
        <w:rPr>
          <w:rFonts w:hint="eastAsia"/>
          <w:b/>
          <w:bCs/>
          <w:color w:val="auto"/>
          <w:highlight w:val="none"/>
        </w:rPr>
        <w:t>十三、合同生效</w:t>
      </w:r>
      <w:bookmarkEnd w:id="163"/>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3"/>
        <w:rPr>
          <w:color w:val="auto"/>
          <w:highlight w:val="none"/>
        </w:rPr>
      </w:pPr>
      <w:bookmarkStart w:id="164" w:name="_Toc17794"/>
      <w:r>
        <w:rPr>
          <w:rFonts w:hint="eastAsia"/>
          <w:color w:val="auto"/>
          <w:highlight w:val="none"/>
        </w:rPr>
        <w:t>第六篇 投标文件格式</w:t>
      </w:r>
      <w:bookmarkEnd w:id="164"/>
    </w:p>
    <w:p>
      <w:pPr>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65" w:name="_Toc32213"/>
      <w:r>
        <w:rPr>
          <w:rFonts w:hint="eastAsia"/>
          <w:b/>
          <w:bCs/>
          <w:color w:val="auto"/>
          <w:highlight w:val="none"/>
        </w:rPr>
        <w:t>（封面格式仅供参考）</w:t>
      </w:r>
      <w:bookmarkEnd w:id="165"/>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66" w:name="_Toc14748"/>
      <w:r>
        <w:rPr>
          <w:rFonts w:ascii="宋体" w:hAnsi="宋体" w:cs="宋体"/>
          <w:b/>
          <w:color w:val="auto"/>
          <w:spacing w:val="10"/>
          <w:kern w:val="0"/>
          <w:sz w:val="38"/>
          <w:szCs w:val="38"/>
          <w:highlight w:val="none"/>
          <w:lang w:val="zh-CN" w:bidi="zh-CN"/>
        </w:rPr>
        <w:t>投标文件封面</w:t>
      </w:r>
      <w:bookmarkEnd w:id="166"/>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7"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7"/>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2"/>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b/>
          <w:color w:val="auto"/>
          <w:highlight w:val="none"/>
        </w:rPr>
        <w:t>投标函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19"/>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19"/>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2"/>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8"/>
        <w:gridCol w:w="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26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投标总价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26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312"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19"/>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19"/>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19"/>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9"/>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b/>
          <w:bCs/>
          <w:color w:val="auto"/>
          <w:highlight w:val="none"/>
          <w:lang w:val="en-US"/>
        </w:rPr>
      </w:pPr>
      <w:r>
        <w:rPr>
          <w:rFonts w:hint="eastAsia"/>
          <w:b/>
          <w:bCs/>
          <w:color w:val="auto"/>
          <w:highlight w:val="none"/>
          <w:lang w:val="en-US"/>
        </w:rPr>
        <w:t>格式四：</w:t>
      </w:r>
    </w:p>
    <w:p>
      <w:pPr>
        <w:pStyle w:val="4"/>
        <w:spacing w:before="0" w:after="0" w:line="360" w:lineRule="auto"/>
        <w:rPr>
          <w:color w:val="auto"/>
          <w:sz w:val="24"/>
          <w:highlight w:val="none"/>
        </w:rPr>
      </w:pPr>
      <w:bookmarkStart w:id="168" w:name="_Toc23039"/>
      <w:r>
        <w:rPr>
          <w:color w:val="auto"/>
          <w:sz w:val="24"/>
          <w:highlight w:val="none"/>
        </w:rPr>
        <w:t>法定代表人证明书</w:t>
      </w:r>
      <w:bookmarkEnd w:id="168"/>
    </w:p>
    <w:p>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rPr>
          <w:color w:val="auto"/>
          <w:highlight w:val="none"/>
          <w:lang w:val="en-US"/>
        </w:rPr>
      </w:pPr>
    </w:p>
    <w:p>
      <w:pPr>
        <w:rPr>
          <w:color w:val="auto"/>
          <w:highlight w:val="none"/>
        </w:rPr>
      </w:pPr>
    </w:p>
    <w:p>
      <w:pPr>
        <w:pStyle w:val="2"/>
        <w:rPr>
          <w:color w:val="auto"/>
          <w:highlight w:val="none"/>
          <w:lang w:val="en-US"/>
        </w:rPr>
      </w:pPr>
    </w:p>
    <w:p>
      <w:pPr>
        <w:spacing w:before="156" w:beforeLines="50" w:after="156"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4"/>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99" w:hRule="atLeast"/>
          <w:jc w:val="center"/>
        </w:trPr>
        <w:tc>
          <w:tcPr>
            <w:tcW w:w="2500" w:type="pct"/>
            <w:vAlign w:val="center"/>
          </w:tcPr>
          <w:p>
            <w:pPr>
              <w:pStyle w:val="22"/>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2"/>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156"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4"/>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2"/>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2"/>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4"/>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2、具有良好的商业信誉和健全的财务会计制度：供应商必须具有良好的商业信誉和健全的财务会计制度（提供2020年度</w:t>
      </w:r>
      <w:r>
        <w:rPr>
          <w:rFonts w:hint="eastAsia" w:ascii="宋体" w:hAnsi="宋体"/>
          <w:color w:val="auto"/>
          <w:szCs w:val="21"/>
          <w:highlight w:val="none"/>
          <w:lang w:val="en-US" w:eastAsia="zh-CN"/>
        </w:rPr>
        <w:t>或2021年度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3、履行合同所必须的设备和专业技术能力：填报设备及专业技术能力情况，格式自拟。</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2"/>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2"/>
        <w:jc w:val="center"/>
        <w:rPr>
          <w:b/>
          <w:bCs/>
          <w:color w:val="auto"/>
          <w:highlight w:val="none"/>
          <w:lang w:val="en-US"/>
        </w:rPr>
      </w:pPr>
      <w:r>
        <w:rPr>
          <w:b/>
          <w:bCs/>
          <w:color w:val="auto"/>
          <w:highlight w:val="none"/>
          <w:lang w:val="en-US"/>
        </w:rPr>
        <w:t>投标人业绩情况表</w:t>
      </w:r>
    </w:p>
    <w:p>
      <w:pPr>
        <w:pStyle w:val="2"/>
        <w:spacing w:before="2" w:after="1"/>
        <w:rPr>
          <w:b/>
          <w:color w:val="auto"/>
          <w:sz w:val="17"/>
          <w:highlight w:val="none"/>
        </w:rPr>
      </w:pPr>
    </w:p>
    <w:tbl>
      <w:tblPr>
        <w:tblStyle w:val="14"/>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1"/>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1"/>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1"/>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1"/>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1"/>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1"/>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1"/>
              <w:spacing w:line="360" w:lineRule="auto"/>
              <w:rPr>
                <w:rFonts w:ascii="宋体" w:hAnsi="宋体" w:cs="宋体"/>
                <w:color w:val="auto"/>
                <w:szCs w:val="21"/>
                <w:highlight w:val="none"/>
              </w:rPr>
            </w:pPr>
          </w:p>
        </w:tc>
        <w:tc>
          <w:tcPr>
            <w:tcW w:w="1553" w:type="pct"/>
            <w:shd w:val="clear" w:color="auto" w:fill="FFFFFF" w:themeFill="background1"/>
          </w:tcPr>
          <w:p>
            <w:pPr>
              <w:pStyle w:val="21"/>
              <w:spacing w:line="360" w:lineRule="auto"/>
              <w:rPr>
                <w:rFonts w:ascii="宋体" w:hAnsi="宋体" w:cs="宋体"/>
                <w:color w:val="auto"/>
                <w:szCs w:val="21"/>
                <w:highlight w:val="none"/>
              </w:rPr>
            </w:pPr>
          </w:p>
        </w:tc>
        <w:tc>
          <w:tcPr>
            <w:tcW w:w="779" w:type="pct"/>
            <w:shd w:val="clear" w:color="auto" w:fill="FFFFFF" w:themeFill="background1"/>
          </w:tcPr>
          <w:p>
            <w:pPr>
              <w:pStyle w:val="21"/>
              <w:spacing w:line="360" w:lineRule="auto"/>
              <w:rPr>
                <w:rFonts w:ascii="宋体" w:hAnsi="宋体" w:cs="宋体"/>
                <w:color w:val="auto"/>
                <w:szCs w:val="21"/>
                <w:highlight w:val="none"/>
              </w:rPr>
            </w:pPr>
          </w:p>
        </w:tc>
        <w:tc>
          <w:tcPr>
            <w:tcW w:w="1001" w:type="pct"/>
            <w:shd w:val="clear" w:color="auto" w:fill="FFFFFF" w:themeFill="background1"/>
          </w:tcPr>
          <w:p>
            <w:pPr>
              <w:pStyle w:val="21"/>
              <w:spacing w:line="360" w:lineRule="auto"/>
              <w:rPr>
                <w:rFonts w:ascii="宋体" w:hAnsi="宋体" w:cs="宋体"/>
                <w:color w:val="auto"/>
                <w:szCs w:val="21"/>
                <w:highlight w:val="none"/>
              </w:rPr>
            </w:pPr>
          </w:p>
        </w:tc>
        <w:tc>
          <w:tcPr>
            <w:tcW w:w="785" w:type="pct"/>
            <w:shd w:val="clear" w:color="auto" w:fill="FFFFFF" w:themeFill="background1"/>
          </w:tcPr>
          <w:p>
            <w:pPr>
              <w:pStyle w:val="21"/>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1"/>
              <w:spacing w:line="360" w:lineRule="auto"/>
              <w:rPr>
                <w:rFonts w:ascii="宋体" w:hAnsi="宋体" w:cs="宋体"/>
                <w:color w:val="auto"/>
                <w:szCs w:val="21"/>
                <w:highlight w:val="none"/>
              </w:rPr>
            </w:pPr>
          </w:p>
        </w:tc>
        <w:tc>
          <w:tcPr>
            <w:tcW w:w="1553" w:type="pct"/>
            <w:shd w:val="clear" w:color="auto" w:fill="FFFFFF" w:themeFill="background1"/>
          </w:tcPr>
          <w:p>
            <w:pPr>
              <w:pStyle w:val="21"/>
              <w:spacing w:line="360" w:lineRule="auto"/>
              <w:rPr>
                <w:rFonts w:ascii="宋体" w:hAnsi="宋体" w:cs="宋体"/>
                <w:color w:val="auto"/>
                <w:szCs w:val="21"/>
                <w:highlight w:val="none"/>
              </w:rPr>
            </w:pPr>
          </w:p>
        </w:tc>
        <w:tc>
          <w:tcPr>
            <w:tcW w:w="779" w:type="pct"/>
            <w:shd w:val="clear" w:color="auto" w:fill="FFFFFF" w:themeFill="background1"/>
          </w:tcPr>
          <w:p>
            <w:pPr>
              <w:pStyle w:val="21"/>
              <w:spacing w:line="360" w:lineRule="auto"/>
              <w:rPr>
                <w:rFonts w:ascii="宋体" w:hAnsi="宋体" w:cs="宋体"/>
                <w:color w:val="auto"/>
                <w:szCs w:val="21"/>
                <w:highlight w:val="none"/>
              </w:rPr>
            </w:pPr>
          </w:p>
        </w:tc>
        <w:tc>
          <w:tcPr>
            <w:tcW w:w="1001" w:type="pct"/>
            <w:shd w:val="clear" w:color="auto" w:fill="FFFFFF" w:themeFill="background1"/>
          </w:tcPr>
          <w:p>
            <w:pPr>
              <w:pStyle w:val="21"/>
              <w:spacing w:line="360" w:lineRule="auto"/>
              <w:rPr>
                <w:rFonts w:ascii="宋体" w:hAnsi="宋体" w:cs="宋体"/>
                <w:color w:val="auto"/>
                <w:szCs w:val="21"/>
                <w:highlight w:val="none"/>
              </w:rPr>
            </w:pPr>
          </w:p>
        </w:tc>
        <w:tc>
          <w:tcPr>
            <w:tcW w:w="785" w:type="pct"/>
            <w:shd w:val="clear" w:color="auto" w:fill="FFFFFF" w:themeFill="background1"/>
          </w:tcPr>
          <w:p>
            <w:pPr>
              <w:pStyle w:val="21"/>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1"/>
              <w:spacing w:line="360" w:lineRule="auto"/>
              <w:rPr>
                <w:rFonts w:ascii="宋体" w:hAnsi="宋体" w:cs="宋体"/>
                <w:color w:val="auto"/>
                <w:szCs w:val="21"/>
                <w:highlight w:val="none"/>
              </w:rPr>
            </w:pPr>
          </w:p>
        </w:tc>
        <w:tc>
          <w:tcPr>
            <w:tcW w:w="1553" w:type="pct"/>
            <w:shd w:val="clear" w:color="auto" w:fill="FFFFFF" w:themeFill="background1"/>
          </w:tcPr>
          <w:p>
            <w:pPr>
              <w:pStyle w:val="21"/>
              <w:spacing w:line="360" w:lineRule="auto"/>
              <w:rPr>
                <w:rFonts w:ascii="宋体" w:hAnsi="宋体" w:cs="宋体"/>
                <w:color w:val="auto"/>
                <w:szCs w:val="21"/>
                <w:highlight w:val="none"/>
              </w:rPr>
            </w:pPr>
          </w:p>
        </w:tc>
        <w:tc>
          <w:tcPr>
            <w:tcW w:w="779" w:type="pct"/>
            <w:shd w:val="clear" w:color="auto" w:fill="FFFFFF" w:themeFill="background1"/>
          </w:tcPr>
          <w:p>
            <w:pPr>
              <w:pStyle w:val="21"/>
              <w:spacing w:line="360" w:lineRule="auto"/>
              <w:rPr>
                <w:rFonts w:ascii="宋体" w:hAnsi="宋体" w:cs="宋体"/>
                <w:color w:val="auto"/>
                <w:szCs w:val="21"/>
                <w:highlight w:val="none"/>
              </w:rPr>
            </w:pPr>
          </w:p>
        </w:tc>
        <w:tc>
          <w:tcPr>
            <w:tcW w:w="1001" w:type="pct"/>
            <w:shd w:val="clear" w:color="auto" w:fill="FFFFFF" w:themeFill="background1"/>
          </w:tcPr>
          <w:p>
            <w:pPr>
              <w:pStyle w:val="21"/>
              <w:spacing w:line="360" w:lineRule="auto"/>
              <w:rPr>
                <w:rFonts w:ascii="宋体" w:hAnsi="宋体" w:cs="宋体"/>
                <w:color w:val="auto"/>
                <w:szCs w:val="21"/>
                <w:highlight w:val="none"/>
              </w:rPr>
            </w:pPr>
          </w:p>
        </w:tc>
        <w:tc>
          <w:tcPr>
            <w:tcW w:w="785" w:type="pct"/>
            <w:shd w:val="clear" w:color="auto" w:fill="FFFFFF" w:themeFill="background1"/>
          </w:tcPr>
          <w:p>
            <w:pPr>
              <w:pStyle w:val="21"/>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1"/>
              <w:spacing w:line="360" w:lineRule="auto"/>
              <w:rPr>
                <w:rFonts w:ascii="宋体" w:hAnsi="宋体" w:cs="宋体"/>
                <w:color w:val="auto"/>
                <w:szCs w:val="21"/>
                <w:highlight w:val="none"/>
              </w:rPr>
            </w:pPr>
          </w:p>
        </w:tc>
        <w:tc>
          <w:tcPr>
            <w:tcW w:w="1553" w:type="pct"/>
          </w:tcPr>
          <w:p>
            <w:pPr>
              <w:pStyle w:val="21"/>
              <w:spacing w:line="360" w:lineRule="auto"/>
              <w:rPr>
                <w:rFonts w:ascii="宋体" w:hAnsi="宋体" w:cs="宋体"/>
                <w:color w:val="auto"/>
                <w:szCs w:val="21"/>
                <w:highlight w:val="none"/>
              </w:rPr>
            </w:pPr>
          </w:p>
        </w:tc>
        <w:tc>
          <w:tcPr>
            <w:tcW w:w="779" w:type="pct"/>
          </w:tcPr>
          <w:p>
            <w:pPr>
              <w:pStyle w:val="21"/>
              <w:spacing w:line="360" w:lineRule="auto"/>
              <w:rPr>
                <w:rFonts w:ascii="宋体" w:hAnsi="宋体" w:cs="宋体"/>
                <w:color w:val="auto"/>
                <w:szCs w:val="21"/>
                <w:highlight w:val="none"/>
              </w:rPr>
            </w:pPr>
          </w:p>
        </w:tc>
        <w:tc>
          <w:tcPr>
            <w:tcW w:w="1001" w:type="pct"/>
          </w:tcPr>
          <w:p>
            <w:pPr>
              <w:pStyle w:val="21"/>
              <w:spacing w:line="360" w:lineRule="auto"/>
              <w:rPr>
                <w:rFonts w:ascii="宋体" w:hAnsi="宋体" w:cs="宋体"/>
                <w:color w:val="auto"/>
                <w:szCs w:val="21"/>
                <w:highlight w:val="none"/>
              </w:rPr>
            </w:pPr>
          </w:p>
        </w:tc>
        <w:tc>
          <w:tcPr>
            <w:tcW w:w="785" w:type="pct"/>
          </w:tcPr>
          <w:p>
            <w:pPr>
              <w:pStyle w:val="21"/>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1"/>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1"/>
              <w:spacing w:line="360" w:lineRule="auto"/>
              <w:rPr>
                <w:rFonts w:ascii="宋体" w:hAnsi="宋体" w:cs="宋体"/>
                <w:color w:val="auto"/>
                <w:szCs w:val="21"/>
                <w:highlight w:val="none"/>
              </w:rPr>
            </w:pPr>
          </w:p>
        </w:tc>
        <w:tc>
          <w:tcPr>
            <w:tcW w:w="1553" w:type="pct"/>
          </w:tcPr>
          <w:p>
            <w:pPr>
              <w:pStyle w:val="21"/>
              <w:spacing w:line="360" w:lineRule="auto"/>
              <w:rPr>
                <w:rFonts w:ascii="宋体" w:hAnsi="宋体" w:cs="宋体"/>
                <w:color w:val="auto"/>
                <w:szCs w:val="21"/>
                <w:highlight w:val="none"/>
              </w:rPr>
            </w:pPr>
          </w:p>
        </w:tc>
        <w:tc>
          <w:tcPr>
            <w:tcW w:w="779" w:type="pct"/>
          </w:tcPr>
          <w:p>
            <w:pPr>
              <w:pStyle w:val="21"/>
              <w:spacing w:line="360" w:lineRule="auto"/>
              <w:rPr>
                <w:rFonts w:ascii="宋体" w:hAnsi="宋体" w:cs="宋体"/>
                <w:color w:val="auto"/>
                <w:szCs w:val="21"/>
                <w:highlight w:val="none"/>
              </w:rPr>
            </w:pPr>
          </w:p>
        </w:tc>
        <w:tc>
          <w:tcPr>
            <w:tcW w:w="1001" w:type="pct"/>
          </w:tcPr>
          <w:p>
            <w:pPr>
              <w:pStyle w:val="21"/>
              <w:spacing w:line="360" w:lineRule="auto"/>
              <w:rPr>
                <w:rFonts w:ascii="宋体" w:hAnsi="宋体" w:cs="宋体"/>
                <w:color w:val="auto"/>
                <w:szCs w:val="21"/>
                <w:highlight w:val="none"/>
              </w:rPr>
            </w:pPr>
          </w:p>
        </w:tc>
        <w:tc>
          <w:tcPr>
            <w:tcW w:w="785" w:type="pct"/>
          </w:tcPr>
          <w:p>
            <w:pPr>
              <w:pStyle w:val="21"/>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bl>
    <w:p>
      <w:pPr>
        <w:pStyle w:val="2"/>
        <w:rPr>
          <w:color w:val="auto"/>
          <w:highlight w:val="none"/>
          <w:lang w:val="en-US"/>
        </w:rPr>
      </w:pPr>
    </w:p>
    <w:p>
      <w:pPr>
        <w:rPr>
          <w:color w:val="auto"/>
          <w:highlight w:val="none"/>
        </w:rPr>
      </w:pP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19"/>
        <w:tabs>
          <w:tab w:val="left" w:pos="731"/>
        </w:tabs>
        <w:autoSpaceDE w:val="0"/>
        <w:autoSpaceDN w:val="0"/>
        <w:spacing w:line="360" w:lineRule="auto"/>
        <w:ind w:firstLine="423"/>
        <w:rPr>
          <w:rFonts w:ascii="宋体" w:hAnsi="宋体" w:cs="宋体"/>
          <w:color w:val="auto"/>
          <w:w w:val="101"/>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bl>
    <w:p>
      <w:pPr>
        <w:pStyle w:val="2"/>
        <w:rPr>
          <w:color w:val="auto"/>
          <w:sz w:val="21"/>
          <w:szCs w:val="21"/>
          <w:highlight w:val="none"/>
          <w:lang w:val="en-US"/>
        </w:rPr>
      </w:pPr>
    </w:p>
    <w:p>
      <w:pPr>
        <w:rPr>
          <w:color w:val="auto"/>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2"/>
        <w:autoSpaceDE w:val="0"/>
        <w:autoSpaceDN w:val="0"/>
        <w:spacing w:before="0" w:line="360" w:lineRule="auto"/>
        <w:ind w:left="0" w:firstLine="420" w:firstLineChars="200"/>
        <w:rPr>
          <w:color w:val="auto"/>
          <w:sz w:val="21"/>
          <w:szCs w:val="21"/>
          <w:highlight w:val="none"/>
          <w:lang w:val="en-US"/>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169" w:name="_Toc20098"/>
      <w:r>
        <w:rPr>
          <w:color w:val="auto"/>
          <w:highlight w:val="none"/>
        </w:rPr>
        <w:t>履约进度计划表</w:t>
      </w:r>
      <w:bookmarkEnd w:id="169"/>
    </w:p>
    <w:p>
      <w:pPr>
        <w:pStyle w:val="2"/>
        <w:spacing w:before="2" w:after="1"/>
        <w:rPr>
          <w:b/>
          <w:color w:val="auto"/>
          <w:sz w:val="17"/>
          <w:highlight w:val="none"/>
        </w:rPr>
      </w:pPr>
    </w:p>
    <w:tbl>
      <w:tblPr>
        <w:tblStyle w:val="14"/>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1"/>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1"/>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1"/>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1"/>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1"/>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1"/>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1"/>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1"/>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1"/>
              <w:spacing w:line="360" w:lineRule="auto"/>
              <w:rPr>
                <w:rFonts w:ascii="宋体" w:hAnsi="宋体" w:cs="宋体"/>
                <w:color w:val="auto"/>
                <w:szCs w:val="21"/>
                <w:highlight w:val="none"/>
              </w:rPr>
            </w:pPr>
          </w:p>
        </w:tc>
        <w:tc>
          <w:tcPr>
            <w:tcW w:w="1354" w:type="pct"/>
            <w:shd w:val="clear" w:color="auto" w:fill="FFFFFF" w:themeFill="background1"/>
          </w:tcPr>
          <w:p>
            <w:pPr>
              <w:pStyle w:val="21"/>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1"/>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1"/>
              <w:spacing w:line="360" w:lineRule="auto"/>
              <w:rPr>
                <w:rFonts w:ascii="宋体" w:hAnsi="宋体" w:cs="宋体"/>
                <w:color w:val="auto"/>
                <w:szCs w:val="21"/>
                <w:highlight w:val="none"/>
              </w:rPr>
            </w:pPr>
          </w:p>
        </w:tc>
        <w:tc>
          <w:tcPr>
            <w:tcW w:w="1354" w:type="pct"/>
            <w:shd w:val="clear" w:color="auto" w:fill="FFFFFF" w:themeFill="background1"/>
          </w:tcPr>
          <w:p>
            <w:pPr>
              <w:pStyle w:val="21"/>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1"/>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1"/>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1"/>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70" w:name="_Toc2912"/>
      <w:r>
        <w:rPr>
          <w:rFonts w:hint="eastAsia"/>
          <w:b/>
          <w:bCs/>
          <w:color w:val="auto"/>
          <w:sz w:val="24"/>
          <w:szCs w:val="32"/>
          <w:highlight w:val="none"/>
        </w:rPr>
        <w:t>格式十四：</w:t>
      </w:r>
      <w:bookmarkEnd w:id="170"/>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19"/>
        <w:tabs>
          <w:tab w:val="left" w:pos="673"/>
        </w:tabs>
        <w:spacing w:line="360" w:lineRule="auto"/>
        <w:ind w:firstLine="0" w:firstLineChars="0"/>
        <w:outlineLvl w:val="1"/>
        <w:rPr>
          <w:rFonts w:ascii="宋体" w:hAnsi="宋体" w:cs="宋体"/>
          <w:color w:val="auto"/>
          <w:szCs w:val="21"/>
          <w:highlight w:val="none"/>
        </w:rPr>
      </w:pPr>
      <w:bookmarkStart w:id="171" w:name="_Toc14919"/>
      <w:r>
        <w:rPr>
          <w:rFonts w:hint="eastAsia" w:ascii="宋体" w:hAnsi="宋体" w:cs="宋体"/>
          <w:color w:val="auto"/>
          <w:szCs w:val="21"/>
          <w:highlight w:val="none"/>
        </w:rPr>
        <w:t>1、招标文件要求提供的其他资料。</w:t>
      </w:r>
      <w:bookmarkEnd w:id="171"/>
    </w:p>
    <w:p>
      <w:pPr>
        <w:pStyle w:val="19"/>
        <w:tabs>
          <w:tab w:val="left" w:pos="673"/>
        </w:tabs>
        <w:spacing w:line="360" w:lineRule="auto"/>
        <w:ind w:firstLine="0" w:firstLineChars="0"/>
        <w:outlineLvl w:val="1"/>
        <w:rPr>
          <w:rFonts w:ascii="宋体" w:hAnsi="宋体" w:cs="宋体"/>
          <w:color w:val="auto"/>
          <w:szCs w:val="21"/>
          <w:highlight w:val="none"/>
        </w:rPr>
      </w:pPr>
      <w:bookmarkStart w:id="172" w:name="_Toc7938"/>
      <w:r>
        <w:rPr>
          <w:rFonts w:hint="eastAsia" w:ascii="宋体" w:hAnsi="宋体" w:cs="宋体"/>
          <w:color w:val="auto"/>
          <w:szCs w:val="21"/>
          <w:highlight w:val="none"/>
        </w:rPr>
        <w:t>2、投标人认为需提供的其他资料。</w:t>
      </w:r>
      <w:bookmarkEnd w:id="172"/>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19"/>
        <w:tabs>
          <w:tab w:val="left" w:pos="673"/>
        </w:tabs>
        <w:spacing w:line="360" w:lineRule="auto"/>
        <w:ind w:firstLine="0" w:firstLineChars="0"/>
        <w:outlineLvl w:val="1"/>
        <w:rPr>
          <w:rFonts w:ascii="宋体" w:hAnsi="宋体" w:cs="宋体"/>
          <w:b/>
          <w:bCs/>
          <w:color w:val="auto"/>
          <w:sz w:val="24"/>
          <w:highlight w:val="none"/>
        </w:rPr>
      </w:pPr>
      <w:bookmarkStart w:id="173" w:name="_Toc30382"/>
      <w:r>
        <w:rPr>
          <w:rFonts w:hint="eastAsia" w:ascii="宋体" w:hAnsi="宋体" w:cs="宋体"/>
          <w:b/>
          <w:bCs/>
          <w:color w:val="auto"/>
          <w:sz w:val="24"/>
          <w:highlight w:val="none"/>
        </w:rPr>
        <w:t>格式十五：</w:t>
      </w:r>
      <w:bookmarkEnd w:id="173"/>
    </w:p>
    <w:p>
      <w:pPr>
        <w:pStyle w:val="19"/>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19"/>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19"/>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19"/>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19"/>
        <w:tabs>
          <w:tab w:val="left" w:pos="673"/>
        </w:tabs>
        <w:spacing w:line="360" w:lineRule="auto"/>
        <w:ind w:firstLine="0" w:firstLineChars="0"/>
        <w:outlineLvl w:val="1"/>
        <w:rPr>
          <w:rFonts w:ascii="宋体" w:hAnsi="宋体" w:cs="宋体"/>
          <w:b/>
          <w:bCs/>
          <w:color w:val="auto"/>
          <w:sz w:val="24"/>
          <w:highlight w:val="none"/>
        </w:rPr>
      </w:pPr>
      <w:bookmarkStart w:id="174" w:name="_Toc3970"/>
      <w:r>
        <w:rPr>
          <w:rFonts w:hint="eastAsia" w:ascii="宋体" w:hAnsi="宋体" w:cs="宋体"/>
          <w:b/>
          <w:bCs/>
          <w:color w:val="auto"/>
          <w:sz w:val="24"/>
          <w:highlight w:val="none"/>
        </w:rPr>
        <w:t>格式十五：</w:t>
      </w:r>
      <w:bookmarkEnd w:id="174"/>
    </w:p>
    <w:p>
      <w:pPr>
        <w:pStyle w:val="2"/>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2"/>
        <w:spacing w:before="8"/>
        <w:rPr>
          <w:color w:val="auto"/>
          <w:sz w:val="21"/>
          <w:szCs w:val="21"/>
          <w:highlight w:val="none"/>
        </w:rPr>
      </w:pPr>
    </w:p>
    <w:p>
      <w:pPr>
        <w:jc w:val="center"/>
        <w:outlineLvl w:val="1"/>
        <w:rPr>
          <w:rFonts w:ascii="宋体" w:hAnsi="宋体" w:cs="宋体"/>
          <w:b/>
          <w:bCs/>
          <w:color w:val="auto"/>
          <w:szCs w:val="21"/>
          <w:highlight w:val="none"/>
        </w:rPr>
      </w:pPr>
      <w:bookmarkStart w:id="175" w:name="_Toc4401"/>
      <w:r>
        <w:rPr>
          <w:rFonts w:hint="eastAsia" w:ascii="宋体" w:hAnsi="宋体" w:cs="宋体"/>
          <w:b/>
          <w:bCs/>
          <w:color w:val="auto"/>
          <w:szCs w:val="21"/>
          <w:highlight w:val="none"/>
        </w:rPr>
        <w:t>需要招标人提供的附加条件</w:t>
      </w:r>
      <w:bookmarkEnd w:id="175"/>
    </w:p>
    <w:p>
      <w:pPr>
        <w:pStyle w:val="2"/>
        <w:autoSpaceDE w:val="0"/>
        <w:autoSpaceDN w:val="0"/>
        <w:spacing w:before="0" w:line="360" w:lineRule="auto"/>
        <w:ind w:left="0"/>
        <w:rPr>
          <w:b/>
          <w:color w:val="auto"/>
          <w:sz w:val="21"/>
          <w:szCs w:val="21"/>
          <w:highlight w:val="none"/>
        </w:rPr>
      </w:pPr>
    </w:p>
    <w:tbl>
      <w:tblPr>
        <w:tblStyle w:val="14"/>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784" w:type="pct"/>
            <w:shd w:val="clear" w:color="auto" w:fill="F4F4F4"/>
          </w:tcPr>
          <w:p>
            <w:pPr>
              <w:pStyle w:val="21"/>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1"/>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1"/>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1"/>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1"/>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1"/>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2"/>
        <w:outlineLvl w:val="1"/>
        <w:rPr>
          <w:b/>
          <w:bCs/>
          <w:color w:val="auto"/>
          <w:highlight w:val="none"/>
          <w:lang w:val="en-US"/>
        </w:rPr>
      </w:pPr>
      <w:bookmarkStart w:id="176" w:name="_Toc25747"/>
      <w:r>
        <w:rPr>
          <w:rFonts w:hint="eastAsia"/>
          <w:b/>
          <w:bCs/>
          <w:color w:val="auto"/>
          <w:highlight w:val="none"/>
          <w:lang w:val="en-US"/>
        </w:rPr>
        <w:t>格式十六：</w:t>
      </w:r>
      <w:bookmarkEnd w:id="176"/>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7" w:name="_Toc27211"/>
      <w:r>
        <w:rPr>
          <w:rFonts w:hint="eastAsia"/>
          <w:color w:val="auto"/>
          <w:highlight w:val="none"/>
        </w:rPr>
        <w:t>第七篇 开标文件格式</w:t>
      </w:r>
      <w:bookmarkEnd w:id="177"/>
    </w:p>
    <w:p>
      <w:pPr>
        <w:jc w:val="center"/>
        <w:outlineLvl w:val="1"/>
        <w:rPr>
          <w:b/>
          <w:bCs/>
          <w:color w:val="auto"/>
          <w:highlight w:val="none"/>
        </w:rPr>
      </w:pPr>
      <w:bookmarkStart w:id="178" w:name="_Toc32249"/>
      <w:r>
        <w:rPr>
          <w:rFonts w:hint="eastAsia"/>
          <w:b/>
          <w:bCs/>
          <w:color w:val="auto"/>
          <w:highlight w:val="none"/>
        </w:rPr>
        <w:t>（封面格式仅供参考）</w:t>
      </w:r>
      <w:bookmarkEnd w:id="178"/>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9"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9"/>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80"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80"/>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2"/>
        <w:spacing w:before="0" w:line="360" w:lineRule="auto"/>
        <w:ind w:left="0"/>
        <w:outlineLvl w:val="1"/>
        <w:rPr>
          <w:b/>
          <w:bCs/>
          <w:color w:val="auto"/>
          <w:sz w:val="21"/>
          <w:szCs w:val="21"/>
          <w:highlight w:val="none"/>
          <w:lang w:val="en-US"/>
        </w:rPr>
      </w:pPr>
      <w:bookmarkStart w:id="181" w:name="_Toc32100"/>
      <w:r>
        <w:rPr>
          <w:rFonts w:hint="eastAsia"/>
          <w:b/>
          <w:bCs/>
          <w:color w:val="auto"/>
          <w:sz w:val="21"/>
          <w:szCs w:val="21"/>
          <w:highlight w:val="none"/>
          <w:lang w:val="en-US"/>
        </w:rPr>
        <w:t>1、开标一览表</w:t>
      </w:r>
      <w:bookmarkEnd w:id="181"/>
    </w:p>
    <w:p>
      <w:pPr>
        <w:spacing w:line="360" w:lineRule="auto"/>
        <w:outlineLvl w:val="1"/>
        <w:rPr>
          <w:rFonts w:ascii="宋体" w:hAnsi="宋体" w:cs="宋体"/>
          <w:b/>
          <w:bCs/>
          <w:color w:val="auto"/>
          <w:szCs w:val="21"/>
          <w:highlight w:val="none"/>
        </w:rPr>
      </w:pPr>
      <w:bookmarkStart w:id="182" w:name="_Toc8054"/>
      <w:r>
        <w:rPr>
          <w:rFonts w:hint="eastAsia" w:ascii="宋体" w:hAnsi="宋体" w:cs="宋体"/>
          <w:b/>
          <w:bCs/>
          <w:color w:val="auto"/>
          <w:szCs w:val="21"/>
          <w:highlight w:val="none"/>
        </w:rPr>
        <w:t>2、分项报价表</w:t>
      </w:r>
      <w:bookmarkEnd w:id="182"/>
    </w:p>
    <w:p>
      <w:pPr>
        <w:pStyle w:val="2"/>
        <w:spacing w:before="0" w:line="360" w:lineRule="auto"/>
        <w:ind w:left="0"/>
        <w:outlineLvl w:val="1"/>
        <w:rPr>
          <w:b/>
          <w:bCs/>
          <w:color w:val="auto"/>
          <w:sz w:val="21"/>
          <w:szCs w:val="21"/>
          <w:highlight w:val="none"/>
          <w:lang w:val="en-US"/>
        </w:rPr>
      </w:pPr>
      <w:bookmarkStart w:id="183" w:name="_Toc5011"/>
      <w:r>
        <w:rPr>
          <w:rFonts w:hint="eastAsia"/>
          <w:b/>
          <w:bCs/>
          <w:color w:val="auto"/>
          <w:sz w:val="21"/>
          <w:szCs w:val="21"/>
          <w:highlight w:val="none"/>
          <w:lang w:val="en-US"/>
        </w:rPr>
        <w:t>3、法定代表人证明书</w:t>
      </w:r>
      <w:bookmarkEnd w:id="183"/>
    </w:p>
    <w:p>
      <w:pPr>
        <w:pStyle w:val="2"/>
        <w:spacing w:before="0" w:line="360" w:lineRule="auto"/>
        <w:ind w:left="0"/>
        <w:outlineLvl w:val="1"/>
        <w:rPr>
          <w:b/>
          <w:bCs/>
          <w:color w:val="auto"/>
          <w:sz w:val="21"/>
          <w:szCs w:val="21"/>
          <w:highlight w:val="none"/>
          <w:lang w:val="en-US"/>
        </w:rPr>
      </w:pPr>
      <w:bookmarkStart w:id="184" w:name="_Toc27439"/>
      <w:r>
        <w:rPr>
          <w:rFonts w:hint="eastAsia"/>
          <w:b/>
          <w:bCs/>
          <w:color w:val="auto"/>
          <w:sz w:val="21"/>
          <w:szCs w:val="21"/>
          <w:highlight w:val="none"/>
          <w:lang w:val="en-US"/>
        </w:rPr>
        <w:t>4、法定代表人授权书</w:t>
      </w:r>
      <w:bookmarkEnd w:id="184"/>
    </w:p>
    <w:p>
      <w:pPr>
        <w:spacing w:line="360" w:lineRule="auto"/>
        <w:outlineLvl w:val="1"/>
        <w:rPr>
          <w:rFonts w:ascii="宋体" w:hAnsi="宋体" w:cs="宋体"/>
          <w:b/>
          <w:bCs/>
          <w:color w:val="auto"/>
          <w:szCs w:val="21"/>
          <w:highlight w:val="none"/>
        </w:rPr>
      </w:pPr>
      <w:bookmarkStart w:id="185" w:name="_Toc16304"/>
      <w:r>
        <w:rPr>
          <w:rFonts w:hint="eastAsia" w:ascii="宋体" w:hAnsi="宋体" w:cs="宋体"/>
          <w:b/>
          <w:bCs/>
          <w:color w:val="auto"/>
          <w:szCs w:val="21"/>
          <w:highlight w:val="none"/>
        </w:rPr>
        <w:t>5、投标保证金</w:t>
      </w:r>
      <w:bookmarkEnd w:id="185"/>
    </w:p>
    <w:p>
      <w:pPr>
        <w:rPr>
          <w:color w:val="auto"/>
          <w:highlight w:val="none"/>
        </w:rPr>
      </w:pPr>
    </w:p>
    <w:p>
      <w:pPr>
        <w:pStyle w:val="2"/>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86" w:name="_Toc2722"/>
      <w:r>
        <w:rPr>
          <w:rFonts w:hint="eastAsia"/>
          <w:color w:val="auto"/>
          <w:highlight w:val="none"/>
        </w:rPr>
        <w:t>第八篇 其它文件格式（如有需要）</w:t>
      </w:r>
      <w:bookmarkEnd w:id="186"/>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19"/>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19"/>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19"/>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19"/>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19"/>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19"/>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19"/>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19"/>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center"/>
      <w:rPr>
        <w:rFonts w:hint="eastAsia" w:eastAsia="宋体"/>
        <w:lang w:eastAsia="zh-CN"/>
      </w:rPr>
    </w:pPr>
    <w:r>
      <w:rPr>
        <w:rFonts w:hint="eastAsia"/>
        <w:lang w:eastAsia="zh-CN"/>
      </w:rPr>
      <w:t>横沥镇交通信号灯维护、优化配时项目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E55BFF18"/>
    <w:multiLevelType w:val="singleLevel"/>
    <w:tmpl w:val="E55BFF18"/>
    <w:lvl w:ilvl="0" w:tentative="0">
      <w:start w:val="1"/>
      <w:numFmt w:val="decimal"/>
      <w:suff w:val="nothing"/>
      <w:lvlText w:val="（%1）"/>
      <w:lvlJc w:val="left"/>
    </w:lvl>
  </w:abstractNum>
  <w:abstractNum w:abstractNumId="2">
    <w:nsid w:val="F3851CDE"/>
    <w:multiLevelType w:val="singleLevel"/>
    <w:tmpl w:val="F3851CDE"/>
    <w:lvl w:ilvl="0" w:tentative="0">
      <w:start w:val="2"/>
      <w:numFmt w:val="chineseCounting"/>
      <w:suff w:val="nothing"/>
      <w:lvlText w:val="%1、"/>
      <w:lvlJc w:val="left"/>
      <w:rPr>
        <w:rFonts w:hint="eastAsia"/>
      </w:rPr>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32E25990"/>
    <w:multiLevelType w:val="singleLevel"/>
    <w:tmpl w:val="32E25990"/>
    <w:lvl w:ilvl="0" w:tentative="0">
      <w:start w:val="1"/>
      <w:numFmt w:val="decimal"/>
      <w:suff w:val="nothing"/>
      <w:lvlText w:val="%1、"/>
      <w:lvlJc w:val="left"/>
    </w:lvl>
  </w:abstractNum>
  <w:abstractNum w:abstractNumId="7">
    <w:nsid w:val="3F88662E"/>
    <w:multiLevelType w:val="singleLevel"/>
    <w:tmpl w:val="3F88662E"/>
    <w:lvl w:ilvl="0" w:tentative="0">
      <w:start w:val="1"/>
      <w:numFmt w:val="decimal"/>
      <w:suff w:val="space"/>
      <w:lvlText w:val="%1)"/>
      <w:lvlJc w:val="left"/>
    </w:lvl>
  </w:abstractNum>
  <w:num w:numId="1">
    <w:abstractNumId w:val="0"/>
  </w:num>
  <w:num w:numId="2">
    <w:abstractNumId w:val="6"/>
  </w:num>
  <w:num w:numId="3">
    <w:abstractNumId w:val="1"/>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1MDBkMjlmY2UwNzIwYjliNzE3ZDM5ZDYxNGMzYjgifQ=="/>
  </w:docVars>
  <w:rsids>
    <w:rsidRoot w:val="0B696582"/>
    <w:rsid w:val="00167544"/>
    <w:rsid w:val="00262FF7"/>
    <w:rsid w:val="002C74E0"/>
    <w:rsid w:val="0035484D"/>
    <w:rsid w:val="00A179A1"/>
    <w:rsid w:val="00F30C8B"/>
    <w:rsid w:val="05D56BBE"/>
    <w:rsid w:val="0B696582"/>
    <w:rsid w:val="0D871B53"/>
    <w:rsid w:val="17F846A7"/>
    <w:rsid w:val="2922222A"/>
    <w:rsid w:val="2A213986"/>
    <w:rsid w:val="2BAF4D77"/>
    <w:rsid w:val="313B1F30"/>
    <w:rsid w:val="3B7C173C"/>
    <w:rsid w:val="3C7A623E"/>
    <w:rsid w:val="41CA6C27"/>
    <w:rsid w:val="4B2D3E8E"/>
    <w:rsid w:val="50DE48C7"/>
    <w:rsid w:val="57BC1C8C"/>
    <w:rsid w:val="5FE04703"/>
    <w:rsid w:val="62AA2082"/>
    <w:rsid w:val="64D3048A"/>
    <w:rsid w:val="67520D2F"/>
    <w:rsid w:val="6B9A57B6"/>
    <w:rsid w:val="6E003853"/>
    <w:rsid w:val="7495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0"/>
    <w:qFormat/>
    <w:uiPriority w:val="0"/>
    <w:pPr>
      <w:keepNext/>
      <w:keepLines/>
      <w:spacing w:before="340" w:after="330" w:line="576" w:lineRule="auto"/>
      <w:jc w:val="center"/>
      <w:outlineLvl w:val="0"/>
    </w:pPr>
    <w:rPr>
      <w:b/>
      <w:kern w:val="44"/>
      <w:sz w:val="30"/>
    </w:rPr>
  </w:style>
  <w:style w:type="paragraph" w:styleId="4">
    <w:name w:val="heading 2"/>
    <w:basedOn w:val="1"/>
    <w:next w:val="1"/>
    <w:unhideWhenUsed/>
    <w:qFormat/>
    <w:uiPriority w:val="0"/>
    <w:pPr>
      <w:keepNext/>
      <w:keepLines/>
      <w:spacing w:before="260" w:after="260"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annotation text"/>
    <w:basedOn w:val="1"/>
    <w:qFormat/>
    <w:uiPriority w:val="0"/>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rPr>
      <w:rFonts w:ascii="宋体" w:hAnsi="Courier New" w:eastAsiaTheme="minorEastAsia"/>
      <w:szCs w:val="22"/>
    </w:rPr>
  </w:style>
  <w:style w:type="paragraph" w:styleId="10">
    <w:name w:val="Balloon Text"/>
    <w:basedOn w:val="1"/>
    <w:link w:val="27"/>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Body Text First Indent 2"/>
    <w:basedOn w:val="8"/>
    <w:unhideWhenUsed/>
    <w:qFormat/>
    <w:uiPriority w:val="99"/>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000FF"/>
      <w:u w:val="single"/>
    </w:rPr>
  </w:style>
  <w:style w:type="character" w:styleId="18">
    <w:name w:val="annotation reference"/>
    <w:basedOn w:val="16"/>
    <w:qFormat/>
    <w:uiPriority w:val="0"/>
    <w:rPr>
      <w:sz w:val="21"/>
      <w:szCs w:val="21"/>
    </w:rPr>
  </w:style>
  <w:style w:type="paragraph" w:styleId="19">
    <w:name w:val="List Paragraph"/>
    <w:basedOn w:val="1"/>
    <w:qFormat/>
    <w:uiPriority w:val="34"/>
    <w:pPr>
      <w:ind w:firstLine="420" w:firstLineChars="200"/>
    </w:pPr>
  </w:style>
  <w:style w:type="character" w:customStyle="1" w:styleId="20">
    <w:name w:val="标题 1 字符"/>
    <w:link w:val="3"/>
    <w:qFormat/>
    <w:uiPriority w:val="0"/>
    <w:rPr>
      <w:b/>
      <w:kern w:val="44"/>
      <w:sz w:val="30"/>
    </w:rPr>
  </w:style>
  <w:style w:type="paragraph" w:customStyle="1" w:styleId="21">
    <w:name w:val="Table Paragraph"/>
    <w:basedOn w:val="1"/>
    <w:qFormat/>
    <w:uiPriority w:val="1"/>
  </w:style>
  <w:style w:type="paragraph" w:customStyle="1" w:styleId="22">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5">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6">
    <w:name w:val="NormalCharacter"/>
    <w:semiHidden/>
    <w:qFormat/>
    <w:uiPriority w:val="0"/>
    <w:rPr>
      <w:rFonts w:eastAsia="宋体" w:asciiTheme="minorHAnsi" w:hAnsiTheme="minorHAnsi" w:cstheme="minorBidi"/>
      <w:kern w:val="2"/>
      <w:sz w:val="21"/>
      <w:szCs w:val="24"/>
      <w:lang w:val="en-US" w:eastAsia="zh-CN" w:bidi="ar-SA"/>
    </w:rPr>
  </w:style>
  <w:style w:type="character" w:customStyle="1" w:styleId="27">
    <w:name w:val="批注框文本 字符"/>
    <w:basedOn w:val="16"/>
    <w:link w:val="10"/>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33587</Words>
  <Characters>34537</Characters>
  <Lines>264</Lines>
  <Paragraphs>74</Paragraphs>
  <TotalTime>2</TotalTime>
  <ScaleCrop>false</ScaleCrop>
  <LinksUpToDate>false</LinksUpToDate>
  <CharactersWithSpaces>36218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2022-05-23T04:07:00Z</dcterms:created>
  <dc:creator>国顺-陈锦涛</dc:creator>
  <cp:lastModifiedBy>国顺招标-陈锦涛</cp:lastModifiedBy>
  <dcterms:modified xsi:type="dcterms:W3CDTF">2022-06-08T09:32:04Z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BEC1747966B947A9A0A85D9473EA0143</vt:lpwstr>
  </property>
</Properties>
</file>