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7942"/>
      <w:bookmarkStart w:id="1" w:name="_Toc16489"/>
      <w:bookmarkStart w:id="2" w:name="_Toc7243"/>
      <w:bookmarkStart w:id="3" w:name="_Toc25865"/>
      <w:r>
        <w:rPr>
          <w:rFonts w:hint="eastAsia"/>
          <w:b/>
          <w:bCs/>
          <w:color w:val="auto"/>
          <w:sz w:val="52"/>
          <w:szCs w:val="72"/>
          <w:highlight w:val="none"/>
          <w:lang w:val="en-US" w:eastAsia="zh-CN"/>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20638"/>
      <w:bookmarkStart w:id="5" w:name="_Toc15158"/>
      <w:bookmarkStart w:id="6" w:name="_Toc8734"/>
      <w:bookmarkStart w:id="7" w:name="_Toc9385"/>
      <w:r>
        <w:rPr>
          <w:rFonts w:hint="eastAsia"/>
          <w:b/>
          <w:bCs/>
          <w:color w:val="auto"/>
          <w:sz w:val="52"/>
          <w:szCs w:val="72"/>
          <w:highlight w:val="none"/>
          <w:lang w:val="en-US" w:eastAsia="zh-CN"/>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default" w:ascii="黑体" w:hAnsi="黑体" w:eastAsia="黑体" w:cs="黑体"/>
                <w:color w:val="auto"/>
                <w:sz w:val="30"/>
                <w:szCs w:val="30"/>
                <w:highlight w:val="none"/>
                <w:vertAlign w:val="baseline"/>
                <w:lang w:val="en-US" w:eastAsia="zh-CN"/>
              </w:rPr>
              <w:t>中坑工业大厦1600kVA变压器安装工程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default" w:ascii="黑体" w:hAnsi="黑体" w:eastAsia="黑体" w:cs="黑体"/>
                <w:color w:val="auto"/>
                <w:sz w:val="30"/>
                <w:szCs w:val="30"/>
                <w:highlight w:val="none"/>
                <w:vertAlign w:val="baseline"/>
                <w:lang w:val="en-US" w:eastAsia="zh-CN"/>
              </w:rPr>
              <w:t>GSDG2022-015B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default" w:ascii="黑体" w:hAnsi="黑体" w:eastAsia="黑体" w:cs="黑体"/>
                <w:color w:val="auto"/>
                <w:sz w:val="30"/>
                <w:szCs w:val="30"/>
                <w:highlight w:val="none"/>
                <w:vertAlign w:val="baseline"/>
                <w:lang w:val="en-US" w:eastAsia="zh-CN"/>
              </w:rPr>
              <w:t>东莞市石排镇中坑股份经济联合社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国顺招标有限公司</w:t>
            </w:r>
          </w:p>
        </w:tc>
      </w:tr>
    </w:tbl>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eastAsia"/>
          <w:color w:val="auto"/>
          <w:sz w:val="24"/>
          <w:szCs w:val="32"/>
          <w:highlight w:val="none"/>
          <w:lang w:val="en-US" w:eastAsia="zh-CN"/>
        </w:rPr>
      </w:pPr>
    </w:p>
    <w:p>
      <w:pPr>
        <w:bidi w:val="0"/>
        <w:jc w:val="center"/>
        <w:rPr>
          <w:rFonts w:hint="eastAsia"/>
          <w:color w:val="auto"/>
          <w:sz w:val="24"/>
          <w:szCs w:val="32"/>
          <w:highlight w:val="none"/>
          <w:lang w:val="en-US" w:eastAsia="zh-CN"/>
        </w:rPr>
      </w:pPr>
    </w:p>
    <w:p>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17050"/>
      <w:bookmarkStart w:id="9" w:name="_Toc18278"/>
      <w:bookmarkStart w:id="10" w:name="_Toc4164"/>
      <w:bookmarkStart w:id="11" w:name="_Toc5265"/>
      <w:r>
        <w:rPr>
          <w:rFonts w:hint="eastAsia" w:ascii="黑体" w:hAnsi="黑体" w:eastAsia="黑体" w:cs="黑体"/>
          <w:color w:val="auto"/>
          <w:sz w:val="30"/>
          <w:szCs w:val="30"/>
          <w:highlight w:val="none"/>
          <w:lang w:val="en-US" w:eastAsia="zh-CN"/>
        </w:rPr>
        <w:t>2022年7月25日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pPr>
            <w:pStyle w:val="12"/>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33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61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63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pPr>
        <w:pStyle w:val="3"/>
        <w:numPr>
          <w:ilvl w:val="0"/>
          <w:numId w:val="1"/>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default" w:ascii="宋体" w:hAnsi="宋体" w:cs="宋体"/>
          <w:b/>
          <w:bCs/>
          <w:color w:val="auto"/>
          <w:sz w:val="21"/>
          <w:szCs w:val="21"/>
          <w:highlight w:val="none"/>
          <w:u w:val="single"/>
          <w:lang w:val="en-US" w:eastAsia="zh-CN"/>
        </w:rPr>
        <w:t>中坑工业大厦1600kVA变压器安装工程</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eastAsia="宋体" w:cs="宋体"/>
          <w:b/>
          <w:bCs/>
          <w:color w:val="auto"/>
          <w:sz w:val="21"/>
          <w:szCs w:val="21"/>
          <w:highlight w:val="none"/>
          <w:u w:val="single"/>
          <w:lang w:val="en-US" w:eastAsia="zh-CN"/>
        </w:rPr>
        <w:t>13A01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eastAsia="宋体" w:cs="宋体"/>
          <w:b/>
          <w:bCs/>
          <w:color w:val="auto"/>
          <w:sz w:val="21"/>
          <w:szCs w:val="21"/>
          <w:highlight w:val="none"/>
          <w:u w:val="single"/>
          <w:lang w:val="en-US" w:eastAsia="zh-CN"/>
        </w:rPr>
        <w:t>2022</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8</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35393790"/>
      <w:bookmarkStart w:id="14" w:name="_Toc2169"/>
      <w:bookmarkStart w:id="15" w:name="_Toc31624"/>
      <w:bookmarkStart w:id="16" w:name="_Toc26796"/>
      <w:bookmarkStart w:id="17" w:name="_Toc28359079"/>
      <w:bookmarkStart w:id="18" w:name="_Toc28359002"/>
      <w:bookmarkStart w:id="19" w:name="_Toc13782"/>
      <w:bookmarkStart w:id="20" w:name="_Toc35393621"/>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default" w:ascii="宋体" w:hAnsi="宋体" w:cs="宋体"/>
          <w:color w:val="auto"/>
          <w:sz w:val="21"/>
          <w:szCs w:val="21"/>
          <w:highlight w:val="none"/>
          <w:lang w:val="en-US" w:eastAsia="zh-CN"/>
        </w:rPr>
        <w:t>GSDG2022-015B</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default" w:ascii="宋体" w:hAnsi="宋体" w:cs="宋体"/>
          <w:color w:val="auto"/>
          <w:sz w:val="21"/>
          <w:szCs w:val="21"/>
          <w:highlight w:val="none"/>
          <w:lang w:val="en-US" w:eastAsia="zh-CN"/>
        </w:rPr>
        <w:t>中坑工业大厦1600kVA变压器安装工程</w:t>
      </w:r>
    </w:p>
    <w:bookmarkEnd w:id="21"/>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¥944,700.90元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w:t>
      </w:r>
      <w:r>
        <w:rPr>
          <w:rFonts w:hint="eastAsia" w:ascii="宋体" w:hAnsi="宋体" w:cs="宋体"/>
          <w:b/>
          <w:bCs/>
          <w:color w:val="auto"/>
          <w:sz w:val="21"/>
          <w:szCs w:val="21"/>
          <w:highlight w:val="none"/>
          <w:lang w:val="en-US" w:eastAsia="zh-CN"/>
        </w:rPr>
        <w:t>¥878,571.83元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pPr>
        <w:pageBreakBefore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4"/>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5477"/>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5477" w:type="dxa"/>
            <w:noWrap w:val="0"/>
            <w:vAlign w:val="center"/>
          </w:tcPr>
          <w:p>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c>
          <w:tcPr>
            <w:tcW w:w="2525" w:type="dxa"/>
            <w:noWrap w:val="0"/>
            <w:vAlign w:val="center"/>
          </w:tcPr>
          <w:p>
            <w:pPr>
              <w:spacing w:line="360" w:lineRule="auto"/>
              <w:jc w:val="center"/>
              <w:rPr>
                <w:rFonts w:hint="eastAsia" w:hAnsi="宋体"/>
                <w:b/>
                <w:color w:val="auto"/>
                <w:sz w:val="21"/>
                <w:szCs w:val="21"/>
                <w:highlight w:val="none"/>
              </w:rPr>
            </w:pPr>
            <w:r>
              <w:rPr>
                <w:rFonts w:hint="eastAsia" w:hAnsi="宋体"/>
                <w:b/>
                <w:color w:val="auto"/>
                <w:sz w:val="21"/>
                <w:szCs w:val="21"/>
                <w:highlight w:val="none"/>
                <w:lang w:val="en-US" w:eastAsia="zh-CN"/>
              </w:rPr>
              <w:t>完工</w:t>
            </w:r>
            <w:r>
              <w:rPr>
                <w:rFonts w:hint="eastAsia" w:hAnsi="宋体"/>
                <w:b/>
                <w:color w:val="auto"/>
                <w:sz w:val="21"/>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044" w:type="dxa"/>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5477" w:type="dxa"/>
            <w:noWrap w:val="0"/>
            <w:vAlign w:val="center"/>
          </w:tcPr>
          <w:p>
            <w:pPr>
              <w:spacing w:line="360" w:lineRule="auto"/>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中坑工业大厦1600kVA变压器安装工程采购一项</w:t>
            </w:r>
          </w:p>
        </w:tc>
        <w:tc>
          <w:tcPr>
            <w:tcW w:w="2525" w:type="dxa"/>
            <w:noWrap w:val="0"/>
            <w:vAlign w:val="center"/>
          </w:tcPr>
          <w:p>
            <w:pPr>
              <w:spacing w:line="360" w:lineRule="auto"/>
              <w:jc w:val="center"/>
              <w:rPr>
                <w:rFonts w:hint="default" w:hAnsi="宋体" w:eastAsia="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30天</w:t>
            </w:r>
            <w:r>
              <w:rPr>
                <w:rFonts w:hint="eastAsia" w:ascii="宋体" w:hAnsi="宋体" w:eastAsia="宋体" w:cs="宋体"/>
                <w:b w:val="0"/>
                <w:bCs/>
                <w:color w:val="auto"/>
                <w:kern w:val="2"/>
                <w:sz w:val="21"/>
                <w:szCs w:val="21"/>
                <w:highlight w:val="none"/>
                <w:lang w:val="en-US" w:eastAsia="zh-CN" w:bidi="ar-SA"/>
              </w:rPr>
              <w:t>内完成（包括供货、施工、安装、调试、验收工作）。</w:t>
            </w:r>
          </w:p>
        </w:tc>
      </w:tr>
    </w:tbl>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合同履行期限：</w:t>
      </w: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30天</w:t>
      </w:r>
      <w:r>
        <w:rPr>
          <w:rFonts w:hint="eastAsia" w:ascii="宋体" w:hAnsi="宋体" w:eastAsia="宋体" w:cs="宋体"/>
          <w:b w:val="0"/>
          <w:bCs/>
          <w:color w:val="auto"/>
          <w:kern w:val="2"/>
          <w:sz w:val="21"/>
          <w:szCs w:val="21"/>
          <w:highlight w:val="none"/>
          <w:lang w:val="en-US" w:eastAsia="zh-CN" w:bidi="ar-SA"/>
        </w:rPr>
        <w:t>内完成（包括供货、施工、安装、调试、验收工作）。</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28359080"/>
      <w:bookmarkStart w:id="23" w:name="_Toc35393622"/>
      <w:bookmarkStart w:id="24" w:name="_Toc28625"/>
      <w:bookmarkStart w:id="25" w:name="_Toc25198"/>
      <w:bookmarkStart w:id="26" w:name="_Toc31691"/>
      <w:bookmarkStart w:id="27" w:name="_Toc35393791"/>
      <w:bookmarkStart w:id="28" w:name="_Toc28359003"/>
      <w:bookmarkStart w:id="29" w:name="_Toc13371"/>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7315"/>
      <w:bookmarkStart w:id="31" w:name="_Toc16211"/>
      <w:bookmarkStart w:id="32" w:name="_Toc8265"/>
      <w:bookmarkStart w:id="33" w:name="_Toc29919"/>
      <w:bookmarkStart w:id="34" w:name="_Toc28359004"/>
      <w:bookmarkStart w:id="35" w:name="_Toc28359081"/>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color w:val="auto"/>
          <w:sz w:val="20"/>
          <w:szCs w:val="24"/>
          <w:highlight w:val="none"/>
          <w:lang w:eastAsia="zh-CN"/>
        </w:rPr>
      </w:pPr>
      <w:r>
        <w:rPr>
          <w:rFonts w:hint="eastAsia" w:ascii="宋体" w:hAnsi="宋体" w:eastAsia="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（提供2020年度</w:t>
      </w:r>
      <w:r>
        <w:rPr>
          <w:rFonts w:hint="eastAsia" w:ascii="宋体" w:hAnsi="宋体"/>
          <w:color w:val="auto"/>
          <w:sz w:val="21"/>
          <w:szCs w:val="21"/>
          <w:highlight w:val="none"/>
          <w:lang w:val="en-US" w:eastAsia="zh-CN"/>
        </w:rPr>
        <w:t>或2021年度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bookmarkStart w:id="365" w:name="_GoBack"/>
      <w:bookmarkEnd w:id="365"/>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信用记录：</w:t>
      </w:r>
      <w:r>
        <w:rPr>
          <w:rFonts w:hint="eastAsia" w:ascii="宋体" w:hAnsi="宋体" w:eastAsia="宋体"/>
          <w:color w:val="auto"/>
          <w:sz w:val="21"/>
          <w:szCs w:val="21"/>
          <w:highlight w:val="none"/>
        </w:rPr>
        <w:t>供应商未被列入“信用中国”网站(www.creditchina.gov.cn)“记录失信被执行人或</w:t>
      </w:r>
      <w:r>
        <w:rPr>
          <w:rFonts w:hint="eastAsia" w:ascii="宋体" w:hAnsi="宋体"/>
          <w:color w:val="auto"/>
          <w:sz w:val="21"/>
          <w:szCs w:val="21"/>
          <w:highlight w:val="none"/>
          <w:lang w:eastAsia="zh-CN"/>
        </w:rPr>
        <w:t>税收违法黑名单</w:t>
      </w:r>
      <w:r>
        <w:rPr>
          <w:rFonts w:hint="eastAsia" w:ascii="宋体" w:hAnsi="宋体" w:eastAsia="宋体"/>
          <w:color w:val="auto"/>
          <w:sz w:val="21"/>
          <w:szCs w:val="21"/>
          <w:highlight w:val="none"/>
        </w:rPr>
        <w:t>”记录名单；不处于中国政府采购网(www.ccgp.gov.cn)“政府采购严重违法失信行为信息记录”中的禁止参加政府采购活动期间。（以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于投标截止时间当天在“信用中国”网站（www.creditchina.gov.cn）及中国政府采购网（http://www.ccgp.gov.cn/）查询结果为准，如相关失信记录已失效，供应商需提供相关证明资料）。</w:t>
      </w:r>
      <w:r>
        <w:rPr>
          <w:rFonts w:hint="eastAsia" w:ascii="宋体" w:hAnsi="宋体" w:eastAsia="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）供应商必须符合法律、行政法规规定的其他条件：单位负责人为同一人或者存在直接控股、管理关系的不同供应商，不得同时参加本采购项目投标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。为本项目提供整体设计、规范编制或者项目管理、监理、检测等服务的供应商，不得再参与本项目投标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26119"/>
      <w:bookmarkStart w:id="37" w:name="_Toc4071"/>
      <w:bookmarkStart w:id="38" w:name="_Toc16617"/>
      <w:bookmarkStart w:id="39" w:name="_Toc18344"/>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i/>
          <w:iCs/>
          <w:color w:val="auto"/>
          <w:sz w:val="21"/>
          <w:szCs w:val="21"/>
          <w:highlight w:val="none"/>
          <w:u w:val="single"/>
        </w:rPr>
      </w:pPr>
      <w:r>
        <w:rPr>
          <w:rFonts w:hint="eastAsia" w:ascii="宋体" w:hAnsi="宋体" w:eastAsia="宋体"/>
          <w:color w:val="auto"/>
          <w:sz w:val="21"/>
          <w:szCs w:val="21"/>
          <w:highlight w:val="none"/>
        </w:rPr>
        <w:t>（1）具有《承装（修）、试电力设施许可证》证书，或送（输）变电工程专业承包企业资质，或电力工程施工总承包资质证书</w:t>
      </w:r>
      <w:r>
        <w:rPr>
          <w:rFonts w:hint="eastAsia" w:ascii="宋体" w:hAnsi="宋体" w:eastAsia="宋体"/>
          <w:color w:val="auto"/>
          <w:sz w:val="21"/>
          <w:szCs w:val="21"/>
          <w:highlight w:val="none"/>
          <w:lang w:eastAsia="zh-CN"/>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35393792"/>
      <w:bookmarkStart w:id="41" w:name="_Toc173"/>
      <w:bookmarkStart w:id="42" w:name="_Toc35393623"/>
      <w:bookmarkStart w:id="43" w:name="_Toc2137"/>
      <w:bookmarkStart w:id="44" w:name="_Toc18578"/>
      <w:bookmarkStart w:id="45" w:name="_Toc27443"/>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项目公示时间：2022年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日起至2022年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lang w:eastAsia="zh-CN"/>
        </w:rPr>
        <w:t>日</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时间：2022年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日起至2022年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eastAsia="宋体" w:cs="宋体"/>
          <w:color w:val="auto"/>
          <w:sz w:val="21"/>
          <w:szCs w:val="21"/>
          <w:highlight w:val="none"/>
          <w:lang w:val="en-US" w:eastAsia="zh-CN"/>
        </w:rPr>
        <w:t>13A01</w:t>
      </w:r>
      <w:r>
        <w:rPr>
          <w:rFonts w:hint="eastAsia" w:ascii="宋体" w:hAnsi="宋体" w:eastAsia="宋体" w:cs="宋体"/>
          <w:color w:val="auto"/>
          <w:sz w:val="21"/>
          <w:szCs w:val="21"/>
          <w:highlight w:val="none"/>
          <w:lang w:eastAsia="zh-CN"/>
        </w:rPr>
        <w:t>室；</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eastAsia="宋体" w:cs="宋体"/>
          <w:color w:val="auto"/>
          <w:sz w:val="21"/>
          <w:szCs w:val="21"/>
          <w:highlight w:val="none"/>
          <w:lang w:val="en-US" w:eastAsia="zh-CN"/>
        </w:rPr>
        <w:t>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05"/>
      <w:bookmarkStart w:id="47" w:name="_Toc28359082"/>
      <w:bookmarkStart w:id="48" w:name="_Toc28585"/>
      <w:bookmarkStart w:id="49" w:name="_Toc10322"/>
      <w:bookmarkStart w:id="50" w:name="_Toc35393793"/>
      <w:bookmarkStart w:id="51" w:name="_Toc35393624"/>
      <w:bookmarkStart w:id="52" w:name="_Toc27404"/>
      <w:bookmarkStart w:id="53" w:name="_Toc28435"/>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2022</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olor w:val="auto"/>
          <w:sz w:val="21"/>
          <w:szCs w:val="21"/>
          <w:highlight w:val="none"/>
        </w:rPr>
        <w:t>东莞市石排镇人民政府(石排大道497号)原市民办事中心二楼集体资产交易中心</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17857"/>
      <w:bookmarkStart w:id="55" w:name="_Toc35393625"/>
      <w:bookmarkStart w:id="56" w:name="_Toc1202"/>
      <w:bookmarkStart w:id="57" w:name="_Toc35393794"/>
      <w:bookmarkStart w:id="58" w:name="_Toc26299"/>
      <w:bookmarkStart w:id="59" w:name="_Toc25695"/>
      <w:bookmarkStart w:id="60" w:name="_Toc28359007"/>
      <w:bookmarkStart w:id="61" w:name="_Toc28359084"/>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35393795"/>
      <w:bookmarkStart w:id="63" w:name="_Toc9116"/>
      <w:bookmarkStart w:id="64" w:name="_Toc35393626"/>
      <w:bookmarkStart w:id="65" w:name="_Toc1519"/>
      <w:bookmarkStart w:id="66" w:name="_Toc25010"/>
      <w:bookmarkStart w:id="67" w:name="_Toc6612"/>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35393796"/>
      <w:bookmarkStart w:id="69" w:name="_Toc28359085"/>
      <w:bookmarkStart w:id="70" w:name="_Toc35393627"/>
      <w:bookmarkStart w:id="71" w:name="_Toc28359008"/>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rPr>
        <w:t>中国采购与招标网（http://www.chinabidding.com.cn/）</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8358"/>
      <w:bookmarkStart w:id="73" w:name="_Toc12281"/>
      <w:bookmarkStart w:id="74" w:name="_Toc5139"/>
      <w:bookmarkStart w:id="75" w:name="_Toc22586"/>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7403"/>
      <w:bookmarkStart w:id="77" w:name="_Toc30615"/>
      <w:bookmarkStart w:id="78" w:name="_Toc30277"/>
      <w:bookmarkStart w:id="79" w:name="_Toc31577"/>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default" w:ascii="宋体" w:hAnsi="宋体" w:cs="宋体"/>
          <w:color w:val="auto"/>
          <w:sz w:val="21"/>
          <w:szCs w:val="21"/>
          <w:highlight w:val="none"/>
          <w:u w:val="none"/>
          <w:lang w:val="en-US" w:eastAsia="zh-CN"/>
        </w:rPr>
        <w:t>东莞市石排镇中坑股份经济联合社</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cs="宋体"/>
          <w:color w:val="auto"/>
          <w:sz w:val="21"/>
          <w:szCs w:val="21"/>
          <w:highlight w:val="none"/>
          <w:u w:val="none"/>
          <w:lang w:val="en-US" w:eastAsia="zh-CN"/>
        </w:rPr>
        <w:t>东莞市</w:t>
      </w:r>
      <w:r>
        <w:rPr>
          <w:rFonts w:hint="default" w:ascii="宋体" w:hAnsi="宋体" w:cs="宋体"/>
          <w:color w:val="auto"/>
          <w:sz w:val="21"/>
          <w:szCs w:val="21"/>
          <w:highlight w:val="none"/>
          <w:u w:val="none"/>
          <w:lang w:val="en-US" w:eastAsia="zh-CN"/>
        </w:rPr>
        <w:t>石排镇</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联系人：王先生</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r>
        <w:rPr>
          <w:rFonts w:hint="eastAsia"/>
          <w:color w:val="auto"/>
          <w:highlight w:val="none"/>
        </w:rPr>
        <w:t>0769-86523855</w:t>
      </w:r>
      <w:r>
        <w:rPr>
          <w:rFonts w:hint="eastAsia" w:ascii="宋体" w:hAnsi="宋体" w:eastAsia="宋体" w:cs="宋体"/>
          <w:color w:val="auto"/>
          <w:sz w:val="21"/>
          <w:szCs w:val="21"/>
          <w:highlight w:val="none"/>
          <w:u w:val="none"/>
        </w:rPr>
        <w:t xml:space="preserve">　　　　　　　　　　　 </w:t>
      </w:r>
      <w:bookmarkStart w:id="80" w:name="_Toc28359009"/>
      <w:bookmarkStart w:id="81" w:name="_Toc28359086"/>
    </w:p>
    <w:p>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10880"/>
      <w:bookmarkStart w:id="83" w:name="_Toc11561"/>
      <w:bookmarkStart w:id="84" w:name="_Toc4580"/>
      <w:bookmarkStart w:id="85" w:name="_Toc25259"/>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eastAsia="宋体" w:cs="宋体"/>
          <w:color w:val="auto"/>
          <w:sz w:val="21"/>
          <w:szCs w:val="21"/>
          <w:highlight w:val="none"/>
          <w:lang w:val="en-US" w:eastAsia="zh-CN"/>
        </w:rPr>
        <w:t>13A01</w:t>
      </w:r>
      <w:r>
        <w:rPr>
          <w:rFonts w:hint="eastAsia" w:ascii="宋体" w:hAnsi="宋体" w:eastAsia="宋体" w:cs="宋体"/>
          <w:color w:val="auto"/>
          <w:sz w:val="21"/>
          <w:szCs w:val="21"/>
          <w:highlight w:val="none"/>
          <w:lang w:eastAsia="zh-CN"/>
        </w:rPr>
        <w:t>室</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10"/>
      <w:bookmarkStart w:id="87" w:name="_Toc28359087"/>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15543"/>
      <w:bookmarkStart w:id="89" w:name="_Toc9440"/>
      <w:bookmarkStart w:id="90" w:name="_Toc28659"/>
      <w:bookmarkStart w:id="91" w:name="_Toc18257"/>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pPr>
        <w:pStyle w:val="9"/>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pPr>
        <w:pStyle w:val="9"/>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bookmarkStart w:id="92" w:name="_Toc26573"/>
      <w:r>
        <w:rPr>
          <w:rFonts w:hint="eastAsia"/>
          <w:color w:val="auto"/>
          <w:highlight w:val="none"/>
          <w:lang w:val="en-US" w:eastAsia="zh-CN"/>
        </w:rPr>
        <w:t>供应商须知</w:t>
      </w:r>
      <w:bookmarkEnd w:id="92"/>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497983494"/>
      <w:bookmarkStart w:id="94" w:name="_Toc30510"/>
      <w:bookmarkStart w:id="95" w:name="_Toc413402429"/>
      <w:bookmarkStart w:id="96" w:name="_Toc396137231"/>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4"/>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保证金金额：</w:t>
            </w:r>
            <w:r>
              <w:rPr>
                <w:rFonts w:hint="eastAsia"/>
                <w:b/>
                <w:bCs/>
                <w:color w:val="auto"/>
                <w:highlight w:val="none"/>
                <w:lang w:val="en-US" w:eastAsia="zh-CN"/>
              </w:rPr>
              <w:t>/</w:t>
            </w:r>
            <w:r>
              <w:rPr>
                <w:rFonts w:hint="eastAsia"/>
                <w:color w:val="auto"/>
                <w:highlight w:val="none"/>
              </w:rPr>
              <w:t>。</w:t>
            </w:r>
          </w:p>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保证金账户：</w:t>
            </w:r>
          </w:p>
          <w:p>
            <w:pPr>
              <w:autoSpaceDE/>
              <w:autoSpaceDN/>
              <w:adjustRightInd/>
              <w:spacing w:line="360" w:lineRule="auto"/>
              <w:jc w:val="both"/>
              <w:rPr>
                <w:rFonts w:hint="default"/>
                <w:color w:val="auto"/>
                <w:highlight w:val="none"/>
                <w:lang w:val="en-US" w:eastAsia="zh-CN"/>
              </w:rPr>
            </w:pPr>
            <w:r>
              <w:rPr>
                <w:rFonts w:hint="eastAsia"/>
                <w:color w:val="auto"/>
                <w:highlight w:val="none"/>
              </w:rPr>
              <w:t>开户名称：</w:t>
            </w:r>
            <w:r>
              <w:rPr>
                <w:rFonts w:hint="eastAsia"/>
                <w:color w:val="auto"/>
                <w:highlight w:val="none"/>
                <w:lang w:val="en-US" w:eastAsia="zh-CN"/>
              </w:rPr>
              <w:t>国顺招标有限公司</w:t>
            </w:r>
          </w:p>
          <w:p>
            <w:pPr>
              <w:autoSpaceDE/>
              <w:autoSpaceDN/>
              <w:adjustRightInd/>
              <w:spacing w:line="360" w:lineRule="auto"/>
              <w:jc w:val="both"/>
              <w:rPr>
                <w:rFonts w:hint="eastAsia"/>
                <w:color w:val="auto"/>
                <w:highlight w:val="none"/>
              </w:rPr>
            </w:pPr>
            <w:r>
              <w:rPr>
                <w:rFonts w:hint="eastAsia"/>
                <w:color w:val="auto"/>
                <w:highlight w:val="none"/>
              </w:rPr>
              <w:t>开户银行：广发银行股份有限公司东莞城区支行</w:t>
            </w:r>
          </w:p>
          <w:p>
            <w:pPr>
              <w:autoSpaceDE/>
              <w:autoSpaceDN/>
              <w:adjustRightInd/>
              <w:spacing w:line="360" w:lineRule="auto"/>
              <w:jc w:val="both"/>
              <w:rPr>
                <w:rFonts w:hint="eastAsia"/>
                <w:color w:val="auto"/>
                <w:highlight w:val="none"/>
              </w:rPr>
            </w:pPr>
            <w:r>
              <w:rPr>
                <w:rFonts w:hint="eastAsia"/>
                <w:color w:val="auto"/>
                <w:highlight w:val="none"/>
              </w:rPr>
              <w:t>账号</w:t>
            </w:r>
            <w:r>
              <w:rPr>
                <w:rFonts w:hint="eastAsia" w:ascii="宋体" w:hAnsi="宋体" w:eastAsia="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rPr>
              <w:t>中国采购与招标网</w:t>
            </w:r>
            <w:r>
              <w:rPr>
                <w:rFonts w:hint="eastAsia" w:ascii="宋体" w:hAnsi="宋体" w:eastAsia="宋体" w:cs="宋体"/>
                <w:color w:val="auto"/>
                <w:kern w:val="2"/>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如有需要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合同金额的5%。</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3"/>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服务费最低收费标准为伍仟元整。</w:t>
            </w:r>
          </w:p>
          <w:p>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pPr>
              <w:numPr>
                <w:ilvl w:val="0"/>
                <w:numId w:val="0"/>
              </w:numPr>
              <w:spacing w:line="360" w:lineRule="auto"/>
              <w:rPr>
                <w:rFonts w:hint="eastAsia"/>
                <w:color w:val="auto"/>
                <w:highlight w:val="none"/>
              </w:rPr>
            </w:pPr>
            <w:r>
              <w:rPr>
                <w:rFonts w:hint="eastAsia" w:eastAsia="宋体"/>
                <w:color w:val="auto"/>
                <w:highlight w:val="none"/>
              </w:rPr>
              <w:t>账　　</w:t>
            </w:r>
            <w:r>
              <w:rPr>
                <w:rFonts w:hint="eastAsia" w:ascii="宋体" w:hAnsi="宋体" w:eastAsia="宋体" w:cs="宋体"/>
                <w:color w:val="auto"/>
                <w:highlight w:val="none"/>
              </w:rPr>
              <w:t>号：9550882021051988873</w:t>
            </w:r>
          </w:p>
        </w:tc>
      </w:tr>
    </w:tbl>
    <w:p>
      <w:pPr>
        <w:rPr>
          <w:rFonts w:hint="default"/>
          <w:color w:val="auto"/>
          <w:highlight w:val="none"/>
          <w:lang w:val="en-US" w:eastAsia="zh-CN"/>
        </w:rPr>
      </w:pPr>
      <w:r>
        <w:rPr>
          <w:rFonts w:hint="default"/>
          <w:color w:val="auto"/>
          <w:highlight w:val="none"/>
          <w:lang w:val="en-US" w:eastAsia="zh-CN"/>
        </w:rPr>
        <w:br w:type="page"/>
      </w:r>
    </w:p>
    <w:p>
      <w:pPr>
        <w:pStyle w:val="4"/>
        <w:numPr>
          <w:ilvl w:val="0"/>
          <w:numId w:val="4"/>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pPr>
        <w:pStyle w:val="5"/>
        <w:bidi w:val="0"/>
        <w:rPr>
          <w:color w:val="auto"/>
          <w:highlight w:val="none"/>
          <w:lang w:val="en-US" w:eastAsia="zh-CN"/>
        </w:rPr>
      </w:pPr>
      <w:bookmarkStart w:id="98" w:name="_Toc10658"/>
      <w:bookmarkStart w:id="99" w:name="_Toc30834"/>
      <w:bookmarkStart w:id="100" w:name="_Toc8083"/>
      <w:r>
        <w:rPr>
          <w:rFonts w:hint="eastAsia"/>
          <w:color w:val="auto"/>
          <w:highlight w:val="none"/>
          <w:lang w:val="en-US" w:eastAsia="zh-CN"/>
        </w:rPr>
        <w:t>1.适用范围</w:t>
      </w:r>
      <w:bookmarkEnd w:id="98"/>
      <w:bookmarkEnd w:id="99"/>
      <w:bookmarkEnd w:id="100"/>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1" w:name="_Toc7271"/>
      <w:bookmarkStart w:id="102" w:name="_Toc25237"/>
      <w:bookmarkStart w:id="103" w:name="_Toc720"/>
      <w:r>
        <w:rPr>
          <w:rFonts w:hint="eastAsia" w:eastAsia="宋体"/>
          <w:color w:val="auto"/>
          <w:highlight w:val="none"/>
          <w:lang w:val="en-US" w:eastAsia="zh-CN"/>
        </w:rPr>
        <w:t>2.</w:t>
      </w:r>
      <w:bookmarkStart w:id="104" w:name="_Toc303084246"/>
      <w:bookmarkStart w:id="105" w:name="_Toc298847174"/>
      <w:bookmarkStart w:id="106" w:name="_Toc1530"/>
      <w:bookmarkStart w:id="107" w:name="_Toc382049092"/>
      <w:r>
        <w:rPr>
          <w:rFonts w:hint="eastAsia" w:eastAsia="宋体"/>
          <w:color w:val="auto"/>
          <w:highlight w:val="none"/>
          <w:lang w:val="en-US" w:eastAsia="zh-CN"/>
        </w:rPr>
        <w:t>定义</w:t>
      </w:r>
      <w:bookmarkEnd w:id="101"/>
      <w:bookmarkEnd w:id="102"/>
      <w:bookmarkEnd w:id="103"/>
      <w:bookmarkEnd w:id="104"/>
      <w:bookmarkEnd w:id="105"/>
      <w:bookmarkEnd w:id="106"/>
      <w:bookmarkEnd w:id="10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8" w:name="_Toc9030"/>
      <w:bookmarkStart w:id="109" w:name="_Toc24019"/>
      <w:bookmarkStart w:id="110" w:name="_Toc30379"/>
      <w:r>
        <w:rPr>
          <w:rFonts w:hint="eastAsia" w:eastAsia="宋体"/>
          <w:color w:val="auto"/>
          <w:highlight w:val="none"/>
          <w:lang w:val="en-US" w:eastAsia="zh-CN"/>
        </w:rPr>
        <w:t>3.货物和服务</w:t>
      </w:r>
      <w:bookmarkEnd w:id="108"/>
      <w:bookmarkEnd w:id="109"/>
      <w:bookmarkEnd w:id="11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12" w:name="_Toc14543"/>
      <w:bookmarkStart w:id="113" w:name="_Toc8119"/>
      <w:bookmarkStart w:id="114" w:name="_Toc18277"/>
      <w:r>
        <w:rPr>
          <w:rFonts w:hint="eastAsia" w:eastAsia="宋体"/>
          <w:color w:val="auto"/>
          <w:highlight w:val="none"/>
          <w:lang w:val="en-US" w:eastAsia="zh-CN"/>
        </w:rPr>
        <w:t>4.响应费用</w:t>
      </w:r>
      <w:bookmarkEnd w:id="112"/>
      <w:bookmarkEnd w:id="113"/>
      <w:bookmarkEnd w:id="114"/>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5" w:name="_Toc24793"/>
      <w:bookmarkStart w:id="116" w:name="_Toc25254"/>
      <w:bookmarkStart w:id="117" w:name="_Toc32220"/>
      <w:r>
        <w:rPr>
          <w:rFonts w:hint="eastAsia" w:eastAsia="宋体"/>
          <w:color w:val="auto"/>
          <w:highlight w:val="none"/>
          <w:lang w:val="en-US" w:eastAsia="zh-CN"/>
        </w:rPr>
        <w:t>5.知识产权</w:t>
      </w:r>
      <w:bookmarkEnd w:id="115"/>
      <w:bookmarkEnd w:id="116"/>
      <w:bookmarkEnd w:id="11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8" w:name="_Toc13064"/>
      <w:bookmarkStart w:id="119" w:name="_Toc30779"/>
      <w:bookmarkStart w:id="120" w:name="_Toc31725"/>
      <w:r>
        <w:rPr>
          <w:rFonts w:hint="eastAsia" w:eastAsia="宋体"/>
          <w:color w:val="auto"/>
          <w:highlight w:val="none"/>
          <w:lang w:val="en-US" w:eastAsia="zh-CN"/>
        </w:rPr>
        <w:t>6.关于联合体</w:t>
      </w:r>
      <w:bookmarkEnd w:id="118"/>
      <w:bookmarkEnd w:id="119"/>
      <w:bookmarkEnd w:id="12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21" w:name="_Toc27755"/>
      <w:bookmarkStart w:id="122" w:name="_Toc18142"/>
      <w:bookmarkStart w:id="123" w:name="_Toc23688"/>
      <w:r>
        <w:rPr>
          <w:rFonts w:hint="eastAsia" w:eastAsia="宋体"/>
          <w:color w:val="auto"/>
          <w:highlight w:val="none"/>
          <w:lang w:val="en-US" w:eastAsia="zh-CN"/>
        </w:rPr>
        <w:t>7.关于分支机构响应</w:t>
      </w:r>
      <w:bookmarkEnd w:id="121"/>
      <w:bookmarkEnd w:id="122"/>
      <w:bookmarkEnd w:id="12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5" w:name="_Toc29774"/>
      <w:bookmarkStart w:id="126" w:name="_Toc5596"/>
      <w:bookmarkStart w:id="127" w:name="_Toc19660"/>
      <w:r>
        <w:rPr>
          <w:rFonts w:hint="eastAsia" w:eastAsia="宋体"/>
          <w:color w:val="auto"/>
          <w:highlight w:val="none"/>
          <w:lang w:val="en-US" w:eastAsia="zh-CN"/>
        </w:rPr>
        <w:t>8.磋商文件的组成</w:t>
      </w:r>
      <w:bookmarkEnd w:id="125"/>
      <w:bookmarkEnd w:id="126"/>
      <w:bookmarkEnd w:id="12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8" w:name="_Toc3812"/>
      <w:bookmarkStart w:id="129" w:name="_Toc28076"/>
      <w:bookmarkStart w:id="130" w:name="_Toc20046"/>
      <w:r>
        <w:rPr>
          <w:rFonts w:hint="eastAsia" w:eastAsia="宋体"/>
          <w:color w:val="auto"/>
          <w:highlight w:val="none"/>
          <w:lang w:val="en-US" w:eastAsia="zh-CN"/>
        </w:rPr>
        <w:t>9.磋商文件的澄清或修改</w:t>
      </w:r>
      <w:bookmarkEnd w:id="128"/>
      <w:bookmarkEnd w:id="129"/>
      <w:bookmarkEnd w:id="13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pPr>
        <w:widowControl w:val="0"/>
        <w:adjustRightInd/>
        <w:snapToGrid/>
        <w:spacing w:after="0" w:line="360" w:lineRule="exact"/>
        <w:ind w:left="567"/>
        <w:jc w:val="both"/>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1" w:name="_Toc17507"/>
      <w:bookmarkStart w:id="132" w:name="_Toc5431"/>
      <w:bookmarkStart w:id="133" w:name="_Toc28595"/>
      <w:r>
        <w:rPr>
          <w:rFonts w:hint="eastAsia" w:eastAsia="宋体"/>
          <w:color w:val="auto"/>
          <w:highlight w:val="none"/>
          <w:lang w:val="en-US" w:eastAsia="zh-CN"/>
        </w:rPr>
        <w:t>10.响应文件的语言及度量衡单位</w:t>
      </w:r>
      <w:bookmarkEnd w:id="131"/>
      <w:bookmarkEnd w:id="132"/>
      <w:bookmarkEnd w:id="13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4" w:name="_Toc303084256"/>
      <w:bookmarkStart w:id="135" w:name="_Toc25080"/>
      <w:bookmarkStart w:id="136" w:name="_Toc28866"/>
      <w:bookmarkStart w:id="137" w:name="_Toc17694"/>
      <w:bookmarkStart w:id="138" w:name="_Toc382049103"/>
      <w:bookmarkStart w:id="139" w:name="_Toc307934854"/>
      <w:bookmarkStart w:id="140" w:name="_Toc21308"/>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1" w:name="_Toc26322"/>
      <w:bookmarkStart w:id="142" w:name="_Toc28835"/>
      <w:bookmarkStart w:id="143" w:name="_Toc23396"/>
      <w:r>
        <w:rPr>
          <w:rFonts w:hint="eastAsia" w:eastAsia="宋体"/>
          <w:color w:val="auto"/>
          <w:highlight w:val="none"/>
          <w:lang w:val="en-US" w:eastAsia="zh-CN"/>
        </w:rPr>
        <w:t>12.响应文件编制</w:t>
      </w:r>
      <w:bookmarkEnd w:id="141"/>
      <w:bookmarkEnd w:id="142"/>
      <w:bookmarkEnd w:id="14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5" w:name="_Toc11253"/>
      <w:bookmarkStart w:id="146" w:name="_Toc10449"/>
      <w:bookmarkStart w:id="147" w:name="_Toc29388"/>
      <w:r>
        <w:rPr>
          <w:rFonts w:hint="eastAsia" w:eastAsia="宋体"/>
          <w:color w:val="auto"/>
          <w:highlight w:val="none"/>
          <w:lang w:val="en-US" w:eastAsia="zh-CN"/>
        </w:rPr>
        <w:t>13.响应报价说明</w:t>
      </w:r>
      <w:bookmarkEnd w:id="145"/>
      <w:bookmarkEnd w:id="146"/>
      <w:bookmarkEnd w:id="14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8" w:name="_Toc28006"/>
      <w:bookmarkStart w:id="149" w:name="_Toc29860"/>
      <w:bookmarkStart w:id="150" w:name="_Toc18749"/>
      <w:r>
        <w:rPr>
          <w:rFonts w:hint="eastAsia" w:eastAsia="宋体"/>
          <w:color w:val="auto"/>
          <w:highlight w:val="none"/>
          <w:lang w:val="en-US" w:eastAsia="zh-CN"/>
        </w:rPr>
        <w:t>14.供应商所提供的服务或货物的证明文件</w:t>
      </w:r>
      <w:bookmarkEnd w:id="148"/>
      <w:bookmarkEnd w:id="149"/>
      <w:bookmarkEnd w:id="15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bookmarkStart w:id="151" w:name="_Hlt107925638"/>
      <w:bookmarkEnd w:id="151"/>
      <w:bookmarkStart w:id="152" w:name="_Hlt10792566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pPr>
        <w:pStyle w:val="5"/>
        <w:bidi w:val="0"/>
        <w:rPr>
          <w:rFonts w:hint="eastAsia" w:eastAsia="宋体"/>
          <w:color w:val="auto"/>
          <w:highlight w:val="none"/>
          <w:lang w:val="en-US" w:eastAsia="zh-CN"/>
        </w:rPr>
      </w:pPr>
      <w:bookmarkStart w:id="153" w:name="_Toc20435"/>
      <w:bookmarkStart w:id="154" w:name="_Toc12457"/>
      <w:bookmarkStart w:id="155" w:name="_Toc4792"/>
      <w:r>
        <w:rPr>
          <w:rFonts w:hint="eastAsia" w:eastAsia="宋体"/>
          <w:color w:val="auto"/>
          <w:highlight w:val="none"/>
          <w:lang w:val="en-US" w:eastAsia="zh-CN"/>
        </w:rPr>
        <w:t>15.★响应有效期</w:t>
      </w:r>
      <w:bookmarkEnd w:id="153"/>
      <w:bookmarkEnd w:id="154"/>
      <w:bookmarkEnd w:id="15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56" w:name="_Toc20804"/>
      <w:bookmarkStart w:id="157" w:name="_Toc28431"/>
      <w:bookmarkStart w:id="158" w:name="_Toc11339"/>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59" w:name="_Ref179619405"/>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w:t>
      </w:r>
      <w:r>
        <w:rPr>
          <w:rFonts w:hint="eastAsia" w:ascii="宋体" w:hAnsi="宋体"/>
          <w:color w:val="auto"/>
          <w:kern w:val="0"/>
          <w:sz w:val="21"/>
          <w:szCs w:val="21"/>
          <w:highlight w:val="none"/>
          <w:lang w:val="en-US" w:eastAsia="zh-CN"/>
        </w:rPr>
        <w:t>文件</w:t>
      </w:r>
      <w:r>
        <w:rPr>
          <w:rFonts w:hint="eastAsia" w:ascii="宋体" w:hAnsi="宋体" w:eastAsia="宋体"/>
          <w:color w:val="auto"/>
          <w:kern w:val="0"/>
          <w:sz w:val="21"/>
          <w:szCs w:val="21"/>
          <w:highlight w:val="none"/>
        </w:rPr>
        <w:t>中规定数额及法律规定的时间按相应包号保证金金额要求一次性提交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，以多次汇入达到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bookmarkEnd w:id="159"/>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金额与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有效期与</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应一次性缴交</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规定数额的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与交款人名称必须一致</w:t>
      </w:r>
      <w:r>
        <w:rPr>
          <w:rFonts w:hint="eastAsia" w:ascii="宋体" w:hAnsi="宋体" w:eastAsia="宋体"/>
          <w:color w:val="auto"/>
          <w:kern w:val="0"/>
          <w:sz w:val="21"/>
          <w:szCs w:val="21"/>
          <w:highlight w:val="none"/>
          <w:lang w:eastAsia="zh-CN"/>
        </w:rPr>
        <w:t>（分公司响应的，其保证金可由上级公司缴纳并提供加盖公章的相关证明）</w:t>
      </w:r>
      <w:r>
        <w:rPr>
          <w:rFonts w:hint="eastAsia" w:ascii="宋体" w:hAnsi="宋体" w:eastAsia="宋体"/>
          <w:color w:val="auto"/>
          <w:kern w:val="0"/>
          <w:sz w:val="21"/>
          <w:szCs w:val="21"/>
          <w:highlight w:val="none"/>
        </w:rPr>
        <w:t>，非</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缴纳的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采用银行转账、电汇方式提交的,付至采购代理机构指定账户上。</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担保。是指由担保机构为供应商交纳</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向采购人或者采购代理机构提供的保证担保。供应商在</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内撤回</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或</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后不签订采购合同的，由担保机构按照担保函的约定履行支付</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的责任。（担保</w:t>
      </w:r>
      <w:r>
        <w:rPr>
          <w:rFonts w:hint="eastAsia" w:ascii="宋体" w:hAnsi="宋体"/>
          <w:color w:val="auto"/>
          <w:kern w:val="0"/>
          <w:sz w:val="21"/>
          <w:szCs w:val="21"/>
          <w:highlight w:val="none"/>
          <w:lang w:val="en-US" w:eastAsia="zh-CN"/>
        </w:rPr>
        <w:t>函</w:t>
      </w:r>
      <w:r>
        <w:rPr>
          <w:rFonts w:hint="eastAsia" w:ascii="宋体" w:hAnsi="宋体" w:eastAsia="宋体"/>
          <w:color w:val="auto"/>
          <w:kern w:val="0"/>
          <w:sz w:val="21"/>
          <w:szCs w:val="21"/>
          <w:highlight w:val="none"/>
        </w:rPr>
        <w:t>格式详见附件）</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rPr>
        <w:t>》提交的，应符合下列规定：</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①担保函有效期应与</w:t>
      </w:r>
      <w:r>
        <w:rPr>
          <w:rFonts w:hint="eastAsia" w:ascii="宋体" w:hAnsi="宋体" w:eastAsia="宋体"/>
          <w:b/>
          <w:color w:val="auto"/>
          <w:kern w:val="0"/>
          <w:sz w:val="21"/>
          <w:szCs w:val="21"/>
          <w:highlight w:val="none"/>
          <w:lang w:eastAsia="zh-CN"/>
        </w:rPr>
        <w:t>响应有效期</w:t>
      </w:r>
      <w:r>
        <w:rPr>
          <w:rFonts w:hint="eastAsia" w:ascii="宋体" w:hAnsi="宋体" w:eastAsia="宋体"/>
          <w:b/>
          <w:color w:val="auto"/>
          <w:kern w:val="0"/>
          <w:sz w:val="21"/>
          <w:szCs w:val="21"/>
          <w:highlight w:val="none"/>
        </w:rPr>
        <w:t>一致；</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②担保金额应与本项目的</w:t>
      </w:r>
      <w:r>
        <w:rPr>
          <w:rFonts w:hint="eastAsia" w:ascii="宋体" w:hAnsi="宋体"/>
          <w:b/>
          <w:color w:val="auto"/>
          <w:kern w:val="0"/>
          <w:sz w:val="21"/>
          <w:szCs w:val="21"/>
          <w:highlight w:val="none"/>
          <w:lang w:eastAsia="zh-CN"/>
        </w:rPr>
        <w:t>响应保证金</w:t>
      </w:r>
      <w:r>
        <w:rPr>
          <w:rFonts w:hint="eastAsia" w:ascii="宋体" w:hAnsi="宋体"/>
          <w:b/>
          <w:color w:val="auto"/>
          <w:kern w:val="0"/>
          <w:sz w:val="21"/>
          <w:szCs w:val="21"/>
          <w:highlight w:val="none"/>
          <w:lang w:val="en-US" w:eastAsia="zh-CN"/>
        </w:rPr>
        <w:t>金额</w:t>
      </w:r>
      <w:r>
        <w:rPr>
          <w:rFonts w:hint="eastAsia" w:ascii="宋体" w:hAnsi="宋体" w:eastAsia="宋体"/>
          <w:b/>
          <w:color w:val="auto"/>
          <w:kern w:val="0"/>
          <w:sz w:val="21"/>
          <w:szCs w:val="21"/>
          <w:highlight w:val="none"/>
        </w:rPr>
        <w:t>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保证金不接受现金方式（包括以存现方式）提交，未按要求提交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的将导致废标。</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的保证金在采购结果公示发出后5个工作日内退还，</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的保证金在采购合同签订后5个工作日内退还。</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的投保人的保证金，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应制作《</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一并递交。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有下列情形之一的，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保证金将不予退还：</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①</w:t>
      </w:r>
      <w:r>
        <w:rPr>
          <w:rFonts w:hint="eastAsia" w:ascii="宋体" w:hAnsi="宋体" w:eastAsia="宋体"/>
          <w:b/>
          <w:bCs/>
          <w:color w:val="auto"/>
          <w:kern w:val="0"/>
          <w:sz w:val="21"/>
          <w:szCs w:val="21"/>
          <w:highlight w:val="none"/>
          <w:lang w:eastAsia="zh-CN"/>
        </w:rPr>
        <w:t>供应商</w:t>
      </w:r>
      <w:r>
        <w:rPr>
          <w:rFonts w:hint="eastAsia" w:ascii="宋体" w:hAnsi="宋体" w:eastAsia="宋体"/>
          <w:b/>
          <w:bCs/>
          <w:color w:val="auto"/>
          <w:kern w:val="0"/>
          <w:sz w:val="21"/>
          <w:szCs w:val="21"/>
          <w:highlight w:val="none"/>
        </w:rPr>
        <w:t>在招</w:t>
      </w:r>
      <w:r>
        <w:rPr>
          <w:rFonts w:hint="eastAsia" w:ascii="宋体" w:hAnsi="宋体" w:eastAsia="宋体"/>
          <w:b/>
          <w:bCs/>
          <w:color w:val="auto"/>
          <w:kern w:val="0"/>
          <w:sz w:val="21"/>
          <w:szCs w:val="21"/>
          <w:highlight w:val="none"/>
          <w:lang w:eastAsia="zh-CN"/>
        </w:rPr>
        <w:t>磋商</w:t>
      </w:r>
      <w:r>
        <w:rPr>
          <w:rFonts w:hint="eastAsia" w:ascii="宋体" w:hAnsi="宋体" w:eastAsia="宋体"/>
          <w:b/>
          <w:bCs/>
          <w:color w:val="auto"/>
          <w:kern w:val="0"/>
          <w:sz w:val="21"/>
          <w:szCs w:val="21"/>
          <w:highlight w:val="none"/>
        </w:rPr>
        <w:t>文件中规定的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有效期内撤销其</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②法律法规规定不予退还</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保证金的其它情形。</w:t>
      </w:r>
    </w:p>
    <w:p>
      <w:pPr>
        <w:widowControl/>
        <w:adjustRightInd w:val="0"/>
        <w:snapToGrid w:val="0"/>
        <w:spacing w:after="200"/>
        <w:jc w:val="left"/>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0" w:name="_Toc303084264"/>
      <w:bookmarkStart w:id="161" w:name="_Toc24997"/>
      <w:bookmarkStart w:id="162" w:name="_Toc21699"/>
      <w:bookmarkStart w:id="163" w:name="_Toc382049111"/>
      <w:bookmarkStart w:id="164" w:name="_Toc5055"/>
      <w:bookmarkStart w:id="165" w:name="_Toc17970"/>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pPr>
        <w:pageBreakBefore w:val="0"/>
        <w:widowControl w:val="0"/>
        <w:numPr>
          <w:ilvl w:val="1"/>
          <w:numId w:val="5"/>
        </w:numPr>
        <w:tabs>
          <w:tab w:val="left" w:pos="660"/>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6" w:name="_Toc3249"/>
      <w:bookmarkStart w:id="167" w:name="_Toc14913"/>
      <w:bookmarkStart w:id="168" w:name="_Toc1911"/>
      <w:r>
        <w:rPr>
          <w:rFonts w:hint="eastAsia" w:eastAsia="宋体"/>
          <w:color w:val="auto"/>
          <w:highlight w:val="none"/>
          <w:lang w:val="en-US" w:eastAsia="zh-CN"/>
        </w:rPr>
        <w:t>18.迟交的响应文件</w:t>
      </w:r>
      <w:bookmarkEnd w:id="166"/>
      <w:bookmarkEnd w:id="167"/>
      <w:bookmarkEnd w:id="168"/>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9" w:name="_Toc8387"/>
      <w:bookmarkStart w:id="170" w:name="_Toc13946"/>
      <w:bookmarkStart w:id="171" w:name="_Toc22059"/>
      <w:r>
        <w:rPr>
          <w:rFonts w:hint="eastAsia" w:eastAsia="宋体"/>
          <w:color w:val="auto"/>
          <w:highlight w:val="none"/>
          <w:lang w:val="en-US" w:eastAsia="zh-CN"/>
        </w:rPr>
        <w:t>19.磋商样品、磋商演示（如有要求）</w:t>
      </w:r>
      <w:bookmarkEnd w:id="169"/>
      <w:bookmarkEnd w:id="170"/>
      <w:bookmarkEnd w:id="171"/>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2" w:name="_Toc9777"/>
      <w:bookmarkStart w:id="173" w:name="_Toc382049112"/>
      <w:bookmarkStart w:id="174" w:name="_Toc303084265"/>
      <w:bookmarkStart w:id="175" w:name="_Toc24777"/>
      <w:bookmarkStart w:id="176" w:name="_Toc1364"/>
      <w:bookmarkStart w:id="177" w:name="_Toc518"/>
      <w:r>
        <w:rPr>
          <w:rFonts w:hint="eastAsia" w:eastAsia="宋体"/>
          <w:color w:val="auto"/>
          <w:highlight w:val="none"/>
          <w:lang w:val="en-US" w:eastAsia="zh-CN"/>
        </w:rPr>
        <w:t>20.响应截止期</w:t>
      </w:r>
      <w:bookmarkEnd w:id="172"/>
      <w:bookmarkEnd w:id="173"/>
      <w:bookmarkEnd w:id="174"/>
      <w:bookmarkEnd w:id="175"/>
      <w:bookmarkEnd w:id="176"/>
      <w:bookmarkEnd w:id="17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8" w:name="_Toc14390"/>
      <w:bookmarkStart w:id="179" w:name="_Toc4603"/>
      <w:bookmarkStart w:id="180" w:name="_Toc28776"/>
      <w:r>
        <w:rPr>
          <w:rFonts w:hint="eastAsia" w:eastAsia="宋体"/>
          <w:color w:val="auto"/>
          <w:highlight w:val="none"/>
          <w:lang w:val="en-US" w:eastAsia="zh-CN"/>
        </w:rPr>
        <w:t>21.响应文件的补充、修改与撤回</w:t>
      </w:r>
      <w:bookmarkEnd w:id="178"/>
      <w:bookmarkEnd w:id="179"/>
      <w:bookmarkEnd w:id="18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181" w:name="_Toc191"/>
      <w:bookmarkStart w:id="182" w:name="_Toc11914"/>
      <w:bookmarkStart w:id="183" w:name="_Toc14512"/>
      <w:r>
        <w:rPr>
          <w:rFonts w:hint="eastAsia" w:eastAsia="宋体"/>
          <w:color w:val="auto"/>
          <w:highlight w:val="none"/>
          <w:lang w:val="en-US" w:eastAsia="zh-CN"/>
        </w:rPr>
        <w:t>22.磋商</w:t>
      </w:r>
      <w:bookmarkEnd w:id="181"/>
      <w:bookmarkEnd w:id="182"/>
      <w:bookmarkEnd w:id="18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4" w:name="_Toc31198"/>
      <w:bookmarkStart w:id="185" w:name="_Toc19811"/>
      <w:bookmarkStart w:id="186" w:name="_Toc13823"/>
      <w:r>
        <w:rPr>
          <w:rFonts w:hint="eastAsia" w:eastAsia="宋体"/>
          <w:color w:val="auto"/>
          <w:highlight w:val="none"/>
          <w:lang w:val="en-US" w:eastAsia="zh-CN"/>
        </w:rPr>
        <w:t>23.磋商小组及评审方法</w:t>
      </w:r>
      <w:bookmarkEnd w:id="184"/>
      <w:bookmarkEnd w:id="185"/>
      <w:bookmarkEnd w:id="18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7" w:name="_Toc20823"/>
      <w:bookmarkStart w:id="188" w:name="_Toc9540"/>
      <w:bookmarkStart w:id="189" w:name="_Toc3525"/>
      <w:r>
        <w:rPr>
          <w:rFonts w:hint="eastAsia" w:eastAsia="宋体"/>
          <w:color w:val="auto"/>
          <w:highlight w:val="none"/>
          <w:lang w:val="en-US" w:eastAsia="zh-CN"/>
        </w:rPr>
        <w:t>24.评审原则及评审过程的保密</w:t>
      </w:r>
      <w:bookmarkEnd w:id="187"/>
      <w:bookmarkEnd w:id="188"/>
      <w:bookmarkEnd w:id="18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90" w:name="_Toc7072"/>
      <w:bookmarkStart w:id="191" w:name="_Toc15479"/>
      <w:bookmarkStart w:id="192" w:name="_Toc18014"/>
      <w:r>
        <w:rPr>
          <w:rFonts w:hint="eastAsia" w:eastAsia="宋体"/>
          <w:color w:val="auto"/>
          <w:highlight w:val="none"/>
          <w:lang w:val="en-US" w:eastAsia="zh-CN"/>
        </w:rPr>
        <w:t>25.响应文件的初审</w:t>
      </w:r>
      <w:bookmarkEnd w:id="190"/>
      <w:bookmarkEnd w:id="191"/>
      <w:bookmarkEnd w:id="19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pPr>
        <w:pStyle w:val="5"/>
        <w:bidi w:val="0"/>
        <w:rPr>
          <w:rFonts w:hint="eastAsia" w:eastAsia="宋体"/>
          <w:color w:val="auto"/>
          <w:highlight w:val="none"/>
          <w:lang w:val="en-US" w:eastAsia="zh-CN"/>
        </w:rPr>
      </w:pPr>
      <w:bookmarkStart w:id="193" w:name="_Toc4041"/>
      <w:bookmarkStart w:id="194" w:name="_Toc9736"/>
      <w:bookmarkStart w:id="195" w:name="_Toc16157"/>
      <w:r>
        <w:rPr>
          <w:rFonts w:hint="eastAsia" w:eastAsia="宋体"/>
          <w:color w:val="auto"/>
          <w:highlight w:val="none"/>
          <w:lang w:val="en-US" w:eastAsia="zh-CN"/>
        </w:rPr>
        <w:t>26.商务、技术、价格评审</w:t>
      </w:r>
      <w:bookmarkEnd w:id="193"/>
      <w:bookmarkEnd w:id="194"/>
      <w:bookmarkEnd w:id="19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keepNext w:val="0"/>
        <w:keepLines w:val="0"/>
        <w:pageBreakBefore w:val="0"/>
        <w:widowControl/>
        <w:numPr>
          <w:ilvl w:val="0"/>
          <w:numId w:val="8"/>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pPr>
        <w:pStyle w:val="5"/>
        <w:bidi w:val="0"/>
        <w:rPr>
          <w:rFonts w:hint="eastAsia" w:eastAsia="宋体"/>
          <w:color w:val="auto"/>
          <w:highlight w:val="none"/>
          <w:lang w:val="en-US" w:eastAsia="zh-CN"/>
        </w:rPr>
      </w:pPr>
      <w:bookmarkStart w:id="196" w:name="_Toc316375620"/>
      <w:bookmarkStart w:id="197" w:name="_Toc20328"/>
      <w:bookmarkStart w:id="198" w:name="_Toc382049120"/>
      <w:bookmarkStart w:id="199" w:name="_Toc30865"/>
      <w:bookmarkStart w:id="200" w:name="_Toc25030"/>
      <w:bookmarkStart w:id="201" w:name="_Toc30573"/>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default" w:eastAsia="宋体"/>
          <w:color w:val="auto"/>
          <w:highlight w:val="none"/>
          <w:lang w:val="en-US" w:eastAsia="zh-CN"/>
        </w:rPr>
      </w:pPr>
      <w:bookmarkStart w:id="202" w:name="_Toc508284011"/>
      <w:bookmarkStart w:id="203" w:name="_Toc21560"/>
      <w:bookmarkStart w:id="204" w:name="_Toc21265"/>
      <w:bookmarkStart w:id="205" w:name="_Toc27383"/>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06" w:name="_Toc6459"/>
      <w:bookmarkStart w:id="207" w:name="_Toc2468"/>
      <w:bookmarkStart w:id="208" w:name="_Toc508284013"/>
      <w:bookmarkStart w:id="209" w:name="_Toc24851"/>
      <w:r>
        <w:rPr>
          <w:rFonts w:hint="eastAsia" w:eastAsia="宋体"/>
          <w:color w:val="auto"/>
          <w:highlight w:val="none"/>
          <w:lang w:val="en-US" w:eastAsia="zh-CN"/>
        </w:rPr>
        <w:t>29.发布采购结果</w:t>
      </w:r>
      <w:bookmarkEnd w:id="206"/>
      <w:bookmarkEnd w:id="207"/>
      <w:bookmarkEnd w:id="208"/>
      <w:bookmarkEnd w:id="209"/>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10" w:name="_Toc1555"/>
      <w:bookmarkStart w:id="211" w:name="_Toc7001"/>
      <w:bookmarkStart w:id="212" w:name="_Toc18733"/>
      <w:r>
        <w:rPr>
          <w:rFonts w:hint="eastAsia" w:eastAsia="宋体"/>
          <w:color w:val="auto"/>
          <w:highlight w:val="none"/>
          <w:lang w:val="en-US" w:eastAsia="zh-CN"/>
        </w:rPr>
        <w:t>30.合同的签订与履行</w:t>
      </w:r>
      <w:bookmarkEnd w:id="210"/>
      <w:bookmarkEnd w:id="211"/>
      <w:bookmarkEnd w:id="21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213" w:name="_Toc26547"/>
      <w:bookmarkStart w:id="214" w:name="_Toc9041"/>
      <w:r>
        <w:rPr>
          <w:rFonts w:hint="eastAsia" w:eastAsia="宋体"/>
          <w:color w:val="auto"/>
          <w:highlight w:val="none"/>
          <w:lang w:val="en-US" w:eastAsia="zh-CN"/>
        </w:rPr>
        <w:t>31.履约保证金</w:t>
      </w:r>
      <w:bookmarkEnd w:id="213"/>
      <w:bookmarkEnd w:id="214"/>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eastAsia="宋体"/>
          <w:color w:val="auto"/>
          <w:kern w:val="0"/>
          <w:sz w:val="21"/>
          <w:szCs w:val="21"/>
          <w:highlight w:val="none"/>
          <w:lang w:eastAsia="zh-CN"/>
        </w:rPr>
        <w:t>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57" w:leftChars="13"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32.2. </w:t>
      </w:r>
      <w:r>
        <w:rPr>
          <w:rFonts w:hint="eastAsia" w:ascii="宋体" w:hAnsi="宋体" w:eastAsia="宋体"/>
          <w:color w:val="auto"/>
          <w:kern w:val="0"/>
          <w:sz w:val="21"/>
          <w:szCs w:val="21"/>
          <w:highlight w:val="none"/>
          <w:lang w:eastAsia="zh-CN"/>
        </w:rPr>
        <w:t>采用保证金（银行转账、电汇）方式：成交单位必须保证资金在签订合同前到账。履约保证金账户采购人另行通知，到期后无息退还。</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32.3. </w:t>
      </w:r>
      <w:r>
        <w:rPr>
          <w:rFonts w:hint="eastAsia" w:ascii="宋体" w:hAnsi="宋体" w:eastAsia="宋体"/>
          <w:color w:val="auto"/>
          <w:kern w:val="0"/>
          <w:sz w:val="21"/>
          <w:szCs w:val="21"/>
          <w:highlight w:val="none"/>
          <w:lang w:eastAsia="zh-CN"/>
        </w:rPr>
        <w:t>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lang w:eastAsia="zh-CN"/>
        </w:rPr>
        <w:t>》）</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32.4. </w:t>
      </w:r>
      <w:r>
        <w:rPr>
          <w:rFonts w:hint="eastAsia" w:ascii="宋体" w:hAnsi="宋体" w:eastAsia="宋体"/>
          <w:color w:val="auto"/>
          <w:kern w:val="0"/>
          <w:sz w:val="21"/>
          <w:szCs w:val="21"/>
          <w:highlight w:val="none"/>
          <w:lang w:eastAsia="zh-CN"/>
        </w:rPr>
        <w:t>成交单位须将履约保证金的汇款凭证 (注明成交通知书或项目编号)或履约保函（采购人注明原件已收到并盖章）用A4纸复印一式四份并加盖成交单位的公章送至采购代理机构。</w:t>
      </w:r>
    </w:p>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32.5. </w:t>
      </w:r>
      <w:r>
        <w:rPr>
          <w:rFonts w:hint="eastAsia" w:ascii="宋体" w:hAnsi="宋体" w:eastAsia="宋体"/>
          <w:color w:val="auto"/>
          <w:kern w:val="0"/>
          <w:sz w:val="21"/>
          <w:szCs w:val="21"/>
          <w:highlight w:val="none"/>
          <w:lang w:eastAsia="zh-CN"/>
        </w:rPr>
        <w:t>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eastAsia="宋体" w:cs="宋体"/>
          <w:color w:val="auto"/>
          <w:sz w:val="21"/>
          <w:szCs w:val="21"/>
          <w:highlight w:val="none"/>
          <w:lang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pPr>
        <w:bidi w:val="0"/>
        <w:jc w:val="center"/>
        <w:outlineLvl w:val="1"/>
        <w:rPr>
          <w:rFonts w:hint="eastAsia"/>
          <w:b/>
          <w:bCs/>
          <w:color w:val="auto"/>
          <w:sz w:val="28"/>
          <w:szCs w:val="36"/>
          <w:highlight w:val="none"/>
          <w:lang w:eastAsia="zh-CN"/>
        </w:rPr>
      </w:pPr>
      <w:bookmarkStart w:id="216" w:name="_Toc16006"/>
      <w:bookmarkStart w:id="217" w:name="_Toc27180"/>
      <w:bookmarkStart w:id="218" w:name="_Toc18002"/>
      <w:bookmarkStart w:id="219" w:name="_Toc7855"/>
      <w:r>
        <w:rPr>
          <w:rFonts w:hint="eastAsia"/>
          <w:b/>
          <w:bCs/>
          <w:color w:val="auto"/>
          <w:sz w:val="28"/>
          <w:szCs w:val="36"/>
          <w:highlight w:val="none"/>
          <w:lang w:eastAsia="zh-CN"/>
        </w:rPr>
        <w:t>商务要求</w:t>
      </w:r>
      <w:bookmarkEnd w:id="216"/>
      <w:bookmarkEnd w:id="217"/>
      <w:bookmarkEnd w:id="218"/>
      <w:bookmarkEnd w:id="219"/>
    </w:p>
    <w:tbl>
      <w:tblPr>
        <w:tblStyle w:val="14"/>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0"/>
        <w:gridCol w:w="1369"/>
        <w:gridCol w:w="67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序号</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条款名称</w:t>
            </w:r>
          </w:p>
        </w:tc>
        <w:tc>
          <w:tcPr>
            <w:tcW w:w="3845"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1</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★完工期</w:t>
            </w:r>
          </w:p>
        </w:tc>
        <w:tc>
          <w:tcPr>
            <w:tcW w:w="673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olor w:val="auto"/>
                <w:szCs w:val="21"/>
                <w:highlight w:val="none"/>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30天</w:t>
            </w:r>
            <w:r>
              <w:rPr>
                <w:rFonts w:hint="eastAsia" w:ascii="宋体" w:hAnsi="宋体" w:eastAsia="宋体" w:cs="宋体"/>
                <w:b w:val="0"/>
                <w:bCs/>
                <w:color w:val="auto"/>
                <w:kern w:val="2"/>
                <w:sz w:val="21"/>
                <w:szCs w:val="21"/>
                <w:highlight w:val="none"/>
                <w:lang w:val="en-US" w:eastAsia="zh-CN" w:bidi="ar-SA"/>
              </w:rPr>
              <w:t>内完成（包括供货、施工、安装、调试、验收工作）。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2</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质保期</w:t>
            </w:r>
          </w:p>
        </w:tc>
        <w:tc>
          <w:tcPr>
            <w:tcW w:w="673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olor w:val="auto"/>
                <w:szCs w:val="21"/>
                <w:highlight w:val="none"/>
              </w:rPr>
            </w:pPr>
            <w:r>
              <w:rPr>
                <w:rFonts w:hint="eastAsia" w:ascii="宋体" w:hAnsi="宋体" w:eastAsia="宋体" w:cs="宋体"/>
                <w:b w:val="0"/>
                <w:bCs/>
                <w:color w:val="auto"/>
                <w:kern w:val="2"/>
                <w:sz w:val="21"/>
                <w:szCs w:val="21"/>
                <w:highlight w:val="none"/>
                <w:lang w:val="en-US" w:eastAsia="zh-CN" w:bidi="ar-SA"/>
              </w:rPr>
              <w:t>质保期为一年。供货并安装完毕，并经招标人验收合格之日起进入质保期。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9"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rPr>
              <w:t>★付款方式</w:t>
            </w:r>
          </w:p>
        </w:tc>
        <w:tc>
          <w:tcPr>
            <w:tcW w:w="673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1、设备安装及工程施工完成后，经试运行及相关主管部门验收合格后支付合同金额的95%，剩余5%将在质保期满后支付。</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2、货款按约定的方式支付，成交单位凭以下有效的文件向采购人提出支付货款的申请：</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①合同；②成交单位开具的正式发票；③中标通知书。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4</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项目地点</w:t>
            </w:r>
          </w:p>
        </w:tc>
        <w:tc>
          <w:tcPr>
            <w:tcW w:w="673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olor w:val="auto"/>
                <w:szCs w:val="21"/>
                <w:highlight w:val="none"/>
              </w:rPr>
            </w:pPr>
            <w:r>
              <w:rPr>
                <w:rFonts w:hint="eastAsia" w:ascii="宋体" w:hAnsi="宋体" w:eastAsia="宋体" w:cs="宋体"/>
                <w:b w:val="0"/>
                <w:bCs/>
                <w:color w:val="auto"/>
                <w:kern w:val="2"/>
                <w:sz w:val="21"/>
                <w:szCs w:val="21"/>
                <w:highlight w:val="none"/>
              </w:rPr>
              <w:t>采购人指定地点。（如有变化另行确定）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5</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673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olor w:val="auto"/>
                <w:szCs w:val="21"/>
                <w:highlight w:val="none"/>
              </w:rPr>
            </w:pPr>
            <w:r>
              <w:rPr>
                <w:rFonts w:hint="eastAsia" w:ascii="宋体" w:hAnsi="宋体" w:eastAsia="宋体"/>
                <w:color w:val="auto"/>
                <w:szCs w:val="21"/>
                <w:highlight w:val="none"/>
              </w:rPr>
              <w:t>投标报价采取打包报价的方式，投标报价包括材料、工具、人工、管理费、利润、税金、风险、招标代理费用等一切因素所有应该和可能发生的费用因素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6</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合同条款</w:t>
            </w:r>
          </w:p>
        </w:tc>
        <w:tc>
          <w:tcPr>
            <w:tcW w:w="673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lang w:eastAsia="zh-CN"/>
              </w:rPr>
              <w:t>供应商</w:t>
            </w:r>
            <w:r>
              <w:rPr>
                <w:rFonts w:ascii="宋体" w:hAnsi="宋体" w:eastAsia="宋体"/>
                <w:color w:val="auto"/>
                <w:szCs w:val="21"/>
                <w:highlight w:val="none"/>
              </w:rPr>
              <w:t>实质响应合同各条款。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7</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其它要求</w:t>
            </w:r>
          </w:p>
        </w:tc>
        <w:tc>
          <w:tcPr>
            <w:tcW w:w="673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stheme="minorBidi"/>
                <w:b/>
                <w:color w:val="auto"/>
                <w:sz w:val="22"/>
                <w:szCs w:val="21"/>
                <w:highlight w:val="none"/>
                <w:lang w:val="en-US" w:eastAsia="zh-CN" w:bidi="ar-SA"/>
              </w:rPr>
            </w:pP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应充分结合本</w:t>
            </w:r>
            <w:r>
              <w:rPr>
                <w:rFonts w:hint="eastAsia" w:ascii="宋体" w:hAnsi="宋体" w:eastAsia="宋体"/>
                <w:color w:val="auto"/>
                <w:szCs w:val="21"/>
                <w:highlight w:val="none"/>
                <w:lang w:eastAsia="zh-CN"/>
              </w:rPr>
              <w:t>采购</w:t>
            </w:r>
            <w:r>
              <w:rPr>
                <w:rFonts w:hint="eastAsia" w:ascii="宋体" w:hAnsi="宋体" w:eastAsia="宋体"/>
                <w:color w:val="auto"/>
                <w:szCs w:val="21"/>
                <w:highlight w:val="none"/>
              </w:rPr>
              <w:t>文件上下文了解项目招标需求、采购文件未尽事宜，将在合同签订或项目执行过程中双方协商确定，供应商须无条件满足采购单位的合理要求。</w:t>
            </w:r>
          </w:p>
        </w:tc>
      </w:tr>
    </w:tbl>
    <w:p>
      <w:pPr>
        <w:rPr>
          <w:rFonts w:hint="default"/>
          <w:color w:val="auto"/>
          <w:highlight w:val="none"/>
          <w:lang w:val="en-US" w:eastAsia="zh-CN"/>
        </w:rPr>
      </w:pPr>
      <w:r>
        <w:rPr>
          <w:rFonts w:hint="default"/>
          <w:color w:val="auto"/>
          <w:highlight w:val="none"/>
          <w:lang w:val="en-US" w:eastAsia="zh-CN"/>
        </w:rPr>
        <w:br w:type="page"/>
      </w:r>
    </w:p>
    <w:p>
      <w:pPr>
        <w:bidi w:val="0"/>
        <w:jc w:val="center"/>
        <w:outlineLvl w:val="1"/>
        <w:rPr>
          <w:rFonts w:hint="eastAsia" w:eastAsia="宋体"/>
          <w:b/>
          <w:bCs/>
          <w:color w:val="auto"/>
          <w:sz w:val="28"/>
          <w:szCs w:val="36"/>
          <w:highlight w:val="none"/>
          <w:lang w:eastAsia="zh-CN"/>
        </w:rPr>
      </w:pPr>
      <w:bookmarkStart w:id="220" w:name="_Toc3714"/>
      <w:bookmarkStart w:id="221" w:name="_Toc16983"/>
      <w:bookmarkStart w:id="222" w:name="_Toc4445"/>
      <w:bookmarkStart w:id="223" w:name="_Toc4572"/>
      <w:r>
        <w:rPr>
          <w:rFonts w:hint="eastAsia" w:eastAsia="宋体"/>
          <w:b/>
          <w:bCs/>
          <w:color w:val="auto"/>
          <w:sz w:val="28"/>
          <w:szCs w:val="36"/>
          <w:highlight w:val="none"/>
          <w:lang w:eastAsia="zh-CN"/>
        </w:rPr>
        <w:t>技术要求</w:t>
      </w:r>
      <w:bookmarkEnd w:id="220"/>
      <w:bookmarkEnd w:id="221"/>
      <w:bookmarkEnd w:id="222"/>
      <w:bookmarkEnd w:id="223"/>
    </w:p>
    <w:p>
      <w:pP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一、项目清单</w:t>
      </w:r>
    </w:p>
    <w:p>
      <w:pPr>
        <w:ind w:firstLine="442" w:firstLineChars="200"/>
        <w:rPr>
          <w:rFonts w:hint="eastAsia"/>
          <w:color w:val="auto"/>
          <w:highlight w:val="none"/>
          <w:lang w:val="en-US" w:eastAsia="zh-CN"/>
        </w:rPr>
      </w:pPr>
      <w:r>
        <w:rPr>
          <w:rFonts w:hint="eastAsia" w:ascii="宋体" w:hAnsi="宋体" w:eastAsia="宋体" w:cs="宋体"/>
          <w:b/>
          <w:bCs/>
          <w:color w:val="auto"/>
          <w:kern w:val="2"/>
          <w:sz w:val="22"/>
          <w:szCs w:val="22"/>
          <w:highlight w:val="none"/>
        </w:rPr>
        <w:t>文件的技术规格中指出的工艺、材料和设备的标准以及参照的品牌或型号仅起说明作用，并没有任何限制性。</w:t>
      </w:r>
      <w:r>
        <w:rPr>
          <w:rFonts w:hint="eastAsia" w:ascii="宋体" w:hAnsi="宋体" w:eastAsia="宋体" w:cs="宋体"/>
          <w:b/>
          <w:bCs/>
          <w:color w:val="auto"/>
          <w:kern w:val="2"/>
          <w:sz w:val="22"/>
          <w:szCs w:val="22"/>
          <w:highlight w:val="none"/>
          <w:lang w:eastAsia="zh-CN"/>
        </w:rPr>
        <w:t>供应商</w:t>
      </w:r>
      <w:r>
        <w:rPr>
          <w:rFonts w:hint="eastAsia" w:ascii="宋体" w:hAnsi="宋体" w:eastAsia="宋体" w:cs="宋体"/>
          <w:b/>
          <w:bCs/>
          <w:color w:val="auto"/>
          <w:kern w:val="2"/>
          <w:sz w:val="22"/>
          <w:szCs w:val="22"/>
          <w:highlight w:val="none"/>
        </w:rPr>
        <w:t>可以选用替代标准、品牌或型号，但这些替代要实质上满足或超过文件的要求。</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7"/>
        <w:gridCol w:w="2915"/>
        <w:gridCol w:w="3308"/>
        <w:gridCol w:w="677"/>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7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194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39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62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7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94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39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62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7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94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39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62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电房工程</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设备基础</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砖基础（设备基础）</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1.砖品种、规格、强度等级:标准砖砌设备砖基础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2.砂浆强度等级:水泥砂浆M5.0</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垫层</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1.混凝土种类:普通商品混凝土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2.混凝土强度等级:C15</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设备压顶</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1.断面尺寸:矩形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2.混凝土种类:普通商品混凝土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3.混凝土强度等级:C20</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设备基础</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1.混凝土种类:设备基础普通商品混凝土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2.混凝土强度等级:C25</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地坪</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1.地坪厚度:120mm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2.混凝土强度等级:C25</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现浇构件钢筋</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1.钢筋种类、规格:现浇构件带肋钢筋 φ12-16以内</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现浇构件钢筋</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1.钢筋种类、规格:现浇构件箍筋 带肋钢筋(HRB400内) φ10以内</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零星项目一般抹灰</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1.部位:砖砌设备基础侧面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2.面层厚度、砂浆配合比:20mm厚水泥砂浆抹灰</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卵石</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1.石料规格:填直径50~80卵石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2.厚度:500mm</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复合材料盖板 50厚</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1.名称:SMC盖板400X400X50mm安装</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电气工程</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XM配电箱</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1.名称:成套配电箱安装XM1配电箱</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密集型母线槽3200A/4P,防护等级IP65</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1.名称:密集型母线槽3200A/4P,防护等级IP65</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接头器（3200A/4P）</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1.名称:接头器（3200A/4P）</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过渡铜排（3200A/4P）</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1.名称:过渡铜排（3200A/4P）</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软连接（3200A/4P）</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1.名称:软连接（3200A/4P）</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进线箱</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1.名称:进线箱</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避雷器</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1.规格:避雷器</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PC32</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2.材质:PC32</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ZRBVR-4</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1.名称:铜芯聚氯乙烯绝缘电线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3.型号:ZRBVR-4</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ZRBVR-2.5</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1.名称:铜芯聚氯乙烯绝缘电线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3.型号:ZRBVR-2.5</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接线盒</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1.名称:接线盒安装</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单管LED日光灯220V,1X18W,T8,管1.2m</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1.名称:带E为有蓄电池应急180min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220V,1X18W,T8,管长1.2m</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应急灯 双头,220V,2X20W</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1.名称:应急灯 双头,220V,2X20W</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消防应急标志灯具-安全出口指示灯</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1.名称:消防应急标志灯具-安全出口指示灯</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单相二三孔插座A10</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1.名称:单相二三孔插座A10</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三相插座 25A</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1.名称:三相插座 25A</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明装二位开关A10</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1.名称:明装二位开关A10</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灭火器</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1.形式:灭火器放置箱（含2具2A的手提式干粉灭火器(ABC3)）</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接线盒</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1.名称:开关(插座)盒 暗装</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电房 防雷工程</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圆钢水平地极（φ16）</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1.名称:均压环敷设 利用型钢</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热镀锌扁铁 50X5</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1.名称:热镀锌扁铁 50X5</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角钢垂地极</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1.名称:接地极(板)制作、安装 钢管接地极 普通土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2.材质:角钢垂地极 L50*5,L=2.5m</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引出线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L50*5,L=1.5m</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1.名称:接地极(板)制作、安装 钢管接地极 普通土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2.材质:角钢垂地极 L50*5,L=1.5m</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接地装置</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1.名称:接地装置调试 接地网</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变电站及其配套</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油浸式变压器SBH15-M-1600/10-NX1</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1.名称:油浸式变压器SBH15-M-1600/10-NX1</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10kV进线断路器柜 XGN15(HY)-12-V,全绝缘柜</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1.名称:10kV进线断路器柜 XGN15(HY)-12-V,全绝缘柜</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10kV计量柜 XGN15-12-J</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1.名称:10kV计量柜 XGN15-12-J</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10kV出线断路器柜 XGN15(HY)-12-V,全绝缘柜</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1.名称:10kV出线断路器柜 XGN15(HY)-12-V,全绝缘柜</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P01 GCK 800X1000X2200出线柜</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1.名称:P01 GCK 800X1000X2200出线柜</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P02 GCK 800X1000X2200出线柜</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1.名称:P02 GCK 800X1000X2200出线柜</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P03 GCJ 1000X1000X2200无功补偿柜</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1.名称:P03 GCJ 1000X1000X2200无功补偿柜</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P04 GCJ 1000X1000X2200 无功补偿柜</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1.名称:P04 GCJ 1000X1000X2200 无功补偿柜</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P05 GCK 800X1000X2200 进线柜</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1.名称:P05 GCK 800X1000X2200 进线柜</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防鼠挡板</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1.名称:防鼠挡板</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安健环标示牌、安全警示线</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1.安健环标示牌、安全警示线</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变压器固定围栏 H=1800</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1.材料品种、规格:变压器固定围栏 H=1800</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10kV电力电缆走向</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10kV户内电缆头 3X120m㎡</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1.名称:10kV户内电缆头 3X120m㎡</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 YJV-8.7/15kV-3X120mm</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1.名称:铜芯电力电缆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2.规格:YJV-8.7/15kV-3X120mm</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旧路面机械切缝</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1.材质:旧路面机械切缝 水泥混凝土路面 5cm厚</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拆除路面</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1.名称:拆除原20cm混凝土路面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2.装载机装松散石方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3.自卸汽车运石方10km</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水泥混凝土</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1.混凝土强度等级:水泥混凝土路面 厚度 20cm 普通商品混凝土C30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2.水泥混凝土路面养生 水养生</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挖沟槽土方</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1.土壤类别:一、二类土人工为辅、机械为主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2.挖土深度:2m内</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回填方</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1.密实度要求:回填土 夯实机夯实 槽、坑</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回填方</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1.密实度要求:回填石屑</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余方弃置</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1.废弃料品种:装载机装土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2.运距:自卸汽车运土方10km</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C-PVC塑料管 DN160（1层1列行车排管）</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1.名称:1层1列行车排管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2.普通商品混凝土垫层 C15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3.电缆保护管有混凝土包封敷设C-PVC管径160mm,8mm厚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4.满包混凝土加固 普通商品混凝土C20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5.管枕</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现浇构件钢筋</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1.水泥混凝土路面钢筋 构造筋</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植筋</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1.植筋 钢筋直径(mm) 16</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电力变压器系统</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1.名称:电力变压器系统调试 10kV以下变压器容量(kV·A以下) 2000</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送配电装置系统</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1.名称:送配电装置系统调试 (综合) 10kV以下交流供电</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送配电装置系统</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1.名称:送配电装置系统调试 (综合) 1kV以下交流供电</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母线</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1.名称:母线调试 母线系统(kV以下) 1</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段</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母线</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1.名称:母线调试 母线系统(kV以下) 10</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段</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电容器</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1.名称:电容器调试 电容器(kV以下) 10</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避雷器</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1.名称:避雷器调试 电容器(kV以下) 10</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接地装置</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1.名称:接地装置调试 接地网</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电缆试验</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1.名称:电缆试验 10KV电缆交流耐压试验</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回路(三相)</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排管井</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1层1列排管行车直线井(2370*1390)</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1.非定型井垫层普通预拌混凝土C15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2.现浇钢筋混凝土池壁直、矩形(厚度) 30cm以内普通预拌混凝土C25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3.井盖、井箅安装 混凝土篦(盖)座 合并制作子目 湿拌砌筑砂浆 砌筑灰缝≥5mm M7.5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4.预埋铁件 （镀锌角铁）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5.砖墙 抹灰 井内侧 合并制作子目 湿拌抹灰砂浆 一次抹灰厚度≥5mm M15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6.箍筋制作、安装 圆钢 φ10mm以内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7.箍筋制作、安装 圆钢 φ10mm以外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8.给排水管道 室外塑料排水管(热熔连接) 公称外径(mm以内) 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9.电缆标志牌(菱形,2mm厚不锈钢)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10.井盖板编号牌(丝印,2个M5自攻螺钉固定于盖板)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11.橡胶缓冲层(1170X2150X5(回字型))8个M5自攻螺钉固定于井圈梁</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1层1列排管行车电缆检查井(2370*1390)</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1.非定型井垫层普通预拌混凝土C15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2.现浇钢筋混凝土池壁直、矩形(厚度) 30cm以内普通预拌混凝土C25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3.井盖、井箅安装 混凝土篦(盖)座 合并制作子目 湿拌砌筑砂浆 砌筑灰缝≥5mm M7.5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4.预埋铁件 （镀锌角铁）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5.砖墙 抹灰 井内侧 合并制作子目 湿拌抹灰砂浆 一次抹灰厚度≥5mm M15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6.箍筋制作、安装 圆钢 φ10mm以内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7.箍筋制作、安装 圆钢 φ10mm以外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8.给排水管道 室外塑料排水管(热熔连接) 公称外径(mm以内) 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9.电缆标志牌(菱形,2mm厚不锈钢)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10.井盖板编号牌(丝印,2个M5自攻螺钉固定于盖板)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11.橡胶缓冲层(1170X2150X5(回字型))8个M5自攻螺钉固定于井圈梁</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5"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1层1列排管行车转角井(2370*2130)</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1.非定型井垫层普通预拌混凝土C15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2.现浇钢筋混凝土池壁直、矩形(厚度) 30cm以内普通预拌混凝土C25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3.井盖、井箅安装 混凝土篦(盖)座 合并制作子目 湿拌砌筑砂浆 砌筑灰缝≥5mm M7.5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4.预埋铁件 （镀锌角铁）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5.砖墙 抹灰 井内侧 合并制作子目 湿拌抹灰砂浆 一次抹灰厚度≥5mm M15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6.箍筋制作、安装 圆钢 φ10mm以内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7.箍筋制作、安装 圆钢 φ10mm以外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8.给排水管道 室外塑料排水管(热熔连接) 公称外径(mm以内) 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9.电缆标志牌(菱形,2mm厚不锈钢)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10.井盖板编号牌(丝印,2个M5自攻螺钉固定于盖板)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11.橡胶缓冲层(1170X2150X5(回字型))8个M5自攻螺钉固定于井圈梁</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措施项目</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措施其他项目</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垫层模板</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1.构件类型:垫层模板</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压顶模板</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1.构件类型:压顶模板</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7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脚手架搭拆</w:t>
            </w:r>
          </w:p>
        </w:tc>
        <w:tc>
          <w:tcPr>
            <w:tcW w:w="19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1.脚手架搭拆</w:t>
            </w:r>
          </w:p>
        </w:tc>
        <w:tc>
          <w:tcPr>
            <w:tcW w:w="3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right="565" w:rightChars="269" w:firstLine="408"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注：</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以上清单仅供参考，具体以实际安装数量为准。投标人须根据现场情况，综合考虑项目包含的一切费用，自行制定服务方案</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right="565" w:rightChars="269" w:firstLine="422" w:firstLineChars="200"/>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新建工程：电房照明、防雷敷设，新装1台1600kVA油浸式变压器、电房各种配电柜和室外10kv电缆走线等</w:t>
      </w:r>
      <w:r>
        <w:rPr>
          <w:rFonts w:hint="eastAsia" w:ascii="宋体" w:hAnsi="宋体" w:eastAsia="宋体" w:cs="宋体"/>
          <w:b/>
          <w:bCs/>
          <w:color w:val="auto"/>
          <w:sz w:val="21"/>
          <w:szCs w:val="21"/>
          <w:highlight w:val="none"/>
          <w:lang w:eastAsia="zh-CN"/>
        </w:rPr>
        <w:t>。</w:t>
      </w:r>
    </w:p>
    <w:p>
      <w:pPr>
        <w:outlineLvl w:val="0"/>
        <w:rPr>
          <w:rFonts w:hint="eastAsia" w:ascii="宋体" w:hAnsi="宋体" w:eastAsia="宋体" w:cs="宋体"/>
          <w:b/>
          <w:color w:val="auto"/>
          <w:sz w:val="24"/>
          <w:szCs w:val="24"/>
          <w:highlight w:val="none"/>
          <w:lang w:eastAsia="zh-CN"/>
        </w:rPr>
      </w:pPr>
    </w:p>
    <w:p>
      <w:pP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、供货要求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1、所需工具设施物料由中标人自备、自费运到现场，完工后自费搬走。</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、调试：按国家相关验收规范进行，分阶段进行调试。</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的实施工作全部由中标人负责，但必须在招标人的指定人员的参与下进行。投标文件中须给出的具体供货和验收方法，在实际实施前必须先经招标人同意方可进行。调试的原始记录须经各方签字后作为验收的文件之一。</w:t>
      </w:r>
    </w:p>
    <w:p>
      <w:pPr>
        <w:outlineLvl w:val="9"/>
        <w:rPr>
          <w:rFonts w:hint="eastAsia" w:ascii="宋体" w:hAnsi="宋体" w:eastAsia="宋体" w:cs="宋体"/>
          <w:b/>
          <w:color w:val="auto"/>
          <w:sz w:val="24"/>
          <w:szCs w:val="24"/>
          <w:highlight w:val="none"/>
          <w:lang w:eastAsia="zh-CN"/>
        </w:rPr>
      </w:pPr>
    </w:p>
    <w:p>
      <w:pPr>
        <w:outlineLvl w:val="0"/>
        <w:rPr>
          <w:rFonts w:hint="eastAsia" w:ascii="宋体" w:hAnsi="宋体" w:eastAsia="宋体" w:cs="宋体"/>
          <w:color w:val="auto"/>
          <w:sz w:val="21"/>
          <w:szCs w:val="21"/>
          <w:highlight w:val="none"/>
        </w:rPr>
      </w:pPr>
      <w:r>
        <w:rPr>
          <w:rFonts w:hint="eastAsia" w:ascii="宋体" w:hAnsi="宋体" w:eastAsia="宋体" w:cs="宋体"/>
          <w:b/>
          <w:color w:val="auto"/>
          <w:sz w:val="24"/>
          <w:szCs w:val="24"/>
          <w:highlight w:val="none"/>
          <w:lang w:eastAsia="zh-CN"/>
        </w:rPr>
        <w:t>三、质保要求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质保期内由中标人负责对设备进行维护保养，排除故障，无偿提供非操作不当及非外部原因造成的部件、配件的更换。质保期内，所有维修服务均为上门服务，由此产生的费用均不再收取（质保期内，由中标人免费提供必要的备品备件及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故障保修响应时间为：2小时内响应到用户现场。如果故障在检修8小时后仍无法排除，投标人应在24小时内提供不低于故障产品规格型号档次的备用产品供用户使用，直至故障产品修复。对于重大紧急故障，中标人技术人员在2小时内到达最终用户现场免费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保期内，中标人须每月派人上门按照国家现行的有关维修保养规范进行系统、全面的维修和保养，检查各系统的各功能和情况是否正常使用，发现问题及时处理，每次检测均要书面记录，并经双方签字认可，留作存档备查。</w:t>
      </w:r>
    </w:p>
    <w:p>
      <w:pPr>
        <w:tabs>
          <w:tab w:val="left" w:pos="0"/>
        </w:tabs>
        <w:ind w:firstLine="420" w:firstLineChars="200"/>
        <w:rPr>
          <w:rFonts w:ascii="宋体" w:hAnsi="宋体"/>
          <w:color w:val="auto"/>
          <w:szCs w:val="21"/>
          <w:highlight w:val="none"/>
        </w:rPr>
      </w:pPr>
    </w:p>
    <w:p>
      <w:pP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四、采购人配合事项</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1、踏勘现场：本项目不组织投标人统一对项目现场进行踏勘，有需要的投标人可自行进行踏勘，以便获取编制投标文件和签署合同所需的所有资料。踏勘现场所发生的费用由投标人自己承担。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2、投标人在投标文件中要列明在项目实施过程中要求采购人提供的合理配合条件。</w:t>
      </w:r>
    </w:p>
    <w:p>
      <w:pPr>
        <w:pStyle w:val="25"/>
        <w:spacing w:before="120" w:beforeLines="50" w:after="120" w:afterLines="50" w:line="240" w:lineRule="auto"/>
        <w:ind w:firstLine="0" w:firstLineChars="0"/>
        <w:rPr>
          <w:rFonts w:cs="宋体"/>
          <w:b/>
          <w:color w:val="auto"/>
          <w:kern w:val="0"/>
          <w:szCs w:val="21"/>
          <w:highlight w:val="none"/>
        </w:rPr>
      </w:pPr>
    </w:p>
    <w:p>
      <w:pP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五、其它</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投标人应根据采购要求，在投标文件中提供切实可行的实施服务方案。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2、中标单位在供货安装过程中必须采取足够的安全措施，确保施工的安全，并自行负责相关安全责任。</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3、中标单位在安装过程中，如需对场地作局部破损，必须在供货安装实施前取得采购人的书面同意，并承诺负责恢复原状，采购人不另行支付任何费用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4、报价须包含货物购置费、运至采购人指定地点的运输费、装卸费、保管费、售后服务费，以及所有相关税金等。</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5、项目过程中所产生的废弃材料（如废弃土方等）须由中标单位按安装相关规定自行安排处理，采购方将不再另外支付相关费用。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6、项目未尽事宜将在采购合同中另行约定，中标单位需无条件同意采购单位基于为顺利完成本项目所提出的各项合理要求。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7、项目清单为本次采购最低要求，各供应商可以自行优化供货计划，为本项目设计最优投标方案。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8、承包人需到供电公司完成本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的报建，施工资质审核，施工方案审核，报停电计划，项目图纸电子化移交，施工前安全技术交底，工作票签发和验收等，在施工过程中完成电力电缆的试验，保证通电且取得验收合格证, 并完成</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的移交工作及拆除材料移交入仓手续，此过程产生的一切费用由承包人承担。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9、在施工过程中完成自动化设备的调试、验收，此过程产生的一切费用由承包人承担。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中标后中标单位须到当地主管部门进行项目施工备案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right="565" w:rightChars="269" w:firstLine="420" w:firstLineChars="2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pPr>
        <w:keepNext w:val="0"/>
        <w:keepLines w:val="0"/>
        <w:pageBreakBefore w:val="0"/>
        <w:widowControl w:val="0"/>
        <w:kinsoku/>
        <w:wordWrap/>
        <w:overflowPunct/>
        <w:topLinePunct w:val="0"/>
        <w:autoSpaceDE w:val="0"/>
        <w:autoSpaceDN w:val="0"/>
        <w:bidi w:val="0"/>
        <w:adjustRightInd/>
        <w:snapToGrid/>
        <w:spacing w:line="360" w:lineRule="auto"/>
        <w:ind w:left="0" w:right="565" w:rightChars="269" w:firstLine="0" w:firstLineChars="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pPr>
        <w:pStyle w:val="2"/>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pPr>
        <w:pStyle w:val="3"/>
        <w:numPr>
          <w:ilvl w:val="0"/>
          <w:numId w:val="1"/>
        </w:numPr>
        <w:bidi w:val="0"/>
        <w:ind w:left="0" w:leftChars="0" w:firstLine="0" w:firstLineChars="0"/>
        <w:rPr>
          <w:rFonts w:hint="eastAsia"/>
          <w:color w:val="auto"/>
          <w:highlight w:val="none"/>
          <w:lang w:val="en-US" w:eastAsia="zh-CN"/>
        </w:rPr>
      </w:pPr>
      <w:bookmarkStart w:id="224" w:name="_Toc29929"/>
      <w:r>
        <w:rPr>
          <w:rFonts w:hint="eastAsia"/>
          <w:color w:val="auto"/>
          <w:highlight w:val="none"/>
          <w:lang w:val="en-US" w:eastAsia="zh-CN"/>
        </w:rPr>
        <w:t>详细评审</w:t>
      </w:r>
      <w:bookmarkEnd w:id="224"/>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21"/>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eastAsia="zh-CN"/>
              </w:rPr>
              <w:t>企业实力</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spacing w:before="48" w:beforeLines="20" w:after="48" w:afterLines="2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具有国家认证认可的监督管理部门批准设立的认证机构颁发的质量管理体系认证证书、环境管理体系认证证书、职业健康安全管理体系认证证书，每个得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spacing w:before="48" w:beforeLines="20" w:after="48" w:afterLines="2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具有安全生产许可证的得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pStyle w:val="21"/>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rPr>
              <w:t>须提供上述相关证书，具有有效期限的证书必须在有效期内，复印件加盖</w:t>
            </w:r>
            <w:r>
              <w:rPr>
                <w:rFonts w:hint="eastAsia" w:asci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eastAsia="宋体" w:cs="宋体"/>
                <w:color w:val="auto"/>
                <w:kern w:val="2"/>
                <w:sz w:val="21"/>
                <w:szCs w:val="21"/>
                <w:highlight w:val="none"/>
                <w:lang w:eastAsia="zh-CN"/>
              </w:rPr>
            </w:pPr>
            <w:r>
              <w:rPr>
                <w:rFonts w:hint="eastAsia" w:ascii="宋体" w:eastAsia="宋体" w:cs="宋体"/>
                <w:color w:val="auto"/>
                <w:sz w:val="21"/>
                <w:szCs w:val="21"/>
                <w:highlight w:val="none"/>
              </w:rPr>
              <w:t>相关业绩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spacing w:before="48" w:beforeLines="20" w:after="48" w:afterLines="20"/>
              <w:ind w:firstLine="420" w:firstLineChars="200"/>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eastAsia="zh-CN"/>
              </w:rPr>
              <w:t>具有</w:t>
            </w:r>
            <w:r>
              <w:rPr>
                <w:rFonts w:hint="eastAsia" w:ascii="宋体" w:hAnsi="宋体" w:eastAsia="宋体" w:cs="宋体"/>
                <w:bCs/>
                <w:color w:val="auto"/>
                <w:sz w:val="21"/>
                <w:szCs w:val="21"/>
                <w:highlight w:val="none"/>
              </w:rPr>
              <w:t>的配电设备类业绩，每提供一个合同业绩得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分，无不得分，本项最高得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pStyle w:val="21"/>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注：须提供有效业绩合同复印件加盖</w:t>
            </w:r>
            <w:r>
              <w:rPr>
                <w:rFonts w:hint="eastAsia" w:asci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售后服务</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提供的服务响应时间承诺进行评分。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小时内到现场，得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小时内到现场，得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小时内到现场，得1分；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承诺在接到采购人通知后超过</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小时到现场，不得分。</w:t>
            </w:r>
          </w:p>
          <w:p>
            <w:pPr>
              <w:pStyle w:val="21"/>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eastAsia="宋体" w:cs="宋体"/>
                <w:bCs/>
                <w:color w:val="auto"/>
                <w:sz w:val="21"/>
                <w:szCs w:val="21"/>
                <w:highlight w:val="none"/>
              </w:rPr>
              <w:t>提供服务承诺书并加盖</w:t>
            </w:r>
            <w:r>
              <w:rPr>
                <w:rFonts w:hint="eastAsia" w:ascii="宋体" w:eastAsia="宋体" w:cs="宋体"/>
                <w:bCs/>
                <w:color w:val="auto"/>
                <w:sz w:val="21"/>
                <w:szCs w:val="21"/>
                <w:highlight w:val="none"/>
                <w:lang w:eastAsia="zh-CN"/>
              </w:rPr>
              <w:t>供应商</w:t>
            </w:r>
            <w:r>
              <w:rPr>
                <w:rFonts w:hint="eastAsia" w:asci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总体施工方案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所提供施工方案的详细性、合理性、针对性等进行综合评审：</w:t>
            </w:r>
          </w:p>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施工方案详细完整合理，方案针对性高，切合本项目需求，得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施工方案存在缺漏，方案针对性和合理性一般，基本满足本项目需求，得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施工方案缺漏较多，方案针对性和合理性较差，得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未提供对应方案不得分</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进度保障计划方案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9</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制定的进度保障计划方案进行评分：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方案详尽完整、科学合理、有利于项目实施的得</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具备合理可行的进度保障计划方案的得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方案缺乏合理性或可行性的得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安全文明施工制度及保障措施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制定的安全文明施工制度及保障措施进行评分：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保障措施详尽完整、科学合理，制度严谨规范、能高效地保障项目实施的得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保障措施完整、合理性较高，制度较规范、有利于保障项目实施的得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保障措施及制度缺乏可行性及完整性的得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项目质量控制和检验方法</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制定的项目质量控制和检验方法进行评分：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质量控制严谨、检验方法科学合理、能高效地保障项目实施的得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具备规范可操作的质量控制和可行的检验方法、能</w:t>
            </w:r>
            <w:r>
              <w:rPr>
                <w:rFonts w:hint="eastAsia" w:ascii="宋体" w:hAnsi="宋体" w:eastAsia="宋体" w:cs="宋体"/>
                <w:bCs/>
                <w:color w:val="auto"/>
                <w:sz w:val="21"/>
                <w:szCs w:val="21"/>
                <w:highlight w:val="none"/>
                <w:lang w:eastAsia="zh-CN"/>
              </w:rPr>
              <w:t>较好</w:t>
            </w:r>
            <w:r>
              <w:rPr>
                <w:rFonts w:hint="eastAsia" w:ascii="宋体" w:hAnsi="宋体" w:eastAsia="宋体" w:cs="宋体"/>
                <w:bCs/>
                <w:color w:val="auto"/>
                <w:sz w:val="21"/>
                <w:szCs w:val="21"/>
                <w:highlight w:val="none"/>
              </w:rPr>
              <w:t>保障项目实施的得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质量控制和检验方法缺乏可行性或合理性的得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vMerge w:val="restart"/>
            <w:tcBorders>
              <w:top w:val="single" w:color="auto" w:sz="4" w:space="0"/>
              <w:left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技术力量</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拟派本项目的项目负责人（仅指一人）：</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项目负责人具有</w:t>
            </w:r>
            <w:r>
              <w:rPr>
                <w:rFonts w:hint="eastAsia" w:ascii="宋体" w:hAnsi="宋体" w:eastAsia="宋体" w:cs="宋体"/>
                <w:bCs/>
                <w:color w:val="auto"/>
                <w:sz w:val="21"/>
                <w:szCs w:val="21"/>
                <w:highlight w:val="none"/>
                <w:lang w:eastAsia="zh-CN"/>
              </w:rPr>
              <w:t>二级（或以上）</w:t>
            </w:r>
            <w:r>
              <w:rPr>
                <w:rFonts w:hint="eastAsia" w:ascii="宋体" w:hAnsi="宋体" w:eastAsia="宋体" w:cs="宋体"/>
                <w:bCs/>
                <w:color w:val="auto"/>
                <w:sz w:val="21"/>
                <w:szCs w:val="21"/>
                <w:highlight w:val="none"/>
              </w:rPr>
              <w:t>建造师</w:t>
            </w:r>
            <w:r>
              <w:rPr>
                <w:rFonts w:hint="eastAsia" w:ascii="宋体" w:hAnsi="宋体" w:eastAsia="宋体" w:cs="宋体"/>
                <w:bCs/>
                <w:color w:val="auto"/>
                <w:sz w:val="21"/>
                <w:szCs w:val="21"/>
                <w:highlight w:val="none"/>
                <w:lang w:eastAsia="zh-CN"/>
              </w:rPr>
              <w:t>及中级（或以上）工程师</w:t>
            </w:r>
            <w:r>
              <w:rPr>
                <w:rFonts w:hint="eastAsia" w:ascii="宋体" w:hAnsi="宋体" w:eastAsia="宋体" w:cs="宋体"/>
                <w:bCs/>
                <w:color w:val="auto"/>
                <w:sz w:val="21"/>
                <w:szCs w:val="21"/>
                <w:highlight w:val="none"/>
              </w:rPr>
              <w:t>的得3分。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（须提供上述人员的相关证书及</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为其缴纳最近12个月内任意1个月[不含开标当月]的社保证明，复印件加盖</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16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拟派本项目的其他人员（项目负责人除外）：</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①具有电气（力）类或机电工程类工程师证书的，中级或以上的得2分，最高得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分，其他不得分。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②具有安全生产考核合格证书（证书信息须为安全生产专职人员或以上，即“建安C”类或以上）的得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（须提供上述人员的相关证书及</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为其缴纳最近12个月内任意1个月[不含开标当月]的社保证明，复印件加盖</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应急预案及服务承诺</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针对本项目制定的应急预案及服务承诺方案进行评分：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应急预案及应对措施科学合理，服务承诺方案详尽完整、可行性高的得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具备应急预案及应对措施，服务承诺方案完整的得4分；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应急方案措施完整性或可行性差的得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rFonts w:hint="default"/>
          <w:color w:val="auto"/>
          <w:highlight w:val="none"/>
          <w:lang w:val="en-US" w:eastAsia="zh-CN"/>
        </w:rPr>
      </w:pPr>
      <w:r>
        <w:rPr>
          <w:rFonts w:hint="default"/>
          <w:color w:val="auto"/>
          <w:highlight w:val="none"/>
          <w:lang w:val="en-US"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25" w:name="_Toc20102"/>
      <w:r>
        <w:rPr>
          <w:rFonts w:hint="eastAsia"/>
          <w:color w:val="auto"/>
          <w:highlight w:val="none"/>
          <w:lang w:val="en-US" w:eastAsia="zh-CN"/>
        </w:rPr>
        <w:t>合同文本参考格式</w:t>
      </w:r>
      <w:bookmarkEnd w:id="225"/>
    </w:p>
    <w:p>
      <w:pPr>
        <w:jc w:val="center"/>
        <w:outlineLvl w:val="1"/>
        <w:rPr>
          <w:rFonts w:hint="eastAsia"/>
          <w:color w:val="auto"/>
          <w:sz w:val="18"/>
          <w:szCs w:val="21"/>
          <w:highlight w:val="none"/>
          <w:lang w:val="en-US" w:eastAsia="zh-CN"/>
        </w:rPr>
      </w:pPr>
      <w:bookmarkStart w:id="226" w:name="_Toc25458"/>
      <w:bookmarkStart w:id="227" w:name="_Toc27897"/>
      <w:bookmarkStart w:id="228" w:name="_Toc20453"/>
      <w:bookmarkStart w:id="229" w:name="_Toc1541"/>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26"/>
      <w:bookmarkEnd w:id="227"/>
      <w:bookmarkEnd w:id="228"/>
      <w:bookmarkEnd w:id="22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0" w:name="_Toc864"/>
      <w:bookmarkStart w:id="231" w:name="_Toc21895"/>
      <w:bookmarkStart w:id="232" w:name="_Toc3633"/>
      <w:bookmarkStart w:id="233" w:name="_Toc14994"/>
      <w:r>
        <w:rPr>
          <w:rFonts w:hint="eastAsia"/>
          <w:b/>
          <w:bCs/>
          <w:color w:val="auto"/>
          <w:highlight w:val="none"/>
          <w:lang w:val="en-US" w:eastAsia="zh-CN"/>
        </w:rPr>
        <w:t>一、合同金额</w:t>
      </w:r>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4" w:name="_Toc32599"/>
      <w:bookmarkStart w:id="235" w:name="_Toc8984"/>
      <w:bookmarkStart w:id="236" w:name="_Toc8673"/>
      <w:bookmarkStart w:id="237" w:name="_Toc31907"/>
      <w:r>
        <w:rPr>
          <w:rFonts w:hint="eastAsia"/>
          <w:b/>
          <w:bCs/>
          <w:color w:val="auto"/>
          <w:highlight w:val="none"/>
          <w:lang w:val="en-US" w:eastAsia="zh-CN"/>
        </w:rPr>
        <w:t>二、服务范围</w:t>
      </w:r>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8" w:name="_Toc23270"/>
      <w:bookmarkStart w:id="239" w:name="_Toc2159"/>
      <w:bookmarkStart w:id="240" w:name="_Toc28304"/>
      <w:bookmarkStart w:id="241" w:name="_Toc9958"/>
      <w:r>
        <w:rPr>
          <w:rFonts w:hint="eastAsia"/>
          <w:b/>
          <w:bCs/>
          <w:color w:val="auto"/>
          <w:highlight w:val="none"/>
          <w:lang w:val="en-US" w:eastAsia="zh-CN"/>
        </w:rPr>
        <w:t>三、甲方乙方的权利和义务</w:t>
      </w:r>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2" w:name="_Toc31228"/>
      <w:bookmarkStart w:id="243" w:name="_Toc3949"/>
      <w:bookmarkStart w:id="244" w:name="_Toc29743"/>
      <w:bookmarkStart w:id="245" w:name="_Toc13843"/>
      <w:r>
        <w:rPr>
          <w:rFonts w:hint="eastAsia"/>
          <w:b/>
          <w:bCs/>
          <w:color w:val="auto"/>
          <w:highlight w:val="none"/>
          <w:lang w:val="en-US" w:eastAsia="zh-CN"/>
        </w:rPr>
        <w:t>四、服务期间（项目完成期限）</w:t>
      </w:r>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1315"/>
      <w:bookmarkStart w:id="247" w:name="_Toc3509"/>
      <w:bookmarkStart w:id="248" w:name="_Toc26555"/>
      <w:bookmarkStart w:id="249" w:name="_Toc30401"/>
      <w:r>
        <w:rPr>
          <w:rFonts w:hint="eastAsia"/>
          <w:b/>
          <w:bCs/>
          <w:color w:val="auto"/>
          <w:highlight w:val="none"/>
          <w:lang w:val="en-US" w:eastAsia="zh-CN"/>
        </w:rPr>
        <w:t>五、付款方式</w:t>
      </w:r>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0" w:name="_Toc27026"/>
      <w:bookmarkStart w:id="251" w:name="_Toc29016"/>
      <w:bookmarkStart w:id="252" w:name="_Toc28728"/>
      <w:bookmarkStart w:id="253" w:name="_Toc25049"/>
      <w:r>
        <w:rPr>
          <w:rFonts w:hint="eastAsia"/>
          <w:b/>
          <w:bCs/>
          <w:color w:val="auto"/>
          <w:highlight w:val="none"/>
          <w:lang w:val="en-US" w:eastAsia="zh-CN"/>
        </w:rPr>
        <w:t>六、知识产权</w:t>
      </w:r>
      <w:r>
        <w:rPr>
          <w:rFonts w:hint="eastAsia"/>
          <w:b/>
          <w:bCs/>
          <w:color w:val="auto"/>
          <w:highlight w:val="none"/>
        </w:rPr>
        <w:t>归属</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4" w:name="_Toc25037"/>
      <w:bookmarkStart w:id="255" w:name="_Toc491"/>
      <w:bookmarkStart w:id="256" w:name="_Toc15194"/>
      <w:bookmarkStart w:id="257" w:name="_Toc16011"/>
      <w:r>
        <w:rPr>
          <w:rFonts w:hint="eastAsia"/>
          <w:b/>
          <w:bCs/>
          <w:color w:val="auto"/>
          <w:highlight w:val="none"/>
          <w:lang w:val="en-US" w:eastAsia="zh-CN"/>
        </w:rPr>
        <w:t>七、保密</w:t>
      </w:r>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8" w:name="_Toc8277"/>
      <w:bookmarkStart w:id="259" w:name="_Toc28189"/>
      <w:bookmarkStart w:id="260" w:name="_Toc14319"/>
      <w:bookmarkStart w:id="261" w:name="_Toc5642"/>
      <w:r>
        <w:rPr>
          <w:rFonts w:hint="eastAsia"/>
          <w:b/>
          <w:bCs/>
          <w:color w:val="auto"/>
          <w:highlight w:val="none"/>
          <w:lang w:val="en-US" w:eastAsia="zh-CN"/>
        </w:rPr>
        <w:t>八、违约责任与赔偿损失</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23187"/>
      <w:bookmarkStart w:id="263" w:name="_Toc24754"/>
      <w:bookmarkStart w:id="264" w:name="_Toc30679"/>
      <w:bookmarkStart w:id="265" w:name="_Toc18504"/>
      <w:r>
        <w:rPr>
          <w:rFonts w:hint="eastAsia"/>
          <w:b/>
          <w:bCs/>
          <w:color w:val="auto"/>
          <w:highlight w:val="none"/>
          <w:lang w:val="en-US" w:eastAsia="zh-CN"/>
        </w:rPr>
        <w:t>九、争议的解决</w:t>
      </w:r>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23085"/>
      <w:bookmarkStart w:id="267" w:name="_Toc26856"/>
      <w:bookmarkStart w:id="268" w:name="_Toc20074"/>
      <w:bookmarkStart w:id="269" w:name="_Toc21080"/>
      <w:r>
        <w:rPr>
          <w:rFonts w:hint="eastAsia"/>
          <w:b/>
          <w:bCs/>
          <w:color w:val="auto"/>
          <w:highlight w:val="none"/>
          <w:lang w:val="en-US" w:eastAsia="zh-CN"/>
        </w:rPr>
        <w:t>十、不可抗力</w:t>
      </w:r>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12495"/>
      <w:bookmarkStart w:id="271" w:name="_Toc12645"/>
      <w:bookmarkStart w:id="272" w:name="_Toc16247"/>
      <w:bookmarkStart w:id="273" w:name="_Toc29236"/>
      <w:r>
        <w:rPr>
          <w:rFonts w:hint="eastAsia"/>
          <w:b/>
          <w:bCs/>
          <w:color w:val="auto"/>
          <w:highlight w:val="none"/>
          <w:lang w:val="en-US" w:eastAsia="zh-CN"/>
        </w:rPr>
        <w:t>十一、税费</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14065"/>
      <w:bookmarkStart w:id="275" w:name="_Toc16429"/>
      <w:bookmarkStart w:id="276" w:name="_Toc7253"/>
      <w:bookmarkStart w:id="277" w:name="_Toc1974"/>
      <w:r>
        <w:rPr>
          <w:rFonts w:hint="eastAsia"/>
          <w:b/>
          <w:bCs/>
          <w:color w:val="auto"/>
          <w:highlight w:val="none"/>
          <w:lang w:val="en-US" w:eastAsia="zh-CN"/>
        </w:rPr>
        <w:t>十二、其它</w:t>
      </w:r>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78" w:name="_Toc31822"/>
      <w:bookmarkStart w:id="279" w:name="_Toc15369"/>
      <w:bookmarkStart w:id="280" w:name="_Toc22153"/>
      <w:bookmarkStart w:id="281" w:name="_Toc13763"/>
      <w:r>
        <w:rPr>
          <w:rFonts w:hint="eastAsia"/>
          <w:b/>
          <w:bCs/>
          <w:color w:val="auto"/>
          <w:highlight w:val="none"/>
          <w:lang w:val="en-US" w:eastAsia="zh-CN"/>
        </w:rPr>
        <w:t>十三、合同生效</w:t>
      </w:r>
      <w:bookmarkEnd w:id="278"/>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rPr>
          <w:rFonts w:hint="eastAsia"/>
          <w:color w:val="auto"/>
          <w:highlight w:val="none"/>
          <w:lang w:val="en-US" w:eastAsia="zh-CN"/>
        </w:rPr>
      </w:pPr>
      <w:r>
        <w:rPr>
          <w:rFonts w:hint="eastAsia"/>
          <w:color w:val="auto"/>
          <w:highlight w:val="none"/>
          <w:lang w:val="en-US" w:eastAsia="zh-CN"/>
        </w:rPr>
        <w:br w:type="page"/>
      </w:r>
    </w:p>
    <w:p>
      <w:pPr>
        <w:pStyle w:val="3"/>
        <w:bidi w:val="0"/>
        <w:rPr>
          <w:rFonts w:hint="eastAsia"/>
          <w:color w:val="auto"/>
          <w:highlight w:val="none"/>
          <w:lang w:val="en-US" w:eastAsia="zh-CN"/>
        </w:rPr>
      </w:pPr>
      <w:bookmarkStart w:id="282" w:name="_Toc2896"/>
      <w:r>
        <w:rPr>
          <w:rFonts w:hint="eastAsia"/>
          <w:color w:val="auto"/>
          <w:highlight w:val="none"/>
          <w:lang w:val="en-US" w:eastAsia="zh-CN"/>
        </w:rPr>
        <w:t>第六篇 响应文件格式</w:t>
      </w:r>
      <w:bookmarkEnd w:id="282"/>
    </w:p>
    <w:p>
      <w:pPr>
        <w:rPr>
          <w:rFonts w:hint="eastAsia"/>
          <w:b/>
          <w:bCs/>
          <w:color w:val="auto"/>
          <w:highlight w:val="none"/>
          <w:lang w:val="en-US" w:eastAsia="zh-CN"/>
        </w:rPr>
      </w:pPr>
      <w:r>
        <w:rPr>
          <w:rFonts w:hint="eastAsia"/>
          <w:b/>
          <w:bCs/>
          <w:color w:val="auto"/>
          <w:highlight w:val="none"/>
          <w:lang w:val="en-US" w:eastAsia="zh-CN"/>
        </w:rPr>
        <w:t>注意事项：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2"/>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pPr>
        <w:jc w:val="center"/>
        <w:outlineLvl w:val="1"/>
        <w:rPr>
          <w:rFonts w:hint="eastAsia"/>
          <w:b/>
          <w:bCs/>
          <w:color w:val="auto"/>
          <w:highlight w:val="none"/>
          <w:lang w:val="en-US" w:eastAsia="zh-CN"/>
        </w:rPr>
      </w:pPr>
      <w:bookmarkStart w:id="283" w:name="_Toc712"/>
      <w:bookmarkStart w:id="284" w:name="_Toc7065"/>
      <w:bookmarkStart w:id="285" w:name="_Toc23380"/>
      <w:bookmarkStart w:id="286" w:name="_Toc32213"/>
      <w:r>
        <w:rPr>
          <w:rFonts w:hint="eastAsia"/>
          <w:b/>
          <w:bCs/>
          <w:color w:val="auto"/>
          <w:highlight w:val="none"/>
          <w:lang w:val="en-US" w:eastAsia="zh-CN"/>
        </w:rPr>
        <w:t>（封面格式仅供参考）</w:t>
      </w:r>
      <w:bookmarkEnd w:id="283"/>
      <w:bookmarkEnd w:id="284"/>
      <w:bookmarkEnd w:id="285"/>
      <w:bookmarkEnd w:id="286"/>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87" w:name="_Toc26688"/>
      <w:bookmarkStart w:id="288" w:name="_Toc4650"/>
      <w:bookmarkStart w:id="289" w:name="_Toc24171"/>
      <w:bookmarkStart w:id="290" w:name="_Toc14748"/>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87"/>
      <w:bookmarkEnd w:id="288"/>
      <w:bookmarkEnd w:id="289"/>
      <w:bookmarkEnd w:id="290"/>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91" w:name="_Toc25136"/>
      <w:bookmarkStart w:id="292" w:name="_Toc17848"/>
      <w:bookmarkStart w:id="293" w:name="_Toc6353"/>
      <w:bookmarkStart w:id="294" w:name="_Toc302"/>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1"/>
      <w:bookmarkEnd w:id="292"/>
      <w:bookmarkEnd w:id="293"/>
      <w:bookmarkEnd w:id="294"/>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pPr>
        <w:pStyle w:val="2"/>
        <w:spacing w:before="8"/>
        <w:rPr>
          <w:b/>
          <w:color w:val="auto"/>
          <w:sz w:val="1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bidi w:val="0"/>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pPr>
        <w:pStyle w:val="18"/>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pPr>
        <w:pStyle w:val="18"/>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pPr>
        <w:pStyle w:val="2"/>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pPr>
        <w:pStyle w:val="2"/>
        <w:rPr>
          <w:rFonts w:hint="eastAsia"/>
          <w:color w:val="auto"/>
          <w:highlight w:val="none"/>
          <w:lang w:val="en-US" w:eastAsia="zh-CN"/>
        </w:rPr>
      </w:pPr>
    </w:p>
    <w:p>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pPr>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p>
        </w:tc>
        <w:tc>
          <w:tcPr>
            <w:tcW w:w="26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51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pPr>
        <w:pStyle w:val="18"/>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pPr>
        <w:pStyle w:val="18"/>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pPr>
        <w:pStyle w:val="18"/>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pPr>
        <w:pStyle w:val="9"/>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格式四：</w:t>
      </w:r>
    </w:p>
    <w:p>
      <w:pPr>
        <w:pStyle w:val="4"/>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95" w:name="_Toc17533"/>
      <w:bookmarkStart w:id="296" w:name="_Toc23039"/>
      <w:bookmarkStart w:id="297" w:name="_Toc4452"/>
      <w:bookmarkStart w:id="298" w:name="_Toc19106"/>
      <w:r>
        <w:rPr>
          <w:color w:val="auto"/>
          <w:sz w:val="24"/>
          <w:szCs w:val="24"/>
          <w:highlight w:val="none"/>
        </w:rPr>
        <w:t>法定代表人证明书</w:t>
      </w:r>
      <w:bookmarkEnd w:id="295"/>
      <w:bookmarkEnd w:id="296"/>
      <w:bookmarkEnd w:id="297"/>
      <w:bookmarkEnd w:id="298"/>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4"/>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1"/>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1"/>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rPr>
          <w:rFonts w:hint="eastAsia"/>
          <w:color w:val="auto"/>
          <w:highlight w:val="none"/>
          <w:lang w:val="en-US" w:eastAsia="zh-CN"/>
        </w:rPr>
      </w:pPr>
      <w:r>
        <w:rPr>
          <w:rFonts w:hint="eastAsia"/>
          <w:color w:val="auto"/>
          <w:highlight w:val="none"/>
          <w:lang w:val="en-US" w:eastAsia="zh-CN"/>
        </w:rPr>
        <w:br w:type="page"/>
      </w:r>
    </w:p>
    <w:p>
      <w:pPr>
        <w:pStyle w:val="2"/>
        <w:rPr>
          <w:rFonts w:hint="eastAsia"/>
          <w:b/>
          <w:bCs/>
          <w:color w:val="auto"/>
          <w:highlight w:val="none"/>
          <w:lang w:val="en-US" w:eastAsia="zh-CN"/>
        </w:rPr>
      </w:pPr>
      <w:r>
        <w:rPr>
          <w:rFonts w:hint="eastAsia"/>
          <w:b/>
          <w:bCs/>
          <w:color w:val="auto"/>
          <w:highlight w:val="none"/>
          <w:lang w:val="en-US" w:eastAsia="zh-CN"/>
        </w:rPr>
        <w:t>格式五：</w:t>
      </w:r>
    </w:p>
    <w:p>
      <w:pPr>
        <w:bidi w:val="0"/>
        <w:jc w:val="center"/>
        <w:rPr>
          <w:b/>
          <w:bCs/>
          <w:color w:val="auto"/>
          <w:sz w:val="24"/>
          <w:szCs w:val="32"/>
          <w:highlight w:val="none"/>
        </w:rPr>
      </w:pPr>
      <w:r>
        <w:rPr>
          <w:b/>
          <w:bCs/>
          <w:color w:val="auto"/>
          <w:sz w:val="24"/>
          <w:szCs w:val="32"/>
          <w:highlight w:val="none"/>
        </w:rPr>
        <w:t>法定代表人授权书</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4"/>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1"/>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1"/>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4"/>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bidi w:val="0"/>
        <w:rPr>
          <w:rFonts w:hint="eastAsia"/>
          <w:color w:val="auto"/>
          <w:highlight w:val="none"/>
          <w:lang w:val="en-US" w:eastAsia="zh-CN"/>
        </w:rPr>
      </w:pPr>
      <w:r>
        <w:rPr>
          <w:rFonts w:hint="eastAsia"/>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pPr>
        <w:pStyle w:val="2"/>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pPr>
        <w:ind w:firstLine="420" w:firstLineChars="200"/>
        <w:rPr>
          <w:rFonts w:hint="eastAsia"/>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pPr>
        <w:rPr>
          <w:rFonts w:hint="default"/>
          <w:b/>
          <w:bCs/>
          <w:color w:val="auto"/>
          <w:highlight w:val="none"/>
          <w:lang w:val="en-US" w:eastAsia="zh-CN"/>
        </w:rPr>
      </w:pPr>
      <w:r>
        <w:rPr>
          <w:rFonts w:hint="default"/>
          <w:b/>
          <w:bCs/>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pPr>
        <w:pStyle w:val="2"/>
        <w:jc w:val="center"/>
        <w:rPr>
          <w:b/>
          <w:bCs w:val="0"/>
          <w:color w:val="auto"/>
          <w:sz w:val="24"/>
          <w:highlight w:val="none"/>
        </w:rPr>
      </w:pPr>
      <w:r>
        <w:rPr>
          <w:b/>
          <w:bCs w:val="0"/>
          <w:color w:val="auto"/>
          <w:sz w:val="24"/>
          <w:highlight w:val="none"/>
        </w:rPr>
        <w:t>资格性审查要求的其他资质证明文件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有依法缴纳税收和社会保障资金的良好记录：提供投标</w:t>
      </w:r>
      <w:r>
        <w:rPr>
          <w:b w:val="0"/>
          <w:bCs w:val="0"/>
          <w:color w:val="auto"/>
          <w:sz w:val="21"/>
          <w:szCs w:val="21"/>
          <w:highlight w:val="none"/>
        </w:rPr>
        <w:t>（响应）</w:t>
      </w:r>
      <w:r>
        <w:rPr>
          <w:rFonts w:hint="eastAsia" w:ascii="宋体" w:hAnsi="宋体" w:eastAsia="宋体"/>
          <w:color w:val="auto"/>
          <w:sz w:val="21"/>
          <w:szCs w:val="21"/>
          <w:highlight w:val="none"/>
        </w:rPr>
        <w:t>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（提供2020年度财务状况报告或基本开户行出具的资信证明）。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rPr>
          <w:rFonts w:hint="eastAsia"/>
          <w:color w:val="auto"/>
          <w:sz w:val="20"/>
          <w:szCs w:val="24"/>
          <w:highlight w:val="none"/>
          <w:lang w:eastAsia="zh-CN"/>
        </w:rPr>
      </w:pPr>
      <w:r>
        <w:rPr>
          <w:rFonts w:hint="eastAsia"/>
          <w:color w:val="auto"/>
          <w:sz w:val="20"/>
          <w:szCs w:val="24"/>
          <w:highlight w:val="none"/>
          <w:lang w:eastAsia="zh-CN"/>
        </w:rPr>
        <w:br w:type="page"/>
      </w:r>
    </w:p>
    <w:p>
      <w:pPr>
        <w:pStyle w:val="2"/>
        <w:rPr>
          <w:rFonts w:hint="eastAsia"/>
          <w:color w:val="auto"/>
          <w:highlight w:val="none"/>
          <w:lang w:eastAsia="zh-CN"/>
        </w:rPr>
      </w:pPr>
      <w:r>
        <w:rPr>
          <w:rFonts w:hint="eastAsia"/>
          <w:b/>
          <w:bCs/>
          <w:color w:val="auto"/>
          <w:highlight w:val="none"/>
          <w:lang w:eastAsia="zh-CN"/>
        </w:rPr>
        <w:t>格式九：</w:t>
      </w:r>
    </w:p>
    <w:p>
      <w:pPr>
        <w:rPr>
          <w:rFonts w:hint="eastAsia"/>
          <w:color w:val="auto"/>
          <w:highlight w:val="none"/>
          <w:lang w:eastAsia="zh-CN"/>
        </w:rPr>
      </w:pPr>
    </w:p>
    <w:p>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pPr>
        <w:bidi w:val="0"/>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color w:val="auto"/>
          <w:highlight w:val="none"/>
        </w:rPr>
      </w:pPr>
      <w:r>
        <w:rPr>
          <w:color w:val="auto"/>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pPr>
        <w:pStyle w:val="2"/>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pPr>
        <w:pStyle w:val="2"/>
        <w:spacing w:before="2" w:after="1"/>
        <w:rPr>
          <w:b/>
          <w:color w:val="auto"/>
          <w:sz w:val="17"/>
          <w:highlight w:val="none"/>
        </w:rPr>
      </w:pPr>
    </w:p>
    <w:tbl>
      <w:tblPr>
        <w:tblStyle w:val="14"/>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格式十一：</w:t>
      </w:r>
    </w:p>
    <w:p>
      <w:pPr>
        <w:jc w:val="center"/>
        <w:rPr>
          <w:rFonts w:hint="default"/>
          <w:b/>
          <w:bCs/>
          <w:color w:val="auto"/>
          <w:sz w:val="24"/>
          <w:szCs w:val="32"/>
          <w:highlight w:val="none"/>
          <w:lang w:val="en-US" w:eastAsia="zh-CN"/>
        </w:rPr>
      </w:pPr>
      <w:r>
        <w:rPr>
          <w:rFonts w:hint="default"/>
          <w:b/>
          <w:bCs/>
          <w:color w:val="auto"/>
          <w:sz w:val="24"/>
          <w:szCs w:val="32"/>
          <w:highlight w:val="none"/>
          <w:lang w:val="en-US" w:eastAsia="zh-CN"/>
        </w:rPr>
        <w:t>技术要求响应表</w:t>
      </w:r>
    </w:p>
    <w:p>
      <w:pPr>
        <w:pStyle w:val="2"/>
        <w:rPr>
          <w:rFonts w:hint="default"/>
          <w:color w:val="auto"/>
          <w:highlight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标的名称</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参数性质</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磋商文件规定的技术要求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响应文件响应的具体内容</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是否偏离</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证明文件所在位置</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bl>
    <w:p>
      <w:pPr>
        <w:pStyle w:val="2"/>
        <w:rPr>
          <w:rFonts w:hint="default"/>
          <w:color w:val="auto"/>
          <w:highlight w:val="none"/>
          <w:lang w:val="en-US" w:eastAsia="zh-CN"/>
        </w:rPr>
      </w:pPr>
    </w:p>
    <w:p>
      <w:pPr>
        <w:rPr>
          <w:rFonts w:hint="default"/>
          <w:color w:val="auto"/>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pStyle w:val="18"/>
        <w:keepNext w:val="0"/>
        <w:keepLines w:val="0"/>
        <w:pageBreakBefore w:val="0"/>
        <w:widowControl w:val="0"/>
        <w:numPr>
          <w:ilvl w:val="0"/>
          <w:numId w:val="0"/>
        </w:numPr>
        <w:tabs>
          <w:tab w:val="left" w:pos="731"/>
        </w:tabs>
        <w:kinsoku/>
        <w:wordWrap/>
        <w:overflowPunct/>
        <w:topLinePunct w:val="0"/>
        <w:autoSpaceDE w:val="0"/>
        <w:autoSpaceDN w:val="0"/>
        <w:bidi w:val="0"/>
        <w:adjustRightInd/>
        <w:snapToGrid/>
        <w:spacing w:line="360" w:lineRule="auto"/>
        <w:ind w:left="0" w:right="0" w:rightChars="0" w:firstLine="424" w:firstLineChars="200"/>
        <w:jc w:val="left"/>
        <w:textAlignment w:val="auto"/>
        <w:rPr>
          <w:rFonts w:hint="eastAsia" w:ascii="宋体" w:hAnsi="宋体" w:eastAsia="宋体" w:cs="宋体"/>
          <w:color w:val="auto"/>
          <w:w w:val="101"/>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规定的技术要求”项下填写的内容应与</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中用户需求书的 “技术要求”的内容保持一致。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应当如实填写上表“</w:t>
      </w:r>
      <w:r>
        <w:rPr>
          <w:rFonts w:hint="eastAsia"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响应的具体内容”处内容，对</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提出的</w:t>
      </w:r>
      <w:r>
        <w:rPr>
          <w:rFonts w:hint="eastAsia"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要求和条件作出明确响应，并列明具体响应数值或内容，只注明符合、满足等无具体内容表述的，将视为未实质性满足</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要求。</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需要说明的内容若需特殊表达，应先在本表中进行相应说明，再另页应答，否则投标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参数性质栏目按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有标注的“★”、“▲”号条款进行填写，打“★”号条款为实质性条款，若有任何一条负偏离或不满足则导致投标</w:t>
      </w:r>
      <w:r>
        <w:rPr>
          <w:b w:val="0"/>
          <w:bCs w:val="0"/>
          <w:color w:val="auto"/>
          <w:sz w:val="21"/>
          <w:szCs w:val="21"/>
          <w:highlight w:val="none"/>
        </w:rPr>
        <w:t>（响应）</w:t>
      </w:r>
      <w:r>
        <w:rPr>
          <w:rFonts w:hint="eastAsia" w:ascii="宋体" w:hAnsi="宋体" w:eastAsia="宋体" w:cs="宋体"/>
          <w:color w:val="auto"/>
          <w:sz w:val="21"/>
          <w:szCs w:val="21"/>
          <w:highlight w:val="none"/>
        </w:rPr>
        <w:t>无效。打“▲”号条款为重要技术参数（如有），若有部分“▲”条款未响应或不满足，将根据评审要求影响其得分，但不作为无效投标</w:t>
      </w:r>
      <w:r>
        <w:rPr>
          <w:b w:val="0"/>
          <w:bCs w:val="0"/>
          <w:color w:val="auto"/>
          <w:sz w:val="21"/>
          <w:szCs w:val="21"/>
          <w:highlight w:val="none"/>
        </w:rPr>
        <w:t>（响应）</w:t>
      </w:r>
      <w:r>
        <w:rPr>
          <w:rFonts w:hint="eastAsia" w:ascii="宋体" w:hAnsi="宋体" w:eastAsia="宋体" w:cs="宋体"/>
          <w:color w:val="auto"/>
          <w:sz w:val="21"/>
          <w:szCs w:val="21"/>
          <w:highlight w:val="none"/>
        </w:rPr>
        <w:t>条款。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“是否偏离”项下应按下列规定填写：优于的，填写“正偏离”；符合的，填写“无偏离”；低于的，填写“负偏离”。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.“备注”处可填写偏离情况的说明。</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pPr>
        <w:pStyle w:val="2"/>
        <w:jc w:val="center"/>
        <w:rPr>
          <w:b/>
          <w:bCs/>
          <w:color w:val="auto"/>
          <w:sz w:val="24"/>
          <w:szCs w:val="24"/>
          <w:highlight w:val="none"/>
        </w:rPr>
      </w:pPr>
      <w:r>
        <w:rPr>
          <w:b/>
          <w:bCs/>
          <w:color w:val="auto"/>
          <w:sz w:val="24"/>
          <w:szCs w:val="24"/>
          <w:highlight w:val="none"/>
        </w:rPr>
        <w:t>商务</w:t>
      </w:r>
      <w:r>
        <w:rPr>
          <w:rFonts w:hint="eastAsia"/>
          <w:b/>
          <w:bCs/>
          <w:color w:val="auto"/>
          <w:sz w:val="24"/>
          <w:szCs w:val="24"/>
          <w:highlight w:val="none"/>
          <w:lang w:eastAsia="zh-CN"/>
        </w:rPr>
        <w:t>要求</w:t>
      </w:r>
      <w:r>
        <w:rPr>
          <w:b/>
          <w:bCs/>
          <w:color w:val="auto"/>
          <w:sz w:val="24"/>
          <w:szCs w:val="24"/>
          <w:highlight w:val="none"/>
        </w:rPr>
        <w:t>响应表</w:t>
      </w:r>
    </w:p>
    <w:p>
      <w:pPr>
        <w:rPr>
          <w:b/>
          <w:bCs/>
          <w:color w:val="auto"/>
          <w:sz w:val="24"/>
          <w:szCs w:val="24"/>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标的名称</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参数性质</w:t>
            </w: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磋商文件规定的商务要求</w:t>
            </w: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响应文件响应的具体内容</w:t>
            </w: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是否偏离</w:t>
            </w: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证明文件所在位置</w:t>
            </w: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bl>
    <w:p>
      <w:pPr>
        <w:pStyle w:val="2"/>
        <w:rPr>
          <w:rFonts w:hint="default"/>
          <w:b w:val="0"/>
          <w:bCs w:val="0"/>
          <w:color w:val="auto"/>
          <w:sz w:val="21"/>
          <w:szCs w:val="21"/>
          <w:highlight w:val="none"/>
          <w:lang w:val="en-US" w:eastAsia="zh-CN"/>
        </w:rPr>
      </w:pPr>
    </w:p>
    <w:p>
      <w:pPr>
        <w:rPr>
          <w:rFonts w:hint="default"/>
          <w:b w:val="0"/>
          <w:bCs w:val="0"/>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规定的商务要求”项下填写的内容应与</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中用户需求书的“商务要求”的内容保持一致。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应当如实填写上表“</w:t>
      </w:r>
      <w:r>
        <w:rPr>
          <w:rFonts w:hint="eastAsia"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响应的具体内容”处内容，对</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规定的商务要求和条件作出明确响应，并列明具体响应数值或内容，只注明符合、满足等无具体内容表述的，将视为未实质性满足</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要求。</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需要说明的内容若需特殊表达，应先在本表中进行相应说明，再另页应答，否则投标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3.参数性质栏目按</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有标注的“★”、“▲”号条款进行填写，打“★”号条款为实质性条款，若有任何一条负偏离或不满足则导致投标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无效。打“▲”号条款为重要技术参数（如有），若有部分“▲”条款未响应或不满足，将根据评审要求影响其得分，但不作为无效投标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条款。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4.“是否偏离”项下应按下列规定填写：优于的，填写“正偏离”；符合的，填写“无偏离”；低于的，填写“负偏离”。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5.“备注”处可填写偏离情况的说明。</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299" w:name="_Toc16713"/>
      <w:bookmarkStart w:id="300" w:name="_Toc10424"/>
      <w:bookmarkStart w:id="301" w:name="_Toc20098"/>
      <w:bookmarkStart w:id="302" w:name="_Toc27833"/>
      <w:r>
        <w:rPr>
          <w:color w:val="auto"/>
          <w:highlight w:val="none"/>
        </w:rPr>
        <w:t>履约进度计划表</w:t>
      </w:r>
      <w:bookmarkEnd w:id="299"/>
      <w:bookmarkEnd w:id="300"/>
      <w:bookmarkEnd w:id="301"/>
      <w:bookmarkEnd w:id="302"/>
    </w:p>
    <w:p>
      <w:pPr>
        <w:pStyle w:val="2"/>
        <w:spacing w:before="2" w:after="1"/>
        <w:rPr>
          <w:b/>
          <w:color w:val="auto"/>
          <w:sz w:val="17"/>
          <w:highlight w:val="none"/>
        </w:rPr>
      </w:pPr>
    </w:p>
    <w:tbl>
      <w:tblPr>
        <w:tblStyle w:val="1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pPr>
              <w:pStyle w:val="20"/>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pPr>
              <w:pStyle w:val="20"/>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pPr>
              <w:pStyle w:val="20"/>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pPr>
              <w:pStyle w:val="20"/>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r>
        <w:rPr>
          <w:rFonts w:hint="eastAsia"/>
          <w:color w:val="auto"/>
          <w:highlight w:val="none"/>
          <w:lang w:val="en-US" w:eastAsia="zh-CN"/>
        </w:rPr>
        <w:br w:type="page"/>
      </w:r>
    </w:p>
    <w:p>
      <w:pPr>
        <w:outlineLvl w:val="1"/>
        <w:rPr>
          <w:rFonts w:hint="eastAsia"/>
          <w:b/>
          <w:bCs/>
          <w:color w:val="auto"/>
          <w:sz w:val="24"/>
          <w:szCs w:val="32"/>
          <w:highlight w:val="none"/>
          <w:lang w:val="en-US" w:eastAsia="zh-CN"/>
        </w:rPr>
      </w:pPr>
      <w:bookmarkStart w:id="303" w:name="_Toc6564"/>
      <w:bookmarkStart w:id="304" w:name="_Toc26415"/>
      <w:bookmarkStart w:id="305" w:name="_Toc2912"/>
      <w:bookmarkStart w:id="306" w:name="_Toc7867"/>
      <w:r>
        <w:rPr>
          <w:rFonts w:hint="eastAsia"/>
          <w:b/>
          <w:bCs/>
          <w:color w:val="auto"/>
          <w:sz w:val="24"/>
          <w:szCs w:val="32"/>
          <w:highlight w:val="none"/>
          <w:lang w:val="en-US" w:eastAsia="zh-CN"/>
        </w:rPr>
        <w:t>格式十四：</w:t>
      </w:r>
      <w:bookmarkEnd w:id="303"/>
      <w:bookmarkEnd w:id="304"/>
      <w:bookmarkEnd w:id="305"/>
      <w:bookmarkEnd w:id="306"/>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07" w:name="_Toc3338"/>
      <w:bookmarkStart w:id="308" w:name="_Toc10497"/>
      <w:bookmarkStart w:id="309" w:name="_Toc3436"/>
      <w:bookmarkStart w:id="310" w:name="_Toc14919"/>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07"/>
      <w:bookmarkEnd w:id="308"/>
      <w:bookmarkEnd w:id="309"/>
      <w:bookmarkEnd w:id="310"/>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1" w:name="_Toc2429"/>
      <w:bookmarkStart w:id="312" w:name="_Toc7938"/>
      <w:bookmarkStart w:id="313" w:name="_Toc26846"/>
      <w:bookmarkStart w:id="314" w:name="_Toc26572"/>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11"/>
      <w:bookmarkEnd w:id="312"/>
      <w:bookmarkEnd w:id="313"/>
      <w:bookmarkEnd w:id="314"/>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5" w:name="_Toc30382"/>
      <w:bookmarkStart w:id="316" w:name="_Toc25195"/>
      <w:bookmarkStart w:id="317" w:name="_Toc27193"/>
      <w:bookmarkStart w:id="318" w:name="_Toc2436"/>
      <w:r>
        <w:rPr>
          <w:rFonts w:hint="eastAsia" w:ascii="宋体" w:hAnsi="宋体" w:eastAsia="宋体" w:cs="宋体"/>
          <w:b/>
          <w:bCs/>
          <w:color w:val="auto"/>
          <w:sz w:val="24"/>
          <w:szCs w:val="24"/>
          <w:highlight w:val="none"/>
          <w:lang w:eastAsia="zh-CN"/>
        </w:rPr>
        <w:t>格式十五：</w:t>
      </w:r>
      <w:bookmarkEnd w:id="315"/>
      <w:bookmarkEnd w:id="316"/>
      <w:bookmarkEnd w:id="317"/>
      <w:bookmarkEnd w:id="318"/>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pPr>
        <w:bidi w:val="0"/>
        <w:rPr>
          <w:rFonts w:hint="eastAsia"/>
          <w:color w:val="auto"/>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pPr>
        <w:rPr>
          <w:rFonts w:hint="eastAsia"/>
          <w:color w:val="auto"/>
          <w:highlight w:val="none"/>
        </w:rPr>
      </w:pPr>
      <w:r>
        <w:rPr>
          <w:rFonts w:hint="eastAsia"/>
          <w:color w:val="auto"/>
          <w:highlight w:val="none"/>
        </w:rPr>
        <w:br w:type="page"/>
      </w:r>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9" w:name="_Toc28801"/>
      <w:bookmarkStart w:id="320" w:name="_Toc3970"/>
      <w:bookmarkStart w:id="321" w:name="_Toc32108"/>
      <w:bookmarkStart w:id="322" w:name="_Toc7693"/>
      <w:r>
        <w:rPr>
          <w:rFonts w:hint="eastAsia" w:ascii="宋体" w:hAnsi="宋体" w:eastAsia="宋体" w:cs="宋体"/>
          <w:b/>
          <w:bCs/>
          <w:color w:val="auto"/>
          <w:sz w:val="24"/>
          <w:szCs w:val="24"/>
          <w:highlight w:val="none"/>
          <w:lang w:eastAsia="zh-CN"/>
        </w:rPr>
        <w:t>格式十五：</w:t>
      </w:r>
      <w:bookmarkEnd w:id="319"/>
      <w:bookmarkEnd w:id="320"/>
      <w:bookmarkEnd w:id="321"/>
      <w:bookmarkEnd w:id="322"/>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pPr>
        <w:pStyle w:val="2"/>
        <w:spacing w:before="8"/>
        <w:rPr>
          <w:rFonts w:hint="eastAsia" w:ascii="宋体" w:hAnsi="宋体" w:eastAsia="宋体" w:cs="宋体"/>
          <w:color w:val="auto"/>
          <w:sz w:val="21"/>
          <w:szCs w:val="21"/>
          <w:highlight w:val="none"/>
        </w:rPr>
      </w:pPr>
    </w:p>
    <w:p>
      <w:pPr>
        <w:bidi w:val="0"/>
        <w:jc w:val="center"/>
        <w:outlineLvl w:val="1"/>
        <w:rPr>
          <w:rFonts w:hint="eastAsia" w:ascii="宋体" w:hAnsi="宋体" w:eastAsia="宋体" w:cs="宋体"/>
          <w:b/>
          <w:bCs/>
          <w:color w:val="auto"/>
          <w:sz w:val="21"/>
          <w:szCs w:val="21"/>
          <w:highlight w:val="none"/>
        </w:rPr>
      </w:pPr>
      <w:bookmarkStart w:id="323" w:name="_Toc11855"/>
      <w:bookmarkStart w:id="324" w:name="_Toc17430"/>
      <w:bookmarkStart w:id="325" w:name="_Toc4401"/>
      <w:bookmarkStart w:id="326" w:name="_Toc31849"/>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23"/>
      <w:bookmarkEnd w:id="324"/>
      <w:bookmarkEnd w:id="325"/>
      <w:bookmarkEnd w:id="326"/>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0"/>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pPr>
              <w:pStyle w:val="2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0"/>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pPr>
              <w:pStyle w:val="2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0"/>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pPr>
              <w:pStyle w:val="2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pPr>
        <w:rPr>
          <w:color w:val="auto"/>
          <w:sz w:val="20"/>
          <w:szCs w:val="20"/>
          <w:highlight w:val="none"/>
        </w:rPr>
      </w:pPr>
      <w:r>
        <w:rPr>
          <w:color w:val="auto"/>
          <w:sz w:val="20"/>
          <w:szCs w:val="20"/>
          <w:highlight w:val="none"/>
        </w:rPr>
        <w:br w:type="page"/>
      </w:r>
    </w:p>
    <w:p>
      <w:pPr>
        <w:pStyle w:val="2"/>
        <w:outlineLvl w:val="1"/>
        <w:rPr>
          <w:rFonts w:hint="eastAsia"/>
          <w:b/>
          <w:bCs/>
          <w:color w:val="auto"/>
          <w:highlight w:val="none"/>
          <w:lang w:val="en-US" w:eastAsia="zh-CN"/>
        </w:rPr>
      </w:pPr>
      <w:bookmarkStart w:id="327" w:name="_Toc29664"/>
      <w:bookmarkStart w:id="328" w:name="_Toc25747"/>
      <w:bookmarkStart w:id="329" w:name="_Toc2879"/>
      <w:bookmarkStart w:id="330" w:name="_Toc29916"/>
      <w:r>
        <w:rPr>
          <w:rFonts w:hint="eastAsia"/>
          <w:b/>
          <w:bCs/>
          <w:color w:val="auto"/>
          <w:highlight w:val="none"/>
          <w:lang w:val="en-US" w:eastAsia="zh-CN"/>
        </w:rPr>
        <w:t>格式十六：</w:t>
      </w:r>
      <w:bookmarkEnd w:id="327"/>
      <w:bookmarkEnd w:id="328"/>
      <w:bookmarkEnd w:id="329"/>
      <w:bookmarkEnd w:id="330"/>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 w:val="21"/>
          <w:szCs w:val="21"/>
          <w:highlight w:val="none"/>
        </w:rPr>
      </w:pPr>
      <w:r>
        <w:rPr>
          <w:color w:val="auto"/>
          <w:sz w:val="21"/>
          <w:szCs w:val="21"/>
          <w:highlight w:val="none"/>
        </w:rPr>
        <w:br w:type="page"/>
      </w:r>
    </w:p>
    <w:p>
      <w:pPr>
        <w:pStyle w:val="3"/>
        <w:bidi w:val="0"/>
        <w:rPr>
          <w:rFonts w:hint="eastAsia"/>
          <w:color w:val="auto"/>
          <w:highlight w:val="none"/>
          <w:lang w:val="en-US" w:eastAsia="zh-CN"/>
        </w:rPr>
      </w:pPr>
      <w:bookmarkStart w:id="331"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31"/>
    </w:p>
    <w:p>
      <w:pPr>
        <w:jc w:val="center"/>
        <w:outlineLvl w:val="1"/>
        <w:rPr>
          <w:rFonts w:hint="eastAsia"/>
          <w:b/>
          <w:bCs/>
          <w:color w:val="auto"/>
          <w:highlight w:val="none"/>
          <w:lang w:val="en-US" w:eastAsia="zh-CN"/>
        </w:rPr>
      </w:pPr>
      <w:bookmarkStart w:id="332" w:name="_Toc32249"/>
      <w:bookmarkStart w:id="333" w:name="_Toc29643"/>
      <w:bookmarkStart w:id="334" w:name="_Toc11568"/>
      <w:bookmarkStart w:id="335" w:name="_Toc23654"/>
      <w:r>
        <w:rPr>
          <w:rFonts w:hint="eastAsia"/>
          <w:b/>
          <w:bCs/>
          <w:color w:val="auto"/>
          <w:highlight w:val="none"/>
          <w:lang w:val="en-US" w:eastAsia="zh-CN"/>
        </w:rPr>
        <w:t>（封面格式仅供参考）</w:t>
      </w:r>
      <w:bookmarkEnd w:id="332"/>
      <w:bookmarkEnd w:id="333"/>
      <w:bookmarkEnd w:id="334"/>
      <w:bookmarkEnd w:id="335"/>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36" w:name="_Toc24898"/>
      <w:bookmarkStart w:id="337" w:name="_Toc10015"/>
      <w:bookmarkStart w:id="338" w:name="_Toc5561"/>
      <w:bookmarkStart w:id="339" w:name="_Toc31076"/>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36"/>
      <w:bookmarkEnd w:id="337"/>
      <w:bookmarkEnd w:id="338"/>
      <w:bookmarkEnd w:id="339"/>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40" w:name="_Toc77"/>
      <w:bookmarkStart w:id="341" w:name="_Toc18186"/>
      <w:bookmarkStart w:id="342" w:name="_Toc28515"/>
      <w:bookmarkStart w:id="343" w:name="_Toc14351"/>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0"/>
      <w:bookmarkEnd w:id="341"/>
      <w:bookmarkEnd w:id="342"/>
      <w:bookmarkEnd w:id="343"/>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4" w:name="_Toc7980"/>
      <w:bookmarkStart w:id="345" w:name="_Toc24484"/>
      <w:bookmarkStart w:id="346" w:name="_Toc32100"/>
      <w:bookmarkStart w:id="347" w:name="_Toc31505"/>
      <w:r>
        <w:rPr>
          <w:rFonts w:hint="eastAsia" w:ascii="宋体" w:hAnsi="宋体" w:eastAsia="宋体" w:cs="宋体"/>
          <w:b/>
          <w:bCs/>
          <w:color w:val="auto"/>
          <w:sz w:val="21"/>
          <w:szCs w:val="21"/>
          <w:highlight w:val="none"/>
          <w:lang w:val="en-US" w:eastAsia="zh-CN"/>
        </w:rPr>
        <w:t>1、</w:t>
      </w:r>
      <w:bookmarkEnd w:id="344"/>
      <w:bookmarkEnd w:id="345"/>
      <w:bookmarkEnd w:id="346"/>
      <w:bookmarkEnd w:id="347"/>
      <w:r>
        <w:rPr>
          <w:rFonts w:hint="eastAsia" w:cs="宋体"/>
          <w:b/>
          <w:bCs/>
          <w:color w:val="auto"/>
          <w:sz w:val="21"/>
          <w:szCs w:val="21"/>
          <w:highlight w:val="none"/>
          <w:lang w:val="en-US"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8" w:name="_Toc20806"/>
      <w:bookmarkStart w:id="349" w:name="_Toc29661"/>
      <w:bookmarkStart w:id="350" w:name="_Toc6563"/>
      <w:bookmarkStart w:id="351" w:name="_Toc8054"/>
      <w:r>
        <w:rPr>
          <w:rFonts w:hint="eastAsia" w:ascii="宋体" w:hAnsi="宋体" w:eastAsia="宋体" w:cs="宋体"/>
          <w:b/>
          <w:bCs/>
          <w:color w:val="auto"/>
          <w:sz w:val="21"/>
          <w:szCs w:val="21"/>
          <w:highlight w:val="none"/>
          <w:lang w:val="en-US" w:eastAsia="zh-CN"/>
        </w:rPr>
        <w:t>2、分项报价表</w:t>
      </w:r>
      <w:bookmarkEnd w:id="348"/>
      <w:bookmarkEnd w:id="349"/>
      <w:bookmarkEnd w:id="350"/>
      <w:bookmarkEnd w:id="351"/>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2" w:name="_Toc13609"/>
      <w:bookmarkStart w:id="353" w:name="_Toc3142"/>
      <w:bookmarkStart w:id="354" w:name="_Toc20631"/>
      <w:bookmarkStart w:id="355" w:name="_Toc5011"/>
      <w:r>
        <w:rPr>
          <w:rFonts w:hint="eastAsia" w:ascii="宋体" w:hAnsi="宋体" w:eastAsia="宋体" w:cs="宋体"/>
          <w:b/>
          <w:bCs/>
          <w:color w:val="auto"/>
          <w:sz w:val="21"/>
          <w:szCs w:val="21"/>
          <w:highlight w:val="none"/>
          <w:lang w:val="en-US" w:eastAsia="zh-CN"/>
        </w:rPr>
        <w:t>3、法定代表人证明书</w:t>
      </w:r>
      <w:bookmarkEnd w:id="352"/>
      <w:bookmarkEnd w:id="353"/>
      <w:bookmarkEnd w:id="354"/>
      <w:bookmarkEnd w:id="355"/>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6" w:name="_Toc31223"/>
      <w:bookmarkStart w:id="357" w:name="_Toc27439"/>
      <w:bookmarkStart w:id="358" w:name="_Toc17346"/>
      <w:bookmarkStart w:id="359" w:name="_Toc31054"/>
      <w:r>
        <w:rPr>
          <w:rFonts w:hint="eastAsia" w:ascii="宋体" w:hAnsi="宋体" w:eastAsia="宋体" w:cs="宋体"/>
          <w:b/>
          <w:bCs/>
          <w:color w:val="auto"/>
          <w:sz w:val="21"/>
          <w:szCs w:val="21"/>
          <w:highlight w:val="none"/>
          <w:lang w:val="en-US" w:eastAsia="zh-CN"/>
        </w:rPr>
        <w:t>4、法定代表人授权书</w:t>
      </w:r>
      <w:bookmarkEnd w:id="356"/>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16304"/>
      <w:bookmarkStart w:id="361" w:name="_Toc29210"/>
      <w:bookmarkStart w:id="362" w:name="_Toc23814"/>
      <w:bookmarkStart w:id="363" w:name="_Toc20213"/>
      <w:r>
        <w:rPr>
          <w:rFonts w:hint="eastAsia" w:ascii="宋体" w:hAnsi="宋体" w:eastAsia="宋体" w:cs="宋体"/>
          <w:b/>
          <w:bCs/>
          <w:color w:val="auto"/>
          <w:sz w:val="21"/>
          <w:szCs w:val="21"/>
          <w:highlight w:val="none"/>
          <w:lang w:val="en-US" w:eastAsia="zh-CN"/>
        </w:rPr>
        <w:t>5、</w:t>
      </w:r>
      <w:bookmarkEnd w:id="360"/>
      <w:r>
        <w:rPr>
          <w:rFonts w:hint="eastAsia" w:ascii="宋体" w:hAnsi="宋体" w:cs="宋体"/>
          <w:b/>
          <w:bCs/>
          <w:color w:val="auto"/>
          <w:sz w:val="21"/>
          <w:szCs w:val="21"/>
          <w:highlight w:val="none"/>
          <w:lang w:val="en-US" w:eastAsia="zh-CN"/>
        </w:rPr>
        <w:t>响应保证金</w:t>
      </w:r>
      <w:bookmarkEnd w:id="361"/>
      <w:bookmarkEnd w:id="362"/>
      <w:bookmarkEnd w:id="363"/>
    </w:p>
    <w:p>
      <w:pPr>
        <w:rPr>
          <w:rFonts w:hint="eastAsia"/>
          <w:color w:val="auto"/>
          <w:highlight w:val="none"/>
          <w:lang w:val="en-US" w:eastAsia="zh-CN"/>
        </w:rPr>
      </w:pPr>
    </w:p>
    <w:p>
      <w:pPr>
        <w:pStyle w:val="2"/>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3"/>
        <w:bidi w:val="0"/>
        <w:rPr>
          <w:rFonts w:hint="eastAsia"/>
          <w:color w:val="auto"/>
          <w:highlight w:val="none"/>
          <w:lang w:val="en-US" w:eastAsia="zh-CN"/>
        </w:rPr>
      </w:pPr>
      <w:bookmarkStart w:id="364" w:name="_Toc30888"/>
      <w:r>
        <w:rPr>
          <w:rFonts w:hint="eastAsia"/>
          <w:color w:val="auto"/>
          <w:highlight w:val="none"/>
          <w:lang w:val="en-US" w:eastAsia="zh-CN"/>
        </w:rPr>
        <w:t>第八篇 其它文件格式（如有需要）</w:t>
      </w:r>
      <w:bookmarkEnd w:id="364"/>
    </w:p>
    <w:p>
      <w:pPr>
        <w:rPr>
          <w:rFonts w:hint="eastAsia"/>
          <w:b/>
          <w:bCs/>
          <w:color w:val="auto"/>
          <w:highlight w:val="none"/>
          <w:lang w:val="en-US" w:eastAsia="zh-CN"/>
        </w:rPr>
      </w:pPr>
      <w:r>
        <w:rPr>
          <w:rFonts w:hint="eastAsia"/>
          <w:b/>
          <w:bCs/>
          <w:color w:val="auto"/>
          <w:highlight w:val="none"/>
          <w:lang w:val="en-US" w:eastAsia="zh-CN"/>
        </w:rPr>
        <w:t>格式一：</w:t>
      </w:r>
    </w:p>
    <w:p>
      <w:pPr>
        <w:bidi w:val="0"/>
        <w:jc w:val="center"/>
        <w:rPr>
          <w:b/>
          <w:bCs/>
          <w:color w:val="auto"/>
          <w:highlight w:val="none"/>
        </w:rPr>
      </w:pPr>
      <w:r>
        <w:rPr>
          <w:b/>
          <w:bCs/>
          <w:color w:val="auto"/>
          <w:highlight w:val="none"/>
        </w:rPr>
        <w:t>询问函、质疑函格式</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pPr>
        <w:bidi w:val="0"/>
        <w:jc w:val="center"/>
        <w:rPr>
          <w:b/>
          <w:bCs/>
          <w:color w:val="auto"/>
          <w:highlight w:val="none"/>
        </w:rPr>
      </w:pPr>
      <w:r>
        <w:rPr>
          <w:b/>
          <w:bCs/>
          <w:color w:val="auto"/>
          <w:highlight w:val="none"/>
        </w:rPr>
        <w:t>询问函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18"/>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pPr>
        <w:pStyle w:val="18"/>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pPr>
        <w:rPr>
          <w:color w:val="auto"/>
          <w:sz w:val="21"/>
          <w:szCs w:val="21"/>
          <w:highlight w:val="none"/>
        </w:rPr>
      </w:pPr>
      <w:r>
        <w:rPr>
          <w:color w:val="auto"/>
          <w:sz w:val="21"/>
          <w:szCs w:val="21"/>
          <w:highlight w:val="none"/>
        </w:rPr>
        <w:br w:type="page"/>
      </w:r>
    </w:p>
    <w:p>
      <w:pPr>
        <w:bidi w:val="0"/>
        <w:jc w:val="center"/>
        <w:rPr>
          <w:b/>
          <w:bCs/>
          <w:color w:val="auto"/>
          <w:highlight w:val="none"/>
        </w:rPr>
      </w:pPr>
      <w:r>
        <w:rPr>
          <w:b/>
          <w:bCs/>
          <w:color w:val="auto"/>
          <w:highlight w:val="none"/>
        </w:rPr>
        <w:t>质疑函</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pPr>
        <w:pStyle w:val="2"/>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pPr>
        <w:pStyle w:val="2"/>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pPr>
        <w:pStyle w:val="18"/>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pPr>
        <w:pStyle w:val="18"/>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pPr>
        <w:pStyle w:val="18"/>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pPr>
        <w:pStyle w:val="18"/>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pPr>
        <w:pStyle w:val="18"/>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pPr>
        <w:pStyle w:val="18"/>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 w:val="21"/>
          <w:szCs w:val="21"/>
          <w:highlight w:val="none"/>
        </w:rPr>
      </w:pPr>
      <w:r>
        <w:rPr>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格式二：</w:t>
      </w:r>
    </w:p>
    <w:p>
      <w:pPr>
        <w:bidi w:val="0"/>
        <w:jc w:val="center"/>
        <w:rPr>
          <w:rFonts w:hint="eastAsia" w:eastAsia="宋体"/>
          <w:b/>
          <w:bCs/>
          <w:color w:val="auto"/>
          <w:highlight w:val="none"/>
          <w:lang w:eastAsia="zh-CN"/>
        </w:rPr>
      </w:pPr>
      <w:r>
        <w:rPr>
          <w:rFonts w:hint="eastAsia"/>
          <w:b/>
          <w:bCs/>
          <w:color w:val="auto"/>
          <w:highlight w:val="none"/>
          <w:lang w:eastAsia="zh-CN"/>
        </w:rPr>
        <w:t>响应担保函</w:t>
      </w:r>
    </w:p>
    <w:p>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2"/>
        <w:rPr>
          <w:rFonts w:hint="eastAsia"/>
          <w:b/>
          <w:bCs/>
          <w:color w:val="auto"/>
          <w:highlight w:val="none"/>
          <w:lang w:eastAsia="zh-CN"/>
        </w:rPr>
      </w:pPr>
      <w:r>
        <w:rPr>
          <w:rFonts w:hint="eastAsia"/>
          <w:b/>
          <w:bCs/>
          <w:color w:val="auto"/>
          <w:highlight w:val="none"/>
          <w:lang w:eastAsia="zh-CN"/>
        </w:rPr>
        <w:t>格式三：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格式四：</w:t>
      </w:r>
    </w:p>
    <w:p>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center"/>
      <w:rPr>
        <w:rFonts w:hint="default" w:eastAsia="宋体"/>
        <w:lang w:val="en-US" w:eastAsia="zh-CN"/>
      </w:rPr>
    </w:pPr>
    <w:r>
      <w:rPr>
        <w:rFonts w:hint="default"/>
        <w:lang w:val="en-US" w:eastAsia="zh-CN"/>
      </w:rPr>
      <w:t>中坑工业大厦1600kVA变压器安装工程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2880AAC"/>
    <w:rsid w:val="0548041A"/>
    <w:rsid w:val="08DB5114"/>
    <w:rsid w:val="0B696582"/>
    <w:rsid w:val="0BE32B7B"/>
    <w:rsid w:val="0FA75340"/>
    <w:rsid w:val="19C92056"/>
    <w:rsid w:val="1B046FEA"/>
    <w:rsid w:val="29A20A66"/>
    <w:rsid w:val="2A213986"/>
    <w:rsid w:val="2BBA5DF0"/>
    <w:rsid w:val="304A47CF"/>
    <w:rsid w:val="3320692B"/>
    <w:rsid w:val="339D5B51"/>
    <w:rsid w:val="33E12E57"/>
    <w:rsid w:val="39C27E7C"/>
    <w:rsid w:val="3A123017"/>
    <w:rsid w:val="414A030F"/>
    <w:rsid w:val="4E6A7DE2"/>
    <w:rsid w:val="4E862B87"/>
    <w:rsid w:val="4E9C6EA6"/>
    <w:rsid w:val="51593AA1"/>
    <w:rsid w:val="51ED4F85"/>
    <w:rsid w:val="549178FF"/>
    <w:rsid w:val="5E2A2E41"/>
    <w:rsid w:val="64677E69"/>
    <w:rsid w:val="64D3048A"/>
    <w:rsid w:val="67520D2F"/>
    <w:rsid w:val="67880920"/>
    <w:rsid w:val="6DCB42B6"/>
    <w:rsid w:val="6E003853"/>
    <w:rsid w:val="735656B0"/>
    <w:rsid w:val="739B0891"/>
    <w:rsid w:val="74951BFB"/>
    <w:rsid w:val="79533EEE"/>
    <w:rsid w:val="7AEF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19"/>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宋体"/>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FF"/>
      <w:u w:val="single"/>
    </w:rPr>
  </w:style>
  <w:style w:type="paragraph" w:styleId="18">
    <w:name w:val="List Paragraph"/>
    <w:basedOn w:val="1"/>
    <w:qFormat/>
    <w:uiPriority w:val="34"/>
    <w:pPr>
      <w:ind w:firstLine="420" w:firstLineChars="200"/>
    </w:pPr>
  </w:style>
  <w:style w:type="character" w:customStyle="1" w:styleId="19">
    <w:name w:val="标题 1 Char"/>
    <w:link w:val="3"/>
    <w:qFormat/>
    <w:uiPriority w:val="0"/>
    <w:rPr>
      <w:b/>
      <w:kern w:val="44"/>
      <w:sz w:val="30"/>
    </w:rPr>
  </w:style>
  <w:style w:type="paragraph" w:customStyle="1" w:styleId="20">
    <w:name w:val="Table Paragraph"/>
    <w:basedOn w:val="1"/>
    <w:qFormat/>
    <w:uiPriority w:val="1"/>
  </w:style>
  <w:style w:type="paragraph" w:customStyle="1" w:styleId="21">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customStyle="1" w:styleId="23">
    <w:name w:val="WPSOffice手动目录 2"/>
    <w:qFormat/>
    <w:uiPriority w:val="0"/>
    <w:pPr>
      <w:ind w:leftChars="200"/>
    </w:pPr>
    <w:rPr>
      <w:rFonts w:asciiTheme="minorHAnsi" w:hAnsiTheme="minorHAnsi" w:eastAsiaTheme="minorEastAsia" w:cstheme="minorBidi"/>
      <w:sz w:val="20"/>
      <w:szCs w:val="20"/>
    </w:rPr>
  </w:style>
  <w:style w:type="paragraph" w:customStyle="1" w:styleId="24">
    <w:name w:val="WPSOffice手动目录 3"/>
    <w:qFormat/>
    <w:uiPriority w:val="0"/>
    <w:pPr>
      <w:ind w:leftChars="400"/>
    </w:pPr>
    <w:rPr>
      <w:rFonts w:asciiTheme="minorHAnsi" w:hAnsiTheme="minorHAnsi" w:eastAsiaTheme="minorEastAsia" w:cstheme="minorBidi"/>
      <w:sz w:val="20"/>
      <w:szCs w:val="20"/>
    </w:rPr>
  </w:style>
  <w:style w:type="paragraph" w:customStyle="1" w:styleId="25">
    <w:name w:val="_Style 4"/>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33433</Words>
  <Characters>35587</Characters>
  <Lines>0</Lines>
  <Paragraphs>0</Paragraphs>
  <TotalTime>8</TotalTime>
  <ScaleCrop>false</ScaleCrop>
  <LinksUpToDate>false</LinksUpToDate>
  <CharactersWithSpaces>37407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国顺招标-陈锦涛</cp:lastModifiedBy>
  <cp:lastPrinted>2022-07-22T06:56:00Z</cp:lastPrinted>
  <dcterms:modified xsi:type="dcterms:W3CDTF">2022-07-25T06:49:25Z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CE2FE47CEE0648ADA70F6A43EEF34CF6</vt:lpwstr>
  </property>
</Properties>
</file>