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东莞市高埗镇冼沙股份经济联合社社区环卫保洁服务采购项目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GSDG2022-010C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东莞市高埗镇冼沙股份经济联合社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06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14</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东莞市高埗镇冼沙股份经济联合社社区环卫保洁服务采购项目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2022年</w:t>
      </w:r>
      <w:r>
        <w:rPr>
          <w:rFonts w:hint="eastAsia" w:ascii="宋体" w:hAnsi="宋体" w:cs="宋体"/>
          <w:b/>
          <w:bCs/>
          <w:color w:val="auto"/>
          <w:szCs w:val="21"/>
          <w:highlight w:val="none"/>
          <w:u w:val="single"/>
          <w:lang w:val="en-US" w:eastAsia="zh-CN"/>
        </w:rPr>
        <w:t>07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05</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35393790"/>
      <w:bookmarkStart w:id="5" w:name="_Toc2169"/>
      <w:bookmarkStart w:id="6" w:name="_Toc35393621"/>
      <w:bookmarkStart w:id="7" w:name="_Toc28359002"/>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GSDG2022-010C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东莞市高埗镇冼沙股份经济联合社社区环卫保洁服务采购项目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¥5,310,000.00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东莞市高埗镇冼沙股份经济联合社社区环卫保洁</w:t>
            </w:r>
            <w:r>
              <w:rPr>
                <w:rFonts w:hint="eastAsia" w:hAnsi="宋体"/>
                <w:color w:val="auto"/>
                <w:szCs w:val="21"/>
                <w:highlight w:val="none"/>
              </w:rPr>
              <w:t>采购一项</w:t>
            </w:r>
          </w:p>
        </w:tc>
        <w:tc>
          <w:tcPr>
            <w:tcW w:w="3628" w:type="dxa"/>
            <w:vAlign w:val="center"/>
          </w:tcPr>
          <w:p>
            <w:pPr>
              <w:spacing w:line="360" w:lineRule="auto"/>
              <w:jc w:val="left"/>
              <w:rPr>
                <w:rFonts w:hAnsi="宋体"/>
                <w:color w:val="auto"/>
                <w:szCs w:val="21"/>
                <w:highlight w:val="none"/>
              </w:rPr>
            </w:pPr>
            <w:r>
              <w:rPr>
                <w:rFonts w:hint="eastAsia" w:ascii="宋体" w:hAnsi="宋体" w:eastAsia="宋体" w:cs="宋体"/>
                <w:color w:val="auto"/>
                <w:sz w:val="21"/>
                <w:szCs w:val="21"/>
                <w:highlight w:val="none"/>
              </w:rPr>
              <w:t>服务期</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，签订合同时间以实际签订时间为准。</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622"/>
      <w:bookmarkStart w:id="11" w:name="_Toc28359003"/>
      <w:bookmarkStart w:id="12" w:name="_Toc28359080"/>
      <w:bookmarkStart w:id="13" w:name="_Toc35393791"/>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（2）招标文件电子版可在中国政府采购网以及中国采购与招标网相关招标信息公告下自行下载。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07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05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4"/>
        <w:spacing w:line="360" w:lineRule="auto"/>
        <w:jc w:val="left"/>
        <w:rPr>
          <w:rFonts w:ascii="宋体" w:hAnsi="宋体" w:cs="宋体"/>
          <w:bCs/>
          <w:color w:val="auto"/>
          <w:sz w:val="21"/>
          <w:szCs w:val="21"/>
          <w:highlight w:val="none"/>
        </w:rPr>
      </w:pPr>
      <w:bookmarkStart w:id="27" w:name="_Toc35393625"/>
      <w:bookmarkStart w:id="28" w:name="_Toc35393794"/>
      <w:bookmarkStart w:id="29" w:name="_Toc25695"/>
      <w:bookmarkStart w:id="30" w:name="_Toc28359084"/>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795"/>
      <w:bookmarkStart w:id="33" w:name="_Toc1519"/>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08"/>
      <w:bookmarkStart w:id="36" w:name="_Toc35393796"/>
      <w:bookmarkStart w:id="37" w:name="_Toc28359085"/>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中国政府采购网(http://www.ccgp.gov.cn/)以及中国采购与招标网（http://www.chinabidding.com.cn/）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东莞市高埗镇冼沙股份经济联合社</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eastAsia="zh-CN"/>
        </w:rPr>
        <w:t>高埗镇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温先生</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4580"/>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652"/>
      <w:bookmarkStart w:id="49" w:name="_Toc396137231"/>
      <w:bookmarkStart w:id="50" w:name="_Toc497983494"/>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rPr>
              <w:t>人民币</w:t>
            </w:r>
            <w:r>
              <w:rPr>
                <w:rFonts w:hint="eastAsia"/>
                <w:b/>
                <w:bCs/>
                <w:color w:val="auto"/>
                <w:highlight w:val="none"/>
                <w:lang w:val="en-US" w:eastAsia="zh-CN"/>
              </w:rPr>
              <w:t>伍</w:t>
            </w:r>
            <w:r>
              <w:rPr>
                <w:rFonts w:hint="eastAsia"/>
                <w:b/>
                <w:bCs/>
                <w:color w:val="auto"/>
                <w:highlight w:val="none"/>
              </w:rPr>
              <w:t>万元整（￥</w:t>
            </w:r>
            <w:r>
              <w:rPr>
                <w:rFonts w:hint="eastAsia"/>
                <w:b/>
                <w:bCs/>
                <w:color w:val="auto"/>
                <w:highlight w:val="none"/>
                <w:lang w:val="en-US" w:eastAsia="zh-CN"/>
              </w:rPr>
              <w:t>5</w:t>
            </w:r>
            <w:r>
              <w:rPr>
                <w:rFonts w:hint="eastAsia"/>
                <w:b/>
                <w:bCs/>
                <w:color w:val="auto"/>
                <w:highlight w:val="none"/>
              </w:rPr>
              <w:t>0,000.00）</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及中国采购与招标网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伍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298847174"/>
      <w:bookmarkStart w:id="58" w:name="_Toc382049092"/>
      <w:bookmarkStart w:id="59" w:name="_Toc303084246"/>
      <w:bookmarkStart w:id="60" w:name="_Toc1530"/>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13316"/>
      <w:bookmarkStart w:id="67" w:name="_Toc24409"/>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8246"/>
      <w:bookmarkStart w:id="80" w:name="_Toc28866"/>
      <w:bookmarkStart w:id="81" w:name="_Toc303084256"/>
      <w:bookmarkStart w:id="82" w:name="_Toc382049103"/>
      <w:bookmarkStart w:id="83" w:name="_Toc307934854"/>
      <w:bookmarkStart w:id="84" w:name="_Toc29420"/>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96" w:name="_Toc15529"/>
      <w:bookmarkStart w:id="97" w:name="_Toc5483"/>
      <w:r>
        <w:rPr>
          <w:rFonts w:hint="eastAsia"/>
          <w:color w:val="auto"/>
          <w:highlight w:val="none"/>
        </w:rPr>
        <w:t>16.★投标保证金</w:t>
      </w:r>
      <w:bookmarkEnd w:id="96"/>
      <w:bookmarkEnd w:id="97"/>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16286"/>
      <w:bookmarkStart w:id="100" w:name="_Toc16724"/>
      <w:bookmarkStart w:id="101" w:name="_Toc24997"/>
      <w:bookmarkStart w:id="102" w:name="_Toc382049111"/>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03084265"/>
      <w:bookmarkStart w:id="109" w:name="_Toc382049112"/>
      <w:bookmarkStart w:id="110" w:name="_Toc22355"/>
      <w:bookmarkStart w:id="111" w:name="_Toc28098"/>
      <w:bookmarkStart w:id="112" w:name="_Toc9777"/>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5898"/>
      <w:bookmarkStart w:id="126" w:name="_Toc20328"/>
      <w:bookmarkStart w:id="127" w:name="_Toc19304"/>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1994"/>
      <w:bookmarkStart w:id="130" w:name="_Toc4954"/>
      <w:bookmarkStart w:id="131" w:name="_Toc508284011"/>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22043"/>
      <w:bookmarkStart w:id="133" w:name="_Toc14141"/>
      <w:bookmarkStart w:id="134" w:name="_Toc50828401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tcPr>
          <w:p>
            <w:pPr>
              <w:autoSpaceDE w:val="0"/>
              <w:autoSpaceDN w:val="0"/>
              <w:spacing w:line="288"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vAlign w:val="center"/>
          </w:tcPr>
          <w:p>
            <w:pPr>
              <w:spacing w:after="0" w:line="360" w:lineRule="auto"/>
              <w:ind w:firstLine="420" w:firstLineChars="200"/>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服务期</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，签订合同时间以实际签订时间为准。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vAlign w:val="center"/>
          </w:tcPr>
          <w:p>
            <w:pPr>
              <w:numPr>
                <w:ilvl w:val="0"/>
                <w:numId w:val="10"/>
              </w:numPr>
              <w:spacing w:after="0" w:line="360" w:lineRule="auto"/>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按月支付</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，服务期为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个月，每月服务费按合同总额的1/</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支付。</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请款时必须用国家税务机关印制的发票给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收到发票后，</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在5个工作日内向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付款。本合同的服务费为集体资金，相关付款应严格遵守集体资金支付程序规定。如因考核处罚或中标人服务期间造成第三方或采购人损失的赔偿由中标人全部承担。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服务费用包含完成本次招标所有服务内容的费用，包含员工工资福利，保险费，员工培训费，劳保用品费，作业工具费，车辆等设施设备使用及运行费，物料消耗费，设备维修费，垃圾清运处置费，各项税费等一切与完成本项目相关费用及合同实施过程中应预见和不可预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1、合同履行期间，项目如因政府政策原因而导致合同无法继续下去的，投标人应积极配合，采购人不对此负任何责任。</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积极响应新时期公共环境卫生的精细化管理要求，全面提升冼沙村社区的人居环境，努力打造整洁有序、环境优美、和谐幸福的品质社区，拟将我村社区环卫保洁服务面向社会市场化，通过公开、公平、公正的方式寻求专业的服务供应商。</w:t>
      </w:r>
    </w:p>
    <w:p>
      <w:pPr>
        <w:tabs>
          <w:tab w:val="left" w:pos="360"/>
          <w:tab w:val="left" w:pos="450"/>
        </w:tabs>
        <w:autoSpaceDE w:val="0"/>
        <w:autoSpaceDN w:val="0"/>
        <w:spacing w:after="0" w:line="360" w:lineRule="auto"/>
        <w:ind w:firstLine="422" w:firstLineChars="200"/>
        <w:rPr>
          <w:rFonts w:ascii="宋体" w:hAnsi="宋体" w:eastAsia="宋体" w:cs="宋体"/>
          <w:b/>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服务范围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约定的保洁服务主要为高埗镇冼沙村路面保洁服务，高埗镇冼沙村总面积为6.8平方公里，本合同服务中涉及的保洁范围具体包括：冼沙东海，冼沙新联，冼沙旧联，冼沙二上坊，冼沙二下坊，冼沙三坊，冼沙四一，冼沙四二，冼沙四三，冼沙五坊，冼沙村尾共十一个小组,河涌清理也在保洁范围内（注：不包含辖区内商品房小区、工业园区、厂区以及市政部门管辖道路等区域）。</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二、服务内容</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1、辖区范围内的路面（含未铺水泥路部分）、巷道、商业街等公共区域（含村组管辖的公园广场）的清扫、环卫保洁（注：不含绿化维护）。</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2、辖区范围内的废弃家具垃圾的收集清理。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3、明渠垃圾的清掏和路面、巷道积水清理。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4、果皮箱、垃圾桶、护栏（桥栏）、路沿石等市政设施的清洗。</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5、辖区范围内农田垃圾的收集清理。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6、辖区范围内的河涌的清洁保洁（中心涌、南排涌除外）。</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7、辖区内的围前塘的清洁保洁。</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8、市、镇数字城管等案件的处理。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9、将产出的生活垃圾运到社区指定的垃圾中转站。</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10、闲置地（含未处理的住宅地）被偷倒垃圾的由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w:t>
      </w:r>
    </w:p>
    <w:p>
      <w:pPr>
        <w:autoSpaceDE w:val="0"/>
        <w:autoSpaceDN w:val="0"/>
        <w:spacing w:after="0" w:line="360" w:lineRule="auto"/>
        <w:ind w:firstLine="422" w:firstLineChars="200"/>
        <w:rPr>
          <w:rFonts w:hint="eastAsia" w:ascii="宋体" w:hAnsi="宋体" w:eastAsia="宋体" w:cs="宋体"/>
          <w:b/>
          <w:bCs/>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三、作业标准及要求</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进场前，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须把路面冲洗、偷倒的建筑垃圾和工业垃圾等清理完成，经双方确认后，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方可进场。</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2、每天上午08:00前完成第一次普扫，下午15:00前完成第二次普扫，保洁时间为05:00-21:30,全天保洁16.5小时。</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负责清理辖区内的常规生活垃圾。</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4、每周至少清洗一次果皮箱、垃圾桶，保持垃圾桶外观干净整洁,如发现有小损坏的由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及时维修。</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5、积极响应环卫主管部门的其它合理要求，对存在问题及投诉快速反应处理。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6、垃圾桶及时清理（每天不少于两次）,确保垃圾漏无满溢现象。</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须编制清扫保洁实施方案，列明保证质量、安全、文明施工的措施，并且严格按照实施方案按时按质完成。</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项目经理要落实好岗位责任制，发现他人在保洁范围内乱倾倒垃圾的行动，要及时制止，并向属地执法部门报告，同时尽快清理偷倒遗弃的垃圾（发现偷倒为工业或建筑垃圾的，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及时向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报告，由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进行查处）。</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9、作业安全及设备安全由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全权负责，作业人员必须统一着装，穿反光马甲，出现工伤意外，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不负任何责任。</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10、垃圾处理严格贯彻“统一收集，定点堆放，日产日清”的原则，由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自行负责清运至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指定地点。要求使用密封式运输车，避免二次污染。</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必须自备配置垃圾收集清运车、保洁设备等，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不提供任何作业工具。</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将现有的大型垃圾临时收集中转场所提供给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使用，但不提供吃住及办公场所。</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提出的检查整改意见，</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必须在24小时内作出响应处理，并接受镇城管部门及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的监督考核。</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原聘请的保洁人员和河涌清理员如无特殊情况，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需优先录用，但薪资待遇要按照</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公司的相关的规章要求。</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四、人员配置要求</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项目经理1人，区域主管4人，环卫保洁员不少于120人，总编制不少于125人。(注：如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投入先进设备服务的，可适当减少人员配置。)</w:t>
      </w: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五、设备配置要求</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1、项目应急指挥车1辆。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2、小型高压清洗车1辆。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3、电动三轮车11辆。</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将辖区内现有的垃圾桶交付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使用，合同期满后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按合同签订时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交付的垃圾桶数量返还给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。合同履行期间，辖区内垃圾桶的摆放及配置由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自行决定。</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六、考核评分办法</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为有效监管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辖区环卫保洁工作，客观评估方服务水平，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釆取不定期、不预先通知的方式按月度对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的工作质量及服务水平组织考核评分，以考核所得分值作为支付服务费的重要依据。评分采用百分制，设三个等级：100-90分为优良；89-80分为合格；80分以下的为不合格。若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的考核不合格的，需扣减当月保洁服务费人民币壹万元整（¥10000）。考核得分在80分以下每年累计达三次以上的，则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有权单方面解除合同，并没收全部履约保证金。若因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日常保洁工作不到位，导致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在上级政府部门的保洁工作考核中被上级政府部门罚款，该部分罚款由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进行承担。</w:t>
      </w: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spacing w:after="0"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附表：冼沙村环卫保洁服务考核评分表</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04"/>
        <w:gridCol w:w="2095"/>
        <w:gridCol w:w="2667"/>
        <w:gridCol w:w="809"/>
        <w:gridCol w:w="517"/>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考核</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w:t>
            </w:r>
          </w:p>
        </w:tc>
        <w:tc>
          <w:tcPr>
            <w:tcW w:w="2095" w:type="dxa"/>
            <w:vMerge w:val="restart"/>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考核标准及评分依据</w:t>
            </w:r>
          </w:p>
        </w:tc>
        <w:tc>
          <w:tcPr>
            <w:tcW w:w="2667" w:type="dxa"/>
            <w:vMerge w:val="restart"/>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扣分办法</w:t>
            </w:r>
          </w:p>
        </w:tc>
        <w:tc>
          <w:tcPr>
            <w:tcW w:w="2074" w:type="dxa"/>
            <w:gridSpan w:val="3"/>
            <w:tcBorders>
              <w:top w:val="single" w:color="auto" w:sz="4" w:space="0"/>
              <w:left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总分：100分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667"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809"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应得分</w:t>
            </w:r>
          </w:p>
        </w:tc>
        <w:tc>
          <w:tcPr>
            <w:tcW w:w="517"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检查</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扣分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实得分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bottom w:val="nil"/>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路面</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淸扫</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要求每日普扫两次，普扫时间规定：</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早上05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en-US" w:bidi="en-US"/>
              </w:rPr>
              <w:t>00-</w:t>
            </w:r>
            <w:r>
              <w:rPr>
                <w:rFonts w:hint="eastAsia" w:ascii="宋体" w:hAnsi="宋体" w:eastAsia="宋体" w:cs="宋体"/>
                <w:color w:val="auto"/>
                <w:spacing w:val="0"/>
                <w:w w:val="100"/>
                <w:position w:val="0"/>
                <w:sz w:val="21"/>
                <w:szCs w:val="21"/>
                <w:highlight w:val="none"/>
                <w:lang w:val="en-US" w:eastAsia="zh-CN" w:bidi="en-US"/>
              </w:rPr>
              <w:t>08</w:t>
            </w:r>
            <w:r>
              <w:rPr>
                <w:rFonts w:hint="eastAsia" w:ascii="宋体" w:hAnsi="宋体" w:eastAsia="宋体" w:cs="宋体"/>
                <w:color w:val="auto"/>
                <w:spacing w:val="0"/>
                <w:w w:val="100"/>
                <w:position w:val="0"/>
                <w:sz w:val="21"/>
                <w:szCs w:val="21"/>
                <w:highlight w:val="none"/>
                <w:lang w:val="en-US" w:eastAsia="en-US" w:bidi="en-US"/>
              </w:rPr>
              <w:t>：</w:t>
            </w:r>
            <w:r>
              <w:rPr>
                <w:rFonts w:hint="eastAsia" w:ascii="宋体" w:hAnsi="宋体" w:eastAsia="宋体" w:cs="宋体"/>
                <w:color w:val="auto"/>
                <w:spacing w:val="0"/>
                <w:w w:val="100"/>
                <w:position w:val="0"/>
                <w:sz w:val="21"/>
                <w:szCs w:val="21"/>
                <w:highlight w:val="none"/>
              </w:rPr>
              <w:t>00</w:t>
            </w:r>
            <w:r>
              <w:rPr>
                <w:rFonts w:hint="eastAsia" w:ascii="宋体" w:hAnsi="宋体" w:eastAsia="宋体" w:cs="宋体"/>
                <w:color w:val="auto"/>
                <w:spacing w:val="0"/>
                <w:w w:val="100"/>
                <w:position w:val="0"/>
                <w:sz w:val="21"/>
                <w:szCs w:val="21"/>
                <w:highlight w:val="none"/>
                <w:lang w:eastAsia="zh-CN"/>
              </w:rPr>
              <w:t>；</w:t>
            </w:r>
          </w:p>
          <w:p>
            <w:pPr>
              <w:pStyle w:val="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rPr>
              <w:t>下午13：</w:t>
            </w:r>
            <w:r>
              <w:rPr>
                <w:rFonts w:hint="eastAsia" w:ascii="宋体" w:hAnsi="宋体" w:eastAsia="宋体" w:cs="宋体"/>
                <w:color w:val="auto"/>
                <w:spacing w:val="0"/>
                <w:w w:val="100"/>
                <w:position w:val="0"/>
                <w:sz w:val="21"/>
                <w:szCs w:val="21"/>
                <w:highlight w:val="none"/>
                <w:lang w:val="en-US" w:eastAsia="en-US" w:bidi="en-US"/>
              </w:rPr>
              <w:t>00-15：</w:t>
            </w:r>
            <w:r>
              <w:rPr>
                <w:rFonts w:hint="eastAsia" w:ascii="宋体" w:hAnsi="宋体" w:eastAsia="宋体" w:cs="宋体"/>
                <w:color w:val="auto"/>
                <w:spacing w:val="0"/>
                <w:w w:val="100"/>
                <w:position w:val="0"/>
                <w:sz w:val="21"/>
                <w:szCs w:val="21"/>
                <w:highlight w:val="none"/>
              </w:rPr>
              <w:t>00</w:t>
            </w:r>
            <w:r>
              <w:rPr>
                <w:rFonts w:hint="eastAsia" w:ascii="宋体" w:hAnsi="宋体" w:eastAsia="宋体" w:cs="宋体"/>
                <w:color w:val="auto"/>
                <w:spacing w:val="0"/>
                <w:w w:val="100"/>
                <w:position w:val="0"/>
                <w:sz w:val="21"/>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w:t>
            </w:r>
            <w:r>
              <w:rPr>
                <w:rFonts w:hint="eastAsia" w:ascii="宋体" w:hAnsi="宋体" w:eastAsia="宋体" w:cs="宋体"/>
                <w:color w:val="auto"/>
                <w:spacing w:val="0"/>
                <w:w w:val="100"/>
                <w:position w:val="0"/>
                <w:sz w:val="21"/>
                <w:szCs w:val="21"/>
                <w:highlight w:val="none"/>
              </w:rPr>
              <w:t>在规定时间内道路未完成普扫的，每处地点扣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8</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.保洁时间规定：</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en-US" w:bidi="en-US"/>
              </w:rPr>
              <w:t>05:00-</w:t>
            </w:r>
            <w:r>
              <w:rPr>
                <w:rFonts w:hint="eastAsia" w:ascii="宋体" w:hAnsi="宋体" w:eastAsia="宋体" w:cs="宋体"/>
                <w:color w:val="auto"/>
                <w:spacing w:val="0"/>
                <w:w w:val="100"/>
                <w:position w:val="0"/>
                <w:sz w:val="21"/>
                <w:szCs w:val="21"/>
                <w:highlight w:val="none"/>
                <w:lang w:val="en-US" w:eastAsia="zh-CN" w:bidi="en-US"/>
              </w:rPr>
              <w:t>21</w:t>
            </w:r>
            <w:r>
              <w:rPr>
                <w:rFonts w:hint="eastAsia" w:ascii="宋体" w:hAnsi="宋体" w:eastAsia="宋体" w:cs="宋体"/>
                <w:color w:val="auto"/>
                <w:spacing w:val="0"/>
                <w:w w:val="100"/>
                <w:position w:val="0"/>
                <w:sz w:val="21"/>
                <w:szCs w:val="21"/>
                <w:highlight w:val="none"/>
                <w:lang w:val="en-US" w:eastAsia="en-US" w:bidi="en-US"/>
              </w:rPr>
              <w:t>：</w:t>
            </w:r>
            <w:r>
              <w:rPr>
                <w:rFonts w:hint="eastAsia" w:ascii="宋体" w:hAnsi="宋体" w:eastAsia="宋体" w:cs="宋体"/>
                <w:color w:val="auto"/>
                <w:spacing w:val="0"/>
                <w:w w:val="100"/>
                <w:position w:val="0"/>
                <w:sz w:val="21"/>
                <w:szCs w:val="21"/>
                <w:highlight w:val="none"/>
                <w:lang w:val="en-US" w:eastAsia="zh-CN" w:bidi="en-US"/>
              </w:rPr>
              <w:t>30</w:t>
            </w:r>
            <w:r>
              <w:rPr>
                <w:rFonts w:hint="eastAsia" w:ascii="宋体" w:hAnsi="宋体" w:eastAsia="宋体" w:cs="宋体"/>
                <w:color w:val="auto"/>
                <w:spacing w:val="0"/>
                <w:w w:val="100"/>
                <w:position w:val="0"/>
                <w:sz w:val="21"/>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.保洁时间达不到要求的，每缺1小时扣</w:t>
            </w:r>
            <w:r>
              <w:rPr>
                <w:rFonts w:hint="eastAsia" w:ascii="宋体" w:hAnsi="宋体" w:eastAsia="宋体" w:cs="宋体"/>
                <w:color w:val="auto"/>
                <w:spacing w:val="0"/>
                <w:w w:val="100"/>
                <w:position w:val="0"/>
                <w:sz w:val="21"/>
                <w:szCs w:val="21"/>
                <w:highlight w:val="none"/>
                <w:lang w:val="en-US" w:eastAsia="en-US" w:bidi="en-US"/>
              </w:rPr>
              <w:t>0.3</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垃圾</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处理</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1.垃圾要在08:</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0前清运完</w:t>
            </w:r>
            <w:r>
              <w:rPr>
                <w:rFonts w:hint="eastAsia" w:ascii="宋体" w:hAnsi="宋体" w:eastAsia="宋体" w:cs="宋体"/>
                <w:color w:val="auto"/>
                <w:spacing w:val="0"/>
                <w:w w:val="100"/>
                <w:position w:val="0"/>
                <w:sz w:val="21"/>
                <w:szCs w:val="21"/>
                <w:highlight w:val="none"/>
                <w:lang w:eastAsia="zh-CN"/>
              </w:rPr>
              <w:t>毕</w:t>
            </w:r>
            <w:r>
              <w:rPr>
                <w:rFonts w:hint="eastAsia" w:ascii="宋体" w:hAnsi="宋体" w:eastAsia="宋体" w:cs="宋体"/>
                <w:color w:val="auto"/>
                <w:spacing w:val="0"/>
                <w:w w:val="100"/>
                <w:position w:val="0"/>
                <w:sz w:val="21"/>
                <w:szCs w:val="21"/>
                <w:highlight w:val="none"/>
              </w:rPr>
              <w:t>。</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1.未按要求清运的，每发现一处扣</w:t>
            </w:r>
            <w:r>
              <w:rPr>
                <w:rFonts w:hint="eastAsia" w:ascii="宋体" w:hAnsi="宋体" w:eastAsia="宋体" w:cs="宋体"/>
                <w:color w:val="auto"/>
                <w:spacing w:val="0"/>
                <w:w w:val="100"/>
                <w:position w:val="0"/>
                <w:sz w:val="21"/>
                <w:szCs w:val="21"/>
                <w:highlight w:val="none"/>
                <w:lang w:val="en-US" w:eastAsia="en-US" w:bidi="en-US"/>
              </w:rPr>
              <w:t>0.5</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2.</w:t>
            </w:r>
            <w:r>
              <w:rPr>
                <w:rFonts w:hint="eastAsia" w:ascii="宋体" w:hAnsi="宋体" w:eastAsia="宋体" w:cs="宋体"/>
                <w:color w:val="auto"/>
                <w:spacing w:val="0"/>
                <w:w w:val="100"/>
                <w:position w:val="0"/>
                <w:sz w:val="21"/>
                <w:szCs w:val="21"/>
                <w:highlight w:val="none"/>
              </w:rPr>
              <w:t>垃圾收集专用车无乱</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停乱放。</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2.乱停乱放的，每辆每次扣</w:t>
            </w:r>
            <w:r>
              <w:rPr>
                <w:rFonts w:hint="eastAsia" w:ascii="宋体" w:hAnsi="宋体" w:eastAsia="宋体" w:cs="宋体"/>
                <w:color w:val="auto"/>
                <w:spacing w:val="0"/>
                <w:w w:val="100"/>
                <w:position w:val="0"/>
                <w:sz w:val="21"/>
                <w:szCs w:val="21"/>
                <w:highlight w:val="none"/>
                <w:lang w:val="en-US" w:eastAsia="en-US" w:bidi="en-US"/>
              </w:rPr>
              <w:t>0.5</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3.</w:t>
            </w:r>
            <w:r>
              <w:rPr>
                <w:rFonts w:hint="eastAsia" w:ascii="宋体" w:hAnsi="宋体" w:eastAsia="宋体" w:cs="宋体"/>
                <w:color w:val="auto"/>
                <w:spacing w:val="0"/>
                <w:w w:val="100"/>
                <w:position w:val="0"/>
                <w:sz w:val="21"/>
                <w:szCs w:val="21"/>
                <w:highlight w:val="none"/>
              </w:rPr>
              <w:t>垃圾清运要有密封措施，垃圾清运不洒落，</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杜绝二次污染。</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3.</w:t>
            </w:r>
            <w:r>
              <w:rPr>
                <w:rFonts w:hint="eastAsia" w:ascii="宋体" w:hAnsi="宋体" w:eastAsia="宋体" w:cs="宋体"/>
                <w:color w:val="auto"/>
                <w:spacing w:val="0"/>
                <w:w w:val="100"/>
                <w:position w:val="0"/>
                <w:sz w:val="21"/>
                <w:szCs w:val="21"/>
                <w:highlight w:val="none"/>
              </w:rPr>
              <w:t>垃圾清运有洒落现象的，发现一处扣0</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rPr>
              <w:t>5分，扣完为止。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4.</w:t>
            </w:r>
            <w:r>
              <w:rPr>
                <w:rFonts w:hint="eastAsia" w:ascii="宋体" w:hAnsi="宋体" w:eastAsia="宋体" w:cs="宋体"/>
                <w:color w:val="auto"/>
                <w:spacing w:val="0"/>
                <w:w w:val="100"/>
                <w:position w:val="0"/>
                <w:sz w:val="21"/>
                <w:szCs w:val="21"/>
                <w:highlight w:val="none"/>
              </w:rPr>
              <w:t>垃圾箱桶要求无过夜垃圾。</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发现有过夜垃圾的，每处扣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5.</w:t>
            </w:r>
            <w:r>
              <w:rPr>
                <w:rFonts w:hint="eastAsia" w:ascii="宋体" w:hAnsi="宋体" w:eastAsia="宋体" w:cs="宋体"/>
                <w:color w:val="auto"/>
                <w:spacing w:val="0"/>
                <w:w w:val="100"/>
                <w:position w:val="0"/>
                <w:sz w:val="21"/>
                <w:szCs w:val="21"/>
                <w:highlight w:val="none"/>
              </w:rPr>
              <w:t>要按指定地点倾倒垃圾。</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5.</w:t>
            </w:r>
            <w:r>
              <w:rPr>
                <w:rFonts w:hint="eastAsia" w:ascii="宋体" w:hAnsi="宋体" w:eastAsia="宋体" w:cs="宋体"/>
                <w:color w:val="auto"/>
                <w:spacing w:val="0"/>
                <w:w w:val="100"/>
                <w:position w:val="0"/>
                <w:sz w:val="21"/>
                <w:szCs w:val="21"/>
                <w:highlight w:val="none"/>
              </w:rPr>
              <w:t>未按要求的扣1分,扣完为止，并</w:t>
            </w:r>
            <w:r>
              <w:rPr>
                <w:rFonts w:hint="eastAsia" w:ascii="宋体" w:hAnsi="宋体" w:eastAsia="宋体" w:cs="宋体"/>
                <w:color w:val="auto"/>
                <w:spacing w:val="0"/>
                <w:w w:val="100"/>
                <w:position w:val="0"/>
                <w:sz w:val="21"/>
                <w:szCs w:val="21"/>
                <w:highlight w:val="none"/>
                <w:u w:val="none"/>
              </w:rPr>
              <w:t>处罚款。</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保洁范围内床垫、沙发等大型垃圾要及时处理。</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6.保洁范围内床垫、沙发等大型垃圾未及时处理的，每处扣0</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rPr>
              <w:t>5分，扣完为止。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6</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垃圾桶</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保洁</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w:t>
            </w:r>
            <w:r>
              <w:rPr>
                <w:rFonts w:hint="eastAsia" w:ascii="宋体" w:hAnsi="宋体" w:eastAsia="宋体" w:cs="宋体"/>
                <w:color w:val="auto"/>
                <w:spacing w:val="0"/>
                <w:w w:val="100"/>
                <w:position w:val="0"/>
                <w:sz w:val="21"/>
                <w:szCs w:val="21"/>
                <w:highlight w:val="none"/>
              </w:rPr>
              <w:t>按时清掏垃圾，未造成满溢，外观美观。</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造成满溢、或外观脏乱差的，每处扣0</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rPr>
              <w:t>2分，扣完为止。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2.</w:t>
            </w:r>
            <w:r>
              <w:rPr>
                <w:rFonts w:hint="eastAsia" w:ascii="宋体" w:hAnsi="宋体" w:eastAsia="宋体" w:cs="宋体"/>
                <w:color w:val="auto"/>
                <w:spacing w:val="0"/>
                <w:w w:val="100"/>
                <w:position w:val="0"/>
                <w:sz w:val="21"/>
                <w:szCs w:val="21"/>
                <w:highlight w:val="none"/>
              </w:rPr>
              <w:t>外表:每天擦一遍</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保持清洁。</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2.未擦干净的，每处扣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保洁</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人员</w:t>
            </w:r>
          </w:p>
        </w:tc>
        <w:tc>
          <w:tcPr>
            <w:tcW w:w="2095"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1.</w:t>
            </w:r>
            <w:r>
              <w:rPr>
                <w:rFonts w:hint="eastAsia" w:ascii="宋体" w:hAnsi="宋体" w:eastAsia="宋体" w:cs="宋体"/>
                <w:color w:val="auto"/>
                <w:spacing w:val="0"/>
                <w:w w:val="100"/>
                <w:position w:val="0"/>
                <w:sz w:val="21"/>
                <w:szCs w:val="21"/>
                <w:highlight w:val="none"/>
              </w:rPr>
              <w:t>按规定穿着统一工衣上岗。</w:t>
            </w:r>
          </w:p>
        </w:tc>
        <w:tc>
          <w:tcPr>
            <w:tcW w:w="2667"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w:t>
            </w:r>
            <w:r>
              <w:rPr>
                <w:rFonts w:hint="eastAsia" w:ascii="宋体" w:hAnsi="宋体" w:eastAsia="宋体" w:cs="宋体"/>
                <w:color w:val="auto"/>
                <w:spacing w:val="0"/>
                <w:w w:val="100"/>
                <w:position w:val="0"/>
                <w:sz w:val="21"/>
                <w:szCs w:val="21"/>
                <w:highlight w:val="none"/>
              </w:rPr>
              <w:t>发现未穿着统一工衣上岗的，每人次扣</w:t>
            </w:r>
            <w:r>
              <w:rPr>
                <w:rFonts w:hint="eastAsia" w:ascii="宋体" w:hAnsi="宋体" w:eastAsia="宋体" w:cs="宋体"/>
                <w:color w:val="auto"/>
                <w:spacing w:val="0"/>
                <w:w w:val="100"/>
                <w:position w:val="0"/>
                <w:sz w:val="21"/>
                <w:szCs w:val="21"/>
                <w:highlight w:val="none"/>
                <w:lang w:val="en-US" w:eastAsia="en-US" w:bidi="en-US"/>
              </w:rPr>
              <w:t>0.</w:t>
            </w:r>
            <w:r>
              <w:rPr>
                <w:rFonts w:hint="eastAsia" w:ascii="宋体" w:hAnsi="宋体" w:eastAsia="宋体" w:cs="宋体"/>
                <w:color w:val="auto"/>
                <w:spacing w:val="0"/>
                <w:w w:val="100"/>
                <w:position w:val="0"/>
                <w:sz w:val="21"/>
                <w:szCs w:val="21"/>
                <w:highlight w:val="none"/>
              </w:rPr>
              <w:t>5分，扣完为止。</w:t>
            </w:r>
          </w:p>
        </w:tc>
        <w:tc>
          <w:tcPr>
            <w:tcW w:w="809"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2</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rPr>
              <w:t>清洁工人按规定配置。</w:t>
            </w:r>
          </w:p>
        </w:tc>
        <w:tc>
          <w:tcPr>
            <w:tcW w:w="2667"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2.</w:t>
            </w:r>
            <w:r>
              <w:rPr>
                <w:rFonts w:hint="eastAsia" w:ascii="宋体" w:hAnsi="宋体" w:eastAsia="宋体" w:cs="宋体"/>
                <w:color w:val="auto"/>
                <w:spacing w:val="0"/>
                <w:w w:val="100"/>
                <w:position w:val="0"/>
                <w:sz w:val="21"/>
                <w:szCs w:val="21"/>
                <w:highlight w:val="none"/>
              </w:rPr>
              <w:t>配置每少一人扣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w:t>
            </w:r>
          </w:p>
        </w:tc>
        <w:tc>
          <w:tcPr>
            <w:tcW w:w="809"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排水口</w:t>
            </w:r>
          </w:p>
        </w:tc>
        <w:tc>
          <w:tcPr>
            <w:tcW w:w="2095"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1.每月（月检前）对承包范围内的排水口进行巡查，每路段逐个检查清理一次。</w:t>
            </w:r>
          </w:p>
        </w:tc>
        <w:tc>
          <w:tcPr>
            <w:tcW w:w="2667"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1.</w:t>
            </w:r>
            <w:r>
              <w:rPr>
                <w:rFonts w:hint="eastAsia" w:ascii="宋体" w:hAnsi="宋体" w:eastAsia="宋体" w:cs="宋体"/>
                <w:color w:val="auto"/>
                <w:spacing w:val="0"/>
                <w:w w:val="100"/>
                <w:position w:val="0"/>
                <w:sz w:val="21"/>
                <w:szCs w:val="21"/>
                <w:highlight w:val="none"/>
              </w:rPr>
              <w:t>没有按要求落实的，未巡查清理的排水口每个扣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2</w:t>
            </w:r>
            <w:r>
              <w:rPr>
                <w:rFonts w:hint="eastAsia" w:ascii="宋体" w:hAnsi="宋体" w:eastAsia="宋体" w:cs="宋体"/>
                <w:color w:val="auto"/>
                <w:spacing w:val="0"/>
                <w:w w:val="100"/>
                <w:position w:val="0"/>
                <w:sz w:val="21"/>
                <w:szCs w:val="21"/>
                <w:highlight w:val="none"/>
                <w:lang w:val="en-US" w:eastAsia="zh-CN" w:bidi="en-US"/>
              </w:rPr>
              <w:t>.</w:t>
            </w:r>
            <w:r>
              <w:rPr>
                <w:rFonts w:hint="eastAsia" w:ascii="宋体" w:hAnsi="宋体" w:eastAsia="宋体" w:cs="宋体"/>
                <w:color w:val="auto"/>
                <w:spacing w:val="0"/>
                <w:w w:val="100"/>
                <w:position w:val="0"/>
                <w:sz w:val="21"/>
                <w:szCs w:val="21"/>
                <w:highlight w:val="none"/>
              </w:rPr>
              <w:t>严禁把地面上的烟头、纸屑、树叶等垃圾扫入排水口。</w:t>
            </w:r>
          </w:p>
        </w:tc>
        <w:tc>
          <w:tcPr>
            <w:tcW w:w="2667"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2</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把地面上的烟头、纸屑、树叶等垃圾扫入排水口的,发现一个扣</w:t>
            </w:r>
            <w:r>
              <w:rPr>
                <w:rFonts w:hint="eastAsia" w:ascii="宋体" w:hAnsi="宋体" w:eastAsia="宋体" w:cs="宋体"/>
                <w:color w:val="auto"/>
                <w:spacing w:val="0"/>
                <w:w w:val="100"/>
                <w:position w:val="0"/>
                <w:sz w:val="21"/>
                <w:szCs w:val="21"/>
                <w:highlight w:val="none"/>
                <w:lang w:val="en-US" w:eastAsia="en-US" w:bidi="en-US"/>
              </w:rPr>
              <w:t>0.2</w:t>
            </w:r>
            <w:r>
              <w:rPr>
                <w:rFonts w:hint="eastAsia" w:ascii="宋体" w:hAnsi="宋体" w:eastAsia="宋体" w:cs="宋体"/>
                <w:color w:val="auto"/>
                <w:spacing w:val="0"/>
                <w:w w:val="100"/>
                <w:position w:val="0"/>
                <w:sz w:val="21"/>
                <w:szCs w:val="21"/>
                <w:highlight w:val="none"/>
              </w:rPr>
              <w:t>分，扣完为止；</w:t>
            </w:r>
          </w:p>
        </w:tc>
        <w:tc>
          <w:tcPr>
            <w:tcW w:w="8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5</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重要</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考核</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全民卫生整治行动或突击性的卫生清洁任务，要求能按时、按标准、按要求完成工作。</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1.</w:t>
            </w:r>
            <w:r>
              <w:rPr>
                <w:rFonts w:hint="eastAsia" w:ascii="宋体" w:hAnsi="宋体" w:eastAsia="宋体" w:cs="宋体"/>
                <w:color w:val="auto"/>
                <w:spacing w:val="0"/>
                <w:w w:val="100"/>
                <w:position w:val="0"/>
                <w:sz w:val="21"/>
                <w:szCs w:val="21"/>
                <w:highlight w:val="none"/>
              </w:rPr>
              <w:t>配合不到位，未按时、</w:t>
            </w:r>
          </w:p>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按要求完成的，扣10分。</w:t>
            </w:r>
          </w:p>
        </w:tc>
        <w:tc>
          <w:tcPr>
            <w:tcW w:w="809"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10</w:t>
            </w:r>
          </w:p>
        </w:tc>
        <w:tc>
          <w:tcPr>
            <w:tcW w:w="5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2.</w:t>
            </w:r>
            <w:r>
              <w:rPr>
                <w:rFonts w:hint="eastAsia" w:ascii="宋体" w:hAnsi="宋体" w:eastAsia="宋体" w:cs="宋体"/>
                <w:color w:val="auto"/>
                <w:spacing w:val="0"/>
                <w:w w:val="100"/>
                <w:position w:val="0"/>
                <w:sz w:val="21"/>
                <w:szCs w:val="21"/>
                <w:highlight w:val="none"/>
              </w:rPr>
              <w:t>环卫工作落实到位，没被上级部门公开批评、或被电视等媒体曝光。</w:t>
            </w:r>
          </w:p>
        </w:tc>
        <w:tc>
          <w:tcPr>
            <w:tcW w:w="266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2.被上级部门批评、媒体曝光且情况属实的，扣10分；造成恶劣影响的，</w:t>
            </w:r>
            <w:r>
              <w:rPr>
                <w:rFonts w:hint="eastAsia" w:ascii="宋体" w:hAnsi="宋体" w:eastAsia="宋体" w:cs="宋体"/>
                <w:color w:val="auto"/>
                <w:spacing w:val="0"/>
                <w:w w:val="100"/>
                <w:position w:val="0"/>
                <w:sz w:val="21"/>
                <w:szCs w:val="21"/>
                <w:highlight w:val="none"/>
                <w:lang w:eastAsia="zh-CN"/>
              </w:rPr>
              <w:t>采购人</w:t>
            </w:r>
            <w:r>
              <w:rPr>
                <w:rFonts w:hint="eastAsia" w:ascii="宋体" w:hAnsi="宋体" w:eastAsia="宋体" w:cs="宋体"/>
                <w:color w:val="auto"/>
                <w:spacing w:val="0"/>
                <w:w w:val="100"/>
                <w:position w:val="0"/>
                <w:sz w:val="21"/>
                <w:szCs w:val="21"/>
                <w:highlight w:val="none"/>
              </w:rPr>
              <w:t>有权单方面终止合同。</w:t>
            </w:r>
          </w:p>
        </w:tc>
        <w:tc>
          <w:tcPr>
            <w:tcW w:w="809" w:type="dxa"/>
            <w:tcBorders>
              <w:top w:val="single" w:color="auto" w:sz="4" w:space="0"/>
              <w:lef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10</w:t>
            </w:r>
          </w:p>
        </w:tc>
        <w:tc>
          <w:tcPr>
            <w:tcW w:w="51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7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tc>
        <w:tc>
          <w:tcPr>
            <w:tcW w:w="2667" w:type="dxa"/>
            <w:tcBorders>
              <w:top w:val="single" w:color="auto" w:sz="4" w:space="0"/>
              <w:left w:val="single" w:color="auto" w:sz="4" w:space="0"/>
              <w:bottom w:val="single" w:color="auto" w:sz="4" w:space="0"/>
            </w:tcBorders>
            <w:noWrap w:val="0"/>
            <w:vAlign w:val="center"/>
          </w:tcPr>
          <w:p>
            <w:pPr>
              <w:pStyle w:val="2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tc>
        <w:tc>
          <w:tcPr>
            <w:tcW w:w="2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考核总得分：</w:t>
            </w:r>
          </w:p>
        </w:tc>
      </w:tr>
    </w:tbl>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23"/>
              <w:spacing w:line="240" w:lineRule="auto"/>
              <w:ind w:firstLine="0" w:firstLineChars="0"/>
              <w:jc w:val="center"/>
              <w:rPr>
                <w:rFonts w:ascii="宋体" w:cs="宋体"/>
                <w:color w:val="auto"/>
                <w:szCs w:val="21"/>
                <w:highlight w:val="none"/>
              </w:rPr>
            </w:pPr>
            <w:r>
              <w:rPr>
                <w:rFonts w:hint="eastAsia" w:ascii="宋体" w:eastAsia="宋体" w:cs="宋体"/>
                <w:color w:val="auto"/>
                <w:sz w:val="21"/>
                <w:szCs w:val="21"/>
                <w:highlight w:val="none"/>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cs="宋体"/>
                <w:color w:val="auto"/>
                <w:szCs w:val="21"/>
                <w:highlight w:val="none"/>
              </w:rPr>
            </w:pPr>
            <w:r>
              <w:rPr>
                <w:rFonts w:hint="eastAsia" w:ascii="宋体" w:eastAsia="宋体" w:cs="宋体"/>
                <w:color w:val="auto"/>
                <w:sz w:val="21"/>
                <w:szCs w:val="21"/>
                <w:highlight w:val="none"/>
              </w:rPr>
              <w:t>9</w:t>
            </w:r>
            <w:r>
              <w:rPr>
                <w:rFonts w:hint="eastAsia" w:ascii="宋体" w:eastAsia="宋体" w:cs="宋体"/>
                <w:color w:val="auto"/>
                <w:sz w:val="21"/>
                <w:szCs w:val="21"/>
                <w:highlight w:val="none"/>
                <w:lang w:val="en-US" w:eastAsia="zh-CN"/>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具有由国家认监委批准设立的认证机构颁发并在有效期内的质量管理体系认证、环境管理体系认证、职业健康安全管理体系认证，每个得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分，最高得</w:t>
            </w:r>
            <w:r>
              <w:rPr>
                <w:rFonts w:hint="eastAsia" w:ascii="宋体" w:eastAsia="宋体" w:cs="宋体"/>
                <w:bCs/>
                <w:color w:val="auto"/>
                <w:sz w:val="21"/>
                <w:szCs w:val="21"/>
                <w:highlight w:val="none"/>
              </w:rPr>
              <w:t>9</w:t>
            </w:r>
            <w:r>
              <w:rPr>
                <w:rFonts w:hint="eastAsia" w:ascii="宋体" w:eastAsia="宋体" w:cs="宋体"/>
                <w:bCs/>
                <w:color w:val="auto"/>
                <w:sz w:val="21"/>
                <w:szCs w:val="21"/>
                <w:highlight w:val="none"/>
                <w:lang w:val="zh-CN"/>
              </w:rPr>
              <w:t>分。</w:t>
            </w:r>
          </w:p>
          <w:p>
            <w:pPr>
              <w:pStyle w:val="23"/>
              <w:spacing w:line="240" w:lineRule="auto"/>
              <w:ind w:firstLine="420" w:firstLineChars="200"/>
              <w:rPr>
                <w:rFonts w:ascii="宋体" w:cs="宋体"/>
                <w:bCs/>
                <w:color w:val="auto"/>
                <w:szCs w:val="21"/>
                <w:highlight w:val="none"/>
                <w:lang w:val="zh-CN"/>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pStyle w:val="23"/>
              <w:spacing w:line="240" w:lineRule="auto"/>
              <w:ind w:firstLine="0" w:firstLineChars="0"/>
              <w:jc w:val="center"/>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rPr>
              <w:t>20分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投标人</w:t>
            </w:r>
            <w:r>
              <w:rPr>
                <w:rFonts w:hint="eastAsia" w:ascii="宋体" w:eastAsia="宋体" w:cs="宋体"/>
                <w:color w:val="auto"/>
                <w:sz w:val="21"/>
                <w:szCs w:val="21"/>
                <w:highlight w:val="none"/>
              </w:rPr>
              <w:t>具有环卫清洁类（合同中含有环卫清洁）项目业绩，每个业绩得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分，满分20分。</w:t>
            </w:r>
          </w:p>
          <w:p>
            <w:pPr>
              <w:pStyle w:val="23"/>
              <w:spacing w:line="240" w:lineRule="auto"/>
              <w:ind w:firstLine="420" w:firstLineChars="200"/>
              <w:rPr>
                <w:rFonts w:hint="eastAsia" w:ascii="宋体" w:hAnsi="宋体" w:cs="宋体"/>
                <w:bCs/>
                <w:color w:val="auto"/>
                <w:szCs w:val="21"/>
                <w:highlight w:val="none"/>
                <w:lang w:val="zh-CN"/>
              </w:rPr>
            </w:pPr>
            <w:r>
              <w:rPr>
                <w:rFonts w:hint="eastAsia" w:ascii="宋体" w:eastAsia="宋体" w:cs="宋体"/>
                <w:color w:val="auto"/>
                <w:sz w:val="21"/>
                <w:szCs w:val="21"/>
                <w:highlight w:val="none"/>
              </w:rPr>
              <w:t>（须提供业绩合同复印件）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right w:val="single" w:color="auto" w:sz="4" w:space="0"/>
            </w:tcBorders>
            <w:vAlign w:val="center"/>
          </w:tcPr>
          <w:p>
            <w:pPr>
              <w:pStyle w:val="23"/>
              <w:spacing w:line="240" w:lineRule="auto"/>
              <w:ind w:firstLine="0" w:firstLineChars="0"/>
              <w:jc w:val="center"/>
              <w:rPr>
                <w:rFonts w:hint="default" w:ascii="宋体" w:hAnsi="宋体" w:cs="宋体"/>
                <w:color w:val="auto"/>
                <w:szCs w:val="21"/>
                <w:highlight w:val="none"/>
                <w:lang w:val="en-US" w:eastAsia="zh-CN"/>
              </w:rPr>
            </w:pPr>
            <w:r>
              <w:rPr>
                <w:rFonts w:hint="eastAsia" w:ascii="宋体" w:eastAsia="宋体" w:cs="宋体"/>
                <w:color w:val="auto"/>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宋体" w:hAnsi="宋体" w:cs="宋体"/>
                <w:color w:val="auto"/>
                <w:szCs w:val="21"/>
                <w:highlight w:val="none"/>
                <w:lang w:val="en-US" w:eastAsia="zh-CN"/>
              </w:rPr>
            </w:pP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投标人承诺接到采购人通知后1小时内到达采购人指定地点的，得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投标人承诺接到采购人通知后2小时内到达采购人指定地点的，得3分；</w:t>
            </w:r>
          </w:p>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投标人承诺接到采购人通知后3小时内到达采购人指定地点的，得1分；</w:t>
            </w:r>
          </w:p>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其他得0分。</w:t>
            </w:r>
          </w:p>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不接受委托第三方的售后服务。</w:t>
            </w:r>
          </w:p>
          <w:p>
            <w:pPr>
              <w:pStyle w:val="23"/>
              <w:spacing w:line="24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rPr>
              <w:t>（须提供服务响应承诺书）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after="0"/>
              <w:jc w:val="center"/>
              <w:rPr>
                <w:rFonts w:ascii="宋体" w:cs="宋体"/>
                <w:color w:val="auto"/>
                <w:szCs w:val="21"/>
                <w:highlight w:val="none"/>
              </w:rPr>
            </w:pPr>
            <w:r>
              <w:rPr>
                <w:rFonts w:hint="eastAsia" w:ascii="宋体" w:hAnsi="宋体" w:eastAsia="宋体" w:cs="宋体"/>
                <w:color w:val="auto"/>
                <w:sz w:val="21"/>
                <w:szCs w:val="21"/>
                <w:highlight w:val="none"/>
              </w:rPr>
              <w:t>总体服务方案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宋体" w:cs="宋体"/>
                <w:color w:val="auto"/>
                <w:szCs w:val="21"/>
                <w:highlight w:val="none"/>
                <w:lang w:val="en-US"/>
              </w:rPr>
            </w:pPr>
            <w:r>
              <w:rPr>
                <w:rFonts w:hint="eastAsia" w:ascii="宋体" w:eastAsia="宋体" w:cs="宋体"/>
                <w:color w:val="auto"/>
                <w:sz w:val="21"/>
                <w:szCs w:val="21"/>
                <w:highlight w:val="none"/>
              </w:rPr>
              <w:t>20分</w:t>
            </w:r>
          </w:p>
        </w:tc>
        <w:tc>
          <w:tcPr>
            <w:tcW w:w="5461" w:type="dxa"/>
            <w:tcBorders>
              <w:top w:val="single" w:color="auto" w:sz="4" w:space="0"/>
              <w:left w:val="single" w:color="auto" w:sz="4" w:space="0"/>
              <w:bottom w:val="single" w:color="auto" w:sz="4" w:space="0"/>
              <w:right w:val="single" w:color="auto" w:sz="4" w:space="0"/>
            </w:tcBorders>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根据投标人项目总体服务方案包括但不限于：①、清扫保洁服务方案；②、服务标准、服务承诺；③、质量保证措施进行</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方案完整、科学、合理、可行性强，得20分；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方案比较完整，合理性、可行性较强，得15分；</w:t>
            </w:r>
          </w:p>
          <w:p>
            <w:pPr>
              <w:autoSpaceDE w:val="0"/>
              <w:autoSpaceDN w:val="0"/>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方案一般，科学合理性一般，可行性一般，得10分。</w:t>
            </w:r>
          </w:p>
          <w:p>
            <w:pPr>
              <w:autoSpaceDE w:val="0"/>
              <w:autoSpaceDN w:val="0"/>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方案较差，科学合理性较差，可行性较差，得5分。</w:t>
            </w:r>
          </w:p>
          <w:p>
            <w:pPr>
              <w:autoSpaceDE w:val="0"/>
              <w:autoSpaceDN w:val="0"/>
              <w:adjustRightInd/>
              <w:snapToGrid/>
              <w:spacing w:after="0"/>
              <w:ind w:firstLine="373" w:firstLineChars="178"/>
              <w:rPr>
                <w:rFonts w:ascii="宋体" w:hAnsi="宋体" w:cs="宋体"/>
                <w:bCs/>
                <w:color w:val="auto"/>
                <w:szCs w:val="21"/>
                <w:highlight w:val="none"/>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rPr>
            </w:pPr>
            <w:r>
              <w:rPr>
                <w:rFonts w:hint="eastAsia" w:ascii="宋体" w:hAnsi="宋体" w:cs="宋体"/>
                <w:color w:val="auto"/>
                <w:kern w:val="2"/>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w:t>
            </w:r>
            <w:r>
              <w:rPr>
                <w:rFonts w:hint="eastAsia" w:ascii="宋体" w:eastAsia="宋体" w:cs="宋体"/>
                <w:color w:val="auto"/>
                <w:sz w:val="21"/>
                <w:szCs w:val="21"/>
                <w:highlight w:val="none"/>
                <w:lang w:val="zh-CN"/>
              </w:rPr>
              <w:t>对本项目的熟悉程度、理解及项目重点和难点的分析，以及根据项目重点和难点所采取的措施等进行综合评审</w:t>
            </w:r>
            <w:r>
              <w:rPr>
                <w:rFonts w:hint="eastAsia" w:ascii="宋体" w:hAnsi="宋体" w:eastAsia="宋体" w:cs="宋体"/>
                <w:bCs/>
                <w:color w:val="auto"/>
                <w:sz w:val="21"/>
                <w:szCs w:val="21"/>
                <w:highlight w:val="none"/>
              </w:rPr>
              <w:t>：</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对本项目的熟悉程度深入，重点和难点分析清晰具体且对应措施完善详细具体、有针对性、操作性强，得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对本项目的熟悉程度深入，重点和难点分析</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lang w:val="zh-CN"/>
              </w:rPr>
              <w:t>清晰具体且对应措施完善详细具体、有针对性、操作性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lang w:val="zh-CN"/>
              </w:rPr>
              <w:t>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对本项目的熟悉程度一般，重点和难点分析基本合理、对应措施可行性</w:t>
            </w:r>
            <w:r>
              <w:rPr>
                <w:rFonts w:hint="eastAsia" w:ascii="宋体" w:eastAsia="宋体" w:cs="宋体"/>
                <w:color w:val="auto"/>
                <w:sz w:val="21"/>
                <w:szCs w:val="21"/>
                <w:highlight w:val="none"/>
                <w:lang w:val="en-US" w:eastAsia="zh-CN"/>
              </w:rPr>
              <w:t>一般</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对本项目的熟悉程度、重点和难点分析不清晰不具体</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cs="宋体"/>
                <w:color w:val="auto"/>
                <w:szCs w:val="21"/>
                <w:highlight w:val="none"/>
              </w:rPr>
            </w:pPr>
            <w:r>
              <w:rPr>
                <w:rFonts w:hint="eastAsia" w:ascii="宋体" w:hAnsi="宋体" w:eastAsia="宋体" w:cs="宋体"/>
                <w:color w:val="auto"/>
                <w:sz w:val="21"/>
                <w:szCs w:val="21"/>
                <w:highlight w:val="none"/>
              </w:rPr>
              <w:t>设备配置方案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宋体" w:cs="宋体"/>
                <w:color w:val="auto"/>
                <w:szCs w:val="21"/>
                <w:highlight w:val="none"/>
                <w:lang w:val="en-US"/>
              </w:rPr>
            </w:pPr>
            <w:r>
              <w:rPr>
                <w:rFonts w:hint="eastAsia" w:ascii="宋体" w:eastAsia="宋体" w:cs="宋体"/>
                <w:color w:val="auto"/>
                <w:sz w:val="21"/>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根据投标人拟投入本项目设备设施配备方案及其合理性、先进性、科学性等进行</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投标人针对本项目提供的机械设备充足齐全，配置方案非常合理，设备先进、科学的，得10分；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投标人针对本项目提供的机械设备基本齐全，配置方案较合理，设备先进性、科学性较强的，得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投标人针对本项目提供的机械设备较齐全，配置方案不合理，设备先进性、科学性一般的，得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投标人针对本项目提供的机械设备不齐全，配置方案较差的，设备落后，得1分。</w:t>
            </w:r>
          </w:p>
          <w:p>
            <w:pPr>
              <w:tabs>
                <w:tab w:val="left" w:pos="360"/>
              </w:tabs>
              <w:adjustRightInd/>
              <w:snapToGrid/>
              <w:spacing w:after="0"/>
              <w:ind w:firstLine="373" w:firstLineChars="178"/>
              <w:rPr>
                <w:rFonts w:ascii="宋体" w:hAnsi="宋体" w:cs="宋体"/>
                <w:bCs/>
                <w:color w:val="auto"/>
                <w:szCs w:val="21"/>
                <w:highlight w:val="none"/>
                <w:lang w:val="zh-CN"/>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cs="宋体"/>
                <w:color w:val="auto"/>
                <w:szCs w:val="21"/>
                <w:highlight w:val="none"/>
              </w:rPr>
            </w:pPr>
            <w:r>
              <w:rPr>
                <w:rFonts w:hint="eastAsia" w:ascii="宋体" w:hAnsi="宋体" w:eastAsia="宋体" w:cs="宋体"/>
                <w:color w:val="auto"/>
                <w:sz w:val="21"/>
                <w:szCs w:val="21"/>
                <w:highlight w:val="none"/>
              </w:rPr>
              <w:t>人员配置方案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宋体" w:eastAsia="宋体" w:cs="宋体"/>
                <w:color w:val="auto"/>
                <w:szCs w:val="21"/>
                <w:highlight w:val="none"/>
                <w:lang w:val="en-US" w:eastAsia="zh-CN"/>
              </w:rPr>
            </w:pPr>
            <w:r>
              <w:rPr>
                <w:rFonts w:hint="eastAsia" w:ascii="宋体" w:hAnsi="宋体" w:eastAsia="宋体" w:cs="宋体"/>
                <w:color w:val="auto"/>
                <w:sz w:val="21"/>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根据投标人项目管理架构、岗位设置、职责分工、管理技术人员的经验、专业水平，对人员配置方案的完整性、合理性、可行性进行</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方案完整，科学合理，可行性强，得10分；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方案比较完整，合理性、可行性较强，得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方案一般，科学合理性一般，可行性一般，得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7"/>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方案基本完整，合理性、可行性较差，得1分。</w:t>
            </w:r>
          </w:p>
          <w:p>
            <w:pPr>
              <w:pStyle w:val="27"/>
              <w:tabs>
                <w:tab w:val="left" w:pos="360"/>
              </w:tabs>
              <w:adjustRightInd/>
              <w:snapToGrid/>
              <w:spacing w:after="0"/>
              <w:ind w:firstLine="373" w:firstLineChars="178"/>
              <w:rPr>
                <w:rFonts w:ascii="宋体" w:hAnsi="宋体" w:cs="宋体"/>
                <w:bCs/>
                <w:color w:val="auto"/>
                <w:szCs w:val="21"/>
                <w:highlight w:val="none"/>
                <w:lang w:val="zh-CN"/>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应急处理方案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根据投标人针对台风、暴雨等天气影响，重大接待任务，重大节假日或活动等特殊情况制定应急处置方案，包括传达机制、人员和设备调配、责任分工等进行</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应急处置方案科学具体，得10分；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应急处置方案基本可行，得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应急处置方案可行性较低，得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应急处置方案不具有可行性，得1分；</w:t>
            </w:r>
          </w:p>
          <w:p>
            <w:pPr>
              <w:tabs>
                <w:tab w:val="left" w:pos="360"/>
              </w:tabs>
              <w:adjustRightInd/>
              <w:snapToGrid/>
              <w:spacing w:after="0"/>
              <w:ind w:firstLine="373" w:firstLineChars="178"/>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自律承诺方案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5分</w:t>
            </w:r>
          </w:p>
        </w:tc>
        <w:tc>
          <w:tcPr>
            <w:tcW w:w="5461" w:type="dxa"/>
            <w:tcBorders>
              <w:top w:val="single" w:color="auto" w:sz="4" w:space="0"/>
              <w:left w:val="single" w:color="auto" w:sz="4" w:space="0"/>
              <w:bottom w:val="single" w:color="auto" w:sz="4" w:space="0"/>
              <w:right w:val="single" w:color="auto" w:sz="4" w:space="0"/>
            </w:tcBorders>
            <w:vAlign w:val="center"/>
          </w:tcPr>
          <w:p>
            <w:pPr>
              <w:tabs>
                <w:tab w:val="left" w:pos="360"/>
              </w:tabs>
              <w:adjustRightInd/>
              <w:snapToGrid/>
              <w:spacing w:after="0"/>
              <w:ind w:firstLine="373" w:firstLineChars="1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具有特色的个性化的服务承诺书，能够承诺保证有足够的人力、设备等资源保证按时按质按量完成种服务工作，并制定管理质量控制措施，作出违约责任等承诺，对服务实施方案的落实负责</w:t>
            </w:r>
            <w:r>
              <w:rPr>
                <w:rFonts w:hint="eastAsia" w:ascii="宋体" w:hAnsi="宋体" w:eastAsia="宋体" w:cs="宋体"/>
                <w:color w:val="auto"/>
                <w:sz w:val="21"/>
                <w:szCs w:val="21"/>
                <w:highlight w:val="none"/>
                <w:lang w:val="en-US" w:eastAsia="zh-CN"/>
              </w:rPr>
              <w:t>进行评审</w:t>
            </w:r>
            <w:bookmarkStart w:id="181" w:name="_GoBack"/>
            <w:bookmarkEnd w:id="181"/>
            <w:r>
              <w:rPr>
                <w:rFonts w:hint="eastAsia" w:ascii="宋体" w:hAnsi="宋体" w:eastAsia="宋体" w:cs="宋体"/>
                <w:color w:val="auto"/>
                <w:sz w:val="21"/>
                <w:szCs w:val="21"/>
                <w:highlight w:val="none"/>
              </w:rPr>
              <w:t>：</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方案完善、服务承诺具体、质量控制措施强的，得5分；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服务承诺具体、质量控制措施一般的，得3分；</w:t>
            </w:r>
          </w:p>
          <w:p>
            <w:pPr>
              <w:pStyle w:val="23"/>
              <w:spacing w:line="240" w:lineRule="auto"/>
              <w:ind w:firstLine="373" w:firstLineChars="178"/>
              <w:rPr>
                <w:rFonts w:ascii="宋体" w:eastAsia="宋体" w:cs="宋体"/>
                <w:color w:val="auto"/>
                <w:sz w:val="21"/>
                <w:szCs w:val="21"/>
                <w:highlight w:val="none"/>
              </w:rPr>
            </w:pPr>
            <w:r>
              <w:rPr>
                <w:rFonts w:hint="eastAsia" w:ascii="宋体" w:eastAsia="宋体" w:cs="宋体"/>
                <w:color w:val="auto"/>
                <w:sz w:val="21"/>
                <w:szCs w:val="21"/>
                <w:highlight w:val="none"/>
              </w:rPr>
              <w:t>服务承诺不具体、质量控制措施一般的，得1分；</w:t>
            </w:r>
          </w:p>
          <w:p>
            <w:pPr>
              <w:pStyle w:val="23"/>
              <w:spacing w:line="240" w:lineRule="auto"/>
              <w:ind w:firstLine="373" w:firstLineChars="178"/>
              <w:rPr>
                <w:rFonts w:hint="eastAsia" w:ascii="宋体" w:hAnsi="宋体" w:eastAsia="宋体" w:cs="宋体"/>
                <w:bCs/>
                <w:color w:val="auto"/>
                <w:kern w:val="2"/>
                <w:sz w:val="21"/>
                <w:szCs w:val="21"/>
                <w:highlight w:val="none"/>
                <w:lang w:val="zh-CN"/>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5" w:name="_Toc864"/>
      <w:r>
        <w:rPr>
          <w:rFonts w:hint="eastAsia"/>
          <w:b/>
          <w:bCs/>
          <w:color w:val="auto"/>
          <w:highlight w:val="none"/>
        </w:rPr>
        <w:t>一、合同金额</w:t>
      </w:r>
      <w:bookmarkEnd w:id="145"/>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6" w:name="_Toc32599"/>
      <w:r>
        <w:rPr>
          <w:rFonts w:hint="eastAsia"/>
          <w:b/>
          <w:bCs/>
          <w:color w:val="auto"/>
          <w:highlight w:val="none"/>
        </w:rPr>
        <w:t>二、服务范围</w:t>
      </w:r>
      <w:bookmarkEnd w:id="146"/>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7" w:name="_Toc28304"/>
      <w:r>
        <w:rPr>
          <w:rFonts w:hint="eastAsia"/>
          <w:b/>
          <w:bCs/>
          <w:color w:val="auto"/>
          <w:highlight w:val="none"/>
        </w:rPr>
        <w:t>三、甲方乙方的权利和义务</w:t>
      </w:r>
      <w:bookmarkEnd w:id="147"/>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8" w:name="_Toc31228"/>
      <w:r>
        <w:rPr>
          <w:rFonts w:hint="eastAsia"/>
          <w:b/>
          <w:bCs/>
          <w:color w:val="auto"/>
          <w:highlight w:val="none"/>
        </w:rPr>
        <w:t>四、服务期间（项目完成期限）</w:t>
      </w:r>
      <w:bookmarkEnd w:id="148"/>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9" w:name="_Toc1315"/>
      <w:r>
        <w:rPr>
          <w:rFonts w:hint="eastAsia"/>
          <w:b/>
          <w:bCs/>
          <w:color w:val="auto"/>
          <w:highlight w:val="none"/>
        </w:rPr>
        <w:t>五、付款方式</w:t>
      </w:r>
      <w:bookmarkEnd w:id="149"/>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0" w:name="_Toc29016"/>
      <w:r>
        <w:rPr>
          <w:rFonts w:hint="eastAsia"/>
          <w:b/>
          <w:bCs/>
          <w:color w:val="auto"/>
          <w:highlight w:val="none"/>
        </w:rPr>
        <w:t>六、知识产权归属</w:t>
      </w:r>
      <w:bookmarkEnd w:id="150"/>
    </w:p>
    <w:p>
      <w:pPr>
        <w:spacing w:line="360" w:lineRule="auto"/>
        <w:outlineLvl w:val="1"/>
        <w:rPr>
          <w:b/>
          <w:bCs/>
          <w:color w:val="auto"/>
          <w:highlight w:val="none"/>
        </w:rPr>
      </w:pPr>
      <w:bookmarkStart w:id="151" w:name="_Toc491"/>
      <w:r>
        <w:rPr>
          <w:rFonts w:hint="eastAsia"/>
          <w:b/>
          <w:bCs/>
          <w:color w:val="auto"/>
          <w:highlight w:val="none"/>
        </w:rPr>
        <w:t>七、保密</w:t>
      </w:r>
      <w:bookmarkEnd w:id="151"/>
    </w:p>
    <w:p>
      <w:pPr>
        <w:spacing w:line="360" w:lineRule="auto"/>
        <w:outlineLvl w:val="1"/>
        <w:rPr>
          <w:b/>
          <w:bCs/>
          <w:color w:val="auto"/>
          <w:highlight w:val="none"/>
        </w:rPr>
      </w:pPr>
      <w:bookmarkStart w:id="152" w:name="_Toc5642"/>
      <w:r>
        <w:rPr>
          <w:rFonts w:hint="eastAsia"/>
          <w:b/>
          <w:bCs/>
          <w:color w:val="auto"/>
          <w:highlight w:val="none"/>
        </w:rPr>
        <w:t>八、违约责任与赔偿损失</w:t>
      </w:r>
      <w:bookmarkEnd w:id="152"/>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3" w:name="_Toc30679"/>
      <w:r>
        <w:rPr>
          <w:rFonts w:hint="eastAsia"/>
          <w:b/>
          <w:bCs/>
          <w:color w:val="auto"/>
          <w:highlight w:val="none"/>
        </w:rPr>
        <w:t>九、争议的解决</w:t>
      </w:r>
      <w:bookmarkEnd w:id="153"/>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4" w:name="_Toc26856"/>
      <w:r>
        <w:rPr>
          <w:rFonts w:hint="eastAsia"/>
          <w:b/>
          <w:bCs/>
          <w:color w:val="auto"/>
          <w:highlight w:val="none"/>
        </w:rPr>
        <w:t>十、不可抗力</w:t>
      </w:r>
      <w:bookmarkEnd w:id="154"/>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5" w:name="_Toc16247"/>
      <w:r>
        <w:rPr>
          <w:rFonts w:hint="eastAsia"/>
          <w:b/>
          <w:bCs/>
          <w:color w:val="auto"/>
          <w:highlight w:val="none"/>
        </w:rPr>
        <w:t>十一、税费</w:t>
      </w:r>
      <w:bookmarkEnd w:id="155"/>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6" w:name="_Toc14065"/>
      <w:r>
        <w:rPr>
          <w:rFonts w:hint="eastAsia"/>
          <w:b/>
          <w:bCs/>
          <w:color w:val="auto"/>
          <w:highlight w:val="none"/>
        </w:rPr>
        <w:t>十二、其它</w:t>
      </w:r>
      <w:bookmarkEnd w:id="156"/>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7" w:name="_Toc13763"/>
      <w:r>
        <w:rPr>
          <w:rFonts w:hint="eastAsia"/>
          <w:b/>
          <w:bCs/>
          <w:color w:val="auto"/>
          <w:highlight w:val="none"/>
        </w:rPr>
        <w:t>十三、合同生效</w:t>
      </w:r>
      <w:bookmarkEnd w:id="157"/>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8" w:name="_Toc17794"/>
      <w:r>
        <w:rPr>
          <w:rFonts w:hint="eastAsia"/>
          <w:color w:val="auto"/>
          <w:highlight w:val="none"/>
        </w:rPr>
        <w:t>第六篇 投标文件格式</w:t>
      </w:r>
      <w:bookmarkEnd w:id="158"/>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9" w:name="_Toc32213"/>
      <w:r>
        <w:rPr>
          <w:rFonts w:hint="eastAsia"/>
          <w:b/>
          <w:bCs/>
          <w:color w:val="auto"/>
          <w:highlight w:val="none"/>
        </w:rPr>
        <w:t>（封面格式仅供参考）</w:t>
      </w:r>
      <w:bookmarkEnd w:id="15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0" w:name="_Toc14748"/>
      <w:r>
        <w:rPr>
          <w:rFonts w:ascii="宋体" w:hAnsi="宋体" w:cs="宋体"/>
          <w:b/>
          <w:color w:val="auto"/>
          <w:spacing w:val="10"/>
          <w:kern w:val="0"/>
          <w:sz w:val="38"/>
          <w:szCs w:val="38"/>
          <w:highlight w:val="none"/>
          <w:lang w:val="zh-CN" w:bidi="zh-CN"/>
        </w:rPr>
        <w:t>投标文件封面</w:t>
      </w:r>
      <w:bookmarkEnd w:id="16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2" w:name="_Toc23039"/>
      <w:r>
        <w:rPr>
          <w:color w:val="auto"/>
          <w:sz w:val="24"/>
          <w:highlight w:val="none"/>
        </w:rPr>
        <w:t>法定代表人证明书</w:t>
      </w:r>
      <w:bookmarkEnd w:id="162"/>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3" w:name="_Toc20098"/>
      <w:r>
        <w:rPr>
          <w:color w:val="auto"/>
          <w:highlight w:val="none"/>
        </w:rPr>
        <w:t>履约进度计划表</w:t>
      </w:r>
      <w:bookmarkEnd w:id="163"/>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4" w:name="_Toc2912"/>
      <w:r>
        <w:rPr>
          <w:rFonts w:hint="eastAsia"/>
          <w:b/>
          <w:bCs/>
          <w:color w:val="auto"/>
          <w:sz w:val="24"/>
          <w:szCs w:val="32"/>
          <w:highlight w:val="none"/>
        </w:rPr>
        <w:t>格式十四：</w:t>
      </w:r>
      <w:bookmarkEnd w:id="164"/>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14919"/>
      <w:r>
        <w:rPr>
          <w:rFonts w:hint="eastAsia" w:ascii="宋体" w:hAnsi="宋体" w:cs="宋体"/>
          <w:color w:val="auto"/>
          <w:szCs w:val="21"/>
          <w:highlight w:val="none"/>
        </w:rPr>
        <w:t>1、招标文件要求提供的其他资料。</w:t>
      </w:r>
      <w:bookmarkEnd w:id="165"/>
    </w:p>
    <w:p>
      <w:pPr>
        <w:pStyle w:val="20"/>
        <w:tabs>
          <w:tab w:val="left" w:pos="673"/>
        </w:tabs>
        <w:spacing w:line="360" w:lineRule="auto"/>
        <w:ind w:firstLine="0" w:firstLineChars="0"/>
        <w:outlineLvl w:val="1"/>
        <w:rPr>
          <w:rFonts w:ascii="宋体" w:hAnsi="宋体" w:cs="宋体"/>
          <w:color w:val="auto"/>
          <w:szCs w:val="21"/>
          <w:highlight w:val="none"/>
        </w:rPr>
      </w:pPr>
      <w:bookmarkStart w:id="166" w:name="_Toc7938"/>
      <w:r>
        <w:rPr>
          <w:rFonts w:hint="eastAsia" w:ascii="宋体" w:hAnsi="宋体" w:cs="宋体"/>
          <w:color w:val="auto"/>
          <w:szCs w:val="21"/>
          <w:highlight w:val="none"/>
        </w:rPr>
        <w:t>2、投标人认为需提供的其他资料。</w:t>
      </w:r>
      <w:bookmarkEnd w:id="1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0382"/>
      <w:r>
        <w:rPr>
          <w:rFonts w:hint="eastAsia" w:ascii="宋体" w:hAnsi="宋体" w:cs="宋体"/>
          <w:b/>
          <w:bCs/>
          <w:color w:val="auto"/>
          <w:sz w:val="24"/>
          <w:highlight w:val="none"/>
        </w:rPr>
        <w:t>格式十五：</w:t>
      </w:r>
      <w:bookmarkEnd w:id="167"/>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8" w:name="_Toc3970"/>
      <w:r>
        <w:rPr>
          <w:rFonts w:hint="eastAsia" w:ascii="宋体" w:hAnsi="宋体" w:cs="宋体"/>
          <w:b/>
          <w:bCs/>
          <w:color w:val="auto"/>
          <w:sz w:val="24"/>
          <w:highlight w:val="none"/>
        </w:rPr>
        <w:t>格式十五：</w:t>
      </w:r>
      <w:bookmarkEnd w:id="168"/>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9" w:name="_Toc4401"/>
      <w:r>
        <w:rPr>
          <w:rFonts w:hint="eastAsia" w:ascii="宋体" w:hAnsi="宋体" w:cs="宋体"/>
          <w:b/>
          <w:bCs/>
          <w:color w:val="auto"/>
          <w:szCs w:val="21"/>
          <w:highlight w:val="none"/>
        </w:rPr>
        <w:t>需要招标人提供的附加条件</w:t>
      </w:r>
      <w:bookmarkEnd w:id="169"/>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0" w:name="_Toc25747"/>
      <w:r>
        <w:rPr>
          <w:rFonts w:hint="eastAsia"/>
          <w:b/>
          <w:bCs/>
          <w:color w:val="auto"/>
          <w:highlight w:val="none"/>
          <w:lang w:val="en-US"/>
        </w:rPr>
        <w:t>格式十六：</w:t>
      </w:r>
      <w:bookmarkEnd w:id="17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1" w:name="_Toc27211"/>
      <w:r>
        <w:rPr>
          <w:rFonts w:hint="eastAsia"/>
          <w:color w:val="auto"/>
          <w:highlight w:val="none"/>
        </w:rPr>
        <w:t>第七篇 开标文件格式</w:t>
      </w:r>
      <w:bookmarkEnd w:id="171"/>
    </w:p>
    <w:p>
      <w:pPr>
        <w:jc w:val="center"/>
        <w:outlineLvl w:val="1"/>
        <w:rPr>
          <w:b/>
          <w:bCs/>
          <w:color w:val="auto"/>
          <w:highlight w:val="none"/>
        </w:rPr>
      </w:pPr>
      <w:bookmarkStart w:id="172" w:name="_Toc32249"/>
      <w:r>
        <w:rPr>
          <w:rFonts w:hint="eastAsia"/>
          <w:b/>
          <w:bCs/>
          <w:color w:val="auto"/>
          <w:highlight w:val="none"/>
        </w:rPr>
        <w:t>（封面格式仅供参考）</w:t>
      </w:r>
      <w:bookmarkEnd w:id="17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5" w:name="_Toc32100"/>
      <w:r>
        <w:rPr>
          <w:rFonts w:hint="eastAsia"/>
          <w:b/>
          <w:bCs/>
          <w:color w:val="auto"/>
          <w:sz w:val="21"/>
          <w:szCs w:val="21"/>
          <w:highlight w:val="none"/>
          <w:lang w:val="en-US"/>
        </w:rPr>
        <w:t>1、开标一览表</w:t>
      </w:r>
      <w:bookmarkEnd w:id="175"/>
    </w:p>
    <w:p>
      <w:pPr>
        <w:spacing w:line="360" w:lineRule="auto"/>
        <w:outlineLvl w:val="1"/>
        <w:rPr>
          <w:rFonts w:ascii="宋体" w:hAnsi="宋体" w:cs="宋体"/>
          <w:b/>
          <w:bCs/>
          <w:color w:val="auto"/>
          <w:szCs w:val="21"/>
          <w:highlight w:val="none"/>
        </w:rPr>
      </w:pPr>
      <w:bookmarkStart w:id="176" w:name="_Toc8054"/>
      <w:r>
        <w:rPr>
          <w:rFonts w:hint="eastAsia" w:ascii="宋体" w:hAnsi="宋体" w:cs="宋体"/>
          <w:b/>
          <w:bCs/>
          <w:color w:val="auto"/>
          <w:szCs w:val="21"/>
          <w:highlight w:val="none"/>
        </w:rPr>
        <w:t>2、分项报价表</w:t>
      </w:r>
      <w:bookmarkEnd w:id="176"/>
    </w:p>
    <w:p>
      <w:pPr>
        <w:pStyle w:val="2"/>
        <w:spacing w:before="0" w:line="360" w:lineRule="auto"/>
        <w:ind w:left="0"/>
        <w:outlineLvl w:val="1"/>
        <w:rPr>
          <w:b/>
          <w:bCs/>
          <w:color w:val="auto"/>
          <w:sz w:val="21"/>
          <w:szCs w:val="21"/>
          <w:highlight w:val="none"/>
          <w:lang w:val="en-US"/>
        </w:rPr>
      </w:pPr>
      <w:bookmarkStart w:id="177" w:name="_Toc5011"/>
      <w:r>
        <w:rPr>
          <w:rFonts w:hint="eastAsia"/>
          <w:b/>
          <w:bCs/>
          <w:color w:val="auto"/>
          <w:sz w:val="21"/>
          <w:szCs w:val="21"/>
          <w:highlight w:val="none"/>
          <w:lang w:val="en-US"/>
        </w:rPr>
        <w:t>3、法定代表人证明书</w:t>
      </w:r>
      <w:bookmarkEnd w:id="177"/>
    </w:p>
    <w:p>
      <w:pPr>
        <w:pStyle w:val="2"/>
        <w:spacing w:before="0" w:line="360" w:lineRule="auto"/>
        <w:ind w:left="0"/>
        <w:outlineLvl w:val="1"/>
        <w:rPr>
          <w:b/>
          <w:bCs/>
          <w:color w:val="auto"/>
          <w:sz w:val="21"/>
          <w:szCs w:val="21"/>
          <w:highlight w:val="none"/>
          <w:lang w:val="en-US"/>
        </w:rPr>
      </w:pPr>
      <w:bookmarkStart w:id="178" w:name="_Toc27439"/>
      <w:r>
        <w:rPr>
          <w:rFonts w:hint="eastAsia"/>
          <w:b/>
          <w:bCs/>
          <w:color w:val="auto"/>
          <w:sz w:val="21"/>
          <w:szCs w:val="21"/>
          <w:highlight w:val="none"/>
          <w:lang w:val="en-US"/>
        </w:rPr>
        <w:t>4、法定代表人授权书</w:t>
      </w:r>
      <w:bookmarkEnd w:id="178"/>
    </w:p>
    <w:p>
      <w:pPr>
        <w:spacing w:line="360" w:lineRule="auto"/>
        <w:outlineLvl w:val="1"/>
        <w:rPr>
          <w:rFonts w:ascii="宋体" w:hAnsi="宋体" w:cs="宋体"/>
          <w:b/>
          <w:bCs/>
          <w:color w:val="auto"/>
          <w:szCs w:val="21"/>
          <w:highlight w:val="none"/>
        </w:rPr>
      </w:pPr>
      <w:bookmarkStart w:id="179" w:name="_Toc16304"/>
      <w:r>
        <w:rPr>
          <w:rFonts w:hint="eastAsia" w:ascii="宋体" w:hAnsi="宋体" w:cs="宋体"/>
          <w:b/>
          <w:bCs/>
          <w:color w:val="auto"/>
          <w:szCs w:val="21"/>
          <w:highlight w:val="none"/>
        </w:rPr>
        <w:t>5、投标保证金</w:t>
      </w:r>
      <w:bookmarkEnd w:id="179"/>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0" w:name="_Toc2722"/>
      <w:r>
        <w:rPr>
          <w:rFonts w:hint="eastAsia"/>
          <w:color w:val="auto"/>
          <w:highlight w:val="none"/>
        </w:rPr>
        <w:t>第八篇 其它文件格式（如有需要）</w:t>
      </w:r>
      <w:bookmarkEnd w:id="18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东莞市高埗镇冼沙股份经济联合社社区环卫保洁服务采购项目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36BD7D5"/>
    <w:multiLevelType w:val="singleLevel"/>
    <w:tmpl w:val="336BD7D5"/>
    <w:lvl w:ilvl="0" w:tentative="0">
      <w:start w:val="1"/>
      <w:numFmt w:val="decimal"/>
      <w:lvlText w:val="%1."/>
      <w:lvlJc w:val="left"/>
      <w:pPr>
        <w:ind w:left="425" w:hanging="425"/>
      </w:pPr>
      <w:rPr>
        <w:rFonts w:hint="default"/>
      </w:rPr>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9"/>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57C5CF6"/>
    <w:rsid w:val="07342FC6"/>
    <w:rsid w:val="08F278CA"/>
    <w:rsid w:val="0AAB1D08"/>
    <w:rsid w:val="0B696582"/>
    <w:rsid w:val="0C502C33"/>
    <w:rsid w:val="0F1622A5"/>
    <w:rsid w:val="121918AE"/>
    <w:rsid w:val="126E350F"/>
    <w:rsid w:val="15380D0C"/>
    <w:rsid w:val="18062A99"/>
    <w:rsid w:val="1BBB674D"/>
    <w:rsid w:val="1BE705BF"/>
    <w:rsid w:val="1DB725C0"/>
    <w:rsid w:val="20332F5E"/>
    <w:rsid w:val="209314D4"/>
    <w:rsid w:val="244868B3"/>
    <w:rsid w:val="2A213986"/>
    <w:rsid w:val="2D3A4F1C"/>
    <w:rsid w:val="2DE33D62"/>
    <w:rsid w:val="2E462ABD"/>
    <w:rsid w:val="2FE55D43"/>
    <w:rsid w:val="3158095E"/>
    <w:rsid w:val="34BE4BEB"/>
    <w:rsid w:val="373F6180"/>
    <w:rsid w:val="37423885"/>
    <w:rsid w:val="3B2A432E"/>
    <w:rsid w:val="3C8E00EA"/>
    <w:rsid w:val="3E0202C6"/>
    <w:rsid w:val="43143B39"/>
    <w:rsid w:val="438833C2"/>
    <w:rsid w:val="47735BD0"/>
    <w:rsid w:val="481D3236"/>
    <w:rsid w:val="498145E0"/>
    <w:rsid w:val="4BE07E65"/>
    <w:rsid w:val="4C573AD4"/>
    <w:rsid w:val="4F2676D5"/>
    <w:rsid w:val="525B07C5"/>
    <w:rsid w:val="52E14EC4"/>
    <w:rsid w:val="53F51E89"/>
    <w:rsid w:val="5B812734"/>
    <w:rsid w:val="5BE04967"/>
    <w:rsid w:val="5C015C21"/>
    <w:rsid w:val="5D744988"/>
    <w:rsid w:val="5E720F58"/>
    <w:rsid w:val="625453AA"/>
    <w:rsid w:val="64344366"/>
    <w:rsid w:val="64D3048A"/>
    <w:rsid w:val="65851F87"/>
    <w:rsid w:val="66CA48D2"/>
    <w:rsid w:val="687065DC"/>
    <w:rsid w:val="6E003853"/>
    <w:rsid w:val="6ECE5FF3"/>
    <w:rsid w:val="6ED74C74"/>
    <w:rsid w:val="717F42C4"/>
    <w:rsid w:val="74951BFB"/>
    <w:rsid w:val="74F7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67</Pages>
  <Words>30305</Words>
  <Characters>31297</Characters>
  <Lines>343</Lines>
  <Paragraphs>96</Paragraphs>
  <TotalTime>40</TotalTime>
  <ScaleCrop>false</ScaleCrop>
  <LinksUpToDate>false</LinksUpToDate>
  <CharactersWithSpaces>32848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AoiroWings</cp:lastModifiedBy>
  <cp:lastPrinted>2022-05-26T10:01:00Z</cp:lastPrinted>
  <dcterms:modified xsi:type="dcterms:W3CDTF">2022-06-30T02:35:38Z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DFD32AEBABD64A259A5A9D5045B624A3</vt:lpwstr>
  </property>
</Properties>
</file>