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7942"/>
      <w:bookmarkStart w:id="1" w:name="_Toc7243"/>
      <w:bookmarkStart w:id="2" w:name="_Toc16489"/>
      <w:bookmarkStart w:id="3" w:name="_Toc25865"/>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8734"/>
      <w:bookmarkStart w:id="5" w:name="_Toc20638"/>
      <w:bookmarkStart w:id="6" w:name="_Toc15158"/>
      <w:bookmarkStart w:id="7" w:name="_Toc9385"/>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东莞市道滘镇政务服务中心综合窗口岗位服务采购项目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GSDG2022-013C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东莞市道滘镇政务服务中心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5265"/>
      <w:bookmarkStart w:id="9" w:name="_Toc17050"/>
      <w:bookmarkStart w:id="10" w:name="_Toc4164"/>
      <w:bookmarkStart w:id="11" w:name="_Toc18278"/>
      <w:r>
        <w:rPr>
          <w:rFonts w:hint="eastAsia" w:ascii="黑体" w:hAnsi="黑体" w:eastAsia="黑体" w:cs="黑体"/>
          <w:color w:val="auto"/>
          <w:sz w:val="30"/>
          <w:szCs w:val="30"/>
          <w:highlight w:val="none"/>
          <w:lang w:val="en-US" w:eastAsia="zh-CN"/>
        </w:rPr>
        <w:t>2022年7月12日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2"/>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响应保证金（本项目不收取）</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8"/>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32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60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2"/>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1"/>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东莞市道滘镇政务服务中心综合窗口岗位服务采购项目</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w:t>
      </w:r>
      <w:r>
        <w:rPr>
          <w:rFonts w:hint="eastAsia" w:ascii="宋体" w:hAnsi="宋体" w:eastAsia="宋体" w:cs="宋体"/>
          <w:b/>
          <w:bCs/>
          <w:color w:val="auto"/>
          <w:sz w:val="21"/>
          <w:szCs w:val="21"/>
          <w:highlight w:val="none"/>
          <w:u w:val="single"/>
          <w:lang w:val="en-US" w:eastAsia="zh-CN"/>
        </w:rPr>
        <w:t>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b/>
          <w:bCs/>
          <w:color w:val="auto"/>
          <w:sz w:val="21"/>
          <w:szCs w:val="21"/>
          <w:highlight w:val="none"/>
          <w:u w:val="single"/>
          <w:lang w:val="en-US" w:eastAsia="zh-CN"/>
        </w:rPr>
        <w:t>2022</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26</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31624"/>
      <w:bookmarkStart w:id="14" w:name="_Toc35393621"/>
      <w:bookmarkStart w:id="15" w:name="_Toc2169"/>
      <w:bookmarkStart w:id="16" w:name="_Toc28359002"/>
      <w:bookmarkStart w:id="17" w:name="_Toc28359079"/>
      <w:bookmarkStart w:id="18" w:name="_Toc35393790"/>
      <w:bookmarkStart w:id="19" w:name="_Toc13782"/>
      <w:bookmarkStart w:id="20" w:name="_Toc26796"/>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：GSDG2022-013C</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东莞市道滘镇政务服务中心综合窗口岗位服务采购项目</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Cs w:val="21"/>
          <w:highlight w:val="none"/>
        </w:rPr>
        <w:t>¥</w:t>
      </w:r>
      <w:r>
        <w:rPr>
          <w:rFonts w:hint="eastAsia" w:ascii="宋体" w:hAnsi="宋体"/>
          <w:b/>
          <w:bCs/>
          <w:color w:val="auto"/>
          <w:szCs w:val="21"/>
          <w:highlight w:val="none"/>
          <w:u w:val="none"/>
        </w:rPr>
        <w:t>840,000.00</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pPr>
        <w:pageBreakBefore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5"/>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338"/>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338" w:type="dxa"/>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c>
          <w:tcPr>
            <w:tcW w:w="3664" w:type="dxa"/>
            <w:noWrap w:val="0"/>
            <w:vAlign w:val="center"/>
          </w:tcPr>
          <w:p>
            <w:pPr>
              <w:spacing w:line="360" w:lineRule="auto"/>
              <w:jc w:val="center"/>
              <w:rPr>
                <w:rFonts w:hint="eastAsia" w:hAnsi="宋体"/>
                <w:b/>
                <w:color w:val="auto"/>
                <w:sz w:val="21"/>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044" w:type="dxa"/>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338" w:type="dxa"/>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Cs w:val="21"/>
                <w:highlight w:val="none"/>
              </w:rPr>
              <w:t>东莞市道滘镇政务服务中心综合窗口岗位服务采购一项</w:t>
            </w:r>
          </w:p>
        </w:tc>
        <w:tc>
          <w:tcPr>
            <w:tcW w:w="3664" w:type="dxa"/>
            <w:noWrap w:val="0"/>
            <w:vAlign w:val="center"/>
          </w:tcPr>
          <w:p>
            <w:pPr>
              <w:spacing w:line="360" w:lineRule="auto"/>
              <w:jc w:val="center"/>
              <w:rPr>
                <w:rFonts w:hint="default" w:hAnsi="宋体" w:eastAsia="宋体"/>
                <w:color w:val="auto"/>
                <w:sz w:val="21"/>
                <w:szCs w:val="21"/>
                <w:highlight w:val="none"/>
                <w:lang w:val="en-US" w:eastAsia="zh-CN"/>
              </w:rPr>
            </w:pPr>
            <w:r>
              <w:rPr>
                <w:rFonts w:ascii="Times New Roman" w:hAnsi="Times New Roman" w:eastAsia="宋体" w:cs="Times New Roman"/>
                <w:color w:val="auto"/>
                <w:sz w:val="21"/>
                <w:szCs w:val="21"/>
                <w:highlight w:val="none"/>
              </w:rPr>
              <w:t>本项目服务期为</w:t>
            </w:r>
            <w:r>
              <w:rPr>
                <w:rFonts w:hint="eastAsia" w:ascii="Times New Roman" w:hAnsi="Times New Roman" w:cs="Times New Roman"/>
                <w:color w:val="auto"/>
                <w:sz w:val="21"/>
                <w:szCs w:val="21"/>
                <w:highlight w:val="none"/>
                <w:lang w:val="en-US" w:eastAsia="zh-CN"/>
              </w:rPr>
              <w:t>一</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（具体时间以签订合同时间为准）</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合同履行期限：</w:t>
      </w:r>
      <w:r>
        <w:rPr>
          <w:rFonts w:ascii="Times New Roman" w:hAnsi="Times New Roman" w:eastAsia="宋体" w:cs="Times New Roman"/>
          <w:color w:val="auto"/>
          <w:sz w:val="21"/>
          <w:szCs w:val="21"/>
          <w:highlight w:val="none"/>
        </w:rPr>
        <w:t>本项目服务期为</w:t>
      </w:r>
      <w:r>
        <w:rPr>
          <w:rFonts w:hint="eastAsia" w:ascii="Times New Roman" w:hAnsi="Times New Roman" w:cs="Times New Roman"/>
          <w:color w:val="auto"/>
          <w:sz w:val="21"/>
          <w:szCs w:val="21"/>
          <w:highlight w:val="none"/>
          <w:lang w:val="en-US" w:eastAsia="zh-CN"/>
        </w:rPr>
        <w:t>一</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（具体时间以签订合同时间为准）</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25198"/>
      <w:bookmarkStart w:id="23" w:name="_Toc31691"/>
      <w:bookmarkStart w:id="24" w:name="_Toc28359080"/>
      <w:bookmarkStart w:id="25" w:name="_Toc35393791"/>
      <w:bookmarkStart w:id="26" w:name="_Toc13371"/>
      <w:bookmarkStart w:id="27" w:name="_Toc28359003"/>
      <w:bookmarkStart w:id="28" w:name="_Toc28625"/>
      <w:bookmarkStart w:id="29" w:name="_Toc35393622"/>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30" w:name="_Toc8265"/>
      <w:bookmarkStart w:id="31" w:name="_Toc16211"/>
      <w:bookmarkStart w:id="32" w:name="_Toc7315"/>
      <w:bookmarkStart w:id="33" w:name="_Toc29919"/>
      <w:bookmarkStart w:id="34" w:name="_Toc28359081"/>
      <w:bookmarkStart w:id="35" w:name="_Toc28359004"/>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响应</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w:t>
      </w:r>
      <w:r>
        <w:rPr>
          <w:rFonts w:hint="eastAsia" w:ascii="宋体" w:hAnsi="宋体" w:eastAsia="宋体"/>
          <w:color w:val="auto"/>
          <w:sz w:val="21"/>
          <w:szCs w:val="21"/>
          <w:highlight w:val="none"/>
          <w:lang w:val="en-US" w:eastAsia="zh-CN"/>
        </w:rPr>
        <w:t>或2021年度</w:t>
      </w:r>
      <w:r>
        <w:rPr>
          <w:rFonts w:hint="eastAsia" w:ascii="宋体" w:hAnsi="宋体" w:eastAsia="宋体"/>
          <w:color w:val="auto"/>
          <w:sz w:val="21"/>
          <w:szCs w:val="21"/>
          <w:highlight w:val="none"/>
        </w:rPr>
        <w:t>财务状况报告或基本开户行出具的资信证明）。</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eastAsia="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eastAsia="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响应</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响应</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26119"/>
      <w:bookmarkStart w:id="37" w:name="_Toc4071"/>
      <w:bookmarkStart w:id="38" w:name="_Toc16617"/>
      <w:bookmarkStart w:id="39" w:name="_Toc18344"/>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iCs/>
          <w:color w:val="auto"/>
          <w:sz w:val="21"/>
          <w:szCs w:val="21"/>
          <w:highlight w:val="none"/>
          <w:u w:val="single"/>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eastAsia="zh-CN"/>
        </w:rPr>
        <w:t>无。</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792"/>
      <w:bookmarkStart w:id="41" w:name="_Toc173"/>
      <w:bookmarkStart w:id="42" w:name="_Toc35393623"/>
      <w:bookmarkStart w:id="43" w:name="_Toc27443"/>
      <w:bookmarkStart w:id="44" w:name="_Toc18578"/>
      <w:bookmarkStart w:id="45" w:name="_Toc2137"/>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日起至2022年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日</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日起至2022年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lang w:eastAsia="zh-CN"/>
        </w:rPr>
        <w:t>室；</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eastAsia="宋体" w:cs="宋体"/>
          <w:color w:val="auto"/>
          <w:sz w:val="21"/>
          <w:szCs w:val="21"/>
          <w:highlight w:val="none"/>
          <w:lang w:val="en-US" w:eastAsia="zh-CN"/>
        </w:rPr>
        <w:t>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82"/>
      <w:bookmarkStart w:id="47" w:name="_Toc28359005"/>
      <w:bookmarkStart w:id="48" w:name="_Toc35393793"/>
      <w:bookmarkStart w:id="49" w:name="_Toc28435"/>
      <w:bookmarkStart w:id="50" w:name="_Toc10322"/>
      <w:bookmarkStart w:id="51" w:name="_Toc27404"/>
      <w:bookmarkStart w:id="52" w:name="_Toc28585"/>
      <w:bookmarkStart w:id="53" w:name="_Toc35393624"/>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2022</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 xml:space="preserve"> 7</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26</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w:t>
      </w:r>
      <w:bookmarkStart w:id="365" w:name="_GoBack"/>
      <w:bookmarkEnd w:id="365"/>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地点：东莞市道滘镇招投标服务所4楼开标室（东莞市道滘镇道厚路创新岛2号（中国银行道滘支行旁边）</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26299"/>
      <w:bookmarkStart w:id="55" w:name="_Toc35393625"/>
      <w:bookmarkStart w:id="56" w:name="_Toc35393794"/>
      <w:bookmarkStart w:id="57" w:name="_Toc28359007"/>
      <w:bookmarkStart w:id="58" w:name="_Toc25695"/>
      <w:bookmarkStart w:id="59" w:name="_Toc17857"/>
      <w:bookmarkStart w:id="60" w:name="_Toc1202"/>
      <w:bookmarkStart w:id="61" w:name="_Toc28359084"/>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9116"/>
      <w:bookmarkStart w:id="63" w:name="_Toc35393795"/>
      <w:bookmarkStart w:id="64" w:name="_Toc6612"/>
      <w:bookmarkStart w:id="65" w:name="_Toc35393626"/>
      <w:bookmarkStart w:id="66" w:name="_Toc1519"/>
      <w:bookmarkStart w:id="67" w:name="_Toc25010"/>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35393796"/>
      <w:bookmarkStart w:id="69" w:name="_Toc28359008"/>
      <w:bookmarkStart w:id="70" w:name="_Toc35393627"/>
      <w:bookmarkStart w:id="71" w:name="_Toc28359085"/>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rPr>
        <w:t>中国采购与招标网（http://www.chinabidding.com.cn/）</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5139"/>
      <w:bookmarkStart w:id="73" w:name="_Toc22586"/>
      <w:bookmarkStart w:id="74" w:name="_Toc12281"/>
      <w:bookmarkStart w:id="75" w:name="_Toc8358"/>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0615"/>
      <w:bookmarkStart w:id="77" w:name="_Toc31577"/>
      <w:bookmarkStart w:id="78" w:name="_Toc7403"/>
      <w:bookmarkStart w:id="79" w:name="_Toc30277"/>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pPr>
        <w:spacing w:line="360" w:lineRule="auto"/>
        <w:ind w:left="263" w:hanging="262" w:hangingChars="125"/>
        <w:rPr>
          <w:rFonts w:hint="eastAsia" w:ascii="宋体" w:hAnsi="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东莞市道滘镇政务服务中心</w:t>
      </w:r>
    </w:p>
    <w:p>
      <w:pPr>
        <w:spacing w:line="360" w:lineRule="auto"/>
        <w:ind w:left="263" w:hanging="262" w:hangingChars="125"/>
        <w:rPr>
          <w:rFonts w:hint="eastAsia" w:ascii="宋体" w:hAnsi="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bCs/>
          <w:color w:val="auto"/>
          <w:szCs w:val="21"/>
          <w:highlight w:val="none"/>
        </w:rPr>
        <w:t>东莞市</w:t>
      </w:r>
      <w:r>
        <w:rPr>
          <w:rFonts w:hint="eastAsia" w:ascii="宋体" w:hAnsi="宋体" w:cs="宋体"/>
          <w:color w:val="auto"/>
          <w:szCs w:val="21"/>
          <w:highlight w:val="none"/>
          <w:lang w:eastAsia="zh-CN"/>
        </w:rPr>
        <w:t>道滘镇</w:t>
      </w:r>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周剑超</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0769-81332131</w:t>
      </w:r>
      <w:r>
        <w:rPr>
          <w:rFonts w:hint="eastAsia" w:ascii="宋体" w:hAnsi="宋体" w:eastAsia="宋体" w:cs="宋体"/>
          <w:color w:val="auto"/>
          <w:sz w:val="21"/>
          <w:szCs w:val="21"/>
          <w:highlight w:val="none"/>
          <w:u w:val="none"/>
        </w:rPr>
        <w:t xml:space="preserve">　　　　　　　　　　　 </w:t>
      </w:r>
      <w:bookmarkStart w:id="80" w:name="_Toc28359086"/>
      <w:bookmarkStart w:id="81" w:name="_Toc28359009"/>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25259"/>
      <w:bookmarkStart w:id="83" w:name="_Toc4580"/>
      <w:bookmarkStart w:id="84" w:name="_Toc10880"/>
      <w:bookmarkStart w:id="85" w:name="_Toc11561"/>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87"/>
      <w:bookmarkStart w:id="87" w:name="_Toc28359010"/>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18257"/>
      <w:bookmarkStart w:id="89" w:name="_Toc15543"/>
      <w:bookmarkStart w:id="90" w:name="_Toc9440"/>
      <w:bookmarkStart w:id="91" w:name="_Toc28659"/>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pPr>
        <w:pStyle w:val="9"/>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9"/>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bookmarkStart w:id="92" w:name="_Toc26573"/>
      <w:r>
        <w:rPr>
          <w:rFonts w:hint="eastAsia"/>
          <w:color w:val="auto"/>
          <w:highlight w:val="none"/>
          <w:lang w:val="en-US" w:eastAsia="zh-CN"/>
        </w:rPr>
        <w:t>供应商须知</w:t>
      </w:r>
      <w:bookmarkEnd w:id="92"/>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497983494"/>
      <w:bookmarkStart w:id="94" w:name="_Toc413402429"/>
      <w:bookmarkStart w:id="95" w:name="_Toc396137231"/>
      <w:bookmarkStart w:id="96" w:name="_Toc30510"/>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财政性</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eastAsia="宋体"/>
              </w:rPr>
            </w:pPr>
            <w:r>
              <w:rPr>
                <w:rFonts w:hint="eastAsia" w:eastAsia="宋体"/>
                <w:lang w:val="en-US" w:eastAsia="zh-CN"/>
              </w:rPr>
              <w:t>响应</w:t>
            </w:r>
            <w:r>
              <w:rPr>
                <w:rFonts w:hint="eastAsia" w:eastAsia="宋体"/>
              </w:rPr>
              <w:t>保证金金额：</w:t>
            </w:r>
            <w:r>
              <w:rPr>
                <w:rFonts w:hint="eastAsia" w:eastAsia="宋体"/>
                <w:lang w:val="en-US" w:eastAsia="zh-CN"/>
              </w:rPr>
              <w:t>/</w:t>
            </w:r>
            <w:r>
              <w:rPr>
                <w:rFonts w:hint="eastAsia" w:eastAsia="宋体"/>
              </w:rPr>
              <w:t>。</w:t>
            </w:r>
          </w:p>
          <w:p>
            <w:pPr>
              <w:autoSpaceDE/>
              <w:autoSpaceDN/>
              <w:adjustRightInd/>
              <w:spacing w:line="360" w:lineRule="auto"/>
              <w:jc w:val="both"/>
              <w:rPr>
                <w:rFonts w:hint="eastAsia" w:eastAsia="宋体"/>
              </w:rPr>
            </w:pPr>
            <w:r>
              <w:rPr>
                <w:rFonts w:hint="eastAsia" w:eastAsia="宋体"/>
                <w:lang w:val="en-US" w:eastAsia="zh-CN"/>
              </w:rPr>
              <w:t>响应</w:t>
            </w:r>
            <w:r>
              <w:rPr>
                <w:rFonts w:hint="eastAsia" w:eastAsia="宋体"/>
              </w:rPr>
              <w:t>保证金账户：</w:t>
            </w:r>
          </w:p>
          <w:p>
            <w:pPr>
              <w:autoSpaceDE/>
              <w:autoSpaceDN/>
              <w:adjustRightInd/>
              <w:spacing w:line="360" w:lineRule="auto"/>
              <w:jc w:val="both"/>
              <w:rPr>
                <w:rFonts w:hint="default" w:eastAsia="宋体"/>
                <w:lang w:val="en-US" w:eastAsia="zh-CN"/>
              </w:rPr>
            </w:pPr>
            <w:r>
              <w:rPr>
                <w:rFonts w:hint="eastAsia" w:eastAsia="宋体"/>
              </w:rPr>
              <w:t>开户名称：</w:t>
            </w:r>
            <w:r>
              <w:rPr>
                <w:rFonts w:hint="eastAsia" w:eastAsia="宋体"/>
                <w:lang w:val="en-US" w:eastAsia="zh-CN"/>
              </w:rPr>
              <w:t>国顺招标有限公司</w:t>
            </w:r>
          </w:p>
          <w:p>
            <w:pPr>
              <w:autoSpaceDE/>
              <w:autoSpaceDN/>
              <w:adjustRightInd/>
              <w:spacing w:line="360" w:lineRule="auto"/>
              <w:jc w:val="both"/>
              <w:rPr>
                <w:rFonts w:hint="eastAsia" w:eastAsia="宋体"/>
              </w:rPr>
            </w:pPr>
            <w:r>
              <w:rPr>
                <w:rFonts w:hint="eastAsia" w:eastAsia="宋体"/>
              </w:rPr>
              <w:t>开户银行：广发银行股份有限公司东莞城区支行</w:t>
            </w:r>
          </w:p>
          <w:p>
            <w:pPr>
              <w:autoSpaceDE/>
              <w:autoSpaceDN/>
              <w:adjustRightInd/>
              <w:spacing w:line="360" w:lineRule="auto"/>
              <w:jc w:val="both"/>
              <w:rPr>
                <w:rFonts w:hint="eastAsia" w:eastAsia="宋体"/>
              </w:rPr>
            </w:pPr>
            <w:r>
              <w:rPr>
                <w:rFonts w:hint="eastAsia" w:eastAsia="宋体"/>
              </w:rPr>
              <w:t>账号：9550880226934600216</w:t>
            </w:r>
          </w:p>
          <w:p>
            <w:pPr>
              <w:autoSpaceDE/>
              <w:autoSpaceDN/>
              <w:adjustRightInd/>
              <w:spacing w:line="360" w:lineRule="auto"/>
              <w:jc w:val="both"/>
              <w:rPr>
                <w:rFonts w:hint="eastAsia"/>
              </w:rPr>
            </w:pPr>
            <w:r>
              <w:rPr>
                <w:rFonts w:hint="eastAsia" w:eastAsia="宋体"/>
                <w:b/>
                <w:bCs/>
              </w:rPr>
              <w:t>（本项目不收取）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rPr>
              <w:t>中国采购与招标网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rPr>
            </w:pPr>
            <w:r>
              <w:rPr>
                <w:rFonts w:hint="eastAsia"/>
              </w:rPr>
              <w:t>履约保证金</w:t>
            </w:r>
          </w:p>
          <w:p>
            <w:pPr>
              <w:pStyle w:val="2"/>
              <w:rPr>
                <w:rFonts w:hint="default" w:eastAsia="宋体"/>
                <w:lang w:val="en-US" w:eastAsia="zh-CN"/>
              </w:rPr>
            </w:pPr>
            <w:r>
              <w:rPr>
                <w:rFonts w:hint="eastAsia" w:eastAsia="宋体" w:asciiTheme="minorAscii" w:hAnsiTheme="minorAscii" w:cstheme="minorBidi"/>
                <w:b/>
                <w:bCs/>
                <w:kern w:val="2"/>
                <w:sz w:val="21"/>
                <w:szCs w:val="24"/>
                <w:lang w:val="en-US" w:eastAsia="zh-CN" w:bidi="ar-SA"/>
              </w:rPr>
              <w:t>（本项目不收取）</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w:t>
            </w:r>
            <w:r>
              <w:rPr>
                <w:rFonts w:hint="eastAsia" w:ascii="宋体" w:hAnsi="宋体" w:eastAsia="宋体" w:cs="宋体"/>
                <w:bCs/>
                <w:color w:val="auto"/>
                <w:sz w:val="21"/>
                <w:szCs w:val="21"/>
                <w:highlight w:val="none"/>
              </w:rPr>
              <w:t>。</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w:t>
            </w:r>
            <w:r>
              <w:rPr>
                <w:rFonts w:hint="eastAsia" w:ascii="宋体" w:hAnsi="宋体" w:cs="宋体"/>
                <w:color w:val="auto"/>
                <w:highlight w:val="none"/>
                <w:lang w:val="en-US" w:eastAsia="zh-CN"/>
              </w:rPr>
              <w:t>下浮20%</w:t>
            </w:r>
            <w:r>
              <w:rPr>
                <w:rFonts w:hint="eastAsia" w:ascii="宋体" w:hAnsi="宋体" w:eastAsia="宋体" w:cs="宋体"/>
                <w:color w:val="auto"/>
                <w:highlight w:val="none"/>
              </w:rPr>
              <w:t>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服务费最低收费标准为伍仟元整。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4"/>
        <w:numPr>
          <w:ilvl w:val="0"/>
          <w:numId w:val="4"/>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pPr>
        <w:pStyle w:val="5"/>
        <w:bidi w:val="0"/>
        <w:rPr>
          <w:color w:val="auto"/>
          <w:highlight w:val="none"/>
          <w:lang w:val="en-US" w:eastAsia="zh-CN"/>
        </w:rPr>
      </w:pPr>
      <w:bookmarkStart w:id="98" w:name="_Toc10658"/>
      <w:bookmarkStart w:id="99" w:name="_Toc30834"/>
      <w:bookmarkStart w:id="100" w:name="_Toc8083"/>
      <w:r>
        <w:rPr>
          <w:rFonts w:hint="eastAsia"/>
          <w:color w:val="auto"/>
          <w:highlight w:val="none"/>
          <w:lang w:val="en-US" w:eastAsia="zh-CN"/>
        </w:rPr>
        <w:t>1.适用范围</w:t>
      </w:r>
      <w:bookmarkEnd w:id="98"/>
      <w:bookmarkEnd w:id="99"/>
      <w:bookmarkEnd w:id="100"/>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1" w:name="_Toc720"/>
      <w:bookmarkStart w:id="102" w:name="_Toc7271"/>
      <w:bookmarkStart w:id="103" w:name="_Toc25237"/>
      <w:r>
        <w:rPr>
          <w:rFonts w:hint="eastAsia" w:eastAsia="宋体"/>
          <w:color w:val="auto"/>
          <w:highlight w:val="none"/>
          <w:lang w:val="en-US" w:eastAsia="zh-CN"/>
        </w:rPr>
        <w:t>2.</w:t>
      </w:r>
      <w:bookmarkStart w:id="104" w:name="_Toc1530"/>
      <w:bookmarkStart w:id="105" w:name="_Toc298847174"/>
      <w:bookmarkStart w:id="106" w:name="_Toc382049092"/>
      <w:bookmarkStart w:id="107" w:name="_Toc303084246"/>
      <w:r>
        <w:rPr>
          <w:rFonts w:hint="eastAsia" w:eastAsia="宋体"/>
          <w:color w:val="auto"/>
          <w:highlight w:val="none"/>
          <w:lang w:val="en-US" w:eastAsia="zh-CN"/>
        </w:rPr>
        <w:t>定义</w:t>
      </w:r>
      <w:bookmarkEnd w:id="101"/>
      <w:bookmarkEnd w:id="102"/>
      <w:bookmarkEnd w:id="103"/>
      <w:bookmarkEnd w:id="104"/>
      <w:bookmarkEnd w:id="105"/>
      <w:bookmarkEnd w:id="106"/>
      <w:bookmarkEnd w:id="10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8" w:name="_Toc9030"/>
      <w:bookmarkStart w:id="109" w:name="_Toc30379"/>
      <w:bookmarkStart w:id="110" w:name="_Toc24019"/>
      <w:r>
        <w:rPr>
          <w:rFonts w:hint="eastAsia" w:eastAsia="宋体"/>
          <w:color w:val="auto"/>
          <w:highlight w:val="none"/>
          <w:lang w:val="en-US" w:eastAsia="zh-CN"/>
        </w:rPr>
        <w:t>3.货物和服务</w:t>
      </w:r>
      <w:bookmarkEnd w:id="108"/>
      <w:bookmarkEnd w:id="109"/>
      <w:bookmarkEnd w:id="11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12" w:name="_Toc18277"/>
      <w:bookmarkStart w:id="113" w:name="_Toc14543"/>
      <w:bookmarkStart w:id="114" w:name="_Toc8119"/>
      <w:r>
        <w:rPr>
          <w:rFonts w:hint="eastAsia" w:eastAsia="宋体"/>
          <w:color w:val="auto"/>
          <w:highlight w:val="none"/>
          <w:lang w:val="en-US" w:eastAsia="zh-CN"/>
        </w:rPr>
        <w:t>4.响应费用</w:t>
      </w:r>
      <w:bookmarkEnd w:id="112"/>
      <w:bookmarkEnd w:id="113"/>
      <w:bookmarkEnd w:id="114"/>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5" w:name="_Toc24793"/>
      <w:bookmarkStart w:id="116" w:name="_Toc25254"/>
      <w:bookmarkStart w:id="117" w:name="_Toc32220"/>
      <w:r>
        <w:rPr>
          <w:rFonts w:hint="eastAsia" w:eastAsia="宋体"/>
          <w:color w:val="auto"/>
          <w:highlight w:val="none"/>
          <w:lang w:val="en-US" w:eastAsia="zh-CN"/>
        </w:rPr>
        <w:t>5.知识产权</w:t>
      </w:r>
      <w:bookmarkEnd w:id="115"/>
      <w:bookmarkEnd w:id="116"/>
      <w:bookmarkEnd w:id="11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8" w:name="_Toc31725"/>
      <w:bookmarkStart w:id="119" w:name="_Toc13064"/>
      <w:bookmarkStart w:id="120" w:name="_Toc30779"/>
      <w:r>
        <w:rPr>
          <w:rFonts w:hint="eastAsia" w:eastAsia="宋体"/>
          <w:color w:val="auto"/>
          <w:highlight w:val="none"/>
          <w:lang w:val="en-US" w:eastAsia="zh-CN"/>
        </w:rPr>
        <w:t>6.关于联合体</w:t>
      </w:r>
      <w:bookmarkEnd w:id="118"/>
      <w:bookmarkEnd w:id="119"/>
      <w:bookmarkEnd w:id="12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21" w:name="_Toc18142"/>
      <w:bookmarkStart w:id="122" w:name="_Toc27755"/>
      <w:bookmarkStart w:id="123" w:name="_Toc23688"/>
      <w:r>
        <w:rPr>
          <w:rFonts w:hint="eastAsia" w:eastAsia="宋体"/>
          <w:color w:val="auto"/>
          <w:highlight w:val="none"/>
          <w:lang w:val="en-US" w:eastAsia="zh-CN"/>
        </w:rPr>
        <w:t>7.关于分支机构响应</w:t>
      </w:r>
      <w:bookmarkEnd w:id="121"/>
      <w:bookmarkEnd w:id="122"/>
      <w:bookmarkEnd w:id="12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5" w:name="_Toc5596"/>
      <w:bookmarkStart w:id="126" w:name="_Toc29774"/>
      <w:bookmarkStart w:id="127" w:name="_Toc19660"/>
      <w:r>
        <w:rPr>
          <w:rFonts w:hint="eastAsia" w:eastAsia="宋体"/>
          <w:color w:val="auto"/>
          <w:highlight w:val="none"/>
          <w:lang w:val="en-US" w:eastAsia="zh-CN"/>
        </w:rPr>
        <w:t>8.磋商文件的组成</w:t>
      </w:r>
      <w:bookmarkEnd w:id="125"/>
      <w:bookmarkEnd w:id="126"/>
      <w:bookmarkEnd w:id="12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8" w:name="_Toc3812"/>
      <w:bookmarkStart w:id="129" w:name="_Toc20046"/>
      <w:bookmarkStart w:id="130" w:name="_Toc28076"/>
      <w:r>
        <w:rPr>
          <w:rFonts w:hint="eastAsia" w:eastAsia="宋体"/>
          <w:color w:val="auto"/>
          <w:highlight w:val="none"/>
          <w:lang w:val="en-US" w:eastAsia="zh-CN"/>
        </w:rPr>
        <w:t>9.磋商文件的澄清或修改</w:t>
      </w:r>
      <w:bookmarkEnd w:id="128"/>
      <w:bookmarkEnd w:id="129"/>
      <w:bookmarkEnd w:id="13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1" w:name="_Toc17507"/>
      <w:bookmarkStart w:id="132" w:name="_Toc5431"/>
      <w:bookmarkStart w:id="133" w:name="_Toc28595"/>
      <w:r>
        <w:rPr>
          <w:rFonts w:hint="eastAsia" w:eastAsia="宋体"/>
          <w:color w:val="auto"/>
          <w:highlight w:val="none"/>
          <w:lang w:val="en-US" w:eastAsia="zh-CN"/>
        </w:rPr>
        <w:t>10.响应文件的语言及度量衡单位</w:t>
      </w:r>
      <w:bookmarkEnd w:id="131"/>
      <w:bookmarkEnd w:id="132"/>
      <w:bookmarkEnd w:id="13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4" w:name="_Toc25080"/>
      <w:bookmarkStart w:id="135" w:name="_Toc17694"/>
      <w:bookmarkStart w:id="136" w:name="_Toc28866"/>
      <w:bookmarkStart w:id="137" w:name="_Toc307934854"/>
      <w:bookmarkStart w:id="138" w:name="_Toc382049103"/>
      <w:bookmarkStart w:id="139" w:name="_Toc303084256"/>
      <w:bookmarkStart w:id="140" w:name="_Toc21308"/>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1" w:name="_Toc26322"/>
      <w:bookmarkStart w:id="142" w:name="_Toc23396"/>
      <w:bookmarkStart w:id="143" w:name="_Toc28835"/>
      <w:r>
        <w:rPr>
          <w:rFonts w:hint="eastAsia" w:eastAsia="宋体"/>
          <w:color w:val="auto"/>
          <w:highlight w:val="none"/>
          <w:lang w:val="en-US" w:eastAsia="zh-CN"/>
        </w:rPr>
        <w:t>12.响应文件编制</w:t>
      </w:r>
      <w:bookmarkEnd w:id="141"/>
      <w:bookmarkEnd w:id="142"/>
      <w:bookmarkEnd w:id="14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5" w:name="_Toc11253"/>
      <w:bookmarkStart w:id="146" w:name="_Toc10449"/>
      <w:bookmarkStart w:id="147" w:name="_Toc29388"/>
      <w:r>
        <w:rPr>
          <w:rFonts w:hint="eastAsia" w:eastAsia="宋体"/>
          <w:color w:val="auto"/>
          <w:highlight w:val="none"/>
          <w:lang w:val="en-US" w:eastAsia="zh-CN"/>
        </w:rPr>
        <w:t>13.响应报价说明</w:t>
      </w:r>
      <w:bookmarkEnd w:id="145"/>
      <w:bookmarkEnd w:id="146"/>
      <w:bookmarkEnd w:id="14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8" w:name="_Toc28006"/>
      <w:bookmarkStart w:id="149" w:name="_Toc18749"/>
      <w:bookmarkStart w:id="150" w:name="_Toc29860"/>
      <w:r>
        <w:rPr>
          <w:rFonts w:hint="eastAsia" w:eastAsia="宋体"/>
          <w:color w:val="auto"/>
          <w:highlight w:val="none"/>
          <w:lang w:val="en-US" w:eastAsia="zh-CN"/>
        </w:rPr>
        <w:t>14.供应商所提供的服务或货物的证明文件</w:t>
      </w:r>
      <w:bookmarkEnd w:id="148"/>
      <w:bookmarkEnd w:id="149"/>
      <w:bookmarkEnd w:id="15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5"/>
        <w:bidi w:val="0"/>
        <w:rPr>
          <w:rFonts w:hint="eastAsia" w:eastAsia="宋体"/>
          <w:color w:val="auto"/>
          <w:highlight w:val="none"/>
          <w:lang w:val="en-US" w:eastAsia="zh-CN"/>
        </w:rPr>
      </w:pPr>
      <w:bookmarkStart w:id="153" w:name="_Toc12457"/>
      <w:bookmarkStart w:id="154" w:name="_Toc4792"/>
      <w:bookmarkStart w:id="155" w:name="_Toc20435"/>
      <w:r>
        <w:rPr>
          <w:rFonts w:hint="eastAsia" w:eastAsia="宋体"/>
          <w:color w:val="auto"/>
          <w:highlight w:val="none"/>
          <w:lang w:val="en-US" w:eastAsia="zh-CN"/>
        </w:rPr>
        <w:t>15.★响应有效期</w:t>
      </w:r>
      <w:bookmarkEnd w:id="153"/>
      <w:bookmarkEnd w:id="154"/>
      <w:bookmarkEnd w:id="15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56" w:name="_Toc20804"/>
      <w:bookmarkStart w:id="157" w:name="_Toc28431"/>
      <w:bookmarkStart w:id="158" w:name="_Toc11339"/>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响应保证金（本项目不收取）</w:t>
      </w:r>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59" w:name="_Ref17961940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9"/>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0" w:name="_Toc5055"/>
      <w:bookmarkStart w:id="161" w:name="_Toc24997"/>
      <w:bookmarkStart w:id="162" w:name="_Toc303084264"/>
      <w:bookmarkStart w:id="163" w:name="_Toc21699"/>
      <w:bookmarkStart w:id="164" w:name="_Toc382049111"/>
      <w:bookmarkStart w:id="165" w:name="_Toc17970"/>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5"/>
        </w:numPr>
        <w:tabs>
          <w:tab w:val="left" w:pos="660"/>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6" w:name="_Toc3249"/>
      <w:bookmarkStart w:id="167" w:name="_Toc14913"/>
      <w:bookmarkStart w:id="168" w:name="_Toc1911"/>
      <w:r>
        <w:rPr>
          <w:rFonts w:hint="eastAsia" w:eastAsia="宋体"/>
          <w:color w:val="auto"/>
          <w:highlight w:val="none"/>
          <w:lang w:val="en-US" w:eastAsia="zh-CN"/>
        </w:rPr>
        <w:t>18.迟交的响应文件</w:t>
      </w:r>
      <w:bookmarkEnd w:id="166"/>
      <w:bookmarkEnd w:id="167"/>
      <w:bookmarkEnd w:id="168"/>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9" w:name="_Toc8387"/>
      <w:bookmarkStart w:id="170" w:name="_Toc22059"/>
      <w:bookmarkStart w:id="171" w:name="_Toc13946"/>
      <w:r>
        <w:rPr>
          <w:rFonts w:hint="eastAsia" w:eastAsia="宋体"/>
          <w:color w:val="auto"/>
          <w:highlight w:val="none"/>
          <w:lang w:val="en-US" w:eastAsia="zh-CN"/>
        </w:rPr>
        <w:t>19.磋商样品、磋商演示（如有要求）</w:t>
      </w:r>
      <w:bookmarkEnd w:id="169"/>
      <w:bookmarkEnd w:id="170"/>
      <w:bookmarkEnd w:id="17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2" w:name="_Toc9777"/>
      <w:bookmarkStart w:id="173" w:name="_Toc303084265"/>
      <w:bookmarkStart w:id="174" w:name="_Toc1364"/>
      <w:bookmarkStart w:id="175" w:name="_Toc382049112"/>
      <w:bookmarkStart w:id="176" w:name="_Toc518"/>
      <w:bookmarkStart w:id="177" w:name="_Toc24777"/>
      <w:r>
        <w:rPr>
          <w:rFonts w:hint="eastAsia" w:eastAsia="宋体"/>
          <w:color w:val="auto"/>
          <w:highlight w:val="none"/>
          <w:lang w:val="en-US" w:eastAsia="zh-CN"/>
        </w:rPr>
        <w:t>20.响应截止期</w:t>
      </w:r>
      <w:bookmarkEnd w:id="172"/>
      <w:bookmarkEnd w:id="173"/>
      <w:bookmarkEnd w:id="174"/>
      <w:bookmarkEnd w:id="175"/>
      <w:bookmarkEnd w:id="176"/>
      <w:bookmarkEnd w:id="17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8" w:name="_Toc14390"/>
      <w:bookmarkStart w:id="179" w:name="_Toc4603"/>
      <w:bookmarkStart w:id="180" w:name="_Toc28776"/>
      <w:r>
        <w:rPr>
          <w:rFonts w:hint="eastAsia" w:eastAsia="宋体"/>
          <w:color w:val="auto"/>
          <w:highlight w:val="none"/>
          <w:lang w:val="en-US" w:eastAsia="zh-CN"/>
        </w:rPr>
        <w:t>21.响应文件的补充、修改与撤回</w:t>
      </w:r>
      <w:bookmarkEnd w:id="178"/>
      <w:bookmarkEnd w:id="179"/>
      <w:bookmarkEnd w:id="18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181" w:name="_Toc11914"/>
      <w:bookmarkStart w:id="182" w:name="_Toc14512"/>
      <w:bookmarkStart w:id="183" w:name="_Toc191"/>
      <w:r>
        <w:rPr>
          <w:rFonts w:hint="eastAsia" w:eastAsia="宋体"/>
          <w:color w:val="auto"/>
          <w:highlight w:val="none"/>
          <w:lang w:val="en-US" w:eastAsia="zh-CN"/>
        </w:rPr>
        <w:t>22.磋商</w:t>
      </w:r>
      <w:bookmarkEnd w:id="181"/>
      <w:bookmarkEnd w:id="182"/>
      <w:bookmarkEnd w:id="18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4" w:name="_Toc19811"/>
      <w:bookmarkStart w:id="185" w:name="_Toc13823"/>
      <w:bookmarkStart w:id="186" w:name="_Toc31198"/>
      <w:r>
        <w:rPr>
          <w:rFonts w:hint="eastAsia" w:eastAsia="宋体"/>
          <w:color w:val="auto"/>
          <w:highlight w:val="none"/>
          <w:lang w:val="en-US" w:eastAsia="zh-CN"/>
        </w:rPr>
        <w:t>23.磋商小组及评审方法</w:t>
      </w:r>
      <w:bookmarkEnd w:id="184"/>
      <w:bookmarkEnd w:id="185"/>
      <w:bookmarkEnd w:id="18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7" w:name="_Toc20823"/>
      <w:bookmarkStart w:id="188" w:name="_Toc3525"/>
      <w:bookmarkStart w:id="189" w:name="_Toc9540"/>
      <w:r>
        <w:rPr>
          <w:rFonts w:hint="eastAsia" w:eastAsia="宋体"/>
          <w:color w:val="auto"/>
          <w:highlight w:val="none"/>
          <w:lang w:val="en-US" w:eastAsia="zh-CN"/>
        </w:rPr>
        <w:t>24.评审原则及评审过程的保密</w:t>
      </w:r>
      <w:bookmarkEnd w:id="187"/>
      <w:bookmarkEnd w:id="188"/>
      <w:bookmarkEnd w:id="18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90" w:name="_Toc18014"/>
      <w:bookmarkStart w:id="191" w:name="_Toc15479"/>
      <w:bookmarkStart w:id="192" w:name="_Toc7072"/>
      <w:r>
        <w:rPr>
          <w:rFonts w:hint="eastAsia" w:eastAsia="宋体"/>
          <w:color w:val="auto"/>
          <w:highlight w:val="none"/>
          <w:lang w:val="en-US" w:eastAsia="zh-CN"/>
        </w:rPr>
        <w:t>25.响应文件的初审</w:t>
      </w:r>
      <w:bookmarkEnd w:id="190"/>
      <w:bookmarkEnd w:id="191"/>
      <w:bookmarkEnd w:id="19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5"/>
        <w:bidi w:val="0"/>
        <w:rPr>
          <w:rFonts w:hint="eastAsia" w:eastAsia="宋体"/>
          <w:color w:val="auto"/>
          <w:highlight w:val="none"/>
          <w:lang w:val="en-US" w:eastAsia="zh-CN"/>
        </w:rPr>
      </w:pPr>
      <w:bookmarkStart w:id="193" w:name="_Toc16157"/>
      <w:bookmarkStart w:id="194" w:name="_Toc4041"/>
      <w:bookmarkStart w:id="195" w:name="_Toc9736"/>
      <w:r>
        <w:rPr>
          <w:rFonts w:hint="eastAsia" w:eastAsia="宋体"/>
          <w:color w:val="auto"/>
          <w:highlight w:val="none"/>
          <w:lang w:val="en-US" w:eastAsia="zh-CN"/>
        </w:rPr>
        <w:t>26.商务、技术、价格评审</w:t>
      </w:r>
      <w:bookmarkEnd w:id="193"/>
      <w:bookmarkEnd w:id="194"/>
      <w:bookmarkEnd w:id="19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8"/>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5"/>
        <w:bidi w:val="0"/>
        <w:rPr>
          <w:rFonts w:hint="eastAsia" w:eastAsia="宋体"/>
          <w:color w:val="auto"/>
          <w:highlight w:val="none"/>
          <w:lang w:val="en-US" w:eastAsia="zh-CN"/>
        </w:rPr>
      </w:pPr>
      <w:bookmarkStart w:id="196" w:name="_Toc316375620"/>
      <w:bookmarkStart w:id="197" w:name="_Toc25030"/>
      <w:bookmarkStart w:id="198" w:name="_Toc30573"/>
      <w:bookmarkStart w:id="199" w:name="_Toc382049120"/>
      <w:bookmarkStart w:id="200" w:name="_Toc20328"/>
      <w:bookmarkStart w:id="201" w:name="_Toc30865"/>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default" w:eastAsia="宋体"/>
          <w:color w:val="auto"/>
          <w:highlight w:val="none"/>
          <w:lang w:val="en-US" w:eastAsia="zh-CN"/>
        </w:rPr>
      </w:pPr>
      <w:bookmarkStart w:id="202" w:name="_Toc508284011"/>
      <w:bookmarkStart w:id="203" w:name="_Toc21560"/>
      <w:bookmarkStart w:id="204" w:name="_Toc27383"/>
      <w:bookmarkStart w:id="205" w:name="_Toc21265"/>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06" w:name="_Toc6459"/>
      <w:bookmarkStart w:id="207" w:name="_Toc508284013"/>
      <w:bookmarkStart w:id="208" w:name="_Toc2468"/>
      <w:bookmarkStart w:id="209" w:name="_Toc24851"/>
      <w:r>
        <w:rPr>
          <w:rFonts w:hint="eastAsia" w:eastAsia="宋体"/>
          <w:color w:val="auto"/>
          <w:highlight w:val="none"/>
          <w:lang w:val="en-US" w:eastAsia="zh-CN"/>
        </w:rPr>
        <w:t>29.发布采购结果</w:t>
      </w:r>
      <w:bookmarkEnd w:id="206"/>
      <w:bookmarkEnd w:id="207"/>
      <w:bookmarkEnd w:id="208"/>
      <w:bookmarkEnd w:id="209"/>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10" w:name="_Toc7001"/>
      <w:bookmarkStart w:id="211" w:name="_Toc1555"/>
      <w:bookmarkStart w:id="212" w:name="_Toc18733"/>
      <w:r>
        <w:rPr>
          <w:rFonts w:hint="eastAsia" w:eastAsia="宋体"/>
          <w:color w:val="auto"/>
          <w:highlight w:val="none"/>
          <w:lang w:val="en-US" w:eastAsia="zh-CN"/>
        </w:rPr>
        <w:t>30.合同的签订与履行</w:t>
      </w:r>
      <w:bookmarkEnd w:id="210"/>
      <w:bookmarkEnd w:id="211"/>
      <w:bookmarkEnd w:id="21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213" w:name="_Toc26547"/>
      <w:bookmarkStart w:id="214" w:name="_Toc9041"/>
      <w:r>
        <w:rPr>
          <w:rFonts w:hint="eastAsia" w:eastAsia="宋体"/>
          <w:color w:val="auto"/>
          <w:highlight w:val="none"/>
          <w:lang w:val="en-US" w:eastAsia="zh-CN"/>
        </w:rPr>
        <w:t>31.履约保证金</w:t>
      </w:r>
      <w:bookmarkEnd w:id="213"/>
      <w:bookmarkEnd w:id="214"/>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pPr>
        <w:bidi w:val="0"/>
        <w:jc w:val="center"/>
        <w:outlineLvl w:val="1"/>
        <w:rPr>
          <w:rFonts w:hint="eastAsia"/>
          <w:b/>
          <w:bCs/>
          <w:color w:val="auto"/>
          <w:sz w:val="28"/>
          <w:szCs w:val="36"/>
          <w:highlight w:val="none"/>
          <w:lang w:eastAsia="zh-CN"/>
        </w:rPr>
      </w:pPr>
      <w:bookmarkStart w:id="216" w:name="_Toc18002"/>
      <w:bookmarkStart w:id="217" w:name="_Toc16006"/>
      <w:bookmarkStart w:id="218" w:name="_Toc7855"/>
      <w:bookmarkStart w:id="219" w:name="_Toc27180"/>
      <w:r>
        <w:rPr>
          <w:rFonts w:hint="eastAsia"/>
          <w:b/>
          <w:bCs/>
          <w:color w:val="auto"/>
          <w:sz w:val="28"/>
          <w:szCs w:val="36"/>
          <w:highlight w:val="none"/>
          <w:lang w:eastAsia="zh-CN"/>
        </w:rPr>
        <w:t>商务要求</w:t>
      </w:r>
      <w:bookmarkEnd w:id="216"/>
      <w:bookmarkEnd w:id="217"/>
      <w:bookmarkEnd w:id="218"/>
      <w:bookmarkEnd w:id="219"/>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6"/>
        <w:gridCol w:w="1077"/>
        <w:gridCol w:w="6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7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76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077" w:type="dxa"/>
            <w:vAlign w:val="center"/>
          </w:tcPr>
          <w:p>
            <w:pPr>
              <w:spacing w:beforeLines="20" w:afterLines="20"/>
              <w:jc w:val="center"/>
              <w:rPr>
                <w:rFonts w:ascii="宋体" w:hAnsi="宋体" w:cs="宋体"/>
                <w:color w:val="auto"/>
                <w:szCs w:val="21"/>
                <w:highlight w:val="none"/>
              </w:rPr>
            </w:pPr>
            <w:r>
              <w:rPr>
                <w:rFonts w:ascii="Times New Roman" w:hAnsi="Times New Roman" w:eastAsia="宋体" w:cs="Times New Roman"/>
                <w:color w:val="auto"/>
                <w:sz w:val="21"/>
                <w:szCs w:val="21"/>
                <w:highlight w:val="none"/>
              </w:rPr>
              <w:t>服务期</w:t>
            </w:r>
          </w:p>
        </w:tc>
        <w:tc>
          <w:tcPr>
            <w:tcW w:w="6769" w:type="dxa"/>
            <w:vAlign w:val="center"/>
          </w:tcPr>
          <w:p>
            <w:pPr>
              <w:widowControl w:val="0"/>
              <w:tabs>
                <w:tab w:val="left" w:pos="360"/>
              </w:tabs>
              <w:adjustRightInd/>
              <w:snapToGrid/>
              <w:spacing w:beforeLines="20" w:afterLines="20" w:line="288" w:lineRule="auto"/>
              <w:ind w:firstLine="420" w:firstLineChars="200"/>
              <w:rPr>
                <w:rFonts w:ascii="宋体" w:hAnsi="宋体" w:cs="宋体"/>
                <w:color w:val="auto"/>
                <w:szCs w:val="21"/>
                <w:highlight w:val="none"/>
              </w:rPr>
            </w:pPr>
            <w:r>
              <w:rPr>
                <w:rFonts w:ascii="Times New Roman" w:hAnsi="Times New Roman" w:eastAsia="宋体" w:cs="Times New Roman"/>
                <w:color w:val="auto"/>
                <w:sz w:val="21"/>
                <w:szCs w:val="21"/>
                <w:highlight w:val="none"/>
              </w:rPr>
              <w:t>本项目服务期为</w:t>
            </w:r>
            <w:r>
              <w:rPr>
                <w:rFonts w:hint="eastAsia" w:ascii="Times New Roman" w:hAnsi="Times New Roman" w:cs="Times New Roman"/>
                <w:color w:val="auto"/>
                <w:sz w:val="21"/>
                <w:szCs w:val="21"/>
                <w:highlight w:val="none"/>
                <w:lang w:val="en-US" w:eastAsia="zh-CN"/>
              </w:rPr>
              <w:t>一</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（具体时间以签订合同时间为准）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077" w:type="dxa"/>
            <w:vAlign w:val="center"/>
          </w:tcPr>
          <w:p>
            <w:pPr>
              <w:spacing w:beforeLines="20" w:afterLines="20"/>
              <w:jc w:val="center"/>
              <w:rPr>
                <w:rFonts w:ascii="宋体" w:hAnsi="宋体" w:cs="宋体"/>
                <w:color w:val="auto"/>
                <w:szCs w:val="21"/>
                <w:highlight w:val="none"/>
              </w:rPr>
            </w:pPr>
            <w:r>
              <w:rPr>
                <w:rFonts w:ascii="Times New Roman" w:hAnsi="Times New Roman" w:eastAsia="宋体" w:cs="Times New Roman"/>
                <w:color w:val="auto"/>
                <w:sz w:val="21"/>
                <w:szCs w:val="21"/>
                <w:highlight w:val="none"/>
              </w:rPr>
              <w:t>服务地点</w:t>
            </w:r>
          </w:p>
        </w:tc>
        <w:tc>
          <w:tcPr>
            <w:tcW w:w="6769" w:type="dxa"/>
            <w:vAlign w:val="center"/>
          </w:tcPr>
          <w:p>
            <w:pPr>
              <w:spacing w:beforeLines="20" w:afterLines="20" w:line="288" w:lineRule="auto"/>
              <w:ind w:firstLine="420" w:firstLineChars="200"/>
              <w:rPr>
                <w:rFonts w:ascii="宋体" w:hAnsi="宋体" w:cs="宋体"/>
                <w:b/>
                <w:color w:val="auto"/>
                <w:szCs w:val="21"/>
                <w:highlight w:val="none"/>
              </w:rPr>
            </w:pPr>
            <w:r>
              <w:rPr>
                <w:rFonts w:ascii="Times New Roman" w:hAnsi="Times New Roman" w:eastAsia="宋体" w:cs="Times New Roman"/>
                <w:color w:val="auto"/>
                <w:sz w:val="21"/>
                <w:szCs w:val="21"/>
                <w:highlight w:val="none"/>
              </w:rPr>
              <w:t>采购人指定的地点。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6"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077" w:type="dxa"/>
            <w:vAlign w:val="center"/>
          </w:tcPr>
          <w:p>
            <w:pPr>
              <w:spacing w:beforeLines="20" w:afterLines="20"/>
              <w:jc w:val="center"/>
              <w:rPr>
                <w:rFonts w:ascii="宋体" w:hAnsi="宋体" w:cs="宋体"/>
                <w:color w:val="auto"/>
                <w:szCs w:val="21"/>
                <w:highlight w:val="none"/>
              </w:rPr>
            </w:pPr>
            <w:r>
              <w:rPr>
                <w:rFonts w:ascii="Times New Roman" w:hAnsi="Times New Roman" w:eastAsia="宋体" w:cs="Times New Roman"/>
                <w:color w:val="auto"/>
                <w:sz w:val="21"/>
                <w:szCs w:val="21"/>
                <w:highlight w:val="none"/>
              </w:rPr>
              <w:t>付款方式</w:t>
            </w:r>
          </w:p>
        </w:tc>
        <w:tc>
          <w:tcPr>
            <w:tcW w:w="6769" w:type="dxa"/>
            <w:vAlign w:val="center"/>
          </w:tcPr>
          <w:p>
            <w:pPr>
              <w:spacing w:beforeLines="20" w:afterLines="20" w:line="288" w:lineRule="auto"/>
              <w:ind w:firstLine="420" w:firstLineChars="2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①具体流程为：中标单位</w:t>
            </w:r>
            <w:r>
              <w:rPr>
                <w:rFonts w:hint="eastAsia" w:ascii="Times New Roman" w:hAnsi="Times New Roman" w:cs="Times New Roman"/>
                <w:color w:val="auto"/>
                <w:sz w:val="21"/>
                <w:szCs w:val="21"/>
                <w:highlight w:val="none"/>
                <w:lang w:val="en-US" w:eastAsia="zh-CN"/>
              </w:rPr>
              <w:t>每月5</w:t>
            </w:r>
            <w:r>
              <w:rPr>
                <w:rFonts w:ascii="Times New Roman" w:hAnsi="Times New Roman" w:eastAsia="宋体" w:cs="Times New Roman"/>
                <w:color w:val="auto"/>
                <w:sz w:val="21"/>
                <w:szCs w:val="21"/>
                <w:highlight w:val="none"/>
              </w:rPr>
              <w:t>日前向采购人提供员工上个月的工资数据（包括考勤、应发工资结构、奖励扣款等），将相关数据资料交采购人核对确认；每月15日前，采购人向中标单位拨付上月应付工资福利费及劳务管理费；中标单位收到款项的3个工作日内办理上月工资发放手续，通过银行向员工发放上月工资。如银行需收取工资发放手续费的，由中标单位承担。</w:t>
            </w:r>
          </w:p>
          <w:p>
            <w:pPr>
              <w:spacing w:beforeLines="20" w:afterLines="20" w:line="288" w:lineRule="auto"/>
              <w:ind w:firstLine="420" w:firstLineChars="200"/>
              <w:rPr>
                <w:rFonts w:ascii="宋体" w:hAnsi="宋体" w:cs="宋体"/>
                <w:color w:val="auto"/>
                <w:szCs w:val="21"/>
                <w:highlight w:val="none"/>
              </w:rPr>
            </w:pPr>
            <w:r>
              <w:rPr>
                <w:rFonts w:ascii="Times New Roman" w:hAnsi="Times New Roman" w:eastAsia="宋体" w:cs="Times New Roman"/>
                <w:color w:val="auto"/>
                <w:sz w:val="21"/>
                <w:szCs w:val="21"/>
                <w:highlight w:val="none"/>
              </w:rPr>
              <w:t>②付款额度以财政当年供给标准</w:t>
            </w:r>
            <w:r>
              <w:rPr>
                <w:rFonts w:hint="eastAsia" w:ascii="Times New Roman" w:hAnsi="Times New Roman" w:eastAsia="宋体" w:cs="Times New Roman"/>
                <w:color w:val="auto"/>
                <w:sz w:val="21"/>
                <w:szCs w:val="21"/>
                <w:highlight w:val="none"/>
              </w:rPr>
              <w:t>和</w:t>
            </w:r>
            <w:r>
              <w:rPr>
                <w:rFonts w:ascii="Times New Roman" w:hAnsi="Times New Roman" w:eastAsia="宋体" w:cs="Times New Roman"/>
                <w:color w:val="auto"/>
                <w:sz w:val="21"/>
                <w:szCs w:val="21"/>
                <w:highlight w:val="none"/>
              </w:rPr>
              <w:t>实际到岗人员数量及学历为依据。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077" w:type="dxa"/>
            <w:vAlign w:val="center"/>
          </w:tcPr>
          <w:p>
            <w:pPr>
              <w:spacing w:beforeLines="20" w:afterLines="20"/>
              <w:jc w:val="center"/>
              <w:rPr>
                <w:rFonts w:ascii="宋体" w:hAnsi="宋体" w:cs="宋体"/>
                <w:color w:val="auto"/>
                <w:szCs w:val="21"/>
                <w:highlight w:val="none"/>
              </w:rPr>
            </w:pPr>
            <w:r>
              <w:rPr>
                <w:rFonts w:ascii="Times New Roman" w:hAnsi="Times New Roman" w:eastAsia="宋体" w:cs="Times New Roman"/>
                <w:color w:val="auto"/>
                <w:sz w:val="21"/>
                <w:szCs w:val="21"/>
                <w:highlight w:val="none"/>
              </w:rPr>
              <w:t>报价内容</w:t>
            </w:r>
          </w:p>
        </w:tc>
        <w:tc>
          <w:tcPr>
            <w:tcW w:w="6769" w:type="dxa"/>
            <w:vAlign w:val="center"/>
          </w:tcPr>
          <w:p>
            <w:pPr>
              <w:widowControl w:val="0"/>
              <w:adjustRightInd/>
              <w:snapToGrid/>
              <w:spacing w:beforeLines="20" w:afterLines="20" w:line="288" w:lineRule="auto"/>
              <w:ind w:firstLine="420" w:firstLineChars="200"/>
              <w:rPr>
                <w:rFonts w:ascii="Times New Roman" w:hAnsi="Times New Roman" w:eastAsia="宋体" w:cs="Times New Roman"/>
                <w:bCs/>
                <w:color w:val="auto"/>
                <w:kern w:val="2"/>
                <w:sz w:val="21"/>
                <w:szCs w:val="21"/>
                <w:highlight w:val="none"/>
              </w:rPr>
            </w:pPr>
            <w:r>
              <w:rPr>
                <w:rFonts w:ascii="Times New Roman" w:hAnsi="Times New Roman" w:eastAsia="宋体" w:cs="Times New Roman"/>
                <w:bCs/>
                <w:color w:val="auto"/>
                <w:kern w:val="2"/>
                <w:sz w:val="21"/>
                <w:szCs w:val="21"/>
                <w:highlight w:val="none"/>
              </w:rPr>
              <w:t>①本项目总预算包含服务人员队伍的招聘，运营服务，现场管理，培训辅导，工资、福利、工会费、</w:t>
            </w:r>
            <w:r>
              <w:rPr>
                <w:rFonts w:hint="eastAsia" w:ascii="Times New Roman" w:hAnsi="Times New Roman" w:eastAsia="宋体" w:cs="Times New Roman"/>
                <w:bCs/>
                <w:color w:val="auto"/>
                <w:kern w:val="2"/>
                <w:sz w:val="21"/>
                <w:szCs w:val="21"/>
                <w:highlight w:val="none"/>
              </w:rPr>
              <w:t>工服</w:t>
            </w:r>
            <w:r>
              <w:rPr>
                <w:rFonts w:ascii="Times New Roman" w:hAnsi="Times New Roman" w:eastAsia="宋体" w:cs="Times New Roman"/>
                <w:bCs/>
                <w:color w:val="auto"/>
                <w:kern w:val="2"/>
                <w:sz w:val="21"/>
                <w:szCs w:val="21"/>
                <w:highlight w:val="none"/>
              </w:rPr>
              <w:t>费、管理费等，在服务期内须为服务人员购买“五险一金”</w:t>
            </w:r>
            <w:r>
              <w:rPr>
                <w:rFonts w:hint="eastAsia" w:ascii="Times New Roman" w:hAnsi="Times New Roman" w:eastAsia="宋体" w:cs="Times New Roman"/>
                <w:bCs/>
                <w:color w:val="auto"/>
                <w:kern w:val="2"/>
                <w:sz w:val="21"/>
                <w:szCs w:val="21"/>
                <w:highlight w:val="none"/>
              </w:rPr>
              <w:t>、意外险、</w:t>
            </w:r>
            <w:r>
              <w:rPr>
                <w:rFonts w:ascii="Times New Roman" w:hAnsi="Times New Roman" w:eastAsia="宋体" w:cs="Times New Roman"/>
                <w:bCs/>
                <w:color w:val="auto"/>
                <w:kern w:val="2"/>
                <w:sz w:val="21"/>
                <w:szCs w:val="21"/>
                <w:highlight w:val="none"/>
              </w:rPr>
              <w:t>失业风险金等相关劳动保障项目，如果因为中标人没有按照规定办理相关手续而产生的有关责任和费用，一律全部由中标</w:t>
            </w:r>
            <w:r>
              <w:rPr>
                <w:rFonts w:hint="eastAsia" w:ascii="Times New Roman" w:hAnsi="Times New Roman" w:eastAsia="宋体" w:cs="Times New Roman"/>
                <w:bCs/>
                <w:color w:val="auto"/>
                <w:kern w:val="2"/>
                <w:sz w:val="21"/>
                <w:szCs w:val="21"/>
                <w:highlight w:val="none"/>
              </w:rPr>
              <w:t>人</w:t>
            </w:r>
            <w:r>
              <w:rPr>
                <w:rFonts w:ascii="Times New Roman" w:hAnsi="Times New Roman" w:eastAsia="宋体" w:cs="Times New Roman"/>
                <w:bCs/>
                <w:color w:val="auto"/>
                <w:kern w:val="2"/>
                <w:sz w:val="21"/>
                <w:szCs w:val="21"/>
                <w:highlight w:val="none"/>
              </w:rPr>
              <w:t>承担。中标后，采购人每个月按实际产生的费用进行支付，并非一次性支付中标价。</w:t>
            </w:r>
          </w:p>
          <w:p>
            <w:pPr>
              <w:widowControl w:val="0"/>
              <w:adjustRightInd/>
              <w:snapToGrid/>
              <w:spacing w:beforeLines="20" w:afterLines="20" w:line="288" w:lineRule="auto"/>
              <w:ind w:firstLine="420" w:firstLineChars="200"/>
              <w:rPr>
                <w:rFonts w:ascii="Times New Roman" w:hAnsi="Times New Roman" w:eastAsia="宋体" w:cs="Times New Roman"/>
                <w:bCs/>
                <w:color w:val="auto"/>
                <w:kern w:val="2"/>
                <w:sz w:val="21"/>
                <w:szCs w:val="21"/>
                <w:highlight w:val="none"/>
              </w:rPr>
            </w:pPr>
            <w:r>
              <w:rPr>
                <w:rFonts w:ascii="Times New Roman" w:hAnsi="Times New Roman" w:eastAsia="宋体" w:cs="Times New Roman"/>
                <w:bCs/>
                <w:color w:val="auto"/>
                <w:kern w:val="2"/>
                <w:sz w:val="21"/>
                <w:szCs w:val="21"/>
                <w:highlight w:val="none"/>
              </w:rPr>
              <w:t>② 投标人必须承诺本次报价为固定</w:t>
            </w:r>
            <w:r>
              <w:rPr>
                <w:rFonts w:hint="eastAsia" w:ascii="Times New Roman" w:hAnsi="Times New Roman" w:eastAsia="宋体" w:cs="Times New Roman"/>
                <w:bCs/>
                <w:color w:val="auto"/>
                <w:kern w:val="2"/>
                <w:sz w:val="21"/>
                <w:szCs w:val="21"/>
                <w:highlight w:val="none"/>
              </w:rPr>
              <w:t>服务</w:t>
            </w:r>
            <w:r>
              <w:rPr>
                <w:rFonts w:ascii="Times New Roman" w:hAnsi="Times New Roman" w:eastAsia="宋体" w:cs="Times New Roman"/>
                <w:bCs/>
                <w:color w:val="auto"/>
                <w:kern w:val="2"/>
                <w:sz w:val="21"/>
                <w:szCs w:val="21"/>
                <w:highlight w:val="none"/>
              </w:rPr>
              <w:t>费，在服务期内产生的费用若超过最终结算价，不另向采购人收费</w:t>
            </w:r>
            <w:r>
              <w:rPr>
                <w:rFonts w:hint="eastAsia" w:ascii="Times New Roman" w:hAnsi="Times New Roman" w:eastAsia="宋体" w:cs="Times New Roman"/>
                <w:bCs/>
                <w:color w:val="auto"/>
                <w:kern w:val="2"/>
                <w:sz w:val="21"/>
                <w:szCs w:val="21"/>
                <w:highlight w:val="none"/>
              </w:rPr>
              <w:t>；</w:t>
            </w:r>
            <w:r>
              <w:rPr>
                <w:rFonts w:ascii="Times New Roman" w:hAnsi="Times New Roman" w:eastAsia="宋体" w:cs="Times New Roman"/>
                <w:bCs/>
                <w:color w:val="auto"/>
                <w:kern w:val="2"/>
                <w:sz w:val="21"/>
                <w:szCs w:val="21"/>
                <w:highlight w:val="none"/>
              </w:rPr>
              <w:t>如果中标人在本项目中提供的服务</w:t>
            </w:r>
            <w:r>
              <w:rPr>
                <w:rFonts w:hint="eastAsia" w:ascii="Times New Roman" w:hAnsi="Times New Roman" w:eastAsia="宋体" w:cs="Times New Roman"/>
                <w:bCs/>
                <w:color w:val="auto"/>
                <w:kern w:val="2"/>
                <w:sz w:val="21"/>
                <w:szCs w:val="21"/>
                <w:highlight w:val="none"/>
              </w:rPr>
              <w:t>人数</w:t>
            </w:r>
            <w:r>
              <w:rPr>
                <w:rFonts w:ascii="Times New Roman" w:hAnsi="Times New Roman" w:eastAsia="宋体" w:cs="Times New Roman"/>
                <w:bCs/>
                <w:color w:val="auto"/>
                <w:kern w:val="2"/>
                <w:sz w:val="21"/>
                <w:szCs w:val="21"/>
                <w:highlight w:val="none"/>
              </w:rPr>
              <w:t>有减少，则采购人需支付的服务费用也相应减少</w:t>
            </w:r>
            <w:r>
              <w:rPr>
                <w:rFonts w:hint="eastAsia" w:ascii="Times New Roman" w:hAnsi="Times New Roman" w:eastAsia="宋体" w:cs="Times New Roman"/>
                <w:bCs/>
                <w:color w:val="auto"/>
                <w:kern w:val="2"/>
                <w:sz w:val="21"/>
                <w:szCs w:val="21"/>
                <w:highlight w:val="none"/>
              </w:rPr>
              <w:t>，服务费根据中标人实际提供的人员服务按月对账，据实结算</w:t>
            </w:r>
            <w:r>
              <w:rPr>
                <w:rFonts w:ascii="Times New Roman" w:hAnsi="Times New Roman" w:eastAsia="宋体" w:cs="Times New Roman"/>
                <w:bCs/>
                <w:color w:val="auto"/>
                <w:kern w:val="2"/>
                <w:sz w:val="21"/>
                <w:szCs w:val="21"/>
                <w:highlight w:val="none"/>
              </w:rPr>
              <w:t>。</w:t>
            </w:r>
          </w:p>
          <w:p>
            <w:pPr>
              <w:widowControl w:val="0"/>
              <w:adjustRightInd/>
              <w:snapToGrid/>
              <w:spacing w:beforeLines="20" w:afterLines="20" w:line="288" w:lineRule="auto"/>
              <w:ind w:firstLine="422" w:firstLineChars="200"/>
              <w:rPr>
                <w:rFonts w:ascii="宋体" w:hAnsi="宋体" w:cs="宋体"/>
                <w:color w:val="auto"/>
                <w:szCs w:val="21"/>
                <w:highlight w:val="none"/>
              </w:rPr>
            </w:pPr>
            <w:r>
              <w:rPr>
                <w:rFonts w:hint="eastAsia" w:ascii="Times New Roman" w:hAnsi="Times New Roman" w:eastAsia="宋体" w:cs="Times New Roman"/>
                <w:b/>
                <w:color w:val="auto"/>
                <w:kern w:val="2"/>
                <w:sz w:val="21"/>
                <w:szCs w:val="21"/>
                <w:highlight w:val="none"/>
              </w:rPr>
              <w:t>③</w:t>
            </w:r>
            <w:r>
              <w:rPr>
                <w:rFonts w:ascii="Times New Roman" w:hAnsi="Times New Roman" w:eastAsia="宋体" w:cs="Times New Roman"/>
                <w:b/>
                <w:color w:val="auto"/>
                <w:kern w:val="2"/>
                <w:sz w:val="21"/>
                <w:szCs w:val="21"/>
                <w:highlight w:val="none"/>
              </w:rPr>
              <w:t>本项目最终结算价原则上不得超过财政批复的总预算¥</w:t>
            </w:r>
            <w:r>
              <w:rPr>
                <w:rFonts w:hint="eastAsia" w:ascii="Times New Roman" w:hAnsi="Times New Roman" w:eastAsia="宋体" w:cs="Times New Roman"/>
                <w:b/>
                <w:color w:val="auto"/>
                <w:kern w:val="2"/>
                <w:sz w:val="21"/>
                <w:szCs w:val="21"/>
                <w:highlight w:val="none"/>
                <w:lang w:val="en-US" w:eastAsia="zh-CN"/>
              </w:rPr>
              <w:t>84</w:t>
            </w:r>
            <w:r>
              <w:rPr>
                <w:rFonts w:ascii="Times New Roman" w:hAnsi="Times New Roman" w:eastAsia="宋体" w:cs="Times New Roman"/>
                <w:b/>
                <w:color w:val="auto"/>
                <w:kern w:val="2"/>
                <w:sz w:val="21"/>
                <w:szCs w:val="21"/>
                <w:highlight w:val="none"/>
              </w:rPr>
              <w:t>0,000.00元</w:t>
            </w:r>
            <w:r>
              <w:rPr>
                <w:rFonts w:ascii="Times New Roman" w:hAnsi="Times New Roman" w:eastAsia="宋体" w:cs="Times New Roman"/>
                <w:bCs/>
                <w:color w:val="auto"/>
                <w:kern w:val="2"/>
                <w:sz w:val="21"/>
                <w:szCs w:val="21"/>
                <w:highlight w:val="none"/>
              </w:rPr>
              <w:t>，若财政当年调整人均供给标准，采购人可据实际情况，在遵守相关法律法规的前提下，与中标单位签订补充合同，重新核定人员工资构成。总预算应包含完成本次招标所有服务内容的费用，包含服务人员工资、服务管理费、常规招聘服务费、残疾人就业保障金、培训、项目管理费、风险管理费、其他管理费用和各种税务费及合同实施过程中的应预见和不可预见费用等完成合同规定责任和义务、达到合同目的的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4" w:hRule="atLeast"/>
          <w:jc w:val="center"/>
        </w:trPr>
        <w:tc>
          <w:tcPr>
            <w:tcW w:w="67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077" w:type="dxa"/>
            <w:vAlign w:val="center"/>
          </w:tcPr>
          <w:p>
            <w:pPr>
              <w:spacing w:beforeLines="20" w:afterLines="20"/>
              <w:jc w:val="center"/>
              <w:rPr>
                <w:rFonts w:ascii="宋体" w:hAnsi="宋体" w:cs="宋体"/>
                <w:color w:val="auto"/>
                <w:szCs w:val="21"/>
                <w:highlight w:val="none"/>
              </w:rPr>
            </w:pPr>
            <w:r>
              <w:rPr>
                <w:rFonts w:ascii="Times New Roman" w:hAnsi="Times New Roman" w:eastAsia="宋体" w:cs="Times New Roman"/>
                <w:color w:val="auto"/>
                <w:sz w:val="21"/>
                <w:szCs w:val="21"/>
                <w:highlight w:val="none"/>
              </w:rPr>
              <w:t>合同条款</w:t>
            </w:r>
          </w:p>
        </w:tc>
        <w:tc>
          <w:tcPr>
            <w:tcW w:w="6769" w:type="dxa"/>
            <w:vAlign w:val="center"/>
          </w:tcPr>
          <w:p>
            <w:pPr>
              <w:spacing w:beforeLines="20" w:afterLines="20" w:line="288" w:lineRule="auto"/>
              <w:ind w:firstLine="420" w:firstLineChars="200"/>
              <w:rPr>
                <w:rFonts w:ascii="宋体" w:hAnsi="宋体" w:cs="宋体"/>
                <w:bCs/>
                <w:color w:val="auto"/>
                <w:szCs w:val="21"/>
                <w:highlight w:val="none"/>
              </w:rPr>
            </w:pPr>
            <w:r>
              <w:rPr>
                <w:rFonts w:ascii="Times New Roman" w:hAnsi="Times New Roman" w:eastAsia="宋体" w:cs="Times New Roman"/>
                <w:color w:val="auto"/>
                <w:sz w:val="21"/>
                <w:szCs w:val="21"/>
                <w:highlight w:val="none"/>
              </w:rPr>
              <w:t>投标人实质响应合同条款。</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220" w:name="_Toc4572"/>
      <w:bookmarkStart w:id="221" w:name="_Toc4445"/>
      <w:bookmarkStart w:id="222" w:name="_Toc3714"/>
      <w:bookmarkStart w:id="223" w:name="_Toc16983"/>
      <w:r>
        <w:rPr>
          <w:rFonts w:hint="eastAsia" w:eastAsia="宋体"/>
          <w:b/>
          <w:bCs/>
          <w:color w:val="auto"/>
          <w:sz w:val="28"/>
          <w:szCs w:val="36"/>
          <w:highlight w:val="none"/>
          <w:lang w:eastAsia="zh-CN"/>
        </w:rPr>
        <w:t>技术要求</w:t>
      </w:r>
      <w:bookmarkEnd w:id="220"/>
      <w:bookmarkEnd w:id="221"/>
      <w:bookmarkEnd w:id="222"/>
      <w:bookmarkEnd w:id="223"/>
    </w:p>
    <w:p>
      <w:pPr>
        <w:numPr>
          <w:ilvl w:val="0"/>
          <w:numId w:val="11"/>
        </w:numPr>
        <w:spacing w:beforeLines="50" w:afterLines="50" w:line="400" w:lineRule="exact"/>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、服务要求及</w:t>
      </w:r>
      <w:r>
        <w:rPr>
          <w:rFonts w:hint="eastAsia" w:ascii="宋体" w:hAnsi="宋体" w:eastAsia="宋体" w:cs="宋体"/>
          <w:b/>
          <w:bCs/>
          <w:color w:val="auto"/>
          <w:kern w:val="2"/>
          <w:sz w:val="21"/>
          <w:szCs w:val="21"/>
          <w:highlight w:val="none"/>
        </w:rPr>
        <w:t xml:space="preserve">内容 </w:t>
      </w:r>
      <w:r>
        <w:rPr>
          <w:rFonts w:ascii="宋体" w:hAnsi="宋体" w:eastAsia="宋体" w:cs="宋体"/>
          <w:b/>
          <w:bCs/>
          <w:color w:val="auto"/>
          <w:kern w:val="2"/>
          <w:sz w:val="21"/>
          <w:szCs w:val="21"/>
          <w:highlight w:val="none"/>
        </w:rPr>
        <w:t xml:space="preserve"> </w:t>
      </w:r>
    </w:p>
    <w:p>
      <w:pPr>
        <w:numPr>
          <w:ilvl w:val="0"/>
          <w:numId w:val="12"/>
        </w:numPr>
        <w:tabs>
          <w:tab w:val="left" w:pos="420"/>
          <w:tab w:val="left" w:pos="630"/>
        </w:tabs>
        <w:spacing w:line="40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基本服务要求</w:t>
      </w:r>
    </w:p>
    <w:p>
      <w:pPr>
        <w:tabs>
          <w:tab w:val="left" w:pos="420"/>
        </w:tabs>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1、根据采购人需求为服务人员提供服务；中标人及服务人员必须遵守采购人相关管理规定。</w:t>
      </w:r>
    </w:p>
    <w:p>
      <w:pPr>
        <w:widowControl w:val="0"/>
        <w:tabs>
          <w:tab w:val="left" w:pos="420"/>
          <w:tab w:val="left" w:pos="630"/>
        </w:tabs>
        <w:adjustRightInd/>
        <w:spacing w:after="0" w:line="360" w:lineRule="auto"/>
        <w:ind w:firstLine="420" w:firstLineChars="20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中标人负责服务人员劳动人事关系管理职能工作，其中包括办理服务人员入职手续、人事档案管理、接收党组织关系和工会关系、职称评定、从业资格认定、缴交社会保险、劳资纠纷和工伤意外处理、服务人员请休假安排等人事管理工作，服务期内发生劳资纠纷由中标人负责处理。</w:t>
      </w:r>
    </w:p>
    <w:p>
      <w:pPr>
        <w:widowControl w:val="0"/>
        <w:tabs>
          <w:tab w:val="left" w:pos="420"/>
          <w:tab w:val="left" w:pos="636"/>
        </w:tabs>
        <w:adjustRightInd/>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3、中标人对项目的管理方案、组织架构、人员录用等建立的各项规章制度，在实施前应与采购人协商，符合采购人工作管理制度后方可实施。</w:t>
      </w:r>
    </w:p>
    <w:p>
      <w:pPr>
        <w:tabs>
          <w:tab w:val="left" w:pos="420"/>
          <w:tab w:val="left" w:pos="636"/>
        </w:tabs>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4、中标人须为服务人员购买社会保险、</w:t>
      </w:r>
      <w:r>
        <w:rPr>
          <w:rFonts w:hint="eastAsia" w:ascii="宋体" w:hAnsi="宋体" w:cs="宋体"/>
          <w:bCs/>
          <w:color w:val="auto"/>
          <w:sz w:val="21"/>
          <w:szCs w:val="21"/>
          <w:highlight w:val="none"/>
          <w:lang w:val="en-US" w:eastAsia="zh-CN"/>
        </w:rPr>
        <w:t>公积金、</w:t>
      </w:r>
      <w:r>
        <w:rPr>
          <w:rFonts w:hint="eastAsia" w:ascii="宋体" w:hAnsi="宋体" w:eastAsia="宋体" w:cs="宋体"/>
          <w:bCs/>
          <w:color w:val="auto"/>
          <w:sz w:val="21"/>
          <w:szCs w:val="21"/>
          <w:highlight w:val="none"/>
        </w:rPr>
        <w:t>保证按采购人要求进行</w:t>
      </w:r>
      <w:r>
        <w:rPr>
          <w:rFonts w:ascii="宋体" w:hAnsi="宋体" w:eastAsia="宋体" w:cs="仿宋_GB2312"/>
          <w:color w:val="auto"/>
          <w:sz w:val="21"/>
          <w:szCs w:val="21"/>
          <w:highlight w:val="none"/>
        </w:rPr>
        <w:t>工资发放</w:t>
      </w:r>
      <w:r>
        <w:rPr>
          <w:rFonts w:hint="eastAsia" w:ascii="宋体" w:hAnsi="宋体" w:eastAsia="宋体" w:cs="宋体"/>
          <w:bCs/>
          <w:color w:val="auto"/>
          <w:sz w:val="21"/>
          <w:szCs w:val="21"/>
          <w:highlight w:val="none"/>
        </w:rPr>
        <w:t>。</w:t>
      </w:r>
    </w:p>
    <w:p>
      <w:pPr>
        <w:tabs>
          <w:tab w:val="left" w:pos="420"/>
          <w:tab w:val="left" w:pos="636"/>
        </w:tabs>
        <w:spacing w:line="40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（二）主要服务内容（包括但不限于）</w:t>
      </w:r>
    </w:p>
    <w:p>
      <w:pPr>
        <w:numPr>
          <w:ilvl w:val="6"/>
          <w:numId w:val="13"/>
        </w:numPr>
        <w:tabs>
          <w:tab w:val="left" w:pos="420"/>
          <w:tab w:val="left" w:pos="636"/>
        </w:tabs>
        <w:spacing w:beforeLines="30" w:afterLines="30" w:line="400" w:lineRule="exact"/>
        <w:ind w:left="2943" w:hanging="2943"/>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中标人按采购人具体要求跟进相应服务人员完成采购单位日常工作；</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仿宋_GB2312"/>
          <w:color w:val="auto"/>
          <w:sz w:val="21"/>
          <w:szCs w:val="21"/>
          <w:highlight w:val="none"/>
        </w:rPr>
        <w:t>1）中</w:t>
      </w:r>
      <w:r>
        <w:rPr>
          <w:rFonts w:hint="eastAsia" w:ascii="宋体" w:hAnsi="宋体" w:eastAsia="宋体" w:cs="宋体"/>
          <w:bCs/>
          <w:color w:val="auto"/>
          <w:sz w:val="21"/>
          <w:szCs w:val="21"/>
          <w:highlight w:val="none"/>
        </w:rPr>
        <w:t>标人应协助采购人招聘服务员工；负责员工日常入离职、录用、辞退、辞职手续办理、工资、社保、</w:t>
      </w:r>
      <w:r>
        <w:rPr>
          <w:rFonts w:hint="eastAsia" w:ascii="宋体" w:hAnsi="宋体" w:cs="宋体"/>
          <w:bCs/>
          <w:color w:val="auto"/>
          <w:sz w:val="21"/>
          <w:szCs w:val="21"/>
          <w:highlight w:val="none"/>
          <w:lang w:val="en-US" w:eastAsia="zh-CN"/>
        </w:rPr>
        <w:t>公积金、</w:t>
      </w:r>
      <w:r>
        <w:rPr>
          <w:rFonts w:hint="eastAsia" w:ascii="宋体" w:hAnsi="宋体" w:eastAsia="宋体" w:cs="宋体"/>
          <w:bCs/>
          <w:color w:val="auto"/>
          <w:sz w:val="21"/>
          <w:szCs w:val="21"/>
          <w:highlight w:val="none"/>
        </w:rPr>
        <w:t>意外险、日常管理等；建立人事信息档案；对新招录的服务员工，应在规定时间内办齐所有用工手续，并提供包括但不限于服务员工的档案表、花名册、身份证、学历（学位）证书及验证报告复印件等供采购人或用工单位备案；负责服务员工的档案、计生、户口管理及专业技术人员的职称申报、评定等。</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2）中标人负责所有服务人员的人事、劳资、社会保险、</w:t>
      </w:r>
      <w:r>
        <w:rPr>
          <w:rFonts w:hint="eastAsia" w:ascii="宋体" w:hAnsi="宋体" w:cs="宋体"/>
          <w:bCs/>
          <w:color w:val="auto"/>
          <w:sz w:val="21"/>
          <w:szCs w:val="21"/>
          <w:highlight w:val="none"/>
          <w:lang w:val="en-US" w:eastAsia="zh-CN"/>
        </w:rPr>
        <w:t>公积金、</w:t>
      </w:r>
      <w:r>
        <w:rPr>
          <w:rFonts w:hint="eastAsia" w:ascii="宋体" w:hAnsi="宋体" w:eastAsia="宋体" w:cs="宋体"/>
          <w:bCs/>
          <w:color w:val="auto"/>
          <w:sz w:val="21"/>
          <w:szCs w:val="21"/>
          <w:highlight w:val="none"/>
        </w:rPr>
        <w:t>计生、基础培训等人事劳资管理工作，并提供为服务人员办理劳动用工手续（签订劳动合同等）、结算发放工资、发放经济补偿金、缴纳社会保险、处理保险理赔、管理人事档案、提供员工培训等方面的管理服务。中标人有义务及时向采购人提供服务人员的有关个人资料，采购人承诺不随意对外泄露。</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3）中标人须依法为服务员工办理五险</w:t>
      </w:r>
      <w:r>
        <w:rPr>
          <w:rFonts w:hint="eastAsia" w:ascii="宋体" w:hAnsi="宋体" w:cs="宋体"/>
          <w:bCs/>
          <w:color w:val="auto"/>
          <w:sz w:val="21"/>
          <w:szCs w:val="21"/>
          <w:highlight w:val="none"/>
          <w:lang w:val="en-US" w:eastAsia="zh-CN"/>
        </w:rPr>
        <w:t>一金</w:t>
      </w:r>
      <w:r>
        <w:rPr>
          <w:rFonts w:hint="eastAsia" w:ascii="宋体" w:hAnsi="宋体" w:eastAsia="宋体" w:cs="宋体"/>
          <w:bCs/>
          <w:color w:val="auto"/>
          <w:sz w:val="21"/>
          <w:szCs w:val="21"/>
          <w:highlight w:val="none"/>
        </w:rPr>
        <w:t>，为服务员工购买医疗、工伤、养老、失业、生育保险等法律法规规定的各项待遇；如发生工伤、重大疾病、非因公死亡等事故，中标人须依照法律法规规定进行调查处理。</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4）中标人必须切实有效落实管理制度，中标人根据采购人要求跟进服务人员，服务人员按照采购人单位规章制度和相关岗位职责开展工作。 </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5）中标人应经常性对服务人员进行职业道德教育，监督检察服务人员执行采购单位规章制度的情况，协助采购人对违规违法员工进行处理，维护采购人正常的经营秩序。</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6）中标人须按时发放服务员工的工资、福利，并依法办理社保、意外险和个人所得税的代缴代扣等事宜。</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7）中标人负责处理与服务员工相关的各种劳资纠纷，处理相关的劳动仲裁、诉讼等事宜。</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中标人应对服务员工进行培训，包括但不限于上岗前培训、在岗培训等；须根据采购人或用工单位的要求，教育服务员工严格遵守用工单位的规章管理制度，严格遵守劳动纪律，服从用工单位作出的合理工作安排和调度。</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9）中标人应协助用工单位对服务员工进行绩效考核，对考核不达标的服务员工，中标人应根据采购人或用工单位的决定及时进行处理。</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10）中标人及其服务员工在服务期间应严格遵守国家现行的法律法规，包括但不限于《劳动法》、《劳动合同法》等。</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11）中标人应确实做好资金管理，确保资金安全；须对本项目涉及的所有费用开具增值税普通发票。</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12）中标人应及时掌握国家、省、市有关劳动标准、劳动条件、工资福利、社会保险等方面的最新政策动态，并及时告知采购人或用工单位，积极配合采购人或用工单位对新政策规定的组织实施。</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13）中标人应对采购人委托的各项目的内容予以严格保密。接受派单业务前必须按照国家相关保密规定和采购方签订《保密协议》，对违反《保密协议》相关内容规定的，采购方有权追究其法律责任。</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14）中标人应服从采购人的统筹安排，并严格按照采购人的要求保质保量地提供相应服务。</w:t>
      </w:r>
    </w:p>
    <w:p>
      <w:pPr>
        <w:numPr>
          <w:ilvl w:val="6"/>
          <w:numId w:val="13"/>
        </w:numPr>
        <w:tabs>
          <w:tab w:val="left" w:pos="426"/>
          <w:tab w:val="left" w:pos="636"/>
        </w:tabs>
        <w:spacing w:beforeLines="30" w:afterLines="30" w:line="400" w:lineRule="exact"/>
        <w:ind w:left="2943" w:hanging="2943"/>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人员要求</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1、需提供规范的综合服务团队人员；</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2、具备市级、镇级大厅提供综合服务团队的成功经验的优先录取；</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3、中标人的服务人员应符合采购人的用人要求，无违法犯罪或违反计划生育记录，并具有相应岗位所要求的工作能力和素质要求。</w:t>
      </w:r>
    </w:p>
    <w:p>
      <w:pPr>
        <w:tabs>
          <w:tab w:val="left" w:pos="420"/>
        </w:tabs>
        <w:spacing w:after="0" w:line="360" w:lineRule="auto"/>
        <w:ind w:firstLine="420" w:firstLineChars="200"/>
        <w:rPr>
          <w:rFonts w:ascii="宋体" w:hAnsi="宋体" w:eastAsia="宋体" w:cs="宋体"/>
          <w:bCs/>
          <w:color w:val="auto"/>
          <w:sz w:val="21"/>
          <w:szCs w:val="21"/>
          <w:highlight w:val="none"/>
        </w:rPr>
      </w:pPr>
    </w:p>
    <w:p>
      <w:pPr>
        <w:numPr>
          <w:ilvl w:val="6"/>
          <w:numId w:val="13"/>
        </w:numPr>
        <w:tabs>
          <w:tab w:val="left" w:pos="426"/>
          <w:tab w:val="left" w:pos="636"/>
        </w:tabs>
        <w:spacing w:beforeLines="30" w:afterLines="30" w:line="400" w:lineRule="exact"/>
        <w:ind w:left="2943" w:hanging="2943"/>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工作时间</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全体服务人员工作时间由采购人根据国家有关规定及实际工作需要具体安排。</w:t>
      </w:r>
    </w:p>
    <w:p>
      <w:pPr>
        <w:numPr>
          <w:ilvl w:val="6"/>
          <w:numId w:val="13"/>
        </w:numPr>
        <w:tabs>
          <w:tab w:val="left" w:pos="426"/>
          <w:tab w:val="left" w:pos="636"/>
        </w:tabs>
        <w:spacing w:beforeLines="30" w:afterLines="30" w:line="400" w:lineRule="exact"/>
        <w:ind w:left="2943" w:hanging="2943"/>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用工要求</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1）采购人根据业务需要和岗位设置情况，以书面形式通知中标人用工需求；</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）根据实际工作需要，对岗位提供服务；</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）中标人收集相关证件并建立员工档案，备份采购单位；</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）中标人通知拟录用人员入职，并办理相关的入职手续，签订劳动合同等；</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rPr>
        <w:t>）采购人有权要求调换不适合岗位要求的服务人员，非因采购人提出更换服务人员要求，中标人不得随意调换服务人员，调换须与采购人协商。</w:t>
      </w:r>
    </w:p>
    <w:p>
      <w:pPr>
        <w:tabs>
          <w:tab w:val="left" w:pos="420"/>
          <w:tab w:val="left" w:pos="636"/>
        </w:tabs>
        <w:spacing w:beforeLines="50" w:line="40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三、服务人员的管理</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应教育服务人员遵守国家法律法规以及采购单位的规章制度、管理规范和劳动纪律，服从和执行采购人的工作安排和调度，接受采购人管理人员的检查监督，中标人必须建立完善的培训制度，包括岗前培训、日常技能培训、配合采购人业务培训等；</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由于采购人单位性质原因，要求服务人员必须严守秘密，不能泄露与工作有关的任何信息。中标人应教育服务人员不得以任何形式向他人提供或泄露采购单位的涉密信息；服务人员及中标人应按规定与采购人签订保密协议。</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3、中标人负责考勤管理、绩效考核及工作期间的日常管理等事项，采购人可协助考勤工作；</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、服务人员不服从采购人日常工作管理以及违反采购人的劳动纪律的，采购人有权依据有关管理规定通知中标人进行相应的处理，考核不合格者，依据采购人及中标人相关制度处理。</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5、中标人全权负责服务人员的用工管理、劳务纠纷处理与社保</w:t>
      </w:r>
      <w:r>
        <w:rPr>
          <w:rFonts w:hint="eastAsia" w:ascii="宋体" w:hAnsi="宋体" w:cs="宋体"/>
          <w:bCs/>
          <w:color w:val="auto"/>
          <w:sz w:val="21"/>
          <w:szCs w:val="21"/>
          <w:highlight w:val="none"/>
          <w:lang w:val="en-US" w:eastAsia="zh-CN"/>
        </w:rPr>
        <w:t>及公积金</w:t>
      </w:r>
      <w:r>
        <w:rPr>
          <w:rFonts w:hint="eastAsia" w:ascii="宋体" w:hAnsi="宋体" w:eastAsia="宋体" w:cs="宋体"/>
          <w:bCs/>
          <w:color w:val="auto"/>
          <w:sz w:val="21"/>
          <w:szCs w:val="21"/>
          <w:highlight w:val="none"/>
        </w:rPr>
        <w:t>办理、退休办理以及涉及劳动关系的所有事宜，与服务人员签订劳动合同并将劳动合同提供采购单位备案。</w:t>
      </w:r>
    </w:p>
    <w:p>
      <w:pPr>
        <w:tabs>
          <w:tab w:val="left" w:pos="420"/>
          <w:tab w:val="left" w:pos="636"/>
        </w:tabs>
        <w:spacing w:line="40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四、其他要求</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1、如因中标人引起的劳资纠纷问题，影响正常工作的，采购人有权另行聘请人员确保正常工作，所产生的费用由中标人承担。</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服务期内，必要时采购人可对中标人的工作质量、履约情况、社保购买情况、工作配合度等进行综合考核，考核内容和标准由采购人另行制订，并作为签订合同的附件一并履行，该附件和合同具有同等法律效力。</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、服务期内，若上述要求有调整或者采购人提出其它要求，采购人可与中标人协商行。</w:t>
      </w:r>
    </w:p>
    <w:p>
      <w:pPr>
        <w:widowControl w:val="0"/>
        <w:adjustRightInd/>
        <w:snapToGrid/>
        <w:spacing w:beforeLines="50" w:after="0" w:line="400" w:lineRule="exact"/>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五、用工方式、岗位设置及人员要求</w:t>
      </w:r>
    </w:p>
    <w:p>
      <w:pPr>
        <w:numPr>
          <w:ilvl w:val="0"/>
          <w:numId w:val="14"/>
        </w:numPr>
        <w:spacing w:line="400" w:lineRule="exact"/>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用工方式</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中标人与服务人员签订劳动合同。按照采购人拟定的岗位条件要求，中标人统一安排符合要求的人员到用工方工作。服务人员档案、“五险</w:t>
      </w:r>
      <w:r>
        <w:rPr>
          <w:rFonts w:hint="eastAsia" w:ascii="宋体" w:hAnsi="宋体" w:cs="宋体"/>
          <w:bCs/>
          <w:color w:val="auto"/>
          <w:sz w:val="21"/>
          <w:szCs w:val="21"/>
          <w:highlight w:val="none"/>
          <w:lang w:val="en-US" w:eastAsia="zh-CN"/>
        </w:rPr>
        <w:t>一金</w:t>
      </w:r>
      <w:r>
        <w:rPr>
          <w:rFonts w:hint="eastAsia" w:ascii="宋体" w:hAnsi="宋体" w:eastAsia="宋体" w:cs="宋体"/>
          <w:bCs/>
          <w:color w:val="auto"/>
          <w:sz w:val="21"/>
          <w:szCs w:val="21"/>
          <w:highlight w:val="none"/>
        </w:rPr>
        <w:t>”、意外险、工资等均由中标人负责管理、发放。</w:t>
      </w:r>
    </w:p>
    <w:p>
      <w:pPr>
        <w:numPr>
          <w:ilvl w:val="0"/>
          <w:numId w:val="14"/>
        </w:numPr>
        <w:spacing w:line="360" w:lineRule="auto"/>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计划岗位及数量</w:t>
      </w:r>
    </w:p>
    <w:tbl>
      <w:tblPr>
        <w:tblStyle w:val="1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90"/>
        <w:gridCol w:w="4381"/>
        <w:gridCol w:w="20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7" w:type="pct"/>
            <w:tcBorders>
              <w:bottom w:val="double" w:color="auto" w:sz="4" w:space="0"/>
            </w:tcBorders>
            <w:shd w:val="clear" w:color="auto" w:fill="EEECE1"/>
            <w:vAlign w:val="center"/>
          </w:tcPr>
          <w:p>
            <w:pPr>
              <w:spacing w:beforeLines="20" w:afterLines="20"/>
              <w:ind w:left="-97" w:leftChars="-46" w:right="-76" w:rightChars="-36"/>
              <w:jc w:val="center"/>
              <w:rPr>
                <w:rFonts w:hint="eastAsia" w:ascii="宋体" w:hAnsi="宋体" w:eastAsia="宋体" w:cs="宋体"/>
                <w:b/>
                <w:color w:val="auto"/>
                <w:sz w:val="21"/>
                <w:szCs w:val="21"/>
                <w:highlight w:val="none"/>
              </w:rPr>
            </w:pPr>
            <w:r>
              <w:rPr>
                <w:rStyle w:val="18"/>
                <w:rFonts w:hint="eastAsia" w:ascii="宋体" w:hAnsi="宋体" w:eastAsia="宋体" w:cs="宋体"/>
                <w:color w:val="auto"/>
                <w:spacing w:val="15"/>
                <w:sz w:val="21"/>
                <w:szCs w:val="21"/>
                <w:highlight w:val="none"/>
              </w:rPr>
              <w:t>岗位名称</w:t>
            </w:r>
          </w:p>
        </w:tc>
        <w:tc>
          <w:tcPr>
            <w:tcW w:w="522" w:type="pct"/>
            <w:tcBorders>
              <w:bottom w:val="double" w:color="auto" w:sz="4" w:space="0"/>
            </w:tcBorders>
            <w:shd w:val="clear" w:color="auto" w:fill="EEECE1"/>
            <w:vAlign w:val="center"/>
          </w:tcPr>
          <w:p>
            <w:pPr>
              <w:spacing w:beforeLines="20" w:afterLines="20"/>
              <w:ind w:left="-97" w:leftChars="-46" w:right="-76" w:rightChars="-36"/>
              <w:jc w:val="center"/>
              <w:rPr>
                <w:rFonts w:hint="eastAsia" w:ascii="宋体" w:hAnsi="宋体" w:eastAsia="宋体" w:cs="宋体"/>
                <w:b/>
                <w:color w:val="auto"/>
                <w:sz w:val="21"/>
                <w:szCs w:val="21"/>
                <w:highlight w:val="none"/>
              </w:rPr>
            </w:pPr>
            <w:r>
              <w:rPr>
                <w:rStyle w:val="18"/>
                <w:rFonts w:hint="eastAsia" w:ascii="宋体" w:hAnsi="宋体" w:eastAsia="宋体" w:cs="宋体"/>
                <w:color w:val="auto"/>
                <w:spacing w:val="15"/>
                <w:sz w:val="21"/>
                <w:szCs w:val="21"/>
                <w:highlight w:val="none"/>
              </w:rPr>
              <w:t>人数</w:t>
            </w:r>
          </w:p>
        </w:tc>
        <w:tc>
          <w:tcPr>
            <w:tcW w:w="2571" w:type="pct"/>
            <w:tcBorders>
              <w:top w:val="single" w:color="auto" w:sz="12" w:space="0"/>
              <w:bottom w:val="double" w:color="auto" w:sz="4" w:space="0"/>
            </w:tcBorders>
            <w:shd w:val="clear" w:color="auto" w:fill="EEECE1"/>
            <w:vAlign w:val="center"/>
          </w:tcPr>
          <w:p>
            <w:pPr>
              <w:spacing w:beforeLines="20" w:afterLines="20"/>
              <w:ind w:left="-97" w:leftChars="-46" w:right="-76" w:rightChars="-36"/>
              <w:jc w:val="center"/>
              <w:rPr>
                <w:rFonts w:hint="eastAsia" w:ascii="宋体" w:hAnsi="宋体" w:eastAsia="宋体" w:cs="宋体"/>
                <w:b/>
                <w:color w:val="auto"/>
                <w:sz w:val="21"/>
                <w:szCs w:val="21"/>
                <w:highlight w:val="none"/>
              </w:rPr>
            </w:pPr>
            <w:r>
              <w:rPr>
                <w:rStyle w:val="18"/>
                <w:rFonts w:hint="eastAsia" w:ascii="宋体" w:hAnsi="宋体" w:eastAsia="宋体" w:cs="宋体"/>
                <w:color w:val="auto"/>
                <w:spacing w:val="15"/>
                <w:sz w:val="21"/>
                <w:szCs w:val="21"/>
                <w:highlight w:val="none"/>
              </w:rPr>
              <w:t>岗位职责</w:t>
            </w:r>
          </w:p>
        </w:tc>
        <w:tc>
          <w:tcPr>
            <w:tcW w:w="1179" w:type="pct"/>
            <w:tcBorders>
              <w:top w:val="single" w:color="auto" w:sz="12" w:space="0"/>
              <w:bottom w:val="double" w:color="auto" w:sz="4" w:space="0"/>
            </w:tcBorders>
            <w:shd w:val="clear" w:color="auto" w:fill="EEECE1"/>
            <w:vAlign w:val="center"/>
          </w:tcPr>
          <w:p>
            <w:pPr>
              <w:spacing w:beforeLines="20" w:afterLines="20"/>
              <w:ind w:left="-97" w:leftChars="-46" w:right="-76" w:rightChars="-36"/>
              <w:jc w:val="center"/>
              <w:rPr>
                <w:rFonts w:hint="eastAsia" w:ascii="宋体" w:hAnsi="宋体" w:eastAsia="宋体" w:cs="宋体"/>
                <w:b/>
                <w:color w:val="auto"/>
                <w:sz w:val="21"/>
                <w:szCs w:val="21"/>
                <w:highlight w:val="none"/>
              </w:rPr>
            </w:pPr>
            <w:r>
              <w:rPr>
                <w:rStyle w:val="18"/>
                <w:rFonts w:hint="eastAsia" w:ascii="宋体" w:hAnsi="宋体" w:eastAsia="宋体" w:cs="宋体"/>
                <w:color w:val="auto"/>
                <w:spacing w:val="15"/>
                <w:sz w:val="21"/>
                <w:szCs w:val="21"/>
                <w:highlight w:val="none"/>
              </w:rPr>
              <w:t>岗位要求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7" w:type="pct"/>
            <w:tcBorders>
              <w:top w:val="double" w:color="auto" w:sz="4" w:space="0"/>
              <w:bottom w:val="single" w:color="auto" w:sz="4" w:space="0"/>
            </w:tcBorders>
            <w:vAlign w:val="center"/>
          </w:tcPr>
          <w:p>
            <w:pPr>
              <w:pStyle w:val="14"/>
              <w:widowControl/>
              <w:spacing w:line="300" w:lineRule="exact"/>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pacing w:val="15"/>
                <w:kern w:val="2"/>
                <w:sz w:val="21"/>
                <w:szCs w:val="21"/>
                <w:highlight w:val="none"/>
                <w:lang w:val="en-US" w:eastAsia="zh-CN" w:bidi="ar-SA"/>
              </w:rPr>
              <w:t>综合窗口服务人员</w:t>
            </w:r>
          </w:p>
        </w:tc>
        <w:tc>
          <w:tcPr>
            <w:tcW w:w="522" w:type="pct"/>
            <w:tcBorders>
              <w:top w:val="double" w:color="auto" w:sz="4" w:space="0"/>
              <w:bottom w:val="single" w:color="auto" w:sz="4" w:space="0"/>
            </w:tcBorders>
            <w:vAlign w:val="center"/>
          </w:tcPr>
          <w:p>
            <w:pPr>
              <w:spacing w:beforeLines="20" w:afterLines="20"/>
              <w:ind w:left="-65" w:leftChars="-31" w:right="-88" w:rightChars="-42"/>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pacing w:val="15"/>
                <w:sz w:val="21"/>
                <w:szCs w:val="21"/>
                <w:highlight w:val="none"/>
                <w:lang w:val="en-US" w:eastAsia="zh-CN"/>
              </w:rPr>
              <w:t>6</w:t>
            </w:r>
            <w:r>
              <w:rPr>
                <w:rFonts w:hint="eastAsia" w:ascii="宋体" w:hAnsi="宋体" w:eastAsia="宋体" w:cs="宋体"/>
                <w:color w:val="auto"/>
                <w:spacing w:val="15"/>
                <w:sz w:val="21"/>
                <w:szCs w:val="21"/>
                <w:highlight w:val="none"/>
                <w:lang w:eastAsia="zh-CN"/>
              </w:rPr>
              <w:t>人</w:t>
            </w:r>
          </w:p>
        </w:tc>
        <w:tc>
          <w:tcPr>
            <w:tcW w:w="2571" w:type="pct"/>
            <w:tcBorders>
              <w:top w:val="double" w:color="auto" w:sz="4" w:space="0"/>
              <w:bottom w:val="single" w:color="auto" w:sz="4" w:space="0"/>
            </w:tcBorders>
            <w:vAlign w:val="center"/>
          </w:tcPr>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1、综合接待及处理市民办事需求，负责在规定时限内完成办理事项；</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2、熟悉相关法律法规，熟练掌握相应专业知识及具体业务办理流程；</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3、负责对市民申请材料进行初审工作，对申请材料不全的，出具补交材料清单，待申请人补全材料后，再予登记受理，并移交承接办理人员；</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5"/>
                <w:sz w:val="21"/>
                <w:szCs w:val="21"/>
                <w:highlight w:val="none"/>
              </w:rPr>
              <w:t>4、对不属于受理范围的事项，告知申请人向有关单位申请办理</w:t>
            </w:r>
            <w:r>
              <w:rPr>
                <w:rFonts w:hint="eastAsia" w:ascii="宋体" w:hAnsi="宋体" w:cs="宋体"/>
                <w:color w:val="auto"/>
                <w:spacing w:val="15"/>
                <w:sz w:val="21"/>
                <w:szCs w:val="21"/>
                <w:highlight w:val="none"/>
                <w:lang w:eastAsia="zh-CN"/>
              </w:rPr>
              <w:t>；</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5、及时完成本岗位工作任务，每天下班前做好当天业务统计；</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6、负责在规定时限内完成资料的整理、数量校对；</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7、负责在规定时限内完成综合窗口区域前、后台业务流转、资料流转及交接记录；</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5"/>
                <w:sz w:val="21"/>
                <w:szCs w:val="21"/>
                <w:highlight w:val="none"/>
              </w:rPr>
              <w:t>8、完成中心交代的其他工作</w:t>
            </w:r>
            <w:r>
              <w:rPr>
                <w:rFonts w:hint="eastAsia" w:ascii="宋体" w:hAnsi="宋体" w:cs="宋体"/>
                <w:color w:val="auto"/>
                <w:spacing w:val="15"/>
                <w:sz w:val="21"/>
                <w:szCs w:val="21"/>
                <w:highlight w:val="none"/>
                <w:lang w:eastAsia="zh-CN"/>
              </w:rPr>
              <w:t>；</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5"/>
                <w:sz w:val="21"/>
                <w:szCs w:val="21"/>
                <w:highlight w:val="none"/>
              </w:rPr>
              <w:t>9、严格依法办事，严格遵守</w:t>
            </w:r>
            <w:r>
              <w:rPr>
                <w:rFonts w:hint="eastAsia" w:ascii="宋体" w:hAnsi="宋体" w:cs="宋体"/>
                <w:color w:val="auto"/>
                <w:spacing w:val="15"/>
                <w:sz w:val="21"/>
                <w:szCs w:val="21"/>
                <w:highlight w:val="none"/>
                <w:lang w:eastAsia="zh-CN"/>
              </w:rPr>
              <w:t>道滘镇</w:t>
            </w:r>
            <w:r>
              <w:rPr>
                <w:rFonts w:hint="eastAsia" w:ascii="宋体" w:hAnsi="宋体" w:eastAsia="宋体" w:cs="宋体"/>
                <w:color w:val="auto"/>
                <w:spacing w:val="15"/>
                <w:sz w:val="21"/>
                <w:szCs w:val="21"/>
                <w:highlight w:val="none"/>
              </w:rPr>
              <w:t>政务服务中心的各项规章制度并定期向中心汇报窗口工作和业务办理情况</w:t>
            </w:r>
            <w:r>
              <w:rPr>
                <w:rFonts w:hint="eastAsia" w:ascii="宋体" w:hAnsi="宋体" w:cs="宋体"/>
                <w:color w:val="auto"/>
                <w:spacing w:val="15"/>
                <w:sz w:val="21"/>
                <w:szCs w:val="21"/>
                <w:highlight w:val="none"/>
                <w:lang w:eastAsia="zh-CN"/>
              </w:rPr>
              <w:t>；</w:t>
            </w:r>
          </w:p>
          <w:p>
            <w:pPr>
              <w:keepNext/>
              <w:keepLines w:val="0"/>
              <w:pageBreakBefore w:val="0"/>
              <w:widowControl w:val="0"/>
              <w:kinsoku/>
              <w:wordWrap/>
              <w:overflowPunct/>
              <w:topLinePunct w:val="0"/>
              <w:autoSpaceDE/>
              <w:autoSpaceDN/>
              <w:bidi w:val="0"/>
              <w:adjustRightInd/>
              <w:snapToGrid/>
              <w:spacing w:beforeLines="20" w:afterLines="20"/>
              <w:ind w:firstLine="480" w:firstLineChars="20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15"/>
                <w:sz w:val="21"/>
                <w:szCs w:val="21"/>
                <w:highlight w:val="none"/>
              </w:rPr>
              <w:t>10、工作认真细致，有事业心责任感，能吃苦耐劳，团结协作意识强。</w:t>
            </w:r>
          </w:p>
        </w:tc>
        <w:tc>
          <w:tcPr>
            <w:tcW w:w="1179" w:type="pct"/>
            <w:tcBorders>
              <w:top w:val="double" w:color="auto" w:sz="4" w:space="0"/>
              <w:bottom w:val="single" w:color="auto" w:sz="4" w:space="0"/>
            </w:tcBorders>
            <w:vAlign w:val="center"/>
          </w:tcPr>
          <w:p>
            <w:pPr>
              <w:pStyle w:val="14"/>
              <w:widowControl/>
              <w:spacing w:line="300" w:lineRule="exact"/>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1、全日制</w:t>
            </w:r>
            <w:r>
              <w:rPr>
                <w:rFonts w:hint="eastAsia" w:ascii="宋体" w:hAnsi="宋体" w:cs="宋体"/>
                <w:color w:val="auto"/>
                <w:spacing w:val="15"/>
                <w:sz w:val="21"/>
                <w:szCs w:val="21"/>
                <w:highlight w:val="none"/>
                <w:lang w:eastAsia="zh-CN"/>
              </w:rPr>
              <w:t>本科</w:t>
            </w:r>
            <w:r>
              <w:rPr>
                <w:rFonts w:hint="eastAsia" w:ascii="宋体" w:hAnsi="宋体" w:eastAsia="宋体" w:cs="宋体"/>
                <w:color w:val="auto"/>
                <w:spacing w:val="15"/>
                <w:sz w:val="21"/>
                <w:szCs w:val="21"/>
                <w:highlight w:val="none"/>
              </w:rPr>
              <w:t>以上学历，</w:t>
            </w:r>
            <w:r>
              <w:rPr>
                <w:rFonts w:hint="eastAsia" w:ascii="宋体" w:hAnsi="宋体" w:cs="宋体"/>
                <w:color w:val="auto"/>
                <w:spacing w:val="15"/>
                <w:sz w:val="21"/>
                <w:szCs w:val="21"/>
                <w:highlight w:val="none"/>
                <w:lang w:eastAsia="zh-CN"/>
              </w:rPr>
              <w:t>学士学位，</w:t>
            </w:r>
            <w:r>
              <w:rPr>
                <w:rFonts w:hint="eastAsia" w:ascii="宋体" w:hAnsi="宋体" w:eastAsia="宋体" w:cs="宋体"/>
                <w:color w:val="auto"/>
                <w:spacing w:val="15"/>
                <w:sz w:val="21"/>
                <w:szCs w:val="21"/>
                <w:highlight w:val="none"/>
              </w:rPr>
              <w:t>专业不限，3</w:t>
            </w:r>
            <w:r>
              <w:rPr>
                <w:rFonts w:hint="eastAsia" w:ascii="宋体" w:hAnsi="宋体" w:cs="宋体"/>
                <w:color w:val="auto"/>
                <w:spacing w:val="15"/>
                <w:sz w:val="21"/>
                <w:szCs w:val="21"/>
                <w:highlight w:val="none"/>
                <w:lang w:val="en-US" w:eastAsia="zh-CN"/>
              </w:rPr>
              <w:t>5</w:t>
            </w:r>
            <w:r>
              <w:rPr>
                <w:rFonts w:hint="eastAsia" w:ascii="宋体" w:hAnsi="宋体" w:eastAsia="宋体" w:cs="宋体"/>
                <w:color w:val="auto"/>
                <w:spacing w:val="15"/>
                <w:sz w:val="21"/>
                <w:szCs w:val="21"/>
                <w:highlight w:val="none"/>
              </w:rPr>
              <w:t>周岁（含）以下。</w:t>
            </w:r>
          </w:p>
          <w:p>
            <w:pPr>
              <w:pStyle w:val="14"/>
              <w:widowControl/>
              <w:spacing w:line="300" w:lineRule="exact"/>
              <w:rPr>
                <w:rFonts w:hint="eastAsia" w:ascii="宋体" w:hAnsi="宋体" w:eastAsia="宋体" w:cs="宋体"/>
                <w:color w:val="auto"/>
                <w:spacing w:val="15"/>
                <w:sz w:val="21"/>
                <w:szCs w:val="21"/>
                <w:highlight w:val="none"/>
              </w:rPr>
            </w:pPr>
          </w:p>
          <w:p>
            <w:pPr>
              <w:pStyle w:val="14"/>
              <w:widowControl/>
              <w:numPr>
                <w:ilvl w:val="0"/>
                <w:numId w:val="0"/>
              </w:numPr>
              <w:spacing w:line="300" w:lineRule="exact"/>
              <w:rPr>
                <w:rFonts w:hint="eastAsia" w:ascii="宋体" w:hAnsi="宋体" w:eastAsia="宋体" w:cs="宋体"/>
                <w:color w:val="auto"/>
                <w:spacing w:val="15"/>
                <w:kern w:val="2"/>
                <w:sz w:val="21"/>
                <w:szCs w:val="21"/>
                <w:highlight w:val="none"/>
                <w:lang w:val="en-US" w:eastAsia="zh-CN" w:bidi="ar-SA"/>
              </w:rPr>
            </w:pPr>
            <w:r>
              <w:rPr>
                <w:rFonts w:hint="eastAsia" w:ascii="宋体" w:hAnsi="宋体" w:cs="宋体"/>
                <w:color w:val="auto"/>
                <w:spacing w:val="15"/>
                <w:kern w:val="2"/>
                <w:sz w:val="21"/>
                <w:szCs w:val="21"/>
                <w:highlight w:val="none"/>
                <w:lang w:val="en-US" w:eastAsia="zh-CN" w:bidi="ar-SA"/>
              </w:rPr>
              <w:t>2、</w:t>
            </w:r>
            <w:r>
              <w:rPr>
                <w:rFonts w:hint="eastAsia" w:ascii="宋体" w:hAnsi="宋体" w:eastAsia="宋体" w:cs="宋体"/>
                <w:color w:val="auto"/>
                <w:spacing w:val="15"/>
                <w:kern w:val="2"/>
                <w:sz w:val="21"/>
                <w:szCs w:val="21"/>
                <w:highlight w:val="none"/>
                <w:lang w:val="en-US" w:eastAsia="zh-CN" w:bidi="ar-SA"/>
              </w:rPr>
              <w:t>政治素质良好，品行端正，无任何不良记录；</w:t>
            </w:r>
          </w:p>
          <w:p>
            <w:pPr>
              <w:pStyle w:val="14"/>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 </w:t>
            </w:r>
          </w:p>
          <w:p>
            <w:pPr>
              <w:keepNext/>
              <w:widowControl w:val="0"/>
              <w:adjustRightInd/>
              <w:snapToGrid/>
              <w:spacing w:beforeLines="20" w:afterLines="2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pacing w:val="15"/>
                <w:sz w:val="21"/>
                <w:szCs w:val="21"/>
                <w:highlight w:val="none"/>
                <w:lang w:val="en-US" w:eastAsia="zh-CN"/>
              </w:rPr>
              <w:t>3、</w:t>
            </w:r>
            <w:r>
              <w:rPr>
                <w:rFonts w:hint="eastAsia" w:ascii="宋体" w:hAnsi="宋体" w:eastAsia="宋体" w:cs="宋体"/>
                <w:color w:val="auto"/>
                <w:spacing w:val="15"/>
                <w:sz w:val="21"/>
                <w:szCs w:val="21"/>
                <w:highlight w:val="none"/>
              </w:rPr>
              <w:t>以上人员能够满足</w:t>
            </w:r>
            <w:r>
              <w:rPr>
                <w:rFonts w:hint="eastAsia" w:ascii="宋体" w:hAnsi="宋体" w:eastAsia="宋体" w:cs="宋体"/>
                <w:color w:val="auto"/>
                <w:spacing w:val="15"/>
                <w:sz w:val="21"/>
                <w:szCs w:val="21"/>
                <w:highlight w:val="none"/>
                <w:lang w:eastAsia="zh-CN"/>
              </w:rPr>
              <w:t>道滘镇</w:t>
            </w:r>
            <w:r>
              <w:rPr>
                <w:rFonts w:hint="eastAsia" w:ascii="宋体" w:hAnsi="宋体" w:eastAsia="宋体" w:cs="宋体"/>
                <w:color w:val="auto"/>
                <w:spacing w:val="15"/>
                <w:sz w:val="21"/>
                <w:szCs w:val="21"/>
                <w:highlight w:val="none"/>
              </w:rPr>
              <w:t>政务服务中心服务时间要求。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7" w:type="pct"/>
            <w:tcBorders>
              <w:top w:val="double" w:color="auto" w:sz="4" w:space="0"/>
              <w:bottom w:val="single" w:color="auto" w:sz="4" w:space="0"/>
            </w:tcBorders>
            <w:vAlign w:val="center"/>
          </w:tcPr>
          <w:p>
            <w:pPr>
              <w:spacing w:beforeLines="20" w:afterLines="20"/>
              <w:jc w:val="center"/>
              <w:rPr>
                <w:rFonts w:hint="eastAsia" w:ascii="宋体" w:hAnsi="宋体" w:eastAsia="宋体" w:cs="宋体"/>
                <w:bCs/>
                <w:color w:val="auto"/>
                <w:sz w:val="21"/>
                <w:szCs w:val="21"/>
                <w:highlight w:val="none"/>
              </w:rPr>
            </w:pPr>
            <w:r>
              <w:rPr>
                <w:rFonts w:hint="eastAsia" w:ascii="宋体" w:hAnsi="宋体" w:eastAsia="宋体" w:cs="宋体"/>
                <w:color w:val="auto"/>
                <w:spacing w:val="15"/>
                <w:kern w:val="2"/>
                <w:sz w:val="21"/>
                <w:szCs w:val="21"/>
                <w:highlight w:val="none"/>
                <w:lang w:val="en-US" w:eastAsia="zh-CN" w:bidi="ar-SA"/>
              </w:rPr>
              <w:t>咨询导办员</w:t>
            </w:r>
          </w:p>
        </w:tc>
        <w:tc>
          <w:tcPr>
            <w:tcW w:w="522" w:type="pct"/>
            <w:tcBorders>
              <w:top w:val="double" w:color="auto" w:sz="4" w:space="0"/>
              <w:bottom w:val="single" w:color="auto" w:sz="4" w:space="0"/>
            </w:tcBorders>
            <w:vAlign w:val="center"/>
          </w:tcPr>
          <w:p>
            <w:pPr>
              <w:spacing w:beforeLines="20" w:afterLines="20"/>
              <w:ind w:left="-65" w:leftChars="-31" w:right="-88" w:rightChars="-42"/>
              <w:jc w:val="center"/>
              <w:rPr>
                <w:rFonts w:hint="eastAsia" w:ascii="宋体" w:hAnsi="宋体" w:eastAsia="宋体" w:cs="宋体"/>
                <w:bCs/>
                <w:color w:val="auto"/>
                <w:sz w:val="21"/>
                <w:szCs w:val="21"/>
                <w:highlight w:val="none"/>
                <w:lang w:eastAsia="zh-CN"/>
              </w:rPr>
            </w:pPr>
            <w:r>
              <w:rPr>
                <w:rFonts w:hint="eastAsia" w:ascii="宋体" w:hAnsi="宋体" w:cs="宋体"/>
                <w:color w:val="auto"/>
                <w:spacing w:val="15"/>
                <w:sz w:val="21"/>
                <w:szCs w:val="21"/>
                <w:highlight w:val="none"/>
                <w:lang w:val="en-US" w:eastAsia="zh-CN"/>
              </w:rPr>
              <w:t>1</w:t>
            </w:r>
            <w:r>
              <w:rPr>
                <w:rFonts w:hint="eastAsia" w:ascii="宋体" w:hAnsi="宋体" w:eastAsia="宋体" w:cs="宋体"/>
                <w:color w:val="auto"/>
                <w:spacing w:val="15"/>
                <w:sz w:val="21"/>
                <w:szCs w:val="21"/>
                <w:highlight w:val="none"/>
                <w:lang w:eastAsia="zh-CN"/>
              </w:rPr>
              <w:t>人</w:t>
            </w:r>
          </w:p>
        </w:tc>
        <w:tc>
          <w:tcPr>
            <w:tcW w:w="2571" w:type="pct"/>
            <w:tcBorders>
              <w:top w:val="double" w:color="auto" w:sz="4" w:space="0"/>
              <w:bottom w:val="single" w:color="auto" w:sz="4" w:space="0"/>
            </w:tcBorders>
            <w:vAlign w:val="center"/>
          </w:tcPr>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1、负责引导办理</w:t>
            </w:r>
            <w:r>
              <w:rPr>
                <w:rFonts w:hint="eastAsia" w:ascii="宋体" w:hAnsi="宋体" w:cs="宋体"/>
                <w:color w:val="auto"/>
                <w:spacing w:val="15"/>
                <w:sz w:val="21"/>
                <w:szCs w:val="21"/>
                <w:highlight w:val="none"/>
                <w:lang w:eastAsia="zh-CN"/>
              </w:rPr>
              <w:t>道滘镇</w:t>
            </w:r>
            <w:r>
              <w:rPr>
                <w:rFonts w:hint="eastAsia" w:ascii="宋体" w:hAnsi="宋体" w:eastAsia="宋体" w:cs="宋体"/>
                <w:color w:val="auto"/>
                <w:spacing w:val="15"/>
                <w:sz w:val="21"/>
                <w:szCs w:val="21"/>
                <w:highlight w:val="none"/>
              </w:rPr>
              <w:t>政务服务中心的各类许可和服务事项，及时准确解答市民关于办事（办证）等的各类咨询、疑问；</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2、引领市民到相关窗口、部门办理业务，协助处理突发事件；</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3、协助市民在自助终端、网上申办区进行自助申办、申报；</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4、为企业提供代办服务；</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5、对市民进行取号引导、解答简单业务、政策咨询问题；</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6、对简单申报材料进行形式审查。</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7、热情接待市民，严格执行首问责任和一次性告知等制度；</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8、接听便民服务热线电话，解答市民对各类信息、办事指南类的服务咨询，提供政策法规及有关业务咨询；</w:t>
            </w:r>
          </w:p>
          <w:p>
            <w:pPr>
              <w:keepNext/>
              <w:keepLines w:val="0"/>
              <w:pageBreakBefore w:val="0"/>
              <w:widowControl w:val="0"/>
              <w:kinsoku/>
              <w:wordWrap/>
              <w:overflowPunct/>
              <w:topLinePunct w:val="0"/>
              <w:autoSpaceDE/>
              <w:autoSpaceDN/>
              <w:bidi w:val="0"/>
              <w:adjustRightInd/>
              <w:snapToGrid/>
              <w:spacing w:beforeLines="20" w:afterLines="20"/>
              <w:ind w:firstLine="480" w:firstLineChars="200"/>
              <w:jc w:val="left"/>
              <w:textAlignment w:val="center"/>
              <w:rPr>
                <w:rFonts w:hint="eastAsia" w:ascii="宋体" w:hAnsi="宋体" w:eastAsia="宋体" w:cs="宋体"/>
                <w:color w:val="auto"/>
                <w:kern w:val="2"/>
                <w:sz w:val="21"/>
                <w:szCs w:val="21"/>
                <w:highlight w:val="none"/>
                <w:lang w:eastAsia="zh-CN"/>
              </w:rPr>
            </w:pPr>
            <w:r>
              <w:rPr>
                <w:rFonts w:hint="eastAsia" w:ascii="宋体" w:hAnsi="宋体" w:cs="宋体"/>
                <w:color w:val="auto"/>
                <w:spacing w:val="15"/>
                <w:sz w:val="21"/>
                <w:szCs w:val="21"/>
                <w:highlight w:val="none"/>
                <w:lang w:val="en-US" w:eastAsia="zh-CN"/>
              </w:rPr>
              <w:t>9</w:t>
            </w:r>
            <w:r>
              <w:rPr>
                <w:rFonts w:hint="eastAsia" w:ascii="宋体" w:hAnsi="宋体" w:eastAsia="宋体" w:cs="宋体"/>
                <w:color w:val="auto"/>
                <w:spacing w:val="15"/>
                <w:sz w:val="21"/>
                <w:szCs w:val="21"/>
                <w:highlight w:val="none"/>
              </w:rPr>
              <w:t>、完成中心交代的其他工作</w:t>
            </w:r>
            <w:r>
              <w:rPr>
                <w:rFonts w:hint="eastAsia" w:ascii="宋体" w:hAnsi="宋体" w:cs="宋体"/>
                <w:color w:val="auto"/>
                <w:spacing w:val="15"/>
                <w:sz w:val="21"/>
                <w:szCs w:val="21"/>
                <w:highlight w:val="none"/>
                <w:lang w:eastAsia="zh-CN"/>
              </w:rPr>
              <w:t>。</w:t>
            </w:r>
          </w:p>
        </w:tc>
        <w:tc>
          <w:tcPr>
            <w:tcW w:w="1179" w:type="pct"/>
            <w:tcBorders>
              <w:top w:val="double" w:color="auto" w:sz="4" w:space="0"/>
              <w:bottom w:val="single" w:color="auto" w:sz="4" w:space="0"/>
            </w:tcBorders>
            <w:vAlign w:val="center"/>
          </w:tcPr>
          <w:p>
            <w:pPr>
              <w:pStyle w:val="14"/>
              <w:widowControl/>
              <w:spacing w:line="300" w:lineRule="exact"/>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1、全日制</w:t>
            </w:r>
            <w:r>
              <w:rPr>
                <w:rFonts w:hint="eastAsia" w:ascii="宋体" w:hAnsi="宋体" w:cs="宋体"/>
                <w:color w:val="auto"/>
                <w:spacing w:val="15"/>
                <w:sz w:val="21"/>
                <w:szCs w:val="21"/>
                <w:highlight w:val="none"/>
                <w:lang w:eastAsia="zh-CN"/>
              </w:rPr>
              <w:t>本科</w:t>
            </w:r>
            <w:r>
              <w:rPr>
                <w:rFonts w:hint="eastAsia" w:ascii="宋体" w:hAnsi="宋体" w:eastAsia="宋体" w:cs="宋体"/>
                <w:color w:val="auto"/>
                <w:spacing w:val="15"/>
                <w:sz w:val="21"/>
                <w:szCs w:val="21"/>
                <w:highlight w:val="none"/>
              </w:rPr>
              <w:t>以上学历，</w:t>
            </w:r>
            <w:r>
              <w:rPr>
                <w:rFonts w:hint="eastAsia" w:ascii="宋体" w:hAnsi="宋体" w:cs="宋体"/>
                <w:color w:val="auto"/>
                <w:spacing w:val="15"/>
                <w:sz w:val="21"/>
                <w:szCs w:val="21"/>
                <w:highlight w:val="none"/>
                <w:lang w:eastAsia="zh-CN"/>
              </w:rPr>
              <w:t>学士学位，</w:t>
            </w:r>
            <w:r>
              <w:rPr>
                <w:rFonts w:hint="eastAsia" w:ascii="宋体" w:hAnsi="宋体" w:eastAsia="宋体" w:cs="宋体"/>
                <w:color w:val="auto"/>
                <w:spacing w:val="15"/>
                <w:sz w:val="21"/>
                <w:szCs w:val="21"/>
                <w:highlight w:val="none"/>
              </w:rPr>
              <w:t>专业不限，3</w:t>
            </w:r>
            <w:r>
              <w:rPr>
                <w:rFonts w:hint="eastAsia" w:ascii="宋体" w:hAnsi="宋体" w:cs="宋体"/>
                <w:color w:val="auto"/>
                <w:spacing w:val="15"/>
                <w:sz w:val="21"/>
                <w:szCs w:val="21"/>
                <w:highlight w:val="none"/>
                <w:lang w:val="en-US" w:eastAsia="zh-CN"/>
              </w:rPr>
              <w:t>5</w:t>
            </w:r>
            <w:r>
              <w:rPr>
                <w:rFonts w:hint="eastAsia" w:ascii="宋体" w:hAnsi="宋体" w:eastAsia="宋体" w:cs="宋体"/>
                <w:color w:val="auto"/>
                <w:spacing w:val="15"/>
                <w:sz w:val="21"/>
                <w:szCs w:val="21"/>
                <w:highlight w:val="none"/>
              </w:rPr>
              <w:t>周岁（含）以下。</w:t>
            </w:r>
          </w:p>
          <w:p>
            <w:pPr>
              <w:pStyle w:val="14"/>
              <w:widowControl/>
              <w:spacing w:line="300" w:lineRule="exact"/>
              <w:rPr>
                <w:rFonts w:hint="eastAsia" w:ascii="宋体" w:hAnsi="宋体" w:eastAsia="宋体" w:cs="宋体"/>
                <w:color w:val="auto"/>
                <w:spacing w:val="15"/>
                <w:sz w:val="21"/>
                <w:szCs w:val="21"/>
                <w:highlight w:val="none"/>
              </w:rPr>
            </w:pPr>
          </w:p>
          <w:p>
            <w:pPr>
              <w:pStyle w:val="14"/>
              <w:widowControl/>
              <w:numPr>
                <w:ilvl w:val="0"/>
                <w:numId w:val="0"/>
              </w:numPr>
              <w:spacing w:line="300" w:lineRule="exact"/>
              <w:rPr>
                <w:rFonts w:hint="eastAsia" w:ascii="宋体" w:hAnsi="宋体" w:eastAsia="宋体" w:cs="宋体"/>
                <w:color w:val="auto"/>
                <w:spacing w:val="15"/>
                <w:kern w:val="2"/>
                <w:sz w:val="21"/>
                <w:szCs w:val="21"/>
                <w:highlight w:val="none"/>
                <w:lang w:val="en-US" w:eastAsia="zh-CN" w:bidi="ar-SA"/>
              </w:rPr>
            </w:pPr>
            <w:r>
              <w:rPr>
                <w:rFonts w:hint="eastAsia" w:ascii="宋体" w:hAnsi="宋体" w:cs="宋体"/>
                <w:color w:val="auto"/>
                <w:spacing w:val="15"/>
                <w:kern w:val="2"/>
                <w:sz w:val="21"/>
                <w:szCs w:val="21"/>
                <w:highlight w:val="none"/>
                <w:lang w:val="en-US" w:eastAsia="zh-CN" w:bidi="ar-SA"/>
              </w:rPr>
              <w:t>2、</w:t>
            </w:r>
            <w:r>
              <w:rPr>
                <w:rFonts w:hint="eastAsia" w:ascii="宋体" w:hAnsi="宋体" w:eastAsia="宋体" w:cs="宋体"/>
                <w:color w:val="auto"/>
                <w:spacing w:val="15"/>
                <w:kern w:val="2"/>
                <w:sz w:val="21"/>
                <w:szCs w:val="21"/>
                <w:highlight w:val="none"/>
                <w:lang w:val="en-US" w:eastAsia="zh-CN" w:bidi="ar-SA"/>
              </w:rPr>
              <w:t>政治素质良好，品行端正，无任何不良记录；</w:t>
            </w:r>
          </w:p>
          <w:p>
            <w:pPr>
              <w:pStyle w:val="14"/>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 </w:t>
            </w:r>
          </w:p>
          <w:p>
            <w:pPr>
              <w:keepNext/>
              <w:widowControl w:val="0"/>
              <w:adjustRightInd/>
              <w:snapToGrid/>
              <w:spacing w:beforeLines="20" w:afterLines="20"/>
              <w:jc w:val="center"/>
              <w:textAlignment w:val="center"/>
              <w:rPr>
                <w:rFonts w:hint="eastAsia" w:ascii="宋体" w:hAnsi="宋体" w:eastAsia="宋体" w:cs="宋体"/>
                <w:color w:val="auto"/>
                <w:kern w:val="2"/>
                <w:sz w:val="21"/>
                <w:szCs w:val="21"/>
                <w:highlight w:val="none"/>
              </w:rPr>
            </w:pPr>
            <w:r>
              <w:rPr>
                <w:rFonts w:hint="eastAsia" w:ascii="宋体" w:hAnsi="宋体" w:cs="宋体"/>
                <w:color w:val="auto"/>
                <w:spacing w:val="15"/>
                <w:sz w:val="21"/>
                <w:szCs w:val="21"/>
                <w:highlight w:val="none"/>
                <w:lang w:val="en-US" w:eastAsia="zh-CN"/>
              </w:rPr>
              <w:t>3、</w:t>
            </w:r>
            <w:r>
              <w:rPr>
                <w:rFonts w:hint="eastAsia" w:ascii="宋体" w:hAnsi="宋体" w:eastAsia="宋体" w:cs="宋体"/>
                <w:color w:val="auto"/>
                <w:spacing w:val="15"/>
                <w:sz w:val="21"/>
                <w:szCs w:val="21"/>
                <w:highlight w:val="none"/>
              </w:rPr>
              <w:t>以上人员能够满足</w:t>
            </w:r>
            <w:r>
              <w:rPr>
                <w:rFonts w:hint="eastAsia" w:ascii="宋体" w:hAnsi="宋体" w:eastAsia="宋体" w:cs="宋体"/>
                <w:color w:val="auto"/>
                <w:spacing w:val="15"/>
                <w:sz w:val="21"/>
                <w:szCs w:val="21"/>
                <w:highlight w:val="none"/>
                <w:lang w:eastAsia="zh-CN"/>
              </w:rPr>
              <w:t>道滘镇</w:t>
            </w:r>
            <w:r>
              <w:rPr>
                <w:rFonts w:hint="eastAsia" w:ascii="宋体" w:hAnsi="宋体" w:eastAsia="宋体" w:cs="宋体"/>
                <w:color w:val="auto"/>
                <w:spacing w:val="15"/>
                <w:sz w:val="21"/>
                <w:szCs w:val="21"/>
                <w:highlight w:val="none"/>
              </w:rPr>
              <w:t>政务服务中心服务时间要求。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727" w:type="pct"/>
            <w:tcBorders>
              <w:top w:val="double" w:color="auto" w:sz="4" w:space="0"/>
              <w:bottom w:val="single" w:color="auto" w:sz="4" w:space="0"/>
            </w:tcBorders>
            <w:vAlign w:val="center"/>
          </w:tcPr>
          <w:p>
            <w:pPr>
              <w:pStyle w:val="14"/>
              <w:widowControl/>
              <w:spacing w:line="30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pacing w:val="15"/>
                <w:kern w:val="2"/>
                <w:sz w:val="21"/>
                <w:szCs w:val="21"/>
                <w:highlight w:val="none"/>
                <w:lang w:val="en-US" w:eastAsia="zh-CN" w:bidi="ar-SA"/>
              </w:rPr>
              <w:t>物料流转员</w:t>
            </w:r>
          </w:p>
        </w:tc>
        <w:tc>
          <w:tcPr>
            <w:tcW w:w="522" w:type="pct"/>
            <w:tcBorders>
              <w:top w:val="double" w:color="auto" w:sz="4" w:space="0"/>
              <w:bottom w:val="single" w:color="auto" w:sz="4" w:space="0"/>
            </w:tcBorders>
            <w:vAlign w:val="center"/>
          </w:tcPr>
          <w:p>
            <w:pPr>
              <w:spacing w:beforeLines="20" w:afterLines="20"/>
              <w:ind w:left="-65" w:leftChars="-31" w:right="-88" w:rightChars="-42"/>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pacing w:val="15"/>
                <w:sz w:val="21"/>
                <w:szCs w:val="21"/>
                <w:highlight w:val="none"/>
                <w:lang w:val="en-US" w:eastAsia="zh-CN"/>
              </w:rPr>
              <w:t>1</w:t>
            </w:r>
            <w:r>
              <w:rPr>
                <w:rFonts w:hint="eastAsia" w:ascii="宋体" w:hAnsi="宋体" w:eastAsia="宋体" w:cs="宋体"/>
                <w:color w:val="auto"/>
                <w:spacing w:val="15"/>
                <w:sz w:val="21"/>
                <w:szCs w:val="21"/>
                <w:highlight w:val="none"/>
                <w:lang w:eastAsia="zh-CN"/>
              </w:rPr>
              <w:t>人</w:t>
            </w:r>
          </w:p>
        </w:tc>
        <w:tc>
          <w:tcPr>
            <w:tcW w:w="2571" w:type="pct"/>
            <w:tcBorders>
              <w:top w:val="double" w:color="auto" w:sz="4" w:space="0"/>
              <w:bottom w:val="single" w:color="auto" w:sz="4" w:space="0"/>
            </w:tcBorders>
            <w:vAlign w:val="center"/>
          </w:tcPr>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pacing w:val="15"/>
                <w:sz w:val="21"/>
                <w:szCs w:val="21"/>
                <w:highlight w:val="none"/>
                <w:lang w:val="en-US" w:eastAsia="zh-CN"/>
              </w:rPr>
            </w:pPr>
            <w:r>
              <w:rPr>
                <w:rFonts w:hint="eastAsia" w:ascii="宋体" w:hAnsi="宋体" w:eastAsia="宋体" w:cs="宋体"/>
                <w:color w:val="auto"/>
                <w:spacing w:val="15"/>
                <w:sz w:val="21"/>
                <w:szCs w:val="21"/>
                <w:highlight w:val="none"/>
                <w:lang w:val="en-US" w:eastAsia="zh-CN"/>
              </w:rPr>
              <w:t>1、负责与邮递员、窗口人员（办理、出证、补正窗口人员）、主管部门（主管部门审批人员）交接物料；</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pacing w:val="15"/>
                <w:sz w:val="21"/>
                <w:szCs w:val="21"/>
                <w:highlight w:val="none"/>
                <w:lang w:val="en-US" w:eastAsia="zh-CN"/>
              </w:rPr>
            </w:pPr>
            <w:r>
              <w:rPr>
                <w:rFonts w:hint="eastAsia" w:ascii="宋体" w:hAnsi="宋体" w:eastAsia="宋体" w:cs="宋体"/>
                <w:color w:val="auto"/>
                <w:spacing w:val="15"/>
                <w:sz w:val="21"/>
                <w:szCs w:val="21"/>
                <w:highlight w:val="none"/>
                <w:lang w:val="en-US" w:eastAsia="zh-CN"/>
              </w:rPr>
              <w:t>2、负责把需要流出本政务中心的物料统一转交给邮递员、非常驻主管部门，以及统一接收邮递员、非常驻主管部门需要流入本政务中心的物料；</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pacing w:val="15"/>
                <w:sz w:val="21"/>
                <w:szCs w:val="21"/>
                <w:highlight w:val="none"/>
                <w:lang w:val="en-US" w:eastAsia="zh-CN"/>
              </w:rPr>
            </w:pPr>
            <w:r>
              <w:rPr>
                <w:rFonts w:hint="eastAsia" w:ascii="宋体" w:hAnsi="宋体" w:eastAsia="宋体" w:cs="宋体"/>
                <w:color w:val="auto"/>
                <w:spacing w:val="15"/>
                <w:sz w:val="21"/>
                <w:szCs w:val="21"/>
                <w:highlight w:val="none"/>
                <w:lang w:val="en-US" w:eastAsia="zh-CN"/>
              </w:rPr>
              <w:t>3、负责使用东莞市政务服务一体化平台物料流转子系统按时限要求进行物料流转的发起操作、签入操作。对涉及全市通办的物料联系审批部门交接，对物料进行打包或拆包，同时应保证物料的流转时间在规定范围之内，对有需要归档的材料按部门要求进行处理；</w:t>
            </w:r>
          </w:p>
          <w:p>
            <w:pPr>
              <w:pStyle w:val="14"/>
              <w:keepLines w:val="0"/>
              <w:pageBreakBefore w:val="0"/>
              <w:widowControl/>
              <w:kinsoku/>
              <w:wordWrap/>
              <w:overflowPunct/>
              <w:topLinePunct w:val="0"/>
              <w:autoSpaceDE/>
              <w:autoSpaceDN/>
              <w:bidi w:val="0"/>
              <w:adjustRightInd/>
              <w:snapToGrid/>
              <w:spacing w:line="300" w:lineRule="exact"/>
              <w:ind w:firstLine="480" w:firstLineChars="200"/>
              <w:jc w:val="left"/>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lang w:val="en-US" w:eastAsia="zh-CN"/>
              </w:rPr>
              <w:t>4、承接其他涉及物料流转的工作。</w:t>
            </w:r>
          </w:p>
        </w:tc>
        <w:tc>
          <w:tcPr>
            <w:tcW w:w="1179" w:type="pct"/>
            <w:tcBorders>
              <w:top w:val="double" w:color="auto" w:sz="4" w:space="0"/>
              <w:bottom w:val="single" w:color="auto" w:sz="4" w:space="0"/>
            </w:tcBorders>
            <w:vAlign w:val="center"/>
          </w:tcPr>
          <w:p>
            <w:pPr>
              <w:pStyle w:val="14"/>
              <w:widowControl/>
              <w:spacing w:line="300" w:lineRule="exact"/>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1、全日制</w:t>
            </w:r>
            <w:r>
              <w:rPr>
                <w:rFonts w:hint="eastAsia" w:ascii="宋体" w:hAnsi="宋体" w:cs="宋体"/>
                <w:color w:val="auto"/>
                <w:spacing w:val="15"/>
                <w:sz w:val="21"/>
                <w:szCs w:val="21"/>
                <w:highlight w:val="none"/>
                <w:lang w:eastAsia="zh-CN"/>
              </w:rPr>
              <w:t>本科</w:t>
            </w:r>
            <w:r>
              <w:rPr>
                <w:rFonts w:hint="eastAsia" w:ascii="宋体" w:hAnsi="宋体" w:eastAsia="宋体" w:cs="宋体"/>
                <w:color w:val="auto"/>
                <w:spacing w:val="15"/>
                <w:sz w:val="21"/>
                <w:szCs w:val="21"/>
                <w:highlight w:val="none"/>
              </w:rPr>
              <w:t>以上学历，</w:t>
            </w:r>
            <w:r>
              <w:rPr>
                <w:rFonts w:hint="eastAsia" w:ascii="宋体" w:hAnsi="宋体" w:cs="宋体"/>
                <w:color w:val="auto"/>
                <w:spacing w:val="15"/>
                <w:sz w:val="21"/>
                <w:szCs w:val="21"/>
                <w:highlight w:val="none"/>
                <w:lang w:eastAsia="zh-CN"/>
              </w:rPr>
              <w:t>学士学位，</w:t>
            </w:r>
            <w:r>
              <w:rPr>
                <w:rFonts w:hint="eastAsia" w:ascii="宋体" w:hAnsi="宋体" w:eastAsia="宋体" w:cs="宋体"/>
                <w:color w:val="auto"/>
                <w:spacing w:val="15"/>
                <w:sz w:val="21"/>
                <w:szCs w:val="21"/>
                <w:highlight w:val="none"/>
              </w:rPr>
              <w:t>专业不限，3</w:t>
            </w:r>
            <w:r>
              <w:rPr>
                <w:rFonts w:hint="eastAsia" w:ascii="宋体" w:hAnsi="宋体" w:cs="宋体"/>
                <w:color w:val="auto"/>
                <w:spacing w:val="15"/>
                <w:sz w:val="21"/>
                <w:szCs w:val="21"/>
                <w:highlight w:val="none"/>
                <w:lang w:val="en-US" w:eastAsia="zh-CN"/>
              </w:rPr>
              <w:t>5</w:t>
            </w:r>
            <w:r>
              <w:rPr>
                <w:rFonts w:hint="eastAsia" w:ascii="宋体" w:hAnsi="宋体" w:eastAsia="宋体" w:cs="宋体"/>
                <w:color w:val="auto"/>
                <w:spacing w:val="15"/>
                <w:sz w:val="21"/>
                <w:szCs w:val="21"/>
                <w:highlight w:val="none"/>
              </w:rPr>
              <w:t>周岁（含）以下。</w:t>
            </w:r>
          </w:p>
          <w:p>
            <w:pPr>
              <w:pStyle w:val="14"/>
              <w:widowControl/>
              <w:spacing w:line="300" w:lineRule="exact"/>
              <w:rPr>
                <w:rFonts w:hint="eastAsia" w:ascii="宋体" w:hAnsi="宋体" w:eastAsia="宋体" w:cs="宋体"/>
                <w:color w:val="auto"/>
                <w:spacing w:val="15"/>
                <w:sz w:val="21"/>
                <w:szCs w:val="21"/>
                <w:highlight w:val="none"/>
              </w:rPr>
            </w:pPr>
          </w:p>
          <w:p>
            <w:pPr>
              <w:pStyle w:val="14"/>
              <w:widowControl/>
              <w:numPr>
                <w:ilvl w:val="0"/>
                <w:numId w:val="0"/>
              </w:numPr>
              <w:spacing w:line="300" w:lineRule="exact"/>
              <w:rPr>
                <w:rFonts w:hint="eastAsia" w:ascii="宋体" w:hAnsi="宋体" w:eastAsia="宋体" w:cs="宋体"/>
                <w:color w:val="auto"/>
                <w:spacing w:val="15"/>
                <w:kern w:val="2"/>
                <w:sz w:val="21"/>
                <w:szCs w:val="21"/>
                <w:highlight w:val="none"/>
                <w:lang w:val="en-US" w:eastAsia="zh-CN" w:bidi="ar-SA"/>
              </w:rPr>
            </w:pPr>
            <w:r>
              <w:rPr>
                <w:rFonts w:hint="eastAsia" w:ascii="宋体" w:hAnsi="宋体" w:cs="宋体"/>
                <w:color w:val="auto"/>
                <w:spacing w:val="15"/>
                <w:kern w:val="2"/>
                <w:sz w:val="21"/>
                <w:szCs w:val="21"/>
                <w:highlight w:val="none"/>
                <w:lang w:val="en-US" w:eastAsia="zh-CN" w:bidi="ar-SA"/>
              </w:rPr>
              <w:t>2、</w:t>
            </w:r>
            <w:r>
              <w:rPr>
                <w:rFonts w:hint="eastAsia" w:ascii="宋体" w:hAnsi="宋体" w:eastAsia="宋体" w:cs="宋体"/>
                <w:color w:val="auto"/>
                <w:spacing w:val="15"/>
                <w:kern w:val="2"/>
                <w:sz w:val="21"/>
                <w:szCs w:val="21"/>
                <w:highlight w:val="none"/>
                <w:lang w:val="en-US" w:eastAsia="zh-CN" w:bidi="ar-SA"/>
              </w:rPr>
              <w:t>政治素质良好，品行端正，无任何不良记录；</w:t>
            </w:r>
          </w:p>
          <w:p>
            <w:pPr>
              <w:pStyle w:val="14"/>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 </w:t>
            </w:r>
          </w:p>
          <w:p>
            <w:pPr>
              <w:keepNext/>
              <w:widowControl w:val="0"/>
              <w:adjustRightInd/>
              <w:snapToGrid/>
              <w:spacing w:beforeLines="20" w:afterLines="20"/>
              <w:jc w:val="center"/>
              <w:textAlignment w:val="center"/>
              <w:rPr>
                <w:rFonts w:hint="eastAsia" w:ascii="宋体" w:hAnsi="宋体" w:eastAsia="宋体" w:cs="宋体"/>
                <w:color w:val="auto"/>
                <w:spacing w:val="15"/>
                <w:sz w:val="21"/>
                <w:szCs w:val="21"/>
                <w:highlight w:val="none"/>
              </w:rPr>
            </w:pPr>
            <w:r>
              <w:rPr>
                <w:rFonts w:hint="eastAsia" w:ascii="宋体" w:hAnsi="宋体" w:cs="宋体"/>
                <w:color w:val="auto"/>
                <w:spacing w:val="15"/>
                <w:sz w:val="21"/>
                <w:szCs w:val="21"/>
                <w:highlight w:val="none"/>
                <w:lang w:val="en-US" w:eastAsia="zh-CN"/>
              </w:rPr>
              <w:t>3、</w:t>
            </w:r>
            <w:r>
              <w:rPr>
                <w:rFonts w:hint="eastAsia" w:ascii="宋体" w:hAnsi="宋体" w:eastAsia="宋体" w:cs="宋体"/>
                <w:color w:val="auto"/>
                <w:spacing w:val="15"/>
                <w:sz w:val="21"/>
                <w:szCs w:val="21"/>
                <w:highlight w:val="none"/>
              </w:rPr>
              <w:t>以上人员能够满足</w:t>
            </w:r>
            <w:r>
              <w:rPr>
                <w:rFonts w:hint="eastAsia" w:ascii="宋体" w:hAnsi="宋体" w:eastAsia="宋体" w:cs="宋体"/>
                <w:color w:val="auto"/>
                <w:spacing w:val="15"/>
                <w:sz w:val="21"/>
                <w:szCs w:val="21"/>
                <w:highlight w:val="none"/>
                <w:lang w:eastAsia="zh-CN"/>
              </w:rPr>
              <w:t>道滘镇</w:t>
            </w:r>
            <w:r>
              <w:rPr>
                <w:rFonts w:hint="eastAsia" w:ascii="宋体" w:hAnsi="宋体" w:eastAsia="宋体" w:cs="宋体"/>
                <w:color w:val="auto"/>
                <w:spacing w:val="15"/>
                <w:sz w:val="21"/>
                <w:szCs w:val="21"/>
                <w:highlight w:val="none"/>
              </w:rPr>
              <w:t>政务服务中心服务时间要求。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7" w:type="pct"/>
            <w:tcBorders>
              <w:top w:val="double" w:color="auto" w:sz="4" w:space="0"/>
              <w:bottom w:val="single" w:color="auto" w:sz="4" w:space="0"/>
            </w:tcBorders>
            <w:vAlign w:val="center"/>
          </w:tcPr>
          <w:p>
            <w:pPr>
              <w:spacing w:beforeLines="20" w:afterLines="2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合计</w:t>
            </w:r>
          </w:p>
        </w:tc>
        <w:tc>
          <w:tcPr>
            <w:tcW w:w="4272" w:type="pct"/>
            <w:gridSpan w:val="3"/>
            <w:tcBorders>
              <w:top w:val="double" w:color="auto" w:sz="4" w:space="0"/>
              <w:bottom w:val="single" w:color="auto" w:sz="4" w:space="0"/>
            </w:tcBorders>
            <w:vAlign w:val="center"/>
          </w:tcPr>
          <w:p>
            <w:pPr>
              <w:keepNext/>
              <w:widowControl w:val="0"/>
              <w:adjustRightInd/>
              <w:snapToGrid/>
              <w:spacing w:beforeLines="20" w:afterLines="2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人</w:t>
            </w:r>
          </w:p>
        </w:tc>
      </w:tr>
    </w:tbl>
    <w:p>
      <w:pPr>
        <w:widowControl w:val="0"/>
        <w:adjustRightInd/>
        <w:snapToGrid/>
        <w:spacing w:after="0" w:line="240" w:lineRule="exact"/>
        <w:ind w:firstLine="420" w:firstLineChars="200"/>
        <w:jc w:val="both"/>
        <w:rPr>
          <w:rFonts w:ascii="宋体" w:hAnsi="宋体" w:eastAsia="宋体" w:cs="宋体"/>
          <w:bCs/>
          <w:color w:val="auto"/>
          <w:kern w:val="2"/>
          <w:sz w:val="21"/>
          <w:szCs w:val="21"/>
          <w:highlight w:val="none"/>
        </w:rPr>
      </w:pP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采购人有权视工作需要调整人员要求和数量，以上各岗位所示人数将根据实际服务需要作出调整。</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采购人可根据实际情况或需求，对服务人员岗位进行调整，中标人必须服从，且服务的人员必须符合采购人的要求。</w:t>
      </w:r>
    </w:p>
    <w:p>
      <w:pPr>
        <w:widowControl w:val="0"/>
        <w:adjustRightInd/>
        <w:snapToGrid/>
        <w:spacing w:beforeLines="50" w:afterLines="50" w:line="360" w:lineRule="auto"/>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六、服务费用</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本项目预算包括的费用项目如下：</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（一）基本费用：</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1.工资：服务人员按规定完成相关工作，可以根据岗位获得相应工资；</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2.五险</w:t>
      </w:r>
      <w:r>
        <w:rPr>
          <w:rFonts w:hint="eastAsia" w:ascii="宋体" w:hAnsi="宋体" w:cs="宋体"/>
          <w:bCs/>
          <w:color w:val="auto"/>
          <w:sz w:val="21"/>
          <w:szCs w:val="21"/>
          <w:highlight w:val="none"/>
          <w:lang w:val="en-US" w:eastAsia="zh-CN"/>
        </w:rPr>
        <w:t>一金</w:t>
      </w:r>
      <w:r>
        <w:rPr>
          <w:rFonts w:hint="eastAsia" w:ascii="宋体" w:hAnsi="宋体" w:eastAsia="宋体" w:cs="宋体"/>
          <w:bCs/>
          <w:color w:val="auto"/>
          <w:sz w:val="21"/>
          <w:szCs w:val="21"/>
          <w:highlight w:val="none"/>
        </w:rPr>
        <w:t>：中标人需按相关法律法规为服务人员缴纳社会保险</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公积金</w:t>
      </w:r>
      <w:r>
        <w:rPr>
          <w:rFonts w:hint="eastAsia" w:ascii="宋体" w:hAnsi="宋体" w:eastAsia="宋体" w:cs="宋体"/>
          <w:bCs/>
          <w:color w:val="auto"/>
          <w:sz w:val="21"/>
          <w:szCs w:val="21"/>
          <w:highlight w:val="none"/>
        </w:rPr>
        <w:t>；</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3.管理费及其他费用：涉及本项目的人员管理费用及其他费用（包括但不限于人员工资、社保、</w:t>
      </w:r>
      <w:r>
        <w:rPr>
          <w:rFonts w:hint="eastAsia" w:ascii="宋体" w:hAnsi="宋体" w:cs="宋体"/>
          <w:bCs/>
          <w:color w:val="auto"/>
          <w:sz w:val="21"/>
          <w:szCs w:val="21"/>
          <w:highlight w:val="none"/>
          <w:lang w:val="en-US" w:eastAsia="zh-CN"/>
        </w:rPr>
        <w:t>公积金、</w:t>
      </w:r>
      <w:r>
        <w:rPr>
          <w:rFonts w:hint="eastAsia" w:ascii="宋体" w:hAnsi="宋体" w:eastAsia="宋体" w:cs="宋体"/>
          <w:bCs/>
          <w:color w:val="auto"/>
          <w:sz w:val="21"/>
          <w:szCs w:val="21"/>
          <w:highlight w:val="none"/>
        </w:rPr>
        <w:t>意外险、残疾人就业保障金等）。</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（二）服务人员具体工资项目根据实际岗位在劳动合同内确定；</w:t>
      </w:r>
    </w:p>
    <w:p>
      <w:pPr>
        <w:tabs>
          <w:tab w:val="left" w:pos="426"/>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（三）可根据实际情况调整项目费用或工资项目，由采购人与中标人协商执行。</w:t>
      </w:r>
    </w:p>
    <w:p>
      <w:pPr>
        <w:widowControl w:val="0"/>
        <w:adjustRightInd/>
        <w:snapToGrid/>
        <w:spacing w:beforeLines="50" w:after="0" w:line="360" w:lineRule="auto"/>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七、违约责任</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1、未经采购人同意，中标人不得将承接项目发包或转包，否则，视为中标人违约，采购人可以上报监督管理部门后解除服务合同。</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、未经采购人同意，中标人不得随意更换服务人员，否则，视为中标人违约，采购人可以上报监督管理部门后解除服务合同。</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、由于中标人工作失误的原因，造成服务人员的经济损失，所产生的损失及后果由中标人承担。</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、若中标人在签订合同并生效后30天内未能按采购人要求安排服务人员签合同，则视为中标人主动违约，采购人有权终止合同。</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rPr>
        <w:t>、若中标人在服务某阶段时期内违反其服务承诺或本招标文件的要求三次或以上，则视为中标人违约，采购人有权拒绝支付本期项目服务费。</w:t>
      </w:r>
    </w:p>
    <w:p>
      <w:pPr>
        <w:widowControl w:val="0"/>
        <w:adjustRightInd/>
        <w:snapToGrid/>
        <w:spacing w:beforeLines="50" w:after="0" w:line="360" w:lineRule="auto"/>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八、对服务项目的监督和管理</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（一）各方职责：</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1、采购人为项目甲方角色，对中标人的服务实施活动进行全过程监督、检查和管理。负责项目的决策和总体监督，对项目的宏观的把握和整体推进。</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2、中标人为项目乙方角色，承担服务项目需求调研、具体的实施工作，受到采购人的监督和管理。</w:t>
      </w:r>
    </w:p>
    <w:p>
      <w:pPr>
        <w:tabs>
          <w:tab w:val="left" w:pos="420"/>
        </w:tabs>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服务项目要求：中标人必须就采购人提供的全部内容和服务要求做出回应，提供切合该服务项目的整体解决方案，并在项目范围内完成指定的工作和负责解决全部的业务问题。中标人必须对采购人提出的有关问题和置疑作出实质性的回应。</w:t>
      </w:r>
    </w:p>
    <w:p>
      <w:pPr>
        <w:widowControl w:val="0"/>
        <w:adjustRightInd/>
        <w:snapToGrid/>
        <w:spacing w:beforeLines="50" w:after="0" w:line="360" w:lineRule="auto"/>
        <w:ind w:firstLine="103" w:firstLineChars="49"/>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九、采购人配合条件</w:t>
      </w:r>
    </w:p>
    <w:p>
      <w:pPr>
        <w:spacing w:line="360" w:lineRule="auto"/>
        <w:ind w:firstLine="420" w:firstLineChars="200"/>
        <w:rPr>
          <w:rFonts w:hint="eastAsia" w:ascii="宋体" w:hAnsi="宋体" w:eastAsia="宋体" w:cs="宋体"/>
          <w:b/>
          <w:bCs/>
          <w:color w:val="auto"/>
          <w:kern w:val="0"/>
          <w:sz w:val="21"/>
          <w:szCs w:val="21"/>
          <w:highlight w:val="none"/>
          <w:lang w:val="zh-CN" w:bidi="zh-CN"/>
        </w:rPr>
      </w:pPr>
      <w:r>
        <w:rPr>
          <w:rFonts w:hint="eastAsia" w:ascii="宋体" w:hAnsi="宋体" w:eastAsia="宋体" w:cs="宋体"/>
          <w:bCs/>
          <w:color w:val="auto"/>
          <w:sz w:val="21"/>
          <w:szCs w:val="21"/>
          <w:highlight w:val="none"/>
        </w:rPr>
        <w:t>投标人在投标文件中要列明在项目实施过程中要求采购人提供的配合条件。</w:t>
      </w:r>
    </w:p>
    <w:p>
      <w:pPr>
        <w:keepNext w:val="0"/>
        <w:keepLines w:val="0"/>
        <w:pageBreakBefore w:val="0"/>
        <w:widowControl w:val="0"/>
        <w:kinsoku/>
        <w:wordWrap/>
        <w:overflowPunct/>
        <w:topLinePunct w:val="0"/>
        <w:autoSpaceDE w:val="0"/>
        <w:autoSpaceDN w:val="0"/>
        <w:bidi w:val="0"/>
        <w:adjustRightInd/>
        <w:snapToGrid/>
        <w:spacing w:line="360" w:lineRule="auto"/>
        <w:ind w:left="0" w:right="565" w:rightChars="269" w:firstLine="0" w:firstLineChars="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565" w:rightChars="269" w:firstLine="0" w:firstLineChars="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2"/>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r>
        <w:rPr>
          <w:rFonts w:hint="eastAsia" w:ascii="宋体" w:hAnsi="宋体" w:eastAsia="宋体" w:cs="宋体"/>
          <w:b/>
          <w:bCs/>
          <w:color w:val="auto"/>
          <w:kern w:val="0"/>
          <w:sz w:val="21"/>
          <w:szCs w:val="21"/>
          <w:highlight w:val="none"/>
          <w:lang w:val="zh-CN" w:bidi="zh-CN"/>
        </w:rPr>
        <w:br w:type="page"/>
      </w:r>
    </w:p>
    <w:p>
      <w:pPr>
        <w:pStyle w:val="3"/>
        <w:numPr>
          <w:ilvl w:val="0"/>
          <w:numId w:val="1"/>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spacing w:line="340" w:lineRule="exact"/>
              <w:jc w:val="center"/>
              <w:rPr>
                <w:rFonts w:hint="default" w:ascii="宋体" w:hAnsi="宋体" w:eastAsia="宋体" w:cs="宋体"/>
                <w:color w:val="auto"/>
                <w:kern w:val="2"/>
                <w:sz w:val="21"/>
                <w:szCs w:val="21"/>
                <w:highlight w:val="none"/>
                <w:lang w:val="en-US" w:eastAsia="zh-CN"/>
              </w:rPr>
            </w:pPr>
            <w:r>
              <w:rPr>
                <w:rFonts w:hint="eastAsia" w:ascii="Times New Roman" w:hAnsi="Times New Roman" w:eastAsia="宋体" w:cs="Times New Roman"/>
                <w:color w:val="auto"/>
                <w:szCs w:val="21"/>
                <w:highlight w:val="none"/>
                <w:lang w:eastAsia="zh-CN"/>
              </w:rPr>
              <w:t>供应商</w:t>
            </w:r>
            <w:r>
              <w:rPr>
                <w:rFonts w:ascii="Times New Roman" w:hAnsi="Times New Roman" w:eastAsia="宋体" w:cs="Times New Roman"/>
                <w:color w:val="auto"/>
                <w:szCs w:val="21"/>
                <w:highlight w:val="none"/>
              </w:rPr>
              <w:t>实力</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kern w:val="2"/>
                <w:sz w:val="21"/>
                <w:szCs w:val="21"/>
                <w:highlight w:val="none"/>
                <w:lang w:val="en-US" w:eastAsia="zh-CN"/>
              </w:rPr>
            </w:pPr>
            <w:r>
              <w:rPr>
                <w:rFonts w:ascii="Times New Roman" w:hAnsi="Times New Roman" w:eastAsia="宋体" w:cs="Times New Roman"/>
                <w:color w:val="auto"/>
                <w:szCs w:val="21"/>
                <w:highlight w:val="none"/>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Lines="20" w:afterLines="20"/>
              <w:ind w:firstLine="420" w:firstLineChars="200"/>
              <w:rPr>
                <w:rFonts w:ascii="Times New Roman" w:hAnsi="Times New Roman" w:eastAsia="宋体" w:cs="Times New Roman"/>
                <w:color w:val="auto"/>
                <w:szCs w:val="21"/>
                <w:highlight w:val="none"/>
                <w:lang w:val="zh-CN" w:bidi="zh-CN"/>
              </w:rPr>
            </w:pPr>
            <w:r>
              <w:rPr>
                <w:rFonts w:hint="eastAsia" w:ascii="Times New Roman" w:hAnsi="Times New Roman" w:eastAsia="宋体" w:cs="Times New Roman"/>
                <w:color w:val="auto"/>
                <w:szCs w:val="21"/>
                <w:highlight w:val="none"/>
                <w:lang w:eastAsia="zh-CN"/>
              </w:rPr>
              <w:t>供应商</w:t>
            </w:r>
            <w:r>
              <w:rPr>
                <w:rFonts w:ascii="Times New Roman" w:hAnsi="Times New Roman" w:eastAsia="宋体" w:cs="Times New Roman"/>
                <w:color w:val="auto"/>
                <w:szCs w:val="21"/>
                <w:highlight w:val="none"/>
              </w:rPr>
              <w:t>具有由国家认证认可监督管理部门批准设立的认证机构颁发并在有效期内：</w:t>
            </w:r>
          </w:p>
          <w:p>
            <w:pPr>
              <w:spacing w:beforeLines="20" w:afterLines="20"/>
              <w:ind w:firstLine="420" w:firstLineChars="200"/>
              <w:rPr>
                <w:rFonts w:ascii="Times New Roman" w:hAnsi="Times New Roman" w:eastAsia="宋体" w:cs="Times New Roman"/>
                <w:color w:val="auto"/>
                <w:szCs w:val="21"/>
                <w:highlight w:val="none"/>
                <w:lang w:val="zh-CN" w:bidi="zh-CN"/>
              </w:rPr>
            </w:pPr>
            <w:r>
              <w:rPr>
                <w:rFonts w:ascii="Times New Roman" w:hAnsi="Times New Roman" w:eastAsia="宋体" w:cs="Times New Roman"/>
                <w:color w:val="auto"/>
                <w:szCs w:val="21"/>
                <w:highlight w:val="none"/>
                <w:lang w:val="zh-CN" w:bidi="zh-CN"/>
              </w:rPr>
              <w:t>售后服务认证证书得3分；</w:t>
            </w:r>
          </w:p>
          <w:p>
            <w:pPr>
              <w:spacing w:beforeLines="20" w:afterLines="20"/>
              <w:ind w:firstLine="420" w:firstLineChars="200"/>
              <w:rPr>
                <w:rFonts w:ascii="Times New Roman" w:hAnsi="Times New Roman" w:eastAsia="宋体" w:cs="Times New Roman"/>
                <w:color w:val="auto"/>
                <w:szCs w:val="21"/>
                <w:highlight w:val="none"/>
                <w:lang w:val="zh-CN" w:bidi="zh-CN"/>
              </w:rPr>
            </w:pPr>
            <w:r>
              <w:rPr>
                <w:rFonts w:ascii="Times New Roman" w:hAnsi="Times New Roman" w:eastAsia="宋体" w:cs="Times New Roman"/>
                <w:color w:val="auto"/>
                <w:szCs w:val="21"/>
                <w:highlight w:val="none"/>
                <w:lang w:val="zh-CN" w:bidi="zh-CN"/>
              </w:rPr>
              <w:t>诚信管理体系认证证书得3分；</w:t>
            </w:r>
          </w:p>
          <w:p>
            <w:pPr>
              <w:spacing w:beforeLines="20" w:afterLines="20"/>
              <w:ind w:firstLine="420" w:firstLineChars="200"/>
              <w:rPr>
                <w:rFonts w:ascii="Times New Roman" w:hAnsi="Times New Roman" w:eastAsia="宋体" w:cs="Times New Roman"/>
                <w:color w:val="auto"/>
                <w:szCs w:val="21"/>
                <w:highlight w:val="none"/>
                <w:lang w:val="zh-CN" w:bidi="zh-CN"/>
              </w:rPr>
            </w:pPr>
            <w:r>
              <w:rPr>
                <w:rFonts w:ascii="Times New Roman" w:hAnsi="Times New Roman" w:eastAsia="宋体" w:cs="Times New Roman"/>
                <w:color w:val="auto"/>
                <w:szCs w:val="21"/>
                <w:highlight w:val="none"/>
                <w:lang w:val="zh-CN" w:bidi="zh-CN"/>
              </w:rPr>
              <w:t>社会责任管理体系认证证书得3分；</w:t>
            </w:r>
          </w:p>
          <w:p>
            <w:pPr>
              <w:spacing w:beforeLines="20" w:afterLines="20"/>
              <w:ind w:firstLine="420" w:firstLineChars="200"/>
              <w:rPr>
                <w:rFonts w:ascii="Times New Roman" w:hAnsi="Times New Roman" w:eastAsia="宋体" w:cs="Times New Roman"/>
                <w:color w:val="auto"/>
                <w:szCs w:val="21"/>
                <w:highlight w:val="none"/>
                <w:lang w:val="zh-CN" w:bidi="zh-CN"/>
              </w:rPr>
            </w:pPr>
            <w:r>
              <w:rPr>
                <w:rFonts w:ascii="Times New Roman" w:hAnsi="Times New Roman" w:eastAsia="宋体" w:cs="Times New Roman"/>
                <w:color w:val="auto"/>
                <w:szCs w:val="21"/>
                <w:highlight w:val="none"/>
                <w:lang w:val="zh-CN" w:bidi="zh-CN"/>
              </w:rPr>
              <w:t>信息安全管理体系认证证书得3分；</w:t>
            </w:r>
          </w:p>
          <w:p>
            <w:pPr>
              <w:spacing w:beforeLines="20" w:afterLines="20"/>
              <w:ind w:firstLine="420" w:firstLineChars="200"/>
              <w:rPr>
                <w:rFonts w:ascii="Times New Roman" w:hAnsi="Times New Roman" w:eastAsia="宋体" w:cs="Times New Roman"/>
                <w:color w:val="auto"/>
                <w:szCs w:val="21"/>
                <w:highlight w:val="none"/>
                <w:lang w:val="zh-CN" w:bidi="zh-CN"/>
              </w:rPr>
            </w:pPr>
            <w:r>
              <w:rPr>
                <w:rFonts w:ascii="Times New Roman" w:hAnsi="Times New Roman" w:eastAsia="宋体" w:cs="Times New Roman"/>
                <w:color w:val="auto"/>
                <w:szCs w:val="21"/>
                <w:highlight w:val="none"/>
              </w:rPr>
              <w:t>质量管理体系认证证书得3分；</w:t>
            </w:r>
          </w:p>
          <w:p>
            <w:pPr>
              <w:spacing w:beforeLines="20" w:afterLines="20"/>
              <w:ind w:firstLine="414" w:firstLineChars="200"/>
              <w:rPr>
                <w:rFonts w:hint="eastAsia" w:ascii="宋体" w:hAnsi="宋体" w:eastAsia="宋体" w:cs="宋体"/>
                <w:bCs/>
                <w:color w:val="auto"/>
                <w:sz w:val="21"/>
                <w:szCs w:val="21"/>
                <w:highlight w:val="none"/>
                <w:lang w:val="zh-CN" w:eastAsia="zh-CN"/>
              </w:rPr>
            </w:pPr>
            <w:r>
              <w:rPr>
                <w:rFonts w:ascii="Times New Roman" w:hAnsi="Times New Roman" w:eastAsia="宋体" w:cs="Times New Roman"/>
                <w:b/>
                <w:bCs/>
                <w:color w:val="auto"/>
                <w:spacing w:val="-2"/>
                <w:szCs w:val="21"/>
                <w:highlight w:val="none"/>
              </w:rPr>
              <w:t>注：每提供一个得对应分数，最高得1</w:t>
            </w:r>
            <w:r>
              <w:rPr>
                <w:rFonts w:hint="eastAsia" w:ascii="Times New Roman" w:hAnsi="Times New Roman" w:eastAsia="宋体" w:cs="Times New Roman"/>
                <w:b/>
                <w:bCs/>
                <w:color w:val="auto"/>
                <w:spacing w:val="-2"/>
                <w:szCs w:val="21"/>
                <w:highlight w:val="none"/>
              </w:rPr>
              <w:t>5</w:t>
            </w:r>
            <w:r>
              <w:rPr>
                <w:rFonts w:ascii="Times New Roman" w:hAnsi="Times New Roman" w:eastAsia="宋体" w:cs="Times New Roman"/>
                <w:b/>
                <w:bCs/>
                <w:color w:val="auto"/>
                <w:spacing w:val="-2"/>
                <w:szCs w:val="21"/>
                <w:highlight w:val="none"/>
              </w:rPr>
              <w:t>分；</w:t>
            </w:r>
            <w:r>
              <w:rPr>
                <w:rFonts w:ascii="Times New Roman" w:hAnsi="Times New Roman" w:eastAsia="宋体" w:cs="Times New Roman"/>
                <w:b/>
                <w:color w:val="auto"/>
                <w:szCs w:val="21"/>
                <w:highlight w:val="none"/>
              </w:rPr>
              <w:t>须提供以上相关证书复印件加盖</w:t>
            </w:r>
            <w:r>
              <w:rPr>
                <w:rFonts w:hint="eastAsia" w:ascii="Times New Roman" w:hAnsi="Times New Roman" w:eastAsia="宋体" w:cs="Times New Roman"/>
                <w:b/>
                <w:color w:val="auto"/>
                <w:szCs w:val="21"/>
                <w:highlight w:val="none"/>
                <w:lang w:eastAsia="zh-CN"/>
              </w:rPr>
              <w:t>供应商</w:t>
            </w:r>
            <w:r>
              <w:rPr>
                <w:rFonts w:ascii="Times New Roman" w:hAnsi="Times New Roman" w:eastAsia="宋体" w:cs="Times New Roman"/>
                <w:b/>
                <w:color w:val="auto"/>
                <w:szCs w:val="21"/>
                <w:highlight w:val="none"/>
              </w:rPr>
              <w:t>公章，且所有证件必须在有效期内。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21"/>
                <w:szCs w:val="21"/>
                <w:highlight w:val="none"/>
                <w:lang w:val="en-US" w:eastAsia="zh-CN"/>
              </w:rPr>
            </w:pPr>
            <w:r>
              <w:rPr>
                <w:rFonts w:ascii="Times New Roman" w:hAnsi="Times New Roman" w:eastAsia="宋体" w:cs="Times New Roman"/>
                <w:color w:val="auto"/>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宋体" w:hAnsi="宋体" w:eastAsia="宋体" w:cs="宋体"/>
                <w:color w:val="auto"/>
                <w:kern w:val="2"/>
                <w:sz w:val="21"/>
                <w:szCs w:val="21"/>
                <w:highlight w:val="none"/>
                <w:lang w:val="en-US" w:eastAsia="zh-CN"/>
              </w:rPr>
            </w:pPr>
            <w:r>
              <w:rPr>
                <w:rFonts w:ascii="Times New Roman" w:hAnsi="Times New Roman" w:eastAsia="宋体" w:cs="Times New Roman"/>
                <w:color w:val="auto"/>
                <w:szCs w:val="21"/>
                <w:highlight w:val="none"/>
              </w:rPr>
              <w:t>20分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Lines="20" w:afterLines="20"/>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供应商</w:t>
            </w:r>
            <w:r>
              <w:rPr>
                <w:rFonts w:ascii="Times New Roman" w:hAnsi="Times New Roman" w:eastAsia="宋体" w:cs="Times New Roman"/>
                <w:color w:val="auto"/>
                <w:szCs w:val="21"/>
                <w:highlight w:val="none"/>
              </w:rPr>
              <w:t>自2019年1月1日（以合同签订时间为准）以来具有人力资源服务类业绩进行评审，每提供一项得1分，满分20分。</w:t>
            </w:r>
          </w:p>
          <w:p>
            <w:pPr>
              <w:spacing w:beforeLines="20" w:afterLines="20"/>
              <w:ind w:firstLine="420" w:firstLineChars="200"/>
              <w:rPr>
                <w:rFonts w:hint="default" w:ascii="宋体" w:hAnsi="宋体" w:eastAsia="宋体" w:cs="宋体"/>
                <w:bCs/>
                <w:color w:val="auto"/>
                <w:sz w:val="21"/>
                <w:szCs w:val="21"/>
                <w:highlight w:val="none"/>
                <w:lang w:val="en-US" w:eastAsia="zh-CN"/>
              </w:rPr>
            </w:pPr>
            <w:r>
              <w:rPr>
                <w:rFonts w:ascii="Times New Roman" w:hAnsi="Times New Roman" w:eastAsia="宋体" w:cs="Times New Roman"/>
                <w:color w:val="auto"/>
                <w:szCs w:val="21"/>
                <w:highlight w:val="none"/>
              </w:rPr>
              <w:t>注：须提供合同关键页复印件及对应项目的中标通知书及相关合同项目1个月的服务费发票复印件加盖</w:t>
            </w:r>
            <w:r>
              <w:rPr>
                <w:rFonts w:hint="eastAsia" w:ascii="Times New Roman" w:hAnsi="Times New Roman" w:eastAsia="宋体" w:cs="Times New Roman"/>
                <w:color w:val="auto"/>
                <w:szCs w:val="21"/>
                <w:highlight w:val="none"/>
                <w:lang w:eastAsia="zh-CN"/>
              </w:rPr>
              <w:t>供应商</w:t>
            </w:r>
            <w:r>
              <w:rPr>
                <w:rFonts w:ascii="Times New Roman" w:hAnsi="Times New Roman" w:eastAsia="宋体" w:cs="Times New Roman"/>
                <w:color w:val="auto"/>
                <w:szCs w:val="21"/>
                <w:highlight w:val="none"/>
              </w:rPr>
              <w:t>公章。（包括合同名称、合同时间、内容范围、签字盖章页等）；同一项目的框架合同与单项定单合同不重复计算，如有重复，以单项定单合同为准。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55分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rPr>
            </w:pPr>
            <w:r>
              <w:rPr>
                <w:rFonts w:ascii="Times New Roman" w:hAnsi="Times New Roman" w:eastAsia="宋体" w:cs="Times New Roman"/>
                <w:color w:val="auto"/>
                <w:szCs w:val="21"/>
                <w:highlight w:val="none"/>
              </w:rPr>
              <w:t>项目总体服务方案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hint="default" w:ascii="宋体" w:hAnsi="宋体" w:eastAsia="宋体" w:cs="宋体"/>
                <w:color w:val="auto"/>
                <w:kern w:val="2"/>
                <w:sz w:val="21"/>
                <w:szCs w:val="21"/>
                <w:highlight w:val="none"/>
                <w:lang w:val="en-US" w:eastAsia="zh-CN"/>
              </w:rPr>
            </w:pPr>
            <w:r>
              <w:rPr>
                <w:rFonts w:ascii="Times New Roman" w:hAnsi="Times New Roman" w:eastAsia="宋体" w:cs="Times New Roman"/>
                <w:color w:val="auto"/>
                <w:szCs w:val="21"/>
                <w:highlight w:val="none"/>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w:t>
            </w:r>
            <w:r>
              <w:rPr>
                <w:rFonts w:hint="eastAsia" w:ascii="Times New Roman" w:hAnsi="Times New Roman" w:eastAsia="宋体" w:cs="Times New Roman"/>
                <w:color w:val="auto"/>
                <w:szCs w:val="21"/>
                <w:highlight w:val="none"/>
                <w:lang w:eastAsia="zh-CN"/>
              </w:rPr>
              <w:t>供应商</w:t>
            </w:r>
            <w:r>
              <w:rPr>
                <w:rFonts w:ascii="Times New Roman" w:hAnsi="Times New Roman" w:eastAsia="宋体" w:cs="Times New Roman"/>
                <w:color w:val="auto"/>
                <w:szCs w:val="21"/>
                <w:highlight w:val="none"/>
              </w:rPr>
              <w:t>所提供的服务内容、服务流程、管理服务架构、方法及人员档案/薪资管理等方案进行评审：</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服务内容、服务流程、管理服务架构、方法及人员档案/薪资管理等方案非常符合实际，非常具体详细，可行性、科学性非常高，对项目研究的工作思路、方法非常清晰，得15分；</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服务内容、服务流程、管理服务架构、方法及人员档案/薪资管理等方案较符合实际，较具体详细，可行性、科学性较高，对项目研究的工作思路、方法较清晰，得10分；</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服务内容、服务流程、管理服务架构、方法及人员档案/薪资管理等方案符合实际，具体详细，可行性、科学性高，对项目研究的工作思路、方法清晰，得5分；</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服务内容、服务流程、管理服务架构、方法及人员档案/薪资管理等方案不太符合实际，不太具体详细，可行性、科学性较低，对项目研究的工作思路、方法较笼统，得1分；</w:t>
            </w:r>
          </w:p>
          <w:p>
            <w:pPr>
              <w:spacing w:beforeLines="20" w:afterLines="20"/>
              <w:ind w:firstLine="420" w:firstLineChars="200"/>
              <w:rPr>
                <w:rFonts w:hint="eastAsia" w:ascii="宋体" w:hAnsi="宋体" w:eastAsia="宋体" w:cs="宋体"/>
                <w:bCs/>
                <w:color w:val="auto"/>
                <w:sz w:val="21"/>
                <w:szCs w:val="21"/>
                <w:highlight w:val="none"/>
              </w:rPr>
            </w:pPr>
            <w:r>
              <w:rPr>
                <w:rFonts w:ascii="Times New Roman" w:hAnsi="Times New Roman" w:eastAsia="宋体" w:cs="Times New Roman"/>
                <w:color w:val="auto"/>
                <w:szCs w:val="21"/>
                <w:highlight w:val="none"/>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2"/>
                <w:sz w:val="21"/>
                <w:szCs w:val="21"/>
                <w:highlight w:val="none"/>
              </w:rPr>
            </w:pPr>
            <w:r>
              <w:rPr>
                <w:rFonts w:ascii="Times New Roman" w:hAnsi="Times New Roman" w:eastAsia="宋体" w:cs="Times New Roman"/>
                <w:color w:val="auto"/>
                <w:szCs w:val="21"/>
                <w:highlight w:val="none"/>
              </w:rPr>
              <w:t>人员管理方案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kern w:val="2"/>
                <w:sz w:val="21"/>
                <w:szCs w:val="21"/>
                <w:highlight w:val="none"/>
                <w:lang w:val="en-US" w:eastAsia="zh-CN"/>
              </w:rPr>
            </w:pPr>
            <w:r>
              <w:rPr>
                <w:rFonts w:ascii="Times New Roman" w:hAnsi="Times New Roman" w:eastAsia="宋体" w:cs="Times New Roman"/>
                <w:color w:val="auto"/>
                <w:szCs w:val="21"/>
                <w:highlight w:val="none"/>
              </w:rPr>
              <w:t>12分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w:t>
            </w:r>
            <w:r>
              <w:rPr>
                <w:rFonts w:hint="eastAsia" w:ascii="Times New Roman" w:hAnsi="Times New Roman" w:eastAsia="宋体" w:cs="Times New Roman"/>
                <w:color w:val="auto"/>
                <w:szCs w:val="21"/>
                <w:highlight w:val="none"/>
                <w:lang w:eastAsia="zh-CN"/>
              </w:rPr>
              <w:t>供应商</w:t>
            </w:r>
            <w:r>
              <w:rPr>
                <w:rFonts w:ascii="Times New Roman" w:hAnsi="Times New Roman" w:eastAsia="宋体" w:cs="Times New Roman"/>
                <w:color w:val="auto"/>
                <w:szCs w:val="21"/>
                <w:highlight w:val="none"/>
              </w:rPr>
              <w:t>所提供人员管理方案（含人员培训、监督考核、补给、调配等）进行综合评审：</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人员管理方案非常先进合理，协调性非常高，得12分；</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人员管理方案较先进合理，协调性较高，得8分；</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人员管理方案先进合理，协调性高，得4分；</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人员管理方案欠缺，协调性较差，得1分；</w:t>
            </w:r>
          </w:p>
          <w:p>
            <w:pPr>
              <w:spacing w:beforeLines="20" w:afterLines="20"/>
              <w:ind w:firstLine="420" w:firstLineChars="200"/>
              <w:rPr>
                <w:rFonts w:hint="eastAsia" w:ascii="宋体" w:hAnsi="宋体" w:eastAsia="宋体" w:cs="宋体"/>
                <w:bCs/>
                <w:color w:val="auto"/>
                <w:sz w:val="21"/>
                <w:szCs w:val="21"/>
                <w:highlight w:val="none"/>
                <w:lang w:val="zh-CN"/>
              </w:rPr>
            </w:pPr>
            <w:r>
              <w:rPr>
                <w:rFonts w:ascii="Times New Roman" w:hAnsi="Times New Roman" w:eastAsia="宋体" w:cs="Times New Roman"/>
                <w:color w:val="auto"/>
                <w:szCs w:val="21"/>
                <w:highlight w:val="none"/>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kern w:val="2"/>
                <w:sz w:val="21"/>
                <w:szCs w:val="21"/>
                <w:highlight w:val="none"/>
              </w:rPr>
            </w:pPr>
            <w:r>
              <w:rPr>
                <w:rFonts w:ascii="Times New Roman" w:hAnsi="Times New Roman" w:eastAsia="宋体" w:cs="Times New Roman"/>
                <w:color w:val="auto"/>
                <w:szCs w:val="21"/>
                <w:highlight w:val="none"/>
              </w:rPr>
              <w:t>内部管理制度</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kern w:val="2"/>
                <w:sz w:val="21"/>
                <w:szCs w:val="21"/>
                <w:highlight w:val="none"/>
              </w:rPr>
            </w:pPr>
            <w:r>
              <w:rPr>
                <w:rFonts w:ascii="Times New Roman" w:hAnsi="Times New Roman" w:eastAsia="宋体" w:cs="Times New Roman"/>
                <w:color w:val="auto"/>
                <w:szCs w:val="21"/>
                <w:highlight w:val="none"/>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w:t>
            </w:r>
            <w:r>
              <w:rPr>
                <w:rFonts w:hint="eastAsia" w:ascii="Times New Roman" w:hAnsi="Times New Roman" w:eastAsia="宋体" w:cs="Times New Roman"/>
                <w:color w:val="auto"/>
                <w:szCs w:val="21"/>
                <w:highlight w:val="none"/>
                <w:lang w:eastAsia="zh-CN"/>
              </w:rPr>
              <w:t>供应商</w:t>
            </w:r>
            <w:r>
              <w:rPr>
                <w:rFonts w:ascii="Times New Roman" w:hAnsi="Times New Roman" w:eastAsia="宋体" w:cs="Times New Roman"/>
                <w:color w:val="auto"/>
                <w:szCs w:val="21"/>
                <w:highlight w:val="none"/>
              </w:rPr>
              <w:t>提供的内部管理制度的合理性、科学性、全面性以及是否适用进行综合评审：</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制度非常完整合理、科学性、全面性、可行性非常强，完全满足并优于招标文件要求，得10分；</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制度完整、科学性、全面性、可行性较强，满足招标文件要求，得7分；</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制度基本完整、科学性、全面性、可行性强，基本符合招标文件要求，得4分；</w:t>
            </w:r>
          </w:p>
          <w:p>
            <w:pPr>
              <w:spacing w:beforeLines="20" w:afterLines="20"/>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制度不完整、科学性、全面性、可行性一般，不符合招标文件要求，得1分；</w:t>
            </w:r>
          </w:p>
          <w:p>
            <w:pPr>
              <w:spacing w:beforeLines="20" w:afterLines="20"/>
              <w:ind w:firstLine="420" w:firstLineChars="200"/>
              <w:rPr>
                <w:rFonts w:hint="eastAsia" w:ascii="宋体" w:hAnsi="宋体" w:eastAsia="宋体" w:cs="宋体"/>
                <w:bCs/>
                <w:color w:val="auto"/>
                <w:sz w:val="21"/>
                <w:szCs w:val="21"/>
                <w:highlight w:val="none"/>
                <w:lang w:val="zh-CN"/>
              </w:rPr>
            </w:pPr>
            <w:r>
              <w:rPr>
                <w:rFonts w:ascii="Times New Roman" w:hAnsi="Times New Roman" w:eastAsia="宋体" w:cs="Times New Roman"/>
                <w:color w:val="auto"/>
                <w:szCs w:val="21"/>
                <w:highlight w:val="none"/>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8610"/>
              </w:tabs>
              <w:spacing w:line="340" w:lineRule="exact"/>
              <w:jc w:val="center"/>
              <w:rPr>
                <w:rFonts w:hint="eastAsia" w:ascii="宋体" w:hAnsi="宋体" w:eastAsia="宋体" w:cs="宋体"/>
                <w:color w:val="auto"/>
                <w:kern w:val="2"/>
                <w:sz w:val="21"/>
                <w:szCs w:val="21"/>
                <w:highlight w:val="none"/>
              </w:rPr>
            </w:pPr>
            <w:r>
              <w:rPr>
                <w:rFonts w:ascii="Times New Roman" w:hAnsi="Times New Roman" w:eastAsia="宋体" w:cs="Times New Roman"/>
                <w:color w:val="auto"/>
                <w:szCs w:val="21"/>
                <w:highlight w:val="none"/>
              </w:rPr>
              <w:t>技术力量</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kern w:val="2"/>
                <w:sz w:val="21"/>
                <w:szCs w:val="21"/>
                <w:highlight w:val="none"/>
              </w:rPr>
            </w:pPr>
            <w:r>
              <w:rPr>
                <w:rFonts w:ascii="Times New Roman" w:hAnsi="Times New Roman" w:eastAsia="宋体" w:cs="Times New Roman"/>
                <w:color w:val="auto"/>
                <w:szCs w:val="21"/>
                <w:highlight w:val="none"/>
              </w:rPr>
              <w:t>13分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Lines="20" w:afterLines="20"/>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1、拟投入本项目的项目负责人（仅一人）进行评审：</w:t>
            </w:r>
          </w:p>
          <w:p>
            <w:pPr>
              <w:spacing w:beforeLines="20" w:afterLines="20"/>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具有市级（含市级）以上人力资源局（人社局）颁发的客户服务管理师二级（或以上）证书、档案中级（或以上）职称证书、人力资源服务业从业资格证书，符合以上三项的，得6分，其他情况不得分：</w:t>
            </w:r>
          </w:p>
          <w:p>
            <w:pPr>
              <w:spacing w:beforeLines="20" w:afterLines="20"/>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2、拟投入本项目的技术人员（项目负责人除外）：</w:t>
            </w:r>
          </w:p>
          <w:p>
            <w:pPr>
              <w:spacing w:beforeLines="20" w:afterLines="20"/>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①提供一个市级（含市级）以上人力资源局（人社局）颁发的档案中级（或以上）职称证书的得4分，满分4分；</w:t>
            </w:r>
          </w:p>
          <w:p>
            <w:pPr>
              <w:spacing w:beforeLines="20" w:afterLines="20"/>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②提供一名高级人力资源法务师的得3分，满分3分；</w:t>
            </w:r>
          </w:p>
          <w:p>
            <w:pPr>
              <w:spacing w:beforeLines="20" w:afterLines="20"/>
              <w:ind w:firstLine="414" w:firstLineChars="200"/>
              <w:rPr>
                <w:rFonts w:hint="eastAsia" w:ascii="宋体" w:hAnsi="宋体" w:eastAsia="宋体" w:cs="宋体"/>
                <w:bCs/>
                <w:color w:val="auto"/>
                <w:sz w:val="21"/>
                <w:szCs w:val="21"/>
                <w:highlight w:val="none"/>
              </w:rPr>
            </w:pPr>
            <w:r>
              <w:rPr>
                <w:rFonts w:ascii="Times New Roman" w:hAnsi="Times New Roman" w:eastAsia="宋体" w:cs="Times New Roman"/>
                <w:b/>
                <w:bCs/>
                <w:color w:val="auto"/>
                <w:spacing w:val="-2"/>
                <w:szCs w:val="21"/>
                <w:highlight w:val="none"/>
              </w:rPr>
              <w:t>注：</w:t>
            </w:r>
            <w:r>
              <w:rPr>
                <w:rFonts w:ascii="Times New Roman" w:hAnsi="Times New Roman" w:eastAsia="宋体" w:cs="Times New Roman"/>
                <w:b/>
                <w:bCs/>
                <w:color w:val="auto"/>
                <w:szCs w:val="21"/>
                <w:highlight w:val="none"/>
              </w:rPr>
              <w:t>同一人员不能重复得分，须提供人员证书复印件加盖</w:t>
            </w:r>
            <w:r>
              <w:rPr>
                <w:rFonts w:hint="eastAsia" w:ascii="Times New Roman" w:hAnsi="Times New Roman" w:eastAsia="宋体" w:cs="Times New Roman"/>
                <w:b/>
                <w:bCs/>
                <w:color w:val="auto"/>
                <w:szCs w:val="21"/>
                <w:highlight w:val="none"/>
                <w:lang w:eastAsia="zh-CN"/>
              </w:rPr>
              <w:t>供应商</w:t>
            </w:r>
            <w:r>
              <w:rPr>
                <w:rFonts w:ascii="Times New Roman" w:hAnsi="Times New Roman" w:eastAsia="宋体" w:cs="Times New Roman"/>
                <w:b/>
                <w:bCs/>
                <w:color w:val="auto"/>
                <w:szCs w:val="21"/>
                <w:highlight w:val="none"/>
              </w:rPr>
              <w:t>公章以及投标截止日前6个月中连续3个月的</w:t>
            </w:r>
            <w:r>
              <w:rPr>
                <w:rFonts w:hint="eastAsia" w:ascii="Times New Roman" w:hAnsi="Times New Roman" w:eastAsia="宋体" w:cs="Times New Roman"/>
                <w:b/>
                <w:bCs/>
                <w:color w:val="auto"/>
                <w:szCs w:val="21"/>
                <w:highlight w:val="none"/>
                <w:lang w:eastAsia="zh-CN"/>
              </w:rPr>
              <w:t>供应商</w:t>
            </w:r>
            <w:r>
              <w:rPr>
                <w:rFonts w:ascii="Times New Roman" w:hAnsi="Times New Roman" w:eastAsia="宋体" w:cs="Times New Roman"/>
                <w:b/>
                <w:bCs/>
                <w:color w:val="auto"/>
                <w:szCs w:val="21"/>
                <w:highlight w:val="none"/>
              </w:rPr>
              <w:t>为其缴纳的社保证明复印件加盖</w:t>
            </w:r>
            <w:r>
              <w:rPr>
                <w:rFonts w:hint="eastAsia" w:ascii="Times New Roman" w:hAnsi="Times New Roman" w:eastAsia="宋体" w:cs="Times New Roman"/>
                <w:b/>
                <w:bCs/>
                <w:color w:val="auto"/>
                <w:szCs w:val="21"/>
                <w:highlight w:val="none"/>
                <w:lang w:eastAsia="zh-CN"/>
              </w:rPr>
              <w:t>供应商</w:t>
            </w:r>
            <w:r>
              <w:rPr>
                <w:rFonts w:ascii="Times New Roman" w:hAnsi="Times New Roman" w:eastAsia="宋体" w:cs="Times New Roman"/>
                <w:b/>
                <w:bCs/>
                <w:color w:val="auto"/>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8610"/>
              </w:tabs>
              <w:spacing w:line="340" w:lineRule="exact"/>
              <w:jc w:val="center"/>
              <w:rPr>
                <w:rFonts w:hint="eastAsia" w:ascii="宋体" w:hAnsi="宋体" w:eastAsia="宋体" w:cs="宋体"/>
                <w:color w:val="auto"/>
                <w:kern w:val="2"/>
                <w:sz w:val="21"/>
                <w:szCs w:val="21"/>
                <w:highlight w:val="none"/>
              </w:rPr>
            </w:pPr>
            <w:r>
              <w:rPr>
                <w:rFonts w:ascii="Times New Roman" w:hAnsi="Times New Roman" w:eastAsia="宋体" w:cs="Times New Roman"/>
                <w:bCs/>
                <w:color w:val="auto"/>
                <w:szCs w:val="21"/>
                <w:highlight w:val="none"/>
              </w:rPr>
              <w:t>客户服务及关系维护方案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kern w:val="2"/>
                <w:sz w:val="21"/>
                <w:szCs w:val="21"/>
                <w:highlight w:val="none"/>
              </w:rPr>
            </w:pPr>
            <w:r>
              <w:rPr>
                <w:rFonts w:ascii="Times New Roman" w:hAnsi="Times New Roman" w:eastAsia="宋体" w:cs="Times New Roman"/>
                <w:color w:val="auto"/>
                <w:szCs w:val="21"/>
                <w:highlight w:val="none"/>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Lines="20" w:afterLines="20"/>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根据</w:t>
            </w:r>
            <w:r>
              <w:rPr>
                <w:rFonts w:hint="eastAsia" w:ascii="Times New Roman" w:hAnsi="Times New Roman" w:eastAsia="宋体" w:cs="Times New Roman"/>
                <w:bCs/>
                <w:color w:val="auto"/>
                <w:szCs w:val="21"/>
                <w:highlight w:val="none"/>
                <w:lang w:eastAsia="zh-CN"/>
              </w:rPr>
              <w:t>供应商</w:t>
            </w:r>
            <w:r>
              <w:rPr>
                <w:rFonts w:ascii="Times New Roman" w:hAnsi="Times New Roman" w:eastAsia="宋体" w:cs="Times New Roman"/>
                <w:bCs/>
                <w:color w:val="auto"/>
                <w:szCs w:val="21"/>
                <w:highlight w:val="none"/>
              </w:rPr>
              <w:t>所提供客户服务及关系维护方案（含劳动争议处理、风险防范、增值服务等）进行评审：</w:t>
            </w:r>
          </w:p>
          <w:p>
            <w:pPr>
              <w:spacing w:beforeLines="20" w:afterLines="20"/>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客户服务及关系维护方案非常严谨合理、明确，针对性非常强，可行性、有效性非常高，得5分；</w:t>
            </w:r>
          </w:p>
          <w:p>
            <w:pPr>
              <w:spacing w:beforeLines="20" w:afterLines="20"/>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客户服务及关系维护方案严谨合理、明确，针对性较强，可行性、有效性较高，得3分；</w:t>
            </w:r>
          </w:p>
          <w:p>
            <w:pPr>
              <w:spacing w:beforeLines="20" w:afterLines="20"/>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客户服务及关系维护方案较为严谨合理、明确，针对性强，可行性、有效性高，得2分；</w:t>
            </w:r>
          </w:p>
          <w:p>
            <w:pPr>
              <w:spacing w:beforeLines="20" w:afterLines="20"/>
              <w:ind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客户服务及关系维护方案不太严谨合理、明确，针对性一般，可行性、有效性一般，得1分；</w:t>
            </w:r>
          </w:p>
          <w:p>
            <w:pPr>
              <w:spacing w:beforeLines="20" w:afterLines="20"/>
              <w:ind w:firstLine="420" w:firstLineChars="200"/>
              <w:rPr>
                <w:rFonts w:hint="eastAsia" w:ascii="宋体" w:hAnsi="宋体" w:eastAsia="宋体" w:cs="宋体"/>
                <w:bCs/>
                <w:color w:val="auto"/>
                <w:sz w:val="21"/>
                <w:szCs w:val="21"/>
                <w:highlight w:val="none"/>
              </w:rPr>
            </w:pPr>
            <w:r>
              <w:rPr>
                <w:rFonts w:ascii="Times New Roman" w:hAnsi="Times New Roman" w:eastAsia="宋体" w:cs="Times New Roman"/>
                <w:color w:val="auto"/>
                <w:szCs w:val="21"/>
                <w:highlight w:val="none"/>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pPr>
        <w:jc w:val="center"/>
        <w:outlineLvl w:val="1"/>
        <w:rPr>
          <w:rFonts w:hint="eastAsia"/>
          <w:color w:val="auto"/>
          <w:sz w:val="18"/>
          <w:szCs w:val="21"/>
          <w:highlight w:val="none"/>
          <w:lang w:val="en-US" w:eastAsia="zh-CN"/>
        </w:rPr>
      </w:pPr>
      <w:bookmarkStart w:id="226" w:name="_Toc1541"/>
      <w:bookmarkStart w:id="227" w:name="_Toc25458"/>
      <w:bookmarkStart w:id="228" w:name="_Toc20453"/>
      <w:bookmarkStart w:id="229" w:name="_Toc27897"/>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0" w:name="_Toc3633"/>
      <w:bookmarkStart w:id="231" w:name="_Toc14994"/>
      <w:bookmarkStart w:id="232" w:name="_Toc864"/>
      <w:bookmarkStart w:id="233" w:name="_Toc21895"/>
      <w:r>
        <w:rPr>
          <w:rFonts w:hint="eastAsia"/>
          <w:b/>
          <w:bCs/>
          <w:color w:val="auto"/>
          <w:highlight w:val="none"/>
          <w:lang w:val="en-US" w:eastAsia="zh-CN"/>
        </w:rPr>
        <w:t>一、合同金额</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8984"/>
      <w:bookmarkStart w:id="235" w:name="_Toc31907"/>
      <w:bookmarkStart w:id="236" w:name="_Toc32599"/>
      <w:bookmarkStart w:id="237" w:name="_Toc8673"/>
      <w:r>
        <w:rPr>
          <w:rFonts w:hint="eastAsia"/>
          <w:b/>
          <w:bCs/>
          <w:color w:val="auto"/>
          <w:highlight w:val="none"/>
          <w:lang w:val="en-US" w:eastAsia="zh-CN"/>
        </w:rPr>
        <w:t>二、服务范围</w:t>
      </w:r>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2159"/>
      <w:bookmarkStart w:id="239" w:name="_Toc23270"/>
      <w:bookmarkStart w:id="240" w:name="_Toc9958"/>
      <w:bookmarkStart w:id="241" w:name="_Toc28304"/>
      <w:r>
        <w:rPr>
          <w:rFonts w:hint="eastAsia"/>
          <w:b/>
          <w:bCs/>
          <w:color w:val="auto"/>
          <w:highlight w:val="none"/>
          <w:lang w:val="en-US" w:eastAsia="zh-CN"/>
        </w:rPr>
        <w:t>三、甲方乙方的权利和义务</w:t>
      </w:r>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29743"/>
      <w:bookmarkStart w:id="243" w:name="_Toc13843"/>
      <w:bookmarkStart w:id="244" w:name="_Toc3949"/>
      <w:bookmarkStart w:id="245" w:name="_Toc31228"/>
      <w:r>
        <w:rPr>
          <w:rFonts w:hint="eastAsia"/>
          <w:b/>
          <w:bCs/>
          <w:color w:val="auto"/>
          <w:highlight w:val="none"/>
          <w:lang w:val="en-US" w:eastAsia="zh-CN"/>
        </w:rPr>
        <w:t>四、服务期间（项目完成期限）</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26555"/>
      <w:bookmarkStart w:id="247" w:name="_Toc3509"/>
      <w:bookmarkStart w:id="248" w:name="_Toc30401"/>
      <w:bookmarkStart w:id="249" w:name="_Toc1315"/>
      <w:r>
        <w:rPr>
          <w:rFonts w:hint="eastAsia"/>
          <w:b/>
          <w:bCs/>
          <w:color w:val="auto"/>
          <w:highlight w:val="none"/>
          <w:lang w:val="en-US" w:eastAsia="zh-CN"/>
        </w:rPr>
        <w:t>五、付款方式</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0" w:name="_Toc28728"/>
      <w:bookmarkStart w:id="251" w:name="_Toc29016"/>
      <w:bookmarkStart w:id="252" w:name="_Toc27026"/>
      <w:bookmarkStart w:id="253" w:name="_Toc25049"/>
      <w:r>
        <w:rPr>
          <w:rFonts w:hint="eastAsia"/>
          <w:b/>
          <w:bCs/>
          <w:color w:val="auto"/>
          <w:highlight w:val="none"/>
          <w:lang w:val="en-US" w:eastAsia="zh-CN"/>
        </w:rPr>
        <w:t>六、知识产权</w:t>
      </w:r>
      <w:r>
        <w:rPr>
          <w:rFonts w:hint="eastAsia"/>
          <w:b/>
          <w:bCs/>
          <w:color w:val="auto"/>
          <w:highlight w:val="none"/>
        </w:rPr>
        <w:t>归属</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16011"/>
      <w:bookmarkStart w:id="255" w:name="_Toc15194"/>
      <w:bookmarkStart w:id="256" w:name="_Toc25037"/>
      <w:bookmarkStart w:id="257" w:name="_Toc491"/>
      <w:r>
        <w:rPr>
          <w:rFonts w:hint="eastAsia"/>
          <w:b/>
          <w:bCs/>
          <w:color w:val="auto"/>
          <w:highlight w:val="none"/>
          <w:lang w:val="en-US" w:eastAsia="zh-CN"/>
        </w:rPr>
        <w:t>七、保密</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14319"/>
      <w:bookmarkStart w:id="259" w:name="_Toc8277"/>
      <w:bookmarkStart w:id="260" w:name="_Toc28189"/>
      <w:bookmarkStart w:id="261" w:name="_Toc5642"/>
      <w:r>
        <w:rPr>
          <w:rFonts w:hint="eastAsia"/>
          <w:b/>
          <w:bCs/>
          <w:color w:val="auto"/>
          <w:highlight w:val="none"/>
          <w:lang w:val="en-US" w:eastAsia="zh-CN"/>
        </w:rPr>
        <w:t>八、违约责任与赔偿损失</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24754"/>
      <w:bookmarkStart w:id="263" w:name="_Toc30679"/>
      <w:bookmarkStart w:id="264" w:name="_Toc23187"/>
      <w:bookmarkStart w:id="265" w:name="_Toc18504"/>
      <w:r>
        <w:rPr>
          <w:rFonts w:hint="eastAsia"/>
          <w:b/>
          <w:bCs/>
          <w:color w:val="auto"/>
          <w:highlight w:val="none"/>
          <w:lang w:val="en-US" w:eastAsia="zh-CN"/>
        </w:rPr>
        <w:t>九、争议的解决</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23085"/>
      <w:bookmarkStart w:id="267" w:name="_Toc20074"/>
      <w:bookmarkStart w:id="268" w:name="_Toc21080"/>
      <w:bookmarkStart w:id="269" w:name="_Toc26856"/>
      <w:r>
        <w:rPr>
          <w:rFonts w:hint="eastAsia"/>
          <w:b/>
          <w:bCs/>
          <w:color w:val="auto"/>
          <w:highlight w:val="none"/>
          <w:lang w:val="en-US" w:eastAsia="zh-CN"/>
        </w:rPr>
        <w:t>十、不可抗力</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16247"/>
      <w:bookmarkStart w:id="271" w:name="_Toc12495"/>
      <w:bookmarkStart w:id="272" w:name="_Toc12645"/>
      <w:bookmarkStart w:id="273" w:name="_Toc29236"/>
      <w:r>
        <w:rPr>
          <w:rFonts w:hint="eastAsia"/>
          <w:b/>
          <w:bCs/>
          <w:color w:val="auto"/>
          <w:highlight w:val="none"/>
          <w:lang w:val="en-US" w:eastAsia="zh-CN"/>
        </w:rPr>
        <w:t>十一、税费</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4065"/>
      <w:bookmarkStart w:id="275" w:name="_Toc1974"/>
      <w:bookmarkStart w:id="276" w:name="_Toc16429"/>
      <w:bookmarkStart w:id="277" w:name="_Toc7253"/>
      <w:r>
        <w:rPr>
          <w:rFonts w:hint="eastAsia"/>
          <w:b/>
          <w:bCs/>
          <w:color w:val="auto"/>
          <w:highlight w:val="none"/>
          <w:lang w:val="en-US" w:eastAsia="zh-CN"/>
        </w:rPr>
        <w:t>十二、其它</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8" w:name="_Toc15369"/>
      <w:bookmarkStart w:id="279" w:name="_Toc13763"/>
      <w:bookmarkStart w:id="280" w:name="_Toc31822"/>
      <w:bookmarkStart w:id="281" w:name="_Toc22153"/>
      <w:r>
        <w:rPr>
          <w:rFonts w:hint="eastAsia"/>
          <w:b/>
          <w:bCs/>
          <w:color w:val="auto"/>
          <w:highlight w:val="none"/>
          <w:lang w:val="en-US" w:eastAsia="zh-CN"/>
        </w:rPr>
        <w:t>十三、合同生效</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r>
        <w:rPr>
          <w:rFonts w:ascii="Times New Roman" w:hAnsi="Times New Roman" w:eastAsia="宋体" w:cs="Times New Roman"/>
          <w:b/>
          <w:color w:val="auto"/>
          <w:sz w:val="21"/>
          <w:szCs w:val="21"/>
          <w:highlight w:val="none"/>
        </w:rPr>
        <w:t>此仅为合同书样本，</w:t>
      </w:r>
      <w:r>
        <w:rPr>
          <w:rFonts w:hint="eastAsia" w:ascii="Times New Roman" w:hAnsi="Times New Roman" w:eastAsia="宋体" w:cs="Times New Roman"/>
          <w:b/>
          <w:color w:val="auto"/>
          <w:sz w:val="21"/>
          <w:szCs w:val="21"/>
          <w:highlight w:val="none"/>
          <w:lang w:val="en-US" w:eastAsia="zh-CN"/>
        </w:rPr>
        <w:t>成交</w:t>
      </w:r>
      <w:r>
        <w:rPr>
          <w:rFonts w:ascii="Times New Roman" w:hAnsi="Times New Roman" w:eastAsia="宋体" w:cs="Times New Roman"/>
          <w:b/>
          <w:color w:val="auto"/>
          <w:sz w:val="21"/>
          <w:szCs w:val="21"/>
          <w:highlight w:val="none"/>
        </w:rPr>
        <w:t>人需根据实际情况和甲方签订相应的合同！</w:t>
      </w:r>
      <w:r>
        <w:rPr>
          <w:rFonts w:hint="eastAsia"/>
          <w:color w:val="auto"/>
          <w:highlight w:val="none"/>
          <w:lang w:val="en-US" w:eastAsia="zh-CN"/>
        </w:rPr>
        <w:br w:type="page"/>
      </w:r>
    </w:p>
    <w:p>
      <w:pPr>
        <w:pStyle w:val="3"/>
        <w:bidi w:val="0"/>
        <w:rPr>
          <w:rFonts w:hint="eastAsia"/>
          <w:color w:val="auto"/>
          <w:highlight w:val="none"/>
          <w:lang w:val="en-US" w:eastAsia="zh-CN"/>
        </w:rPr>
      </w:pPr>
      <w:bookmarkStart w:id="282" w:name="_Toc2896"/>
      <w:r>
        <w:rPr>
          <w:rFonts w:hint="eastAsia"/>
          <w:color w:val="auto"/>
          <w:highlight w:val="none"/>
          <w:lang w:val="en-US" w:eastAsia="zh-CN"/>
        </w:rPr>
        <w:t>第六篇 响应文件格式</w:t>
      </w:r>
      <w:bookmarkEnd w:id="282"/>
    </w:p>
    <w:p>
      <w:pPr>
        <w:rPr>
          <w:rFonts w:hint="eastAsia"/>
          <w:b/>
          <w:bCs/>
          <w:color w:val="auto"/>
          <w:highlight w:val="none"/>
          <w:lang w:val="en-US" w:eastAsia="zh-CN"/>
        </w:rPr>
      </w:pPr>
      <w:r>
        <w:rPr>
          <w:rFonts w:hint="eastAsia"/>
          <w:b/>
          <w:bCs/>
          <w:color w:val="auto"/>
          <w:highlight w:val="none"/>
          <w:lang w:val="en-US" w:eastAsia="zh-CN"/>
        </w:rPr>
        <w:t>注意事项：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283" w:name="_Toc7065"/>
      <w:bookmarkStart w:id="284" w:name="_Toc712"/>
      <w:bookmarkStart w:id="285" w:name="_Toc32213"/>
      <w:bookmarkStart w:id="286" w:name="_Toc23380"/>
      <w:r>
        <w:rPr>
          <w:rFonts w:hint="eastAsia"/>
          <w:b/>
          <w:bCs/>
          <w:color w:val="auto"/>
          <w:highlight w:val="none"/>
          <w:lang w:val="en-US" w:eastAsia="zh-CN"/>
        </w:rPr>
        <w:t>（封面格式仅供参考）</w:t>
      </w:r>
      <w:bookmarkEnd w:id="283"/>
      <w:bookmarkEnd w:id="284"/>
      <w:bookmarkEnd w:id="285"/>
      <w:bookmarkEnd w:id="286"/>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7" w:name="_Toc26688"/>
      <w:bookmarkStart w:id="288" w:name="_Toc14748"/>
      <w:bookmarkStart w:id="289" w:name="_Toc24171"/>
      <w:bookmarkStart w:id="290" w:name="_Toc4650"/>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87"/>
      <w:bookmarkEnd w:id="288"/>
      <w:bookmarkEnd w:id="289"/>
      <w:bookmarkEnd w:id="290"/>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1" w:name="_Toc25136"/>
      <w:bookmarkStart w:id="292" w:name="_Toc17848"/>
      <w:bookmarkStart w:id="293" w:name="_Toc6353"/>
      <w:bookmarkStart w:id="294"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1"/>
      <w:bookmarkEnd w:id="292"/>
      <w:bookmarkEnd w:id="293"/>
      <w:bookmarkEnd w:id="294"/>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rFonts w:ascii="Times New Roman" w:hAnsi="Times New Roman" w:eastAsia="宋体" w:cs="Times New Roman"/>
          <w:color w:val="auto"/>
          <w:sz w:val="21"/>
          <w:szCs w:val="21"/>
          <w:highlight w:val="none"/>
        </w:rPr>
        <w:t>该表格为参考格式，投标人可按实际情况自行制订</w:t>
      </w:r>
      <w:r>
        <w:rPr>
          <w:rFonts w:hint="eastAsia" w:ascii="Times New Roman" w:hAnsi="Times New Roman" w:cs="Times New Roman"/>
          <w:color w:val="auto"/>
          <w:sz w:val="21"/>
          <w:szCs w:val="21"/>
          <w:highlight w:val="none"/>
          <w:lang w:eastAsia="zh-CN"/>
        </w:rPr>
        <w:t>。</w:t>
      </w: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2"/>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20"/>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20"/>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2"/>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2"/>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p>
        </w:tc>
        <w:tc>
          <w:tcPr>
            <w:tcW w:w="51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513"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9"/>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供应商代表签字：</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供应商名称（盖章）：</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日期： 年 月 日</w:t>
      </w:r>
    </w:p>
    <w:p>
      <w:pPr>
        <w:rPr>
          <w:color w:val="auto"/>
          <w:sz w:val="20"/>
          <w:szCs w:val="20"/>
          <w:highlight w:val="none"/>
        </w:rPr>
      </w:pPr>
      <w:r>
        <w:rPr>
          <w:color w:val="auto"/>
          <w:sz w:val="20"/>
          <w:szCs w:val="20"/>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格式四：</w:t>
      </w:r>
    </w:p>
    <w:p>
      <w:pPr>
        <w:pStyle w:val="4"/>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5" w:name="_Toc17533"/>
      <w:bookmarkStart w:id="296" w:name="_Toc19106"/>
      <w:bookmarkStart w:id="297" w:name="_Toc23039"/>
      <w:bookmarkStart w:id="298" w:name="_Toc4452"/>
      <w:r>
        <w:rPr>
          <w:color w:val="auto"/>
          <w:sz w:val="24"/>
          <w:szCs w:val="24"/>
          <w:highlight w:val="none"/>
        </w:rPr>
        <w:t>法定代表人证明书</w:t>
      </w:r>
      <w:bookmarkEnd w:id="295"/>
      <w:bookmarkEnd w:id="296"/>
      <w:bookmarkEnd w:id="297"/>
      <w:bookmarkEnd w:id="298"/>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2"/>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2"/>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2"/>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有依法缴纳税收和社会保障资金的良好记录：提供投标（响应）截止日前6个月内任意1个月依法缴纳税收和社会保障资金的相关材料。如依法免税或不需要缴纳社会保障资金的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（提供2020年度财务状况报告或基本开户行出具的资信证明）。</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2"/>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2"/>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该表格为参考格式，</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可按实际情况自行制订。</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格式十一：</w:t>
      </w:r>
    </w:p>
    <w:p>
      <w:pPr>
        <w:jc w:val="center"/>
        <w:rPr>
          <w:rFonts w:hint="default"/>
          <w:b/>
          <w:bCs/>
          <w:color w:val="auto"/>
          <w:sz w:val="24"/>
          <w:szCs w:val="32"/>
          <w:highlight w:val="none"/>
          <w:lang w:val="en-US" w:eastAsia="zh-CN"/>
        </w:rPr>
      </w:pPr>
      <w:r>
        <w:rPr>
          <w:rFonts w:hint="default"/>
          <w:b/>
          <w:bCs/>
          <w:color w:val="auto"/>
          <w:sz w:val="24"/>
          <w:szCs w:val="32"/>
          <w:highlight w:val="none"/>
          <w:lang w:val="en-US" w:eastAsia="zh-CN"/>
        </w:rPr>
        <w:t>技术要求响应表</w:t>
      </w:r>
    </w:p>
    <w:p>
      <w:pPr>
        <w:pStyle w:val="2"/>
        <w:rPr>
          <w:rFonts w:hint="default"/>
          <w:color w:val="auto"/>
          <w:highlight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磋商文件规定的技术要求</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响应文件响应的具体内容</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c>
          <w:tcPr>
            <w:tcW w:w="0" w:type="auto"/>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jc w:val="center"/>
              <w:textAlignment w:val="auto"/>
              <w:rPr>
                <w:rFonts w:hint="default"/>
                <w:color w:val="auto"/>
                <w:sz w:val="21"/>
                <w:szCs w:val="21"/>
                <w:highlight w:val="none"/>
                <w:vertAlign w:val="baseline"/>
                <w:lang w:val="en-US" w:eastAsia="zh-CN"/>
              </w:rPr>
            </w:pPr>
          </w:p>
        </w:tc>
      </w:tr>
    </w:tbl>
    <w:p>
      <w:pPr>
        <w:pStyle w:val="2"/>
        <w:rPr>
          <w:rFonts w:hint="default"/>
          <w:color w:val="auto"/>
          <w:highlight w:val="none"/>
          <w:lang w:val="en-US" w:eastAsia="zh-CN"/>
        </w:rPr>
      </w:pPr>
    </w:p>
    <w:p>
      <w:pPr>
        <w:rPr>
          <w:rFonts w:hint="default"/>
          <w:color w:val="auto"/>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pStyle w:val="20"/>
        <w:keepNext w:val="0"/>
        <w:keepLines w:val="0"/>
        <w:pageBreakBefore w:val="0"/>
        <w:widowControl w:val="0"/>
        <w:numPr>
          <w:ilvl w:val="0"/>
          <w:numId w:val="0"/>
        </w:numPr>
        <w:tabs>
          <w:tab w:val="left" w:pos="731"/>
        </w:tabs>
        <w:kinsoku/>
        <w:wordWrap/>
        <w:overflowPunct/>
        <w:topLinePunct w:val="0"/>
        <w:autoSpaceDE w:val="0"/>
        <w:autoSpaceDN w:val="0"/>
        <w:bidi w:val="0"/>
        <w:adjustRightInd/>
        <w:snapToGrid/>
        <w:spacing w:line="360" w:lineRule="auto"/>
        <w:ind w:left="0" w:right="0" w:rightChars="0" w:firstLine="424" w:firstLineChars="200"/>
        <w:jc w:val="left"/>
        <w:textAlignment w:val="auto"/>
        <w:rPr>
          <w:rFonts w:hint="eastAsia" w:ascii="宋体" w:hAnsi="宋体" w:eastAsia="宋体" w:cs="宋体"/>
          <w:color w:val="auto"/>
          <w:w w:val="101"/>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规定的技术要求”项下填写的内容应与</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中用户需求书的 “技术要求”的内容保持一致。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提出的</w:t>
      </w:r>
      <w:r>
        <w:rPr>
          <w:rFonts w:hint="eastAsia"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参数性质栏目按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rPr>
        <w:t>条款。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“是否偏离”项下应按下列规定填写：优于的，填写“正偏离”；符合的，填写“无偏离”；低于的，填写“负偏离”。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2"/>
        <w:jc w:val="center"/>
        <w:rPr>
          <w:b/>
          <w:bCs/>
          <w:color w:val="auto"/>
          <w:sz w:val="24"/>
          <w:szCs w:val="24"/>
          <w:highlight w:val="none"/>
        </w:rPr>
      </w:pPr>
      <w:r>
        <w:rPr>
          <w:b/>
          <w:bCs/>
          <w:color w:val="auto"/>
          <w:sz w:val="24"/>
          <w:szCs w:val="24"/>
          <w:highlight w:val="none"/>
        </w:rPr>
        <w:t>商务</w:t>
      </w:r>
      <w:r>
        <w:rPr>
          <w:rFonts w:hint="eastAsia"/>
          <w:b/>
          <w:bCs/>
          <w:color w:val="auto"/>
          <w:sz w:val="24"/>
          <w:szCs w:val="24"/>
          <w:highlight w:val="none"/>
          <w:lang w:eastAsia="zh-CN"/>
        </w:rPr>
        <w:t>要求</w:t>
      </w:r>
      <w:r>
        <w:rPr>
          <w:b/>
          <w:bCs/>
          <w:color w:val="auto"/>
          <w:sz w:val="24"/>
          <w:szCs w:val="24"/>
          <w:highlight w:val="none"/>
        </w:rPr>
        <w:t>响应表</w:t>
      </w:r>
    </w:p>
    <w:p>
      <w:pPr>
        <w:rPr>
          <w:b/>
          <w:bCs/>
          <w:color w:val="auto"/>
          <w:sz w:val="24"/>
          <w:szCs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标的名称</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参数性质</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磋商文件规定的商务要求</w:t>
            </w: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响应文件响应的具体内容</w:t>
            </w: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是否偏离</w:t>
            </w: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证明文件所在位置</w:t>
            </w: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814"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900"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647"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1386"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c>
          <w:tcPr>
            <w:tcW w:w="529" w:type="dxa"/>
            <w:vAlign w:val="center"/>
          </w:tcPr>
          <w:p>
            <w:pPr>
              <w:pStyle w:val="2"/>
              <w:keepNext w:val="0"/>
              <w:keepLines w:val="0"/>
              <w:pageBreakBefore w:val="0"/>
              <w:widowControl w:val="0"/>
              <w:kinsoku/>
              <w:wordWrap/>
              <w:overflowPunct/>
              <w:topLinePunct w:val="0"/>
              <w:autoSpaceDE/>
              <w:autoSpaceDN/>
              <w:bidi w:val="0"/>
              <w:adjustRightInd/>
              <w:snapToGrid/>
              <w:spacing w:before="0" w:line="360" w:lineRule="auto"/>
              <w:ind w:left="0" w:leftChars="0"/>
              <w:jc w:val="center"/>
              <w:textAlignment w:val="auto"/>
              <w:rPr>
                <w:rFonts w:hint="default"/>
                <w:b w:val="0"/>
                <w:bCs w:val="0"/>
                <w:color w:val="auto"/>
                <w:sz w:val="21"/>
                <w:szCs w:val="21"/>
                <w:highlight w:val="none"/>
                <w:vertAlign w:val="baseline"/>
                <w:lang w:val="en-US" w:eastAsia="zh-CN"/>
              </w:rPr>
            </w:pPr>
          </w:p>
        </w:tc>
      </w:tr>
    </w:tbl>
    <w:p>
      <w:pPr>
        <w:pStyle w:val="2"/>
        <w:rPr>
          <w:rFonts w:hint="default"/>
          <w:b w:val="0"/>
          <w:bCs w:val="0"/>
          <w:color w:val="auto"/>
          <w:sz w:val="21"/>
          <w:szCs w:val="21"/>
          <w:highlight w:val="none"/>
          <w:lang w:val="en-US" w:eastAsia="zh-CN"/>
        </w:rPr>
      </w:pPr>
    </w:p>
    <w:p>
      <w:pPr>
        <w:rPr>
          <w:rFonts w:hint="default"/>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规定的商务要求”项下填写的内容应与</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中用户需求书的“商务要求”的内容保持一致。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应当如实填写上表“</w:t>
      </w:r>
      <w:r>
        <w:rPr>
          <w:rFonts w:hint="eastAsia"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响应的具体内容”处内容，对</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规定的商务要求和条件作出明确响应，并列明具体响应数值或内容，只注明符合、满足等无具体内容表述的，将视为未实质性满足</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要求。</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需要说明的内容若需特殊表达，应先在本表中进行相应说明，再另页应答，否则投标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3.参数性质栏目按</w:t>
      </w:r>
      <w:r>
        <w:rPr>
          <w:rFonts w:hint="eastAsia"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有标注的“★”、“▲”号条款进行填写，打“★”号条款为实质性条款，若有任何一条负偏离或不满足则导致投标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无效。打“▲”号条款为重要技术参数（如有），若有部分“▲”条款未响应或不满足，将根据评审要求影响其得分，但不作为无效投标</w:t>
      </w:r>
      <w:r>
        <w:rPr>
          <w:b w:val="0"/>
          <w:bCs w:val="0"/>
          <w:color w:val="auto"/>
          <w:sz w:val="21"/>
          <w:szCs w:val="21"/>
          <w:highlight w:val="none"/>
        </w:rPr>
        <w:t>（响应）</w:t>
      </w:r>
      <w:r>
        <w:rPr>
          <w:rFonts w:hint="eastAsia" w:ascii="宋体" w:hAnsi="宋体" w:eastAsia="宋体" w:cs="宋体"/>
          <w:color w:val="auto"/>
          <w:sz w:val="21"/>
          <w:szCs w:val="21"/>
          <w:highlight w:val="none"/>
          <w:lang w:val="en-US" w:eastAsia="zh-CN"/>
        </w:rPr>
        <w:t>条款。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4.“是否偏离”项下应按下列规定填写：优于的，填写“正偏离”；符合的，填写“无偏离”；低于的，填写“负偏离”。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5.“备注”处可填写偏离情况的说明。</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299" w:name="_Toc27833"/>
      <w:bookmarkStart w:id="300" w:name="_Toc16713"/>
      <w:bookmarkStart w:id="301" w:name="_Toc10424"/>
      <w:bookmarkStart w:id="302" w:name="_Toc20098"/>
      <w:r>
        <w:rPr>
          <w:color w:val="auto"/>
          <w:highlight w:val="none"/>
        </w:rPr>
        <w:t>履约进度计划表</w:t>
      </w:r>
      <w:bookmarkEnd w:id="299"/>
      <w:bookmarkEnd w:id="300"/>
      <w:bookmarkEnd w:id="301"/>
      <w:bookmarkEnd w:id="302"/>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2"/>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03" w:name="_Toc6564"/>
      <w:bookmarkStart w:id="304" w:name="_Toc2912"/>
      <w:bookmarkStart w:id="305" w:name="_Toc26415"/>
      <w:bookmarkStart w:id="306" w:name="_Toc7867"/>
      <w:r>
        <w:rPr>
          <w:rFonts w:hint="eastAsia"/>
          <w:b/>
          <w:bCs/>
          <w:color w:val="auto"/>
          <w:sz w:val="24"/>
          <w:szCs w:val="32"/>
          <w:highlight w:val="none"/>
          <w:lang w:val="en-US" w:eastAsia="zh-CN"/>
        </w:rPr>
        <w:t>格式十四：</w:t>
      </w:r>
      <w:bookmarkEnd w:id="303"/>
      <w:bookmarkEnd w:id="304"/>
      <w:bookmarkEnd w:id="305"/>
      <w:bookmarkEnd w:id="306"/>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07" w:name="_Toc3436"/>
      <w:bookmarkStart w:id="308" w:name="_Toc10497"/>
      <w:bookmarkStart w:id="309" w:name="_Toc14919"/>
      <w:bookmarkStart w:id="310" w:name="_Toc3338"/>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07"/>
      <w:bookmarkEnd w:id="308"/>
      <w:bookmarkEnd w:id="309"/>
      <w:bookmarkEnd w:id="310"/>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7938"/>
      <w:bookmarkStart w:id="312" w:name="_Toc2429"/>
      <w:bookmarkStart w:id="313" w:name="_Toc26846"/>
      <w:bookmarkStart w:id="314" w:name="_Toc26572"/>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1"/>
      <w:bookmarkEnd w:id="312"/>
      <w:bookmarkEnd w:id="313"/>
      <w:bookmarkEnd w:id="314"/>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5" w:name="_Toc27193"/>
      <w:bookmarkStart w:id="316" w:name="_Toc2436"/>
      <w:bookmarkStart w:id="317" w:name="_Toc30382"/>
      <w:bookmarkStart w:id="318" w:name="_Toc25195"/>
      <w:r>
        <w:rPr>
          <w:rFonts w:hint="eastAsia" w:ascii="宋体" w:hAnsi="宋体" w:eastAsia="宋体" w:cs="宋体"/>
          <w:b/>
          <w:bCs/>
          <w:color w:val="auto"/>
          <w:sz w:val="24"/>
          <w:szCs w:val="24"/>
          <w:highlight w:val="none"/>
          <w:lang w:eastAsia="zh-CN"/>
        </w:rPr>
        <w:t>格式十五：</w:t>
      </w:r>
      <w:bookmarkEnd w:id="315"/>
      <w:bookmarkEnd w:id="316"/>
      <w:bookmarkEnd w:id="317"/>
      <w:bookmarkEnd w:id="318"/>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32108"/>
      <w:bookmarkStart w:id="320" w:name="_Toc7693"/>
      <w:bookmarkStart w:id="321" w:name="_Toc28801"/>
      <w:bookmarkStart w:id="322" w:name="_Toc3970"/>
      <w:r>
        <w:rPr>
          <w:rFonts w:hint="eastAsia" w:ascii="宋体" w:hAnsi="宋体" w:eastAsia="宋体" w:cs="宋体"/>
          <w:b/>
          <w:bCs/>
          <w:color w:val="auto"/>
          <w:sz w:val="24"/>
          <w:szCs w:val="24"/>
          <w:highlight w:val="none"/>
          <w:lang w:eastAsia="zh-CN"/>
        </w:rPr>
        <w:t>格式十五：</w:t>
      </w:r>
      <w:bookmarkEnd w:id="319"/>
      <w:bookmarkEnd w:id="320"/>
      <w:bookmarkEnd w:id="321"/>
      <w:bookmarkEnd w:id="322"/>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2"/>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23" w:name="_Toc17430"/>
      <w:bookmarkStart w:id="324" w:name="_Toc31849"/>
      <w:bookmarkStart w:id="325" w:name="_Toc11855"/>
      <w:bookmarkStart w:id="326" w:name="_Toc4401"/>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3"/>
      <w:bookmarkEnd w:id="324"/>
      <w:bookmarkEnd w:id="325"/>
      <w:bookmarkEnd w:id="326"/>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2"/>
        <w:outlineLvl w:val="1"/>
        <w:rPr>
          <w:rFonts w:hint="eastAsia"/>
          <w:b/>
          <w:bCs/>
          <w:color w:val="auto"/>
          <w:highlight w:val="none"/>
          <w:lang w:val="en-US" w:eastAsia="zh-CN"/>
        </w:rPr>
      </w:pPr>
      <w:bookmarkStart w:id="327" w:name="_Toc25747"/>
      <w:bookmarkStart w:id="328" w:name="_Toc2879"/>
      <w:bookmarkStart w:id="329" w:name="_Toc29664"/>
      <w:bookmarkStart w:id="330" w:name="_Toc29916"/>
      <w:r>
        <w:rPr>
          <w:rFonts w:hint="eastAsia"/>
          <w:b/>
          <w:bCs/>
          <w:color w:val="auto"/>
          <w:highlight w:val="none"/>
          <w:lang w:val="en-US" w:eastAsia="zh-CN"/>
        </w:rPr>
        <w:t>格式十六：</w:t>
      </w:r>
      <w:bookmarkEnd w:id="327"/>
      <w:bookmarkEnd w:id="328"/>
      <w:bookmarkEnd w:id="329"/>
      <w:bookmarkEnd w:id="330"/>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31"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1"/>
    </w:p>
    <w:p>
      <w:pPr>
        <w:jc w:val="center"/>
        <w:outlineLvl w:val="1"/>
        <w:rPr>
          <w:rFonts w:hint="eastAsia"/>
          <w:b/>
          <w:bCs/>
          <w:color w:val="auto"/>
          <w:highlight w:val="none"/>
          <w:lang w:val="en-US" w:eastAsia="zh-CN"/>
        </w:rPr>
      </w:pPr>
      <w:bookmarkStart w:id="332" w:name="_Toc23654"/>
      <w:bookmarkStart w:id="333" w:name="_Toc32249"/>
      <w:bookmarkStart w:id="334" w:name="_Toc29643"/>
      <w:bookmarkStart w:id="335" w:name="_Toc11568"/>
      <w:r>
        <w:rPr>
          <w:rFonts w:hint="eastAsia"/>
          <w:b/>
          <w:bCs/>
          <w:color w:val="auto"/>
          <w:highlight w:val="none"/>
          <w:lang w:val="en-US" w:eastAsia="zh-CN"/>
        </w:rPr>
        <w:t>（封面格式仅供参考）</w:t>
      </w:r>
      <w:bookmarkEnd w:id="332"/>
      <w:bookmarkEnd w:id="333"/>
      <w:bookmarkEnd w:id="334"/>
      <w:bookmarkEnd w:id="335"/>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36" w:name="_Toc10015"/>
      <w:bookmarkStart w:id="337" w:name="_Toc24898"/>
      <w:bookmarkStart w:id="338" w:name="_Toc31076"/>
      <w:bookmarkStart w:id="339" w:name="_Toc5561"/>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36"/>
      <w:bookmarkEnd w:id="337"/>
      <w:bookmarkEnd w:id="338"/>
      <w:bookmarkEnd w:id="339"/>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0" w:name="_Toc77"/>
      <w:bookmarkStart w:id="341" w:name="_Toc14351"/>
      <w:bookmarkStart w:id="342" w:name="_Toc18186"/>
      <w:bookmarkStart w:id="343" w:name="_Toc28515"/>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0"/>
      <w:bookmarkEnd w:id="341"/>
      <w:bookmarkEnd w:id="342"/>
      <w:bookmarkEnd w:id="343"/>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4" w:name="_Toc32100"/>
      <w:bookmarkStart w:id="345" w:name="_Toc7980"/>
      <w:bookmarkStart w:id="346" w:name="_Toc24484"/>
      <w:bookmarkStart w:id="347" w:name="_Toc31505"/>
      <w:r>
        <w:rPr>
          <w:rFonts w:hint="eastAsia" w:ascii="宋体" w:hAnsi="宋体" w:eastAsia="宋体" w:cs="宋体"/>
          <w:b/>
          <w:bCs/>
          <w:color w:val="auto"/>
          <w:sz w:val="21"/>
          <w:szCs w:val="21"/>
          <w:highlight w:val="none"/>
          <w:lang w:val="en-US" w:eastAsia="zh-CN"/>
        </w:rPr>
        <w:t>1、</w:t>
      </w:r>
      <w:bookmarkEnd w:id="344"/>
      <w:bookmarkEnd w:id="345"/>
      <w:bookmarkEnd w:id="346"/>
      <w:bookmarkEnd w:id="347"/>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29661"/>
      <w:bookmarkStart w:id="349" w:name="_Toc8054"/>
      <w:bookmarkStart w:id="350" w:name="_Toc6563"/>
      <w:bookmarkStart w:id="351" w:name="_Toc20806"/>
      <w:r>
        <w:rPr>
          <w:rFonts w:hint="eastAsia" w:ascii="宋体" w:hAnsi="宋体" w:eastAsia="宋体" w:cs="宋体"/>
          <w:b/>
          <w:bCs/>
          <w:color w:val="auto"/>
          <w:sz w:val="21"/>
          <w:szCs w:val="21"/>
          <w:highlight w:val="none"/>
          <w:lang w:val="en-US" w:eastAsia="zh-CN"/>
        </w:rPr>
        <w:t>2、分项报价表</w:t>
      </w:r>
      <w:bookmarkEnd w:id="348"/>
      <w:bookmarkEnd w:id="349"/>
      <w:bookmarkEnd w:id="350"/>
      <w:bookmarkEnd w:id="351"/>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13609"/>
      <w:bookmarkStart w:id="353" w:name="_Toc5011"/>
      <w:bookmarkStart w:id="354" w:name="_Toc3142"/>
      <w:bookmarkStart w:id="355" w:name="_Toc20631"/>
      <w:r>
        <w:rPr>
          <w:rFonts w:hint="eastAsia" w:ascii="宋体" w:hAnsi="宋体" w:eastAsia="宋体" w:cs="宋体"/>
          <w:b/>
          <w:bCs/>
          <w:color w:val="auto"/>
          <w:sz w:val="21"/>
          <w:szCs w:val="21"/>
          <w:highlight w:val="none"/>
          <w:lang w:val="en-US" w:eastAsia="zh-CN"/>
        </w:rPr>
        <w:t>3、法定代表人证明书</w:t>
      </w:r>
      <w:bookmarkEnd w:id="352"/>
      <w:bookmarkEnd w:id="353"/>
      <w:bookmarkEnd w:id="354"/>
      <w:bookmarkEnd w:id="355"/>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31054"/>
      <w:bookmarkStart w:id="357" w:name="_Toc31223"/>
      <w:bookmarkStart w:id="358" w:name="_Toc17346"/>
      <w:bookmarkStart w:id="359" w:name="_Toc27439"/>
      <w:r>
        <w:rPr>
          <w:rFonts w:hint="eastAsia" w:ascii="宋体" w:hAnsi="宋体" w:eastAsia="宋体" w:cs="宋体"/>
          <w:b/>
          <w:bCs/>
          <w:color w:val="auto"/>
          <w:sz w:val="21"/>
          <w:szCs w:val="21"/>
          <w:highlight w:val="none"/>
          <w:lang w:val="en-US" w:eastAsia="zh-CN"/>
        </w:rPr>
        <w:t>4、法定代表人授权书</w:t>
      </w:r>
      <w:bookmarkEnd w:id="356"/>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16304"/>
      <w:bookmarkStart w:id="361" w:name="_Toc23814"/>
      <w:bookmarkStart w:id="362" w:name="_Toc20213"/>
      <w:bookmarkStart w:id="363" w:name="_Toc29210"/>
      <w:r>
        <w:rPr>
          <w:rFonts w:hint="eastAsia" w:ascii="宋体" w:hAnsi="宋体" w:eastAsia="宋体" w:cs="宋体"/>
          <w:b/>
          <w:bCs/>
          <w:color w:val="auto"/>
          <w:sz w:val="21"/>
          <w:szCs w:val="21"/>
          <w:highlight w:val="none"/>
          <w:lang w:val="en-US" w:eastAsia="zh-CN"/>
        </w:rPr>
        <w:t>5、</w:t>
      </w:r>
      <w:bookmarkEnd w:id="360"/>
      <w:r>
        <w:rPr>
          <w:rFonts w:hint="eastAsia" w:ascii="宋体" w:hAnsi="宋体" w:cs="宋体"/>
          <w:b/>
          <w:bCs/>
          <w:color w:val="auto"/>
          <w:sz w:val="21"/>
          <w:szCs w:val="21"/>
          <w:highlight w:val="none"/>
          <w:lang w:val="en-US" w:eastAsia="zh-CN"/>
        </w:rPr>
        <w:t>响应保证金</w:t>
      </w:r>
      <w:bookmarkEnd w:id="361"/>
      <w:bookmarkEnd w:id="362"/>
      <w:bookmarkEnd w:id="363"/>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64" w:name="_Toc30888"/>
      <w:r>
        <w:rPr>
          <w:rFonts w:hint="eastAsia"/>
          <w:color w:val="auto"/>
          <w:highlight w:val="none"/>
          <w:lang w:val="en-US" w:eastAsia="zh-CN"/>
        </w:rPr>
        <w:t>第八篇 其它文件格式（如有需要）</w:t>
      </w:r>
      <w:bookmarkEnd w:id="364"/>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20"/>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2"/>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2"/>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2"/>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center"/>
      <w:rPr>
        <w:rFonts w:hint="default" w:eastAsia="宋体"/>
        <w:lang w:val="en-US" w:eastAsia="zh-CN"/>
      </w:rPr>
    </w:pPr>
    <w:r>
      <w:rPr>
        <w:rFonts w:hint="eastAsia"/>
        <w:lang w:val="en-US" w:eastAsia="zh-CN"/>
      </w:rPr>
      <w:t>东莞市道滘镇政务服务中心综合窗口岗位服务采购项目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05C74D97"/>
    <w:multiLevelType w:val="multilevel"/>
    <w:tmpl w:val="05C74D9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E126B9"/>
    <w:multiLevelType w:val="multilevel"/>
    <w:tmpl w:val="11E126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32E25990"/>
    <w:multiLevelType w:val="singleLevel"/>
    <w:tmpl w:val="32E25990"/>
    <w:lvl w:ilvl="0" w:tentative="0">
      <w:start w:val="1"/>
      <w:numFmt w:val="decimal"/>
      <w:suff w:val="nothing"/>
      <w:lvlText w:val="%1、"/>
      <w:lvlJc w:val="left"/>
    </w:lvl>
  </w:abstractNum>
  <w:abstractNum w:abstractNumId="11">
    <w:nsid w:val="37F2027E"/>
    <w:multiLevelType w:val="multilevel"/>
    <w:tmpl w:val="37F202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7D4753CF"/>
    <w:multiLevelType w:val="multilevel"/>
    <w:tmpl w:val="7D4753C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0"/>
  </w:num>
  <w:num w:numId="3">
    <w:abstractNumId w:val="3"/>
  </w:num>
  <w:num w:numId="4">
    <w:abstractNumId w:val="4"/>
  </w:num>
  <w:num w:numId="5">
    <w:abstractNumId w:val="8"/>
  </w:num>
  <w:num w:numId="6">
    <w:abstractNumId w:val="12"/>
  </w:num>
  <w:num w:numId="7">
    <w:abstractNumId w:val="9"/>
  </w:num>
  <w:num w:numId="8">
    <w:abstractNumId w:val="0"/>
  </w:num>
  <w:num w:numId="9">
    <w:abstractNumId w:val="5"/>
  </w:num>
  <w:num w:numId="10">
    <w:abstractNumId w:val="2"/>
  </w:num>
  <w:num w:numId="11">
    <w:abstractNumId w:val="13"/>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2880AAC"/>
    <w:rsid w:val="0B696582"/>
    <w:rsid w:val="0BE32B7B"/>
    <w:rsid w:val="19C92056"/>
    <w:rsid w:val="29204147"/>
    <w:rsid w:val="2A213986"/>
    <w:rsid w:val="304A47CF"/>
    <w:rsid w:val="3320692B"/>
    <w:rsid w:val="339D5B51"/>
    <w:rsid w:val="33E12E57"/>
    <w:rsid w:val="39C27E7C"/>
    <w:rsid w:val="3A123017"/>
    <w:rsid w:val="3F7B32DF"/>
    <w:rsid w:val="414A030F"/>
    <w:rsid w:val="51ED4F85"/>
    <w:rsid w:val="549178FF"/>
    <w:rsid w:val="594D2E60"/>
    <w:rsid w:val="5E2A2E41"/>
    <w:rsid w:val="64677E69"/>
    <w:rsid w:val="64D3048A"/>
    <w:rsid w:val="67520D2F"/>
    <w:rsid w:val="67880920"/>
    <w:rsid w:val="6DCB42B6"/>
    <w:rsid w:val="6E003853"/>
    <w:rsid w:val="735656B0"/>
    <w:rsid w:val="739B0891"/>
    <w:rsid w:val="74951BFB"/>
    <w:rsid w:val="774C7CDD"/>
    <w:rsid w:val="7AEF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1"/>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val="0"/>
      <w:adjustRightInd/>
      <w:snapToGrid/>
      <w:spacing w:after="0"/>
      <w:jc w:val="both"/>
    </w:pPr>
    <w:rPr>
      <w:rFonts w:ascii="Calibri" w:hAnsi="Calibri" w:eastAsia="宋体"/>
      <w:kern w:val="2"/>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99"/>
    <w:rPr>
      <w:color w:val="0000FF"/>
      <w:u w:val="single"/>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next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paragraph" w:customStyle="1" w:styleId="26">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34448</Words>
  <Characters>35380</Characters>
  <Lines>0</Lines>
  <Paragraphs>0</Paragraphs>
  <TotalTime>8</TotalTime>
  <ScaleCrop>false</ScaleCrop>
  <LinksUpToDate>false</LinksUpToDate>
  <CharactersWithSpaces>37035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国顺招标-陈锦涛</cp:lastModifiedBy>
  <cp:lastPrinted>2022-06-02T09:37:00Z</cp:lastPrinted>
  <dcterms:modified xsi:type="dcterms:W3CDTF">2022-07-12T09:24:49Z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2686D8D2D27341DE808333DD5F26BB45</vt:lpwstr>
  </property>
</Properties>
</file>