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16489"/>
      <w:bookmarkStart w:id="1" w:name="_Toc25865"/>
      <w:bookmarkStart w:id="2" w:name="_Toc7942"/>
      <w:bookmarkStart w:id="3" w:name="_Toc7243"/>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9385"/>
      <w:bookmarkStart w:id="5" w:name="_Toc8734"/>
      <w:bookmarkStart w:id="6" w:name="_Toc20638"/>
      <w:bookmarkStart w:id="7" w:name="_Toc1515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东莞市赛顺电子科技有限公司工业大厦变压器安装工程项目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GSDG2022-016B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东莞市石排镇埔心股份经济联合社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17050"/>
      <w:bookmarkStart w:id="9" w:name="_Toc4164"/>
      <w:bookmarkStart w:id="10" w:name="_Toc5265"/>
      <w:bookmarkStart w:id="11" w:name="_Toc18278"/>
      <w:r>
        <w:rPr>
          <w:rFonts w:hint="eastAsia" w:ascii="黑体" w:hAnsi="黑体" w:eastAsia="黑体" w:cs="黑体"/>
          <w:color w:val="auto"/>
          <w:sz w:val="30"/>
          <w:szCs w:val="30"/>
          <w:highlight w:val="none"/>
          <w:lang w:val="en-US" w:eastAsia="zh-CN"/>
        </w:rPr>
        <w:t>2022年8月2日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2"/>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东莞市赛顺电子科技有限公司工业大厦变压器安装工程项目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eastAsia="宋体" w:cs="宋体"/>
          <w:b/>
          <w:bCs/>
          <w:color w:val="auto"/>
          <w:sz w:val="21"/>
          <w:szCs w:val="21"/>
          <w:highlight w:val="none"/>
          <w:u w:val="single"/>
          <w:lang w:val="en-US" w:eastAsia="zh-CN"/>
        </w:rPr>
        <w:t>13A01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b/>
          <w:bCs/>
          <w:color w:val="auto"/>
          <w:sz w:val="21"/>
          <w:szCs w:val="21"/>
          <w:highlight w:val="none"/>
          <w:u w:val="single"/>
          <w:lang w:val="en-US" w:eastAsia="zh-CN"/>
        </w:rPr>
        <w:t>2022</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17</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5393621"/>
      <w:bookmarkStart w:id="14" w:name="_Toc26796"/>
      <w:bookmarkStart w:id="15" w:name="_Toc28359002"/>
      <w:bookmarkStart w:id="16" w:name="_Toc2169"/>
      <w:bookmarkStart w:id="17" w:name="_Toc28359079"/>
      <w:bookmarkStart w:id="18" w:name="_Toc35393790"/>
      <w:bookmarkStart w:id="19" w:name="_Toc31624"/>
      <w:bookmarkStart w:id="20" w:name="_Toc13782"/>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GSDG2022-016B</w:t>
      </w:r>
      <w:bookmarkStart w:id="365" w:name="_GoBack"/>
      <w:bookmarkEnd w:id="365"/>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东莞市赛顺电子科技有限公司工业大厦变压器安装工程项目</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¥662,489.00元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4"/>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547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5477" w:type="dxa"/>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c>
          <w:tcPr>
            <w:tcW w:w="2525" w:type="dxa"/>
            <w:noWrap w:val="0"/>
            <w:vAlign w:val="center"/>
          </w:tcPr>
          <w:p>
            <w:pPr>
              <w:spacing w:line="360" w:lineRule="auto"/>
              <w:jc w:val="center"/>
              <w:rPr>
                <w:rFonts w:hint="eastAsia" w:hAnsi="宋体"/>
                <w:b/>
                <w:color w:val="auto"/>
                <w:sz w:val="21"/>
                <w:szCs w:val="21"/>
                <w:highlight w:val="none"/>
              </w:rPr>
            </w:pPr>
            <w:r>
              <w:rPr>
                <w:rFonts w:hint="eastAsia" w:hAnsi="宋体"/>
                <w:b/>
                <w:color w:val="auto"/>
                <w:sz w:val="21"/>
                <w:szCs w:val="21"/>
                <w:highlight w:val="none"/>
                <w:lang w:val="en-US" w:eastAsia="zh-CN"/>
              </w:rPr>
              <w:t>完工</w:t>
            </w:r>
            <w:r>
              <w:rPr>
                <w:rFonts w:hint="eastAsia" w:hAnsi="宋体"/>
                <w:b/>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5477" w:type="dxa"/>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东莞市赛顺电子科技有限公司工业大厦变压器安装工程项目采购一项</w:t>
            </w:r>
          </w:p>
        </w:tc>
        <w:tc>
          <w:tcPr>
            <w:tcW w:w="2525" w:type="dxa"/>
            <w:noWrap w:val="0"/>
            <w:vAlign w:val="center"/>
          </w:tcPr>
          <w:p>
            <w:pPr>
              <w:spacing w:line="360" w:lineRule="auto"/>
              <w:jc w:val="center"/>
              <w:rPr>
                <w:rFonts w:hint="default" w:hAnsi="宋体" w:eastAsia="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180天内</w:t>
            </w:r>
            <w:r>
              <w:rPr>
                <w:rFonts w:hint="eastAsia" w:ascii="宋体" w:hAnsi="宋体" w:eastAsia="宋体" w:cs="宋体"/>
                <w:b w:val="0"/>
                <w:bCs/>
                <w:color w:val="auto"/>
                <w:kern w:val="2"/>
                <w:sz w:val="21"/>
                <w:szCs w:val="21"/>
                <w:highlight w:val="none"/>
                <w:lang w:val="en-US" w:eastAsia="zh-CN" w:bidi="ar-SA"/>
              </w:rPr>
              <w:t>完成（包括供货、施工、安装、调试、验收工作）。</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w:t>
      </w: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180天内</w:t>
      </w:r>
      <w:r>
        <w:rPr>
          <w:rFonts w:hint="eastAsia" w:ascii="宋体" w:hAnsi="宋体" w:eastAsia="宋体" w:cs="宋体"/>
          <w:b w:val="0"/>
          <w:bCs/>
          <w:color w:val="auto"/>
          <w:kern w:val="2"/>
          <w:sz w:val="21"/>
          <w:szCs w:val="21"/>
          <w:highlight w:val="none"/>
          <w:lang w:val="en-US" w:eastAsia="zh-CN" w:bidi="ar-SA"/>
        </w:rPr>
        <w:t>完成（包括供货、施工、安装、调试、验收工作）。</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35393622"/>
      <w:bookmarkStart w:id="23" w:name="_Toc31691"/>
      <w:bookmarkStart w:id="24" w:name="_Toc28625"/>
      <w:bookmarkStart w:id="25" w:name="_Toc28359003"/>
      <w:bookmarkStart w:id="26" w:name="_Toc13371"/>
      <w:bookmarkStart w:id="27" w:name="_Toc35393791"/>
      <w:bookmarkStart w:id="28" w:name="_Toc28359080"/>
      <w:bookmarkStart w:id="29" w:name="_Toc25198"/>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7315"/>
      <w:bookmarkStart w:id="31" w:name="_Toc16211"/>
      <w:bookmarkStart w:id="32" w:name="_Toc29919"/>
      <w:bookmarkStart w:id="33" w:name="_Toc8265"/>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4071"/>
      <w:bookmarkStart w:id="37" w:name="_Toc16617"/>
      <w:bookmarkStart w:id="38" w:name="_Toc18344"/>
      <w:bookmarkStart w:id="39" w:name="_Toc26119"/>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（1）具有《承装（修）、试电力设施许可证》证书，或送（输）变电工程专业承包企业资质，或电力工程施工总承包资质证书</w:t>
      </w:r>
      <w:r>
        <w:rPr>
          <w:rFonts w:hint="eastAsia" w:ascii="宋体" w:hAnsi="宋体" w:eastAsia="宋体"/>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623"/>
      <w:bookmarkStart w:id="41" w:name="_Toc35393792"/>
      <w:bookmarkStart w:id="42" w:name="_Toc173"/>
      <w:bookmarkStart w:id="43" w:name="_Toc27443"/>
      <w:bookmarkStart w:id="44" w:name="_Toc18578"/>
      <w:bookmarkStart w:id="45" w:name="_Toc2137"/>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项目公示时间：2022年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日起至2022年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时间：2022年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日起至2022年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eastAsia="宋体" w:cs="宋体"/>
          <w:color w:val="auto"/>
          <w:sz w:val="21"/>
          <w:szCs w:val="21"/>
          <w:highlight w:val="none"/>
          <w:lang w:val="en-US" w:eastAsia="zh-CN"/>
        </w:rPr>
        <w:t>13A01</w:t>
      </w:r>
      <w:r>
        <w:rPr>
          <w:rFonts w:hint="eastAsia" w:ascii="宋体" w:hAnsi="宋体" w:eastAsia="宋体" w:cs="宋体"/>
          <w:color w:val="auto"/>
          <w:sz w:val="21"/>
          <w:szCs w:val="21"/>
          <w:highlight w:val="none"/>
          <w:lang w:eastAsia="zh-CN"/>
        </w:rPr>
        <w:t>室；</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18"/>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eastAsia="宋体" w:cs="宋体"/>
          <w:color w:val="auto"/>
          <w:sz w:val="21"/>
          <w:szCs w:val="21"/>
          <w:highlight w:val="none"/>
          <w:lang w:val="en-US" w:eastAsia="zh-CN"/>
        </w:rPr>
        <w:t>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27404"/>
      <w:bookmarkStart w:id="49" w:name="_Toc28585"/>
      <w:bookmarkStart w:id="50" w:name="_Toc28435"/>
      <w:bookmarkStart w:id="51" w:name="_Toc35393624"/>
      <w:bookmarkStart w:id="52" w:name="_Toc35393793"/>
      <w:bookmarkStart w:id="53" w:name="_Toc10322"/>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olor w:val="auto"/>
          <w:sz w:val="21"/>
          <w:szCs w:val="21"/>
          <w:highlight w:val="none"/>
        </w:rPr>
        <w:t>东莞市石排镇人民政府(石排大道497号)原市民办事中心二楼集体资产交易中心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28359084"/>
      <w:bookmarkStart w:id="55" w:name="_Toc28359007"/>
      <w:bookmarkStart w:id="56" w:name="_Toc35393794"/>
      <w:bookmarkStart w:id="57" w:name="_Toc26299"/>
      <w:bookmarkStart w:id="58" w:name="_Toc17857"/>
      <w:bookmarkStart w:id="59" w:name="_Toc1202"/>
      <w:bookmarkStart w:id="60" w:name="_Toc25695"/>
      <w:bookmarkStart w:id="61" w:name="_Toc35393625"/>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35393626"/>
      <w:bookmarkStart w:id="63" w:name="_Toc6612"/>
      <w:bookmarkStart w:id="64" w:name="_Toc1519"/>
      <w:bookmarkStart w:id="65" w:name="_Toc25010"/>
      <w:bookmarkStart w:id="66" w:name="_Toc9116"/>
      <w:bookmarkStart w:id="67" w:name="_Toc35393795"/>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796"/>
      <w:bookmarkStart w:id="69" w:name="_Toc28359085"/>
      <w:bookmarkStart w:id="70" w:name="_Toc35393627"/>
      <w:bookmarkStart w:id="71" w:name="_Toc28359008"/>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rPr>
        <w:t>中国采购与招标网（http://www.chinabidding.com.cn/）</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12281"/>
      <w:bookmarkStart w:id="73" w:name="_Toc5139"/>
      <w:bookmarkStart w:id="74" w:name="_Toc8358"/>
      <w:bookmarkStart w:id="75" w:name="_Toc2258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7403"/>
      <w:bookmarkStart w:id="77" w:name="_Toc30615"/>
      <w:bookmarkStart w:id="78" w:name="_Toc31577"/>
      <w:bookmarkStart w:id="79" w:name="_Toc30277"/>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东莞市石排镇埔心股份经济联合社</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cs="宋体"/>
          <w:color w:val="auto"/>
          <w:sz w:val="21"/>
          <w:szCs w:val="21"/>
          <w:highlight w:val="none"/>
          <w:u w:val="none"/>
          <w:lang w:val="en-US" w:eastAsia="zh-CN"/>
        </w:rPr>
        <w:t>东莞市</w:t>
      </w:r>
      <w:r>
        <w:rPr>
          <w:rFonts w:hint="default" w:ascii="宋体" w:hAnsi="宋体" w:cs="宋体"/>
          <w:color w:val="auto"/>
          <w:sz w:val="21"/>
          <w:szCs w:val="21"/>
          <w:highlight w:val="none"/>
          <w:u w:val="none"/>
          <w:lang w:val="en-US" w:eastAsia="zh-CN"/>
        </w:rPr>
        <w:t>石排镇</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联系人：王先生</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联系方式：0769-86511556　　　　　　　　　　　 </w:t>
      </w:r>
      <w:bookmarkStart w:id="80" w:name="_Toc28359009"/>
      <w:bookmarkStart w:id="81" w:name="_Toc28359086"/>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11561"/>
      <w:bookmarkStart w:id="83" w:name="_Toc25259"/>
      <w:bookmarkStart w:id="84" w:name="_Toc4580"/>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eastAsia="宋体" w:cs="宋体"/>
          <w:color w:val="auto"/>
          <w:sz w:val="21"/>
          <w:szCs w:val="21"/>
          <w:highlight w:val="none"/>
          <w:lang w:val="en-US" w:eastAsia="zh-CN"/>
        </w:rPr>
        <w:t>13A01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87"/>
      <w:bookmarkStart w:id="87" w:name="_Toc28359010"/>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9440"/>
      <w:bookmarkStart w:id="89" w:name="_Toc18257"/>
      <w:bookmarkStart w:id="90" w:name="_Toc28659"/>
      <w:bookmarkStart w:id="91" w:name="_Toc15543"/>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92" w:name="_Toc26573"/>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96137231"/>
      <w:bookmarkStart w:id="94" w:name="_Toc30510"/>
      <w:bookmarkStart w:id="95" w:name="_Toc413402429"/>
      <w:bookmarkStart w:id="96" w:name="_Toc497983494"/>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4"/>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rPr>
              <w:t>中国采购与招标网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服务费最低收费标准为伍仟元整。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30834"/>
      <w:bookmarkStart w:id="99" w:name="_Toc10658"/>
      <w:bookmarkStart w:id="100" w:name="_Toc8083"/>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7271"/>
      <w:bookmarkStart w:id="102" w:name="_Toc720"/>
      <w:bookmarkStart w:id="103" w:name="_Toc25237"/>
      <w:r>
        <w:rPr>
          <w:rFonts w:hint="eastAsia" w:eastAsia="宋体"/>
          <w:color w:val="auto"/>
          <w:highlight w:val="none"/>
          <w:lang w:val="en-US" w:eastAsia="zh-CN"/>
        </w:rPr>
        <w:t>2.</w:t>
      </w:r>
      <w:bookmarkStart w:id="104" w:name="_Toc1530"/>
      <w:bookmarkStart w:id="105" w:name="_Toc303084246"/>
      <w:bookmarkStart w:id="106" w:name="_Toc298847174"/>
      <w:bookmarkStart w:id="107" w:name="_Toc382049092"/>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9030"/>
      <w:bookmarkStart w:id="109" w:name="_Toc24019"/>
      <w:bookmarkStart w:id="110" w:name="_Toc3037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14543"/>
      <w:bookmarkStart w:id="113" w:name="_Toc8119"/>
      <w:bookmarkStart w:id="114" w:name="_Toc18277"/>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24793"/>
      <w:bookmarkStart w:id="116" w:name="_Toc25254"/>
      <w:bookmarkStart w:id="117" w:name="_Toc32220"/>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30779"/>
      <w:bookmarkStart w:id="119" w:name="_Toc13064"/>
      <w:bookmarkStart w:id="120" w:name="_Toc31725"/>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27755"/>
      <w:bookmarkStart w:id="122" w:name="_Toc18142"/>
      <w:bookmarkStart w:id="123" w:name="_Toc23688"/>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19660"/>
      <w:bookmarkStart w:id="126" w:name="_Toc29774"/>
      <w:bookmarkStart w:id="127" w:name="_Toc5596"/>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3812"/>
      <w:bookmarkStart w:id="129" w:name="_Toc28076"/>
      <w:bookmarkStart w:id="130" w:name="_Toc2004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17507"/>
      <w:bookmarkStart w:id="132" w:name="_Toc5431"/>
      <w:bookmarkStart w:id="133" w:name="_Toc28595"/>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17694"/>
      <w:bookmarkStart w:id="135" w:name="_Toc307934854"/>
      <w:bookmarkStart w:id="136" w:name="_Toc382049103"/>
      <w:bookmarkStart w:id="137" w:name="_Toc21308"/>
      <w:bookmarkStart w:id="138" w:name="_Toc303084256"/>
      <w:bookmarkStart w:id="139" w:name="_Toc28866"/>
      <w:bookmarkStart w:id="140" w:name="_Toc25080"/>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3396"/>
      <w:bookmarkStart w:id="142" w:name="_Toc28835"/>
      <w:bookmarkStart w:id="143" w:name="_Toc26322"/>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10449"/>
      <w:bookmarkStart w:id="146" w:name="_Toc29388"/>
      <w:bookmarkStart w:id="147" w:name="_Toc11253"/>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28006"/>
      <w:bookmarkStart w:id="149" w:name="_Toc18749"/>
      <w:bookmarkStart w:id="150" w:name="_Toc29860"/>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4792"/>
      <w:bookmarkStart w:id="154" w:name="_Toc20435"/>
      <w:bookmarkStart w:id="155" w:name="_Toc12457"/>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11339"/>
      <w:bookmarkStart w:id="157" w:name="_Toc20804"/>
      <w:bookmarkStart w:id="158" w:name="_Toc28431"/>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303084264"/>
      <w:bookmarkStart w:id="161" w:name="_Toc24997"/>
      <w:bookmarkStart w:id="162" w:name="_Toc21699"/>
      <w:bookmarkStart w:id="163" w:name="_Toc5055"/>
      <w:bookmarkStart w:id="164" w:name="_Toc382049111"/>
      <w:bookmarkStart w:id="165" w:name="_Toc17970"/>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3249"/>
      <w:bookmarkStart w:id="167" w:name="_Toc14913"/>
      <w:bookmarkStart w:id="168" w:name="_Toc1911"/>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8387"/>
      <w:bookmarkStart w:id="170" w:name="_Toc13946"/>
      <w:bookmarkStart w:id="171" w:name="_Toc22059"/>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1364"/>
      <w:bookmarkStart w:id="173" w:name="_Toc382049112"/>
      <w:bookmarkStart w:id="174" w:name="_Toc9777"/>
      <w:bookmarkStart w:id="175" w:name="_Toc24777"/>
      <w:bookmarkStart w:id="176" w:name="_Toc518"/>
      <w:bookmarkStart w:id="177" w:name="_Toc303084265"/>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28776"/>
      <w:bookmarkStart w:id="179" w:name="_Toc4603"/>
      <w:bookmarkStart w:id="180" w:name="_Toc14390"/>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4512"/>
      <w:bookmarkStart w:id="182" w:name="_Toc11914"/>
      <w:bookmarkStart w:id="183" w:name="_Toc191"/>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19811"/>
      <w:bookmarkStart w:id="185" w:name="_Toc31198"/>
      <w:bookmarkStart w:id="186" w:name="_Toc13823"/>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9540"/>
      <w:bookmarkStart w:id="188" w:name="_Toc20823"/>
      <w:bookmarkStart w:id="189" w:name="_Toc3525"/>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7072"/>
      <w:bookmarkStart w:id="191" w:name="_Toc15479"/>
      <w:bookmarkStart w:id="192" w:name="_Toc18014"/>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4041"/>
      <w:bookmarkStart w:id="194" w:name="_Toc9736"/>
      <w:bookmarkStart w:id="195" w:name="_Toc16157"/>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20328"/>
      <w:bookmarkStart w:id="198" w:name="_Toc30573"/>
      <w:bookmarkStart w:id="199" w:name="_Toc25030"/>
      <w:bookmarkStart w:id="200" w:name="_Toc382049120"/>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1560"/>
      <w:bookmarkStart w:id="204" w:name="_Toc27383"/>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508284013"/>
      <w:bookmarkStart w:id="207" w:name="_Toc2468"/>
      <w:bookmarkStart w:id="208" w:name="_Toc6459"/>
      <w:bookmarkStart w:id="209" w:name="_Toc24851"/>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1555"/>
      <w:bookmarkStart w:id="211" w:name="_Toc7001"/>
      <w:bookmarkStart w:id="212" w:name="_Toc18733"/>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18002"/>
      <w:bookmarkStart w:id="217" w:name="_Toc27180"/>
      <w:bookmarkStart w:id="218" w:name="_Toc16006"/>
      <w:bookmarkStart w:id="219" w:name="_Toc7855"/>
      <w:r>
        <w:rPr>
          <w:rFonts w:hint="eastAsia"/>
          <w:b/>
          <w:bCs/>
          <w:color w:val="auto"/>
          <w:sz w:val="28"/>
          <w:szCs w:val="36"/>
          <w:highlight w:val="none"/>
          <w:lang w:eastAsia="zh-CN"/>
        </w:rPr>
        <w:t>商务要求</w:t>
      </w:r>
      <w:bookmarkEnd w:id="216"/>
      <w:bookmarkEnd w:id="217"/>
      <w:bookmarkEnd w:id="218"/>
      <w:bookmarkEnd w:id="219"/>
    </w:p>
    <w:tbl>
      <w:tblPr>
        <w:tblStyle w:val="14"/>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1369"/>
        <w:gridCol w:w="6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5"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★完工期</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180天内</w:t>
            </w:r>
            <w:r>
              <w:rPr>
                <w:rFonts w:hint="eastAsia" w:ascii="宋体" w:hAnsi="宋体" w:eastAsia="宋体" w:cs="宋体"/>
                <w:b w:val="0"/>
                <w:bCs/>
                <w:color w:val="auto"/>
                <w:kern w:val="2"/>
                <w:sz w:val="21"/>
                <w:szCs w:val="21"/>
                <w:highlight w:val="none"/>
                <w:lang w:val="en-US" w:eastAsia="zh-CN" w:bidi="ar-SA"/>
              </w:rPr>
              <w:t>完成（包括供货、施工、安装、调试、验收工作）。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质保期</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质保期为一年。供货并安装完毕，并经招标人验收合格之日起进入质保期。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9"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★付款方式</w:t>
            </w:r>
          </w:p>
        </w:tc>
        <w:tc>
          <w:tcPr>
            <w:tcW w:w="673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1、设备安装及工程施工完成后，经试运行及相关主管部门验收合格后支付合同金额的95%，剩余5%将在质保期满后支付。</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2、货款按约定的方式支付，成交单位凭以下有效的文件向采购人提出支付货款的申请：</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①合同；②成交单位开具的正式发票；③中标通知书</w:t>
            </w:r>
            <w:r>
              <w:rPr>
                <w:rFonts w:hint="eastAsia" w:ascii="宋体" w:hAnsi="宋体" w:cs="宋体"/>
                <w:b w:val="0"/>
                <w:bCs/>
                <w:color w:val="auto"/>
                <w:kern w:val="2"/>
                <w:sz w:val="21"/>
                <w:szCs w:val="21"/>
                <w:highlight w:val="none"/>
                <w:lang w:val="en-US" w:eastAsia="zh-CN" w:bidi="ar-SA"/>
              </w:rPr>
              <w:t>；④验收资料</w:t>
            </w:r>
            <w:r>
              <w:rPr>
                <w:rFonts w:hint="eastAsia" w:ascii="宋体" w:hAnsi="宋体" w:eastAsia="宋体" w:cs="宋体"/>
                <w:b w:val="0"/>
                <w:bCs/>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项目地点</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s="宋体"/>
                <w:b w:val="0"/>
                <w:bCs/>
                <w:color w:val="auto"/>
                <w:kern w:val="2"/>
                <w:sz w:val="21"/>
                <w:szCs w:val="21"/>
                <w:highlight w:val="none"/>
              </w:rPr>
              <w:t>采购人指定地点。（如有变化另行确定）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7</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其它要求</w:t>
            </w:r>
          </w:p>
        </w:tc>
        <w:tc>
          <w:tcPr>
            <w:tcW w:w="673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stheme="minorBidi"/>
                <w:b/>
                <w:color w:val="auto"/>
                <w:sz w:val="22"/>
                <w:szCs w:val="21"/>
                <w:highlight w:val="none"/>
                <w:lang w:val="en-US" w:eastAsia="zh-CN" w:bidi="ar-SA"/>
              </w:rPr>
            </w:pP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应充分结合本</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文件上下文了解项目</w:t>
            </w:r>
            <w:r>
              <w:rPr>
                <w:rFonts w:hint="eastAsia" w:ascii="宋体" w:hAnsi="宋体"/>
                <w:color w:val="auto"/>
                <w:szCs w:val="21"/>
                <w:highlight w:val="none"/>
                <w:lang w:val="en-US" w:eastAsia="zh-CN"/>
              </w:rPr>
              <w:t>采购</w:t>
            </w:r>
            <w:r>
              <w:rPr>
                <w:rFonts w:hint="eastAsia" w:ascii="宋体" w:hAnsi="宋体" w:eastAsia="宋体"/>
                <w:color w:val="auto"/>
                <w:szCs w:val="21"/>
                <w:highlight w:val="none"/>
              </w:rPr>
              <w:t>需求、采购文件未尽事宜，将在合同签订或项目执行过程中双方协商确定，供应商须无条件满足采购单位的合理要求。</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16983"/>
      <w:bookmarkStart w:id="221" w:name="_Toc4572"/>
      <w:bookmarkStart w:id="222" w:name="_Toc3714"/>
      <w:bookmarkStart w:id="223" w:name="_Toc4445"/>
      <w:r>
        <w:rPr>
          <w:rFonts w:hint="eastAsia" w:eastAsia="宋体"/>
          <w:b/>
          <w:bCs/>
          <w:color w:val="auto"/>
          <w:sz w:val="28"/>
          <w:szCs w:val="36"/>
          <w:highlight w:val="none"/>
          <w:lang w:eastAsia="zh-CN"/>
        </w:rPr>
        <w:t>技术要求</w:t>
      </w:r>
      <w:bookmarkEnd w:id="220"/>
      <w:bookmarkEnd w:id="221"/>
      <w:bookmarkEnd w:id="222"/>
      <w:bookmarkEnd w:id="223"/>
    </w:p>
    <w:p>
      <w:pP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一、项目清单</w:t>
      </w:r>
    </w:p>
    <w:p>
      <w:pPr>
        <w:ind w:firstLine="442" w:firstLineChars="200"/>
        <w:rPr>
          <w:rFonts w:hint="eastAsia"/>
          <w:color w:val="auto"/>
          <w:highlight w:val="none"/>
          <w:lang w:val="en-US" w:eastAsia="zh-CN"/>
        </w:rPr>
      </w:pPr>
      <w:r>
        <w:rPr>
          <w:rFonts w:hint="eastAsia" w:ascii="宋体" w:hAnsi="宋体" w:eastAsia="宋体" w:cs="宋体"/>
          <w:b/>
          <w:bCs/>
          <w:color w:val="auto"/>
          <w:kern w:val="2"/>
          <w:sz w:val="22"/>
          <w:szCs w:val="22"/>
          <w:highlight w:val="none"/>
        </w:rPr>
        <w:t>文件的技术规格中指出的工艺、材料和设备的标准以及参照的品牌或型号仅起说明作用，并没有任何限制性。</w:t>
      </w:r>
      <w:r>
        <w:rPr>
          <w:rFonts w:hint="eastAsia" w:ascii="宋体" w:hAnsi="宋体" w:eastAsia="宋体" w:cs="宋体"/>
          <w:b/>
          <w:bCs/>
          <w:color w:val="auto"/>
          <w:kern w:val="2"/>
          <w:sz w:val="22"/>
          <w:szCs w:val="22"/>
          <w:highlight w:val="none"/>
          <w:lang w:eastAsia="zh-CN"/>
        </w:rPr>
        <w:t>供应商</w:t>
      </w:r>
      <w:r>
        <w:rPr>
          <w:rFonts w:hint="eastAsia" w:ascii="宋体" w:hAnsi="宋体" w:eastAsia="宋体" w:cs="宋体"/>
          <w:b/>
          <w:bCs/>
          <w:color w:val="auto"/>
          <w:kern w:val="2"/>
          <w:sz w:val="22"/>
          <w:szCs w:val="22"/>
          <w:highlight w:val="none"/>
        </w:rPr>
        <w:t>可以选用替代标准、品牌或型号，但这些替代要实质上满足或超过文件的要求。</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3287"/>
        <w:gridCol w:w="2616"/>
        <w:gridCol w:w="911"/>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3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50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w:t>
            </w:r>
          </w:p>
        </w:tc>
        <w:tc>
          <w:tcPr>
            <w:tcW w:w="54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61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预装式变电站</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7"/>
                <w:rFonts w:hint="eastAsia" w:ascii="宋体" w:hAnsi="宋体" w:eastAsia="宋体" w:cs="宋体"/>
                <w:i w:val="0"/>
                <w:iCs w:val="0"/>
                <w:color w:val="auto"/>
                <w:highlight w:val="none"/>
                <w:lang w:val="en-US" w:eastAsia="zh-CN" w:bidi="ar"/>
              </w:rPr>
            </w:pPr>
            <w:r>
              <w:rPr>
                <w:rStyle w:val="27"/>
                <w:rFonts w:hint="eastAsia" w:ascii="宋体" w:hAnsi="宋体" w:eastAsia="宋体" w:cs="宋体"/>
                <w:i w:val="0"/>
                <w:iCs w:val="0"/>
                <w:color w:val="auto"/>
                <w:highlight w:val="none"/>
                <w:lang w:val="en-US" w:eastAsia="zh-CN" w:bidi="ar"/>
              </w:rPr>
              <w:t>800kVA</w:t>
            </w:r>
          </w:p>
          <w:p>
            <w:pPr>
              <w:keepNext w:val="0"/>
              <w:keepLines w:val="0"/>
              <w:widowControl/>
              <w:suppressLineNumbers w:val="0"/>
              <w:jc w:val="center"/>
              <w:textAlignment w:val="center"/>
              <w:rPr>
                <w:rStyle w:val="27"/>
                <w:rFonts w:hint="eastAsia" w:ascii="宋体" w:hAnsi="宋体" w:eastAsia="宋体" w:cs="宋体"/>
                <w:i w:val="0"/>
                <w:iCs w:val="0"/>
                <w:color w:val="auto"/>
                <w:highlight w:val="none"/>
                <w:lang w:val="en-US" w:eastAsia="zh-CN" w:bidi="ar"/>
              </w:rPr>
            </w:pPr>
            <w:r>
              <w:rPr>
                <w:rStyle w:val="27"/>
                <w:rFonts w:hint="eastAsia" w:ascii="宋体" w:hAnsi="宋体" w:eastAsia="宋体" w:cs="宋体"/>
                <w:i w:val="0"/>
                <w:iCs w:val="0"/>
                <w:color w:val="auto"/>
                <w:highlight w:val="none"/>
                <w:lang w:val="en-US" w:eastAsia="zh-CN" w:bidi="ar"/>
              </w:rPr>
              <w:t>干变，含高压计量</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26"/>
                <w:rFonts w:eastAsia="宋体"/>
                <w:color w:val="auto"/>
                <w:highlight w:val="none"/>
                <w:lang w:val="en-US" w:eastAsia="zh-CN" w:bidi="ar"/>
              </w:rPr>
              <w:t>0.4KV</w:t>
            </w:r>
            <w:r>
              <w:rPr>
                <w:rStyle w:val="27"/>
                <w:color w:val="auto"/>
                <w:highlight w:val="none"/>
                <w:lang w:val="en-US" w:eastAsia="zh-CN" w:bidi="ar"/>
              </w:rPr>
              <w:t>铜芯双塑线</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7"/>
                <w:rFonts w:hint="eastAsia" w:ascii="宋体" w:hAnsi="宋体" w:eastAsia="宋体" w:cs="宋体"/>
                <w:i w:val="0"/>
                <w:iCs w:val="0"/>
                <w:color w:val="auto"/>
                <w:highlight w:val="none"/>
                <w:lang w:val="en-US" w:eastAsia="zh-CN" w:bidi="ar"/>
              </w:rPr>
            </w:pPr>
            <w:r>
              <w:rPr>
                <w:rStyle w:val="27"/>
                <w:rFonts w:ascii="宋体" w:hAnsi="宋体" w:eastAsia="宋体" w:cs="宋体"/>
                <w:i w:val="0"/>
                <w:iCs w:val="0"/>
                <w:color w:val="auto"/>
                <w:highlight w:val="none"/>
                <w:lang w:val="en-US" w:eastAsia="zh-CN" w:bidi="ar"/>
              </w:rPr>
              <w:t>25mm2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26"/>
                <w:rFonts w:eastAsia="宋体"/>
                <w:color w:val="auto"/>
                <w:highlight w:val="none"/>
                <w:lang w:val="en-US" w:eastAsia="zh-CN" w:bidi="ar"/>
              </w:rPr>
              <w:t>10KV</w:t>
            </w:r>
            <w:r>
              <w:rPr>
                <w:rStyle w:val="27"/>
                <w:color w:val="auto"/>
                <w:highlight w:val="none"/>
                <w:lang w:val="en-US" w:eastAsia="zh-CN" w:bidi="ar"/>
              </w:rPr>
              <w:t>高压电缆</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YJV22-3*120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户外电缆终端头</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户内电缆终端头</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26"/>
                <w:rFonts w:eastAsia="宋体"/>
                <w:color w:val="auto"/>
                <w:highlight w:val="none"/>
                <w:lang w:val="en-US" w:eastAsia="zh-CN" w:bidi="ar"/>
              </w:rPr>
              <w:t>10KV</w:t>
            </w:r>
            <w:r>
              <w:rPr>
                <w:rStyle w:val="27"/>
                <w:color w:val="auto"/>
                <w:highlight w:val="none"/>
                <w:lang w:val="en-US" w:eastAsia="zh-CN" w:bidi="ar"/>
              </w:rPr>
              <w:t>架空绝缘钢芯铝绞线</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JKLGYJ-95/15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26"/>
                <w:rFonts w:eastAsia="宋体"/>
                <w:color w:val="auto"/>
                <w:highlight w:val="none"/>
                <w:lang w:val="en-US" w:eastAsia="zh-CN" w:bidi="ar"/>
              </w:rPr>
              <w:t>10KV</w:t>
            </w:r>
            <w:r>
              <w:rPr>
                <w:rStyle w:val="27"/>
                <w:color w:val="auto"/>
                <w:highlight w:val="none"/>
                <w:lang w:val="en-US" w:eastAsia="zh-CN" w:bidi="ar"/>
              </w:rPr>
              <w:t>户外防爆自动脱离型高压避雷器</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YH5W--17/50SPE</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26"/>
                <w:rFonts w:eastAsia="宋体"/>
                <w:color w:val="auto"/>
                <w:highlight w:val="none"/>
                <w:lang w:val="en-US" w:eastAsia="zh-CN" w:bidi="ar"/>
              </w:rPr>
              <w:t>10KV</w:t>
            </w:r>
            <w:r>
              <w:rPr>
                <w:rStyle w:val="27"/>
                <w:color w:val="auto"/>
                <w:highlight w:val="none"/>
                <w:lang w:val="en-US" w:eastAsia="zh-CN" w:bidi="ar"/>
              </w:rPr>
              <w:t>高压隔离开关</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HGW9--10G/630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铁支架及铁构件</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100kg</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电缆保护管</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7"/>
                <w:color w:val="auto"/>
                <w:highlight w:val="none"/>
                <w:lang w:val="en-US" w:eastAsia="zh-CN" w:bidi="ar"/>
              </w:rPr>
              <w:t>φ1</w:t>
            </w:r>
            <w:r>
              <w:rPr>
                <w:rStyle w:val="29"/>
                <w:color w:val="auto"/>
                <w:highlight w:val="none"/>
                <w:lang w:val="en-US" w:eastAsia="zh-CN" w:bidi="ar"/>
              </w:rPr>
              <w:t>14*3000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陶担</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铜铝线夹</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JYL-600A</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力矩节能线夹</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避雷器横担</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60*6*1600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接地引铁</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φ16*6000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杆型电缆支架</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7"/>
                <w:color w:val="auto"/>
                <w:highlight w:val="none"/>
                <w:lang w:val="en-US" w:eastAsia="zh-CN" w:bidi="ar"/>
              </w:rPr>
              <w:t>15米</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杆型刀闸担</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镀锌元铁</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φ16*6000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灭火器</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绝缘棒</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验电笔</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绝缘鞋</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绝缘手套</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安全标牌</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绝缘工具箱</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角铁地极</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L5*50*2500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户外电缆支架绝缘护套</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3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台班费</w:t>
            </w:r>
          </w:p>
        </w:tc>
        <w:tc>
          <w:tcPr>
            <w:tcW w:w="1504"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组合型成套箱式变电站系统调试 10kV以下变压器(容量kV·A以下)1000</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送配电装置系统调试 1kV以下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交流供电 (综合）</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送配电装置系统调试 10kV以下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交流供电 (综合）</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母线系统调试 (1kV以下)</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段</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母线系统调试 (10kV以下)</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段</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避雷器调试 (10kV以下)</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电容器调试 (1kV以下)</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调试 接地网</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10kV电缆交流耐试验</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10kV电缆局放试验</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行车混凝土电缆工作井</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7块板</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混凝土箱变基础</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含2个不锈钢活动操作平台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镀锌围栏</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26"/>
                <w:rFonts w:eastAsia="宋体"/>
                <w:color w:val="auto"/>
                <w:highlight w:val="none"/>
                <w:lang w:val="en-US" w:eastAsia="zh-CN" w:bidi="ar"/>
              </w:rPr>
              <w:t>m</w:t>
            </w:r>
            <w:r>
              <w:rPr>
                <w:rStyle w:val="30"/>
                <w:rFonts w:eastAsia="宋体"/>
                <w:color w:val="auto"/>
                <w:highlight w:val="none"/>
                <w:lang w:val="en-US" w:eastAsia="zh-CN" w:bidi="ar"/>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电缆保护管砌砖</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机械顶管</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9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开挖混凝土路面及修复</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408"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注：</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以上清单仅供参考，具体以实际安装数量为准。投标人须根据现场情况，综合考虑项目包含的一切费用，自行制定服务方案</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565" w:rightChars="269" w:firstLine="422" w:firstLineChars="200"/>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低压出线柜共五回路出线开关，分别是800A，630A，630A，400A，200A</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565" w:rightChars="269" w:firstLine="422"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3、配置说明：变压器选用SCB11-800/10干式变压器，低压柜采用GCK系列；低压断路器采用国</w:t>
      </w:r>
      <w:r>
        <w:rPr>
          <w:rFonts w:hint="eastAsia" w:ascii="宋体" w:hAnsi="宋体" w:cs="宋体"/>
          <w:b/>
          <w:bCs/>
          <w:color w:val="auto"/>
          <w:sz w:val="21"/>
          <w:szCs w:val="21"/>
          <w:highlight w:val="none"/>
          <w:lang w:val="en-US" w:eastAsia="zh-CN"/>
        </w:rPr>
        <w:t>产</w:t>
      </w:r>
      <w:r>
        <w:rPr>
          <w:rFonts w:hint="eastAsia" w:ascii="宋体" w:hAnsi="宋体" w:eastAsia="宋体" w:cs="宋体"/>
          <w:b/>
          <w:bCs/>
          <w:color w:val="auto"/>
          <w:sz w:val="21"/>
          <w:szCs w:val="21"/>
          <w:highlight w:val="none"/>
          <w:lang w:val="en-US" w:eastAsia="zh-CN"/>
        </w:rPr>
        <w:t xml:space="preserve">品牌；补偿柜采用静态补偿方式（400kVAR），按熔断器+限流电抗器+交流接触器+热继电器+电容器配置 </w:t>
      </w:r>
      <w:r>
        <w:rPr>
          <w:rFonts w:hint="eastAsia" w:ascii="宋体" w:hAnsi="宋体" w:cs="宋体"/>
          <w:b/>
          <w:bCs/>
          <w:color w:val="auto"/>
          <w:sz w:val="21"/>
          <w:szCs w:val="21"/>
          <w:highlight w:val="none"/>
          <w:lang w:val="en-US" w:eastAsia="zh-CN"/>
        </w:rPr>
        <w:t>。</w:t>
      </w:r>
    </w:p>
    <w:p>
      <w:pPr>
        <w:outlineLvl w:val="0"/>
        <w:rPr>
          <w:rFonts w:hint="eastAsia" w:ascii="宋体" w:hAnsi="宋体" w:eastAsia="宋体" w:cs="宋体"/>
          <w:b/>
          <w:color w:val="auto"/>
          <w:sz w:val="24"/>
          <w:szCs w:val="24"/>
          <w:highlight w:val="none"/>
          <w:lang w:eastAsia="zh-CN"/>
        </w:rPr>
      </w:pPr>
    </w:p>
    <w:p>
      <w:pP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、供货要求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、调试：按国家相关验收规范进行，分阶段进行调试。</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的实施工作全部由中标人负责，但必须在招标人的指定人员的参与下进行。投标文件中须给出的具体供货和验收方法，在实际实施前必须先经招标人同意方可进行。调试的原始记录须经各方签字后作为验收的文件之一。</w:t>
      </w:r>
    </w:p>
    <w:p>
      <w:pPr>
        <w:outlineLvl w:val="9"/>
        <w:rPr>
          <w:rFonts w:hint="eastAsia" w:ascii="宋体" w:hAnsi="宋体" w:eastAsia="宋体" w:cs="宋体"/>
          <w:b/>
          <w:color w:val="auto"/>
          <w:sz w:val="24"/>
          <w:szCs w:val="24"/>
          <w:highlight w:val="none"/>
          <w:lang w:eastAsia="zh-CN"/>
        </w:rPr>
      </w:pPr>
    </w:p>
    <w:p>
      <w:pPr>
        <w:outlineLvl w:val="0"/>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lang w:eastAsia="zh-CN"/>
        </w:rPr>
        <w:t>三、质保要求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质保期内由中标人负责对设备进行维护保养，排除故障，无偿提供非操作不当及非外部原因造成的部件、配件的更换。质保期内，所有维修服务均为上门服务，由此产生的费用均不再收取（质保期内，由中标人免费提供必要的备品备件及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故障保修响应时间为：2小时内响应到用户现场。如果故障在检修8小时后仍无法排除，投标人应在24小时内提供不低于故障产品规格型号档次的备用产品供用户使用，直至故障产品修复。对于重大紧急故障，中标人技术人员在2小时内到达最终用户现场免费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中标人须每月派人上门按照国家现行的有关维修保养规范进行系统、全面的维修和保养，检查各系统的各功能和情况是否正常使用，发现问题及时处理，每次检测均要书面记录，并经双方签字认可，留作存档备查。</w:t>
      </w:r>
    </w:p>
    <w:p>
      <w:pPr>
        <w:tabs>
          <w:tab w:val="left" w:pos="0"/>
        </w:tabs>
        <w:ind w:firstLine="420" w:firstLineChars="200"/>
        <w:rPr>
          <w:rFonts w:ascii="宋体" w:hAnsi="宋体"/>
          <w:color w:val="auto"/>
          <w:szCs w:val="21"/>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四、采购人配合事项</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1、踏勘现场：本项目不组织投标人统一对项目现场进行踏勘，有需要的投标人可自行进行踏勘，以便获取编制投标文件和签署合同所需的所有资料。踏勘现场所发生的费用由投标人自己承担。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2、投标人在投标文件中要列明在项目实施过程中要求采购人提供的合理配合条件。</w:t>
      </w:r>
    </w:p>
    <w:p>
      <w:pPr>
        <w:pStyle w:val="25"/>
        <w:spacing w:before="120" w:beforeLines="50" w:after="120" w:afterLines="50" w:line="240" w:lineRule="auto"/>
        <w:ind w:firstLine="0" w:firstLineChars="0"/>
        <w:rPr>
          <w:rFonts w:cs="宋体"/>
          <w:b/>
          <w:color w:val="auto"/>
          <w:kern w:val="0"/>
          <w:szCs w:val="21"/>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五、其它</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投标人应根据采购要求，在投标文件中提供切实可行的实施服务方案。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8、承包人需到供电公司完成本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的报建，施工资质审核，施工方案审核，报停电计划，项目图纸电子化移交，施工前安全技术交底，工作票签发和验收等，在施工过程中完成电力电缆的试验，保证通电且取得验收合格证, 并完成</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的移交工作及拆除材料移交入仓手续，此过程产生的一切费用由承包人承担。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9、在施工过程中完成自动化设备的调试、验收，此过程产生的一切费用由承包人承担。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420" w:firstLineChars="2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0" w:firstLineChars="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1"/>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eastAsia="zh-CN"/>
              </w:rPr>
              <w:t>企业实力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具有国家认证认可的监督管理部门批准设立的认证机构颁发的质量管理体系认证证书、环境管理体系认证证书、职业健康安全管理体系认证证书，每个得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具有安全生产许可证的得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须提供上述相关证书，具有有效期限的证书必须在有效期内，复印件加盖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lang w:eastAsia="zh-CN"/>
              </w:rPr>
            </w:pPr>
            <w:r>
              <w:rPr>
                <w:rFonts w:hint="eastAsia" w:ascii="宋体" w:eastAsia="宋体" w:cs="宋体"/>
                <w:color w:val="auto"/>
                <w:sz w:val="21"/>
                <w:szCs w:val="21"/>
                <w:highlight w:val="none"/>
              </w:rPr>
              <w:t>相关业绩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供应商自2017年以来（以合同签订时间为准）</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的配电设备</w:t>
            </w:r>
            <w:r>
              <w:rPr>
                <w:rFonts w:hint="eastAsia" w:ascii="宋体" w:hAnsi="宋体" w:eastAsia="宋体" w:cs="宋体"/>
                <w:bCs/>
                <w:color w:val="auto"/>
                <w:sz w:val="21"/>
                <w:szCs w:val="21"/>
                <w:highlight w:val="none"/>
                <w:lang w:eastAsia="zh-CN"/>
              </w:rPr>
              <w:t>或配电工程</w:t>
            </w:r>
            <w:r>
              <w:rPr>
                <w:rFonts w:hint="eastAsia" w:ascii="宋体" w:hAnsi="宋体" w:eastAsia="宋体" w:cs="宋体"/>
                <w:bCs/>
                <w:color w:val="auto"/>
                <w:sz w:val="21"/>
                <w:szCs w:val="21"/>
                <w:highlight w:val="none"/>
              </w:rPr>
              <w:t>类业绩，每提供一个合同业绩得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分，无不得分，本项最高得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注：须提供有效业绩合同复印件加盖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提供的服务响应时间承诺进行评分。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小时内到现场，得1分；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小时到现场，不得分。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提供服务承诺书并加盖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总体施工方案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根据供应商所提供施工方案的详细性、合理性、针对性等进行综合评审：</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施工方案详细完整合理，方案针对性高，切合本项目需求，得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施工方案存在缺漏，方案针对性和合理性一般，基本满足本项目需求，得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施工方案缺漏较多，方案针对性和合理性较差，得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进度保障计划方案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制定的进度保障计划方案进行评分：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方案详尽完整、科学合理、有利于项目实施的得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具备合理可行的进度保障计划方案的得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安全文明施工制度及保障措施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制定的安全文明施工制度及保障措施进行评分：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保障措施详尽完整、科学合理，制度严谨规范、能高效地保障项目实施的得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保障措施完整、合理性较高，制度较规范、有利于保障项目实施的得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保障措施及制度缺乏可行性及完整性的得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项目质量控制和检验方法</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制定的项目质量控制和检验方法进行评分：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质量控制严谨、检验方法科学合理、能高效地保障项目实施的得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具备规范可操作的质量控制和可行的检验方法、能</w:t>
            </w:r>
            <w:r>
              <w:rPr>
                <w:rFonts w:hint="eastAsia" w:ascii="宋体" w:hAnsi="宋体" w:eastAsia="宋体" w:cs="宋体"/>
                <w:bCs/>
                <w:color w:val="auto"/>
                <w:sz w:val="21"/>
                <w:szCs w:val="21"/>
                <w:highlight w:val="none"/>
                <w:lang w:eastAsia="zh-CN"/>
              </w:rPr>
              <w:t>较好</w:t>
            </w:r>
            <w:r>
              <w:rPr>
                <w:rFonts w:hint="eastAsia" w:ascii="宋体" w:hAnsi="宋体" w:eastAsia="宋体" w:cs="宋体"/>
                <w:bCs/>
                <w:color w:val="auto"/>
                <w:sz w:val="21"/>
                <w:szCs w:val="21"/>
                <w:highlight w:val="none"/>
              </w:rPr>
              <w:t>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质量控制和检验方法缺乏可行性或合理性的得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vMerge w:val="restart"/>
            <w:tcBorders>
              <w:top w:val="single" w:color="auto" w:sz="4" w:space="0"/>
              <w:left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技术力量</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拟派本项目的项目负责人（仅指一人）：</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项目负责人具有注册建造师证书的得3分。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（须提供上述人员的相关证书及</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607" w:type="dxa"/>
            <w:vMerge w:val="continue"/>
            <w:tcBorders>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eastAsia="宋体" w:cs="宋体"/>
                <w:color w:val="auto"/>
                <w:sz w:val="21"/>
                <w:szCs w:val="21"/>
                <w:highlight w:val="none"/>
              </w:rPr>
            </w:pP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拟派本项目的其他人员（项目负责人除外）：</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①具有电气（力）类或机电工程类工程师证书的，中级或以上的每个得2分，最高得4分，其他不得分。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②具有安全生产考核合格证书（证书信息须为安全生产专职人员或以上，即“建安C”类或以上）的得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（须提供上述人员的相关证书及</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1"/>
              <w:spacing w:line="240" w:lineRule="auto"/>
              <w:ind w:firstLine="0" w:firstLineChars="0"/>
              <w:jc w:val="center"/>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1"/>
              <w:spacing w:line="340" w:lineRule="exact"/>
              <w:ind w:firstLine="0" w:firstLineChars="0"/>
              <w:jc w:val="center"/>
              <w:rPr>
                <w:rFonts w:hint="eastAsia" w:ascii="宋体" w:hAnsi="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针对本项目制定的应急预案及服务承诺方案进行评分：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pPr>
        <w:jc w:val="center"/>
        <w:outlineLvl w:val="1"/>
        <w:rPr>
          <w:rFonts w:hint="eastAsia"/>
          <w:color w:val="auto"/>
          <w:sz w:val="18"/>
          <w:szCs w:val="21"/>
          <w:highlight w:val="none"/>
          <w:lang w:val="en-US" w:eastAsia="zh-CN"/>
        </w:rPr>
      </w:pPr>
      <w:bookmarkStart w:id="226" w:name="_Toc27897"/>
      <w:bookmarkStart w:id="227" w:name="_Toc25458"/>
      <w:bookmarkStart w:id="228" w:name="_Toc1541"/>
      <w:bookmarkStart w:id="229" w:name="_Toc20453"/>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14994"/>
      <w:bookmarkStart w:id="231" w:name="_Toc21895"/>
      <w:bookmarkStart w:id="232" w:name="_Toc3633"/>
      <w:bookmarkStart w:id="233" w:name="_Toc864"/>
      <w:r>
        <w:rPr>
          <w:rFonts w:hint="eastAsia"/>
          <w:b/>
          <w:bCs/>
          <w:color w:val="auto"/>
          <w:highlight w:val="none"/>
          <w:lang w:val="en-US" w:eastAsia="zh-CN"/>
        </w:rPr>
        <w:t>一、合同金额</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31907"/>
      <w:bookmarkStart w:id="235" w:name="_Toc32599"/>
      <w:bookmarkStart w:id="236" w:name="_Toc8673"/>
      <w:bookmarkStart w:id="237" w:name="_Toc8984"/>
      <w:r>
        <w:rPr>
          <w:rFonts w:hint="eastAsia"/>
          <w:b/>
          <w:bCs/>
          <w:color w:val="auto"/>
          <w:highlight w:val="none"/>
          <w:lang w:val="en-US" w:eastAsia="zh-CN"/>
        </w:rPr>
        <w:t>二、服务范围</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2159"/>
      <w:bookmarkStart w:id="239" w:name="_Toc9958"/>
      <w:bookmarkStart w:id="240" w:name="_Toc23270"/>
      <w:bookmarkStart w:id="241" w:name="_Toc28304"/>
      <w:r>
        <w:rPr>
          <w:rFonts w:hint="eastAsia"/>
          <w:b/>
          <w:bCs/>
          <w:color w:val="auto"/>
          <w:highlight w:val="none"/>
          <w:lang w:val="en-US" w:eastAsia="zh-CN"/>
        </w:rPr>
        <w:t>三、甲方乙方的权利和义务</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29743"/>
      <w:bookmarkStart w:id="243" w:name="_Toc13843"/>
      <w:bookmarkStart w:id="244" w:name="_Toc3949"/>
      <w:bookmarkStart w:id="245" w:name="_Toc31228"/>
      <w:r>
        <w:rPr>
          <w:rFonts w:hint="eastAsia"/>
          <w:b/>
          <w:bCs/>
          <w:color w:val="auto"/>
          <w:highlight w:val="none"/>
          <w:lang w:val="en-US" w:eastAsia="zh-CN"/>
        </w:rPr>
        <w:t>四、服务期间（项目完成期限）</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1315"/>
      <w:bookmarkStart w:id="247" w:name="_Toc3509"/>
      <w:bookmarkStart w:id="248" w:name="_Toc26555"/>
      <w:bookmarkStart w:id="249" w:name="_Toc30401"/>
      <w:r>
        <w:rPr>
          <w:rFonts w:hint="eastAsia"/>
          <w:b/>
          <w:bCs/>
          <w:color w:val="auto"/>
          <w:highlight w:val="none"/>
          <w:lang w:val="en-US" w:eastAsia="zh-CN"/>
        </w:rPr>
        <w:t>五、付款方式</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8728"/>
      <w:bookmarkStart w:id="251" w:name="_Toc27026"/>
      <w:bookmarkStart w:id="252" w:name="_Toc25049"/>
      <w:bookmarkStart w:id="253" w:name="_Toc29016"/>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15194"/>
      <w:bookmarkStart w:id="255" w:name="_Toc25037"/>
      <w:bookmarkStart w:id="256" w:name="_Toc491"/>
      <w:bookmarkStart w:id="257" w:name="_Toc16011"/>
      <w:r>
        <w:rPr>
          <w:rFonts w:hint="eastAsia"/>
          <w:b/>
          <w:bCs/>
          <w:color w:val="auto"/>
          <w:highlight w:val="none"/>
          <w:lang w:val="en-US" w:eastAsia="zh-CN"/>
        </w:rPr>
        <w:t>七、保密</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8277"/>
      <w:bookmarkStart w:id="259" w:name="_Toc14319"/>
      <w:bookmarkStart w:id="260" w:name="_Toc28189"/>
      <w:bookmarkStart w:id="261" w:name="_Toc5642"/>
      <w:r>
        <w:rPr>
          <w:rFonts w:hint="eastAsia"/>
          <w:b/>
          <w:bCs/>
          <w:color w:val="auto"/>
          <w:highlight w:val="none"/>
          <w:lang w:val="en-US" w:eastAsia="zh-CN"/>
        </w:rPr>
        <w:t>八、违约责任与赔偿损失</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23187"/>
      <w:bookmarkStart w:id="263" w:name="_Toc24754"/>
      <w:bookmarkStart w:id="264" w:name="_Toc18504"/>
      <w:bookmarkStart w:id="265" w:name="_Toc30679"/>
      <w:r>
        <w:rPr>
          <w:rFonts w:hint="eastAsia"/>
          <w:b/>
          <w:bCs/>
          <w:color w:val="auto"/>
          <w:highlight w:val="none"/>
          <w:lang w:val="en-US" w:eastAsia="zh-CN"/>
        </w:rPr>
        <w:t>九、争议的解决</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3085"/>
      <w:bookmarkStart w:id="267" w:name="_Toc20074"/>
      <w:bookmarkStart w:id="268" w:name="_Toc26856"/>
      <w:bookmarkStart w:id="269" w:name="_Toc21080"/>
      <w:r>
        <w:rPr>
          <w:rFonts w:hint="eastAsia"/>
          <w:b/>
          <w:bCs/>
          <w:color w:val="auto"/>
          <w:highlight w:val="none"/>
          <w:lang w:val="en-US" w:eastAsia="zh-CN"/>
        </w:rPr>
        <w:t>十、不可抗力</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12645"/>
      <w:bookmarkStart w:id="271" w:name="_Toc29236"/>
      <w:bookmarkStart w:id="272" w:name="_Toc16247"/>
      <w:bookmarkStart w:id="273" w:name="_Toc12495"/>
      <w:r>
        <w:rPr>
          <w:rFonts w:hint="eastAsia"/>
          <w:b/>
          <w:bCs/>
          <w:color w:val="auto"/>
          <w:highlight w:val="none"/>
          <w:lang w:val="en-US" w:eastAsia="zh-CN"/>
        </w:rPr>
        <w:t>十一、税费</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6429"/>
      <w:bookmarkStart w:id="275" w:name="_Toc1974"/>
      <w:bookmarkStart w:id="276" w:name="_Toc14065"/>
      <w:bookmarkStart w:id="277" w:name="_Toc7253"/>
      <w:r>
        <w:rPr>
          <w:rFonts w:hint="eastAsia"/>
          <w:b/>
          <w:bCs/>
          <w:color w:val="auto"/>
          <w:highlight w:val="none"/>
          <w:lang w:val="en-US" w:eastAsia="zh-CN"/>
        </w:rPr>
        <w:t>十二、其它</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13763"/>
      <w:bookmarkStart w:id="279" w:name="_Toc22153"/>
      <w:bookmarkStart w:id="280" w:name="_Toc15369"/>
      <w:bookmarkStart w:id="281" w:name="_Toc31822"/>
      <w:r>
        <w:rPr>
          <w:rFonts w:hint="eastAsia"/>
          <w:b/>
          <w:bCs/>
          <w:color w:val="auto"/>
          <w:highlight w:val="none"/>
          <w:lang w:val="en-US" w:eastAsia="zh-CN"/>
        </w:rPr>
        <w:t>十三、合同生效</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3" w:name="_Toc32213"/>
      <w:bookmarkStart w:id="284" w:name="_Toc712"/>
      <w:bookmarkStart w:id="285" w:name="_Toc23380"/>
      <w:bookmarkStart w:id="286" w:name="_Toc7065"/>
      <w:r>
        <w:rPr>
          <w:rFonts w:hint="eastAsia"/>
          <w:b/>
          <w:bCs/>
          <w:color w:val="auto"/>
          <w:highlight w:val="none"/>
          <w:lang w:val="en-US" w:eastAsia="zh-CN"/>
        </w:rPr>
        <w:t>（封面格式仅供参考）</w:t>
      </w:r>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14748"/>
      <w:bookmarkStart w:id="288" w:name="_Toc26688"/>
      <w:bookmarkStart w:id="289" w:name="_Toc4650"/>
      <w:bookmarkStart w:id="290" w:name="_Toc24171"/>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17848"/>
      <w:bookmarkStart w:id="292" w:name="_Toc302"/>
      <w:bookmarkStart w:id="293" w:name="_Toc6353"/>
      <w:bookmarkStart w:id="294" w:name="_Toc2513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18"/>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18"/>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18"/>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18"/>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18"/>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9"/>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23039"/>
      <w:bookmarkStart w:id="296" w:name="_Toc17533"/>
      <w:bookmarkStart w:id="297" w:name="_Toc19106"/>
      <w:bookmarkStart w:id="298" w:name="_Toc4452"/>
      <w:r>
        <w:rPr>
          <w:color w:val="auto"/>
          <w:sz w:val="24"/>
          <w:szCs w:val="24"/>
          <w:highlight w:val="none"/>
        </w:rPr>
        <w:t>法定代表人证明书</w:t>
      </w:r>
      <w:bookmarkEnd w:id="295"/>
      <w:bookmarkEnd w:id="296"/>
      <w:bookmarkEnd w:id="297"/>
      <w:bookmarkEnd w:id="298"/>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1"/>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4"/>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2"/>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2"/>
        <w:spacing w:before="2" w:after="1"/>
        <w:rPr>
          <w:b/>
          <w:color w:val="auto"/>
          <w:sz w:val="17"/>
          <w:highlight w:val="none"/>
        </w:rPr>
      </w:pPr>
    </w:p>
    <w:tbl>
      <w:tblPr>
        <w:tblStyle w:val="1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格式十一：</w:t>
      </w:r>
    </w:p>
    <w:p>
      <w:pPr>
        <w:jc w:val="center"/>
        <w:rPr>
          <w:rFonts w:hint="default"/>
          <w:b/>
          <w:bCs/>
          <w:color w:val="auto"/>
          <w:sz w:val="24"/>
          <w:szCs w:val="32"/>
          <w:highlight w:val="none"/>
          <w:lang w:val="en-US" w:eastAsia="zh-CN"/>
        </w:rPr>
      </w:pPr>
      <w:r>
        <w:rPr>
          <w:rFonts w:hint="default"/>
          <w:b/>
          <w:bCs/>
          <w:color w:val="auto"/>
          <w:sz w:val="24"/>
          <w:szCs w:val="32"/>
          <w:highlight w:val="none"/>
          <w:lang w:val="en-US" w:eastAsia="zh-CN"/>
        </w:rPr>
        <w:t>技术要求响应表</w:t>
      </w:r>
    </w:p>
    <w:p>
      <w:pPr>
        <w:pStyle w:val="2"/>
        <w:rPr>
          <w:rFonts w:hint="default"/>
          <w:color w:val="auto"/>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磋商文件规定的技术要求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bl>
    <w:p>
      <w:pPr>
        <w:pStyle w:val="2"/>
        <w:rPr>
          <w:rFonts w:hint="default"/>
          <w:color w:val="auto"/>
          <w:highlight w:val="none"/>
          <w:lang w:val="en-US" w:eastAsia="zh-CN"/>
        </w:rPr>
      </w:pPr>
    </w:p>
    <w:p>
      <w:pPr>
        <w:rPr>
          <w:rFonts w:hint="default"/>
          <w:color w:val="auto"/>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18"/>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line="360" w:lineRule="auto"/>
        <w:ind w:left="0" w:right="0" w:rightChars="0" w:firstLine="424" w:firstLineChars="200"/>
        <w:jc w:val="left"/>
        <w:textAlignment w:val="auto"/>
        <w:rPr>
          <w:rFonts w:hint="eastAsia" w:ascii="宋体" w:hAnsi="宋体" w:eastAsia="宋体" w:cs="宋体"/>
          <w:color w:val="auto"/>
          <w:w w:val="101"/>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规定的技术要求”项下填写的内容应与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 “技术要求”的内容保持一致。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提出的</w:t>
      </w:r>
      <w:r>
        <w:rPr>
          <w:rFonts w:hint="eastAsia"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参数性质栏目按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2"/>
        <w:jc w:val="center"/>
        <w:rPr>
          <w:b/>
          <w:bCs/>
          <w:color w:val="auto"/>
          <w:sz w:val="24"/>
          <w:szCs w:val="24"/>
          <w:highlight w:val="none"/>
        </w:rPr>
      </w:pPr>
      <w:r>
        <w:rPr>
          <w:b/>
          <w:bCs/>
          <w:color w:val="auto"/>
          <w:sz w:val="24"/>
          <w:szCs w:val="24"/>
          <w:highlight w:val="none"/>
        </w:rPr>
        <w:t>商务</w:t>
      </w:r>
      <w:r>
        <w:rPr>
          <w:rFonts w:hint="eastAsia"/>
          <w:b/>
          <w:bCs/>
          <w:color w:val="auto"/>
          <w:sz w:val="24"/>
          <w:szCs w:val="24"/>
          <w:highlight w:val="none"/>
          <w:lang w:eastAsia="zh-CN"/>
        </w:rPr>
        <w:t>要求</w:t>
      </w:r>
      <w:r>
        <w:rPr>
          <w:b/>
          <w:bCs/>
          <w:color w:val="auto"/>
          <w:sz w:val="24"/>
          <w:szCs w:val="24"/>
          <w:highlight w:val="none"/>
        </w:rPr>
        <w:t>响应表</w:t>
      </w:r>
    </w:p>
    <w:p>
      <w:pPr>
        <w:rPr>
          <w:b/>
          <w:bCs/>
          <w:color w:val="auto"/>
          <w:sz w:val="24"/>
          <w:szCs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磋商文件规定的商务要求</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bl>
    <w:p>
      <w:pPr>
        <w:pStyle w:val="2"/>
        <w:rPr>
          <w:rFonts w:hint="default"/>
          <w:b w:val="0"/>
          <w:bCs w:val="0"/>
          <w:color w:val="auto"/>
          <w:sz w:val="21"/>
          <w:szCs w:val="21"/>
          <w:highlight w:val="none"/>
          <w:lang w:val="en-US" w:eastAsia="zh-CN"/>
        </w:rPr>
      </w:pPr>
    </w:p>
    <w:p>
      <w:pPr>
        <w:rPr>
          <w:rFonts w:hint="default"/>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中用户需求书的“商务要求”的内容保持一致。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3.参数性质栏目按</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299" w:name="_Toc27833"/>
      <w:bookmarkStart w:id="300" w:name="_Toc16713"/>
      <w:bookmarkStart w:id="301" w:name="_Toc20098"/>
      <w:bookmarkStart w:id="302" w:name="_Toc10424"/>
      <w:r>
        <w:rPr>
          <w:color w:val="auto"/>
          <w:highlight w:val="none"/>
        </w:rPr>
        <w:t>履约进度计划表</w:t>
      </w:r>
      <w:bookmarkEnd w:id="299"/>
      <w:bookmarkEnd w:id="300"/>
      <w:bookmarkEnd w:id="301"/>
      <w:bookmarkEnd w:id="302"/>
    </w:p>
    <w:p>
      <w:pPr>
        <w:pStyle w:val="2"/>
        <w:spacing w:before="2" w:after="1"/>
        <w:rPr>
          <w:b/>
          <w:color w:val="auto"/>
          <w:sz w:val="17"/>
          <w:highlight w:val="none"/>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0"/>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3" w:name="_Toc26415"/>
      <w:bookmarkStart w:id="304" w:name="_Toc7867"/>
      <w:bookmarkStart w:id="305" w:name="_Toc6564"/>
      <w:bookmarkStart w:id="306" w:name="_Toc2912"/>
      <w:r>
        <w:rPr>
          <w:rFonts w:hint="eastAsia"/>
          <w:b/>
          <w:bCs/>
          <w:color w:val="auto"/>
          <w:sz w:val="24"/>
          <w:szCs w:val="32"/>
          <w:highlight w:val="none"/>
          <w:lang w:val="en-US" w:eastAsia="zh-CN"/>
        </w:rPr>
        <w:t>格式十四：</w:t>
      </w:r>
      <w:bookmarkEnd w:id="303"/>
      <w:bookmarkEnd w:id="304"/>
      <w:bookmarkEnd w:id="305"/>
      <w:bookmarkEnd w:id="306"/>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14919"/>
      <w:bookmarkStart w:id="308" w:name="_Toc3338"/>
      <w:bookmarkStart w:id="309" w:name="_Toc3436"/>
      <w:bookmarkStart w:id="310" w:name="_Toc10497"/>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7938"/>
      <w:bookmarkStart w:id="312" w:name="_Toc26846"/>
      <w:bookmarkStart w:id="313" w:name="_Toc2429"/>
      <w:bookmarkStart w:id="314" w:name="_Toc26572"/>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5195"/>
      <w:bookmarkStart w:id="316" w:name="_Toc30382"/>
      <w:bookmarkStart w:id="317" w:name="_Toc2436"/>
      <w:bookmarkStart w:id="318" w:name="_Toc27193"/>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18"/>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7693"/>
      <w:bookmarkStart w:id="320" w:name="_Toc3970"/>
      <w:bookmarkStart w:id="321" w:name="_Toc32108"/>
      <w:bookmarkStart w:id="322" w:name="_Toc28801"/>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3" w:name="_Toc17430"/>
      <w:bookmarkStart w:id="324" w:name="_Toc11855"/>
      <w:bookmarkStart w:id="325" w:name="_Toc4401"/>
      <w:bookmarkStart w:id="326" w:name="_Toc31849"/>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0"/>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0"/>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0"/>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27" w:name="_Toc29916"/>
      <w:bookmarkStart w:id="328" w:name="_Toc29664"/>
      <w:bookmarkStart w:id="329" w:name="_Toc2879"/>
      <w:bookmarkStart w:id="330" w:name="_Toc25747"/>
      <w:r>
        <w:rPr>
          <w:rFonts w:hint="eastAsia"/>
          <w:b/>
          <w:bCs/>
          <w:color w:val="auto"/>
          <w:highlight w:val="none"/>
          <w:lang w:val="en-US" w:eastAsia="zh-CN"/>
        </w:rPr>
        <w:t>格式十六：</w:t>
      </w:r>
      <w:bookmarkEnd w:id="327"/>
      <w:bookmarkEnd w:id="328"/>
      <w:bookmarkEnd w:id="329"/>
      <w:bookmarkEnd w:id="330"/>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pPr>
        <w:jc w:val="center"/>
        <w:outlineLvl w:val="1"/>
        <w:rPr>
          <w:rFonts w:hint="eastAsia"/>
          <w:b/>
          <w:bCs/>
          <w:color w:val="auto"/>
          <w:highlight w:val="none"/>
          <w:lang w:val="en-US" w:eastAsia="zh-CN"/>
        </w:rPr>
      </w:pPr>
      <w:bookmarkStart w:id="332" w:name="_Toc11568"/>
      <w:bookmarkStart w:id="333" w:name="_Toc32249"/>
      <w:bookmarkStart w:id="334" w:name="_Toc23654"/>
      <w:bookmarkStart w:id="335" w:name="_Toc29643"/>
      <w:r>
        <w:rPr>
          <w:rFonts w:hint="eastAsia"/>
          <w:b/>
          <w:bCs/>
          <w:color w:val="auto"/>
          <w:highlight w:val="none"/>
          <w:lang w:val="en-US" w:eastAsia="zh-CN"/>
        </w:rPr>
        <w:t>（封面格式仅供参考）</w:t>
      </w:r>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31076"/>
      <w:bookmarkStart w:id="337" w:name="_Toc5561"/>
      <w:bookmarkStart w:id="338" w:name="_Toc10015"/>
      <w:bookmarkStart w:id="339" w:name="_Toc24898"/>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14351"/>
      <w:bookmarkStart w:id="341" w:name="_Toc28515"/>
      <w:bookmarkStart w:id="342" w:name="_Toc77"/>
      <w:bookmarkStart w:id="34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7980"/>
      <w:bookmarkStart w:id="345" w:name="_Toc24484"/>
      <w:bookmarkStart w:id="346" w:name="_Toc31505"/>
      <w:bookmarkStart w:id="347" w:name="_Toc32100"/>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8054"/>
      <w:bookmarkStart w:id="349" w:name="_Toc29661"/>
      <w:bookmarkStart w:id="350" w:name="_Toc6563"/>
      <w:bookmarkStart w:id="351" w:name="_Toc20806"/>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5011"/>
      <w:bookmarkStart w:id="353" w:name="_Toc13609"/>
      <w:bookmarkStart w:id="354" w:name="_Toc3142"/>
      <w:bookmarkStart w:id="355" w:name="_Toc20631"/>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17346"/>
      <w:bookmarkStart w:id="357" w:name="_Toc31223"/>
      <w:bookmarkStart w:id="358" w:name="_Toc31054"/>
      <w:bookmarkStart w:id="359" w:name="_Toc27439"/>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3814"/>
      <w:bookmarkStart w:id="362" w:name="_Toc29210"/>
      <w:bookmarkStart w:id="363" w:name="_Toc20213"/>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18"/>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18"/>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2"/>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2"/>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18"/>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center"/>
      <w:rPr>
        <w:rFonts w:hint="default" w:eastAsia="宋体"/>
        <w:lang w:val="en-US" w:eastAsia="zh-CN"/>
      </w:rPr>
    </w:pPr>
    <w:r>
      <w:rPr>
        <w:rFonts w:hint="eastAsia"/>
        <w:lang w:val="en-US" w:eastAsia="zh-CN"/>
      </w:rPr>
      <w:t>东莞市赛顺电子科技有限公司工业大厦变压器安装工程项目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548041A"/>
    <w:rsid w:val="08DB5114"/>
    <w:rsid w:val="0B696582"/>
    <w:rsid w:val="0BE32B7B"/>
    <w:rsid w:val="0FA75340"/>
    <w:rsid w:val="13256801"/>
    <w:rsid w:val="19C92056"/>
    <w:rsid w:val="1B046FEA"/>
    <w:rsid w:val="29A20A66"/>
    <w:rsid w:val="2A213986"/>
    <w:rsid w:val="2B831207"/>
    <w:rsid w:val="2EF83FF0"/>
    <w:rsid w:val="304A47CF"/>
    <w:rsid w:val="3320692B"/>
    <w:rsid w:val="339D5B51"/>
    <w:rsid w:val="33E12E57"/>
    <w:rsid w:val="39C27E7C"/>
    <w:rsid w:val="3A123017"/>
    <w:rsid w:val="414A030F"/>
    <w:rsid w:val="4C22418B"/>
    <w:rsid w:val="4E6A7DE2"/>
    <w:rsid w:val="4E862B87"/>
    <w:rsid w:val="4E9C6EA6"/>
    <w:rsid w:val="51593AA1"/>
    <w:rsid w:val="51ED4F85"/>
    <w:rsid w:val="549178FF"/>
    <w:rsid w:val="5DE26737"/>
    <w:rsid w:val="5DE85889"/>
    <w:rsid w:val="5E2A2E41"/>
    <w:rsid w:val="64677E69"/>
    <w:rsid w:val="64D3048A"/>
    <w:rsid w:val="67520D2F"/>
    <w:rsid w:val="67880920"/>
    <w:rsid w:val="6DCB42B6"/>
    <w:rsid w:val="6E003853"/>
    <w:rsid w:val="735656B0"/>
    <w:rsid w:val="739B0891"/>
    <w:rsid w:val="74951BFB"/>
    <w:rsid w:val="79533EEE"/>
    <w:rsid w:val="7AEF48EE"/>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19"/>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paragraph" w:styleId="18">
    <w:name w:val="List Paragraph"/>
    <w:basedOn w:val="1"/>
    <w:qFormat/>
    <w:uiPriority w:val="34"/>
    <w:pPr>
      <w:ind w:firstLine="420" w:firstLineChars="200"/>
    </w:pPr>
  </w:style>
  <w:style w:type="character" w:customStyle="1" w:styleId="19">
    <w:name w:val="标题 1 Char"/>
    <w:link w:val="3"/>
    <w:qFormat/>
    <w:uiPriority w:val="0"/>
    <w:rPr>
      <w:b/>
      <w:kern w:val="44"/>
      <w:sz w:val="30"/>
    </w:rPr>
  </w:style>
  <w:style w:type="paragraph" w:customStyle="1" w:styleId="20">
    <w:name w:val="Table Paragraph"/>
    <w:basedOn w:val="1"/>
    <w:qFormat/>
    <w:uiPriority w:val="1"/>
  </w:style>
  <w:style w:type="paragraph" w:customStyle="1" w:styleId="21">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 w:type="paragraph" w:customStyle="1" w:styleId="24">
    <w:name w:val="WPSOffice手动目录 3"/>
    <w:qFormat/>
    <w:uiPriority w:val="0"/>
    <w:pPr>
      <w:ind w:leftChars="400"/>
    </w:pPr>
    <w:rPr>
      <w:rFonts w:asciiTheme="minorHAnsi" w:hAnsiTheme="minorHAnsi" w:eastAsiaTheme="minorEastAsia" w:cstheme="minorBidi"/>
      <w:sz w:val="20"/>
      <w:szCs w:val="20"/>
    </w:rPr>
  </w:style>
  <w:style w:type="paragraph" w:customStyle="1" w:styleId="25">
    <w:name w:val="_Style 4"/>
    <w:basedOn w:val="1"/>
    <w:qFormat/>
    <w:uiPriority w:val="0"/>
    <w:pPr>
      <w:spacing w:line="360" w:lineRule="auto"/>
      <w:ind w:firstLine="420" w:firstLineChars="200"/>
    </w:pPr>
    <w:rPr>
      <w:rFonts w:ascii="Calibri" w:hAnsi="Calibri"/>
      <w:szCs w:val="22"/>
    </w:rPr>
  </w:style>
  <w:style w:type="character" w:customStyle="1" w:styleId="26">
    <w:name w:val="font61"/>
    <w:basedOn w:val="16"/>
    <w:qFormat/>
    <w:uiPriority w:val="0"/>
    <w:rPr>
      <w:rFonts w:hint="default" w:ascii="Times New Roman" w:hAnsi="Times New Roman" w:cs="Times New Roman"/>
      <w:color w:val="000000"/>
      <w:sz w:val="20"/>
      <w:szCs w:val="20"/>
      <w:u w:val="none"/>
    </w:rPr>
  </w:style>
  <w:style w:type="character" w:customStyle="1" w:styleId="27">
    <w:name w:val="font41"/>
    <w:basedOn w:val="16"/>
    <w:uiPriority w:val="0"/>
    <w:rPr>
      <w:rFonts w:hint="eastAsia" w:ascii="宋体" w:hAnsi="宋体" w:eastAsia="宋体" w:cs="宋体"/>
      <w:color w:val="000000"/>
      <w:sz w:val="20"/>
      <w:szCs w:val="20"/>
      <w:u w:val="none"/>
    </w:rPr>
  </w:style>
  <w:style w:type="character" w:customStyle="1" w:styleId="28">
    <w:name w:val="font71"/>
    <w:basedOn w:val="16"/>
    <w:qFormat/>
    <w:uiPriority w:val="0"/>
    <w:rPr>
      <w:rFonts w:hint="eastAsia" w:ascii="宋体" w:hAnsi="宋体" w:eastAsia="宋体" w:cs="宋体"/>
      <w:color w:val="000000"/>
      <w:sz w:val="20"/>
      <w:szCs w:val="20"/>
      <w:u w:val="none"/>
      <w:vertAlign w:val="superscript"/>
    </w:rPr>
  </w:style>
  <w:style w:type="character" w:customStyle="1" w:styleId="29">
    <w:name w:val="font31"/>
    <w:basedOn w:val="16"/>
    <w:qFormat/>
    <w:uiPriority w:val="0"/>
    <w:rPr>
      <w:rFonts w:hint="eastAsia" w:ascii="宋体" w:hAnsi="宋体" w:eastAsia="宋体" w:cs="宋体"/>
      <w:color w:val="000000"/>
      <w:sz w:val="20"/>
      <w:szCs w:val="20"/>
      <w:u w:val="none"/>
    </w:rPr>
  </w:style>
  <w:style w:type="character" w:customStyle="1" w:styleId="30">
    <w:name w:val="font01"/>
    <w:basedOn w:val="16"/>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31406</Words>
  <Characters>32713</Characters>
  <Lines>0</Lines>
  <Paragraphs>0</Paragraphs>
  <TotalTime>21</TotalTime>
  <ScaleCrop>false</ScaleCrop>
  <LinksUpToDate>false</LinksUpToDate>
  <CharactersWithSpaces>34438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国顺招标-陈锦涛</cp:lastModifiedBy>
  <cp:lastPrinted>2022-07-22T06:56:00Z</cp:lastPrinted>
  <dcterms:modified xsi:type="dcterms:W3CDTF">2022-08-02T09:19:50Z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4778C781F9914A95A1CBC5085E526A8A</vt:lpwstr>
  </property>
</Properties>
</file>