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11"/>
                    <a:stretch>
                      <a:fillRect/>
                    </a:stretch>
                  </pic:blipFill>
                  <pic:spPr>
                    <a:xfrm>
                      <a:off x="0" y="0"/>
                      <a:ext cx="1563370" cy="1588135"/>
                    </a:xfrm>
                    <a:prstGeom prst="rect">
                      <a:avLst/>
                    </a:prstGeom>
                    <a:noFill/>
                    <a:ln>
                      <a:noFill/>
                    </a:ln>
                  </pic:spPr>
                </pic:pic>
              </a:graphicData>
            </a:graphic>
          </wp:inline>
        </w:drawing>
      </w:r>
    </w:p>
    <w:p>
      <w:pPr>
        <w:rPr>
          <w:color w:val="auto"/>
          <w:highlight w:val="none"/>
        </w:rPr>
      </w:pPr>
    </w:p>
    <w:p>
      <w:pPr>
        <w:rPr>
          <w:color w:val="auto"/>
          <w:highlight w:val="none"/>
        </w:rPr>
      </w:pPr>
    </w:p>
    <w:p>
      <w:pPr>
        <w:rPr>
          <w:color w:val="auto"/>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1629" w:type="pct"/>
            <w:tcBorders>
              <w:top w:val="nil"/>
              <w:left w:val="nil"/>
              <w:bottom w:val="nil"/>
              <w:right w:val="nil"/>
            </w:tcBorders>
            <w:noWrap w:val="0"/>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noWrap w:val="0"/>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东莞市东坑镇角社社区环卫保洁、绿化养护及除“四害”服务采购项目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noWrap w:val="0"/>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noWrap w:val="0"/>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GSDG2023-003C</w:t>
            </w:r>
            <w:bookmarkStart w:id="181" w:name="_GoBack"/>
            <w:bookmarkEnd w:id="1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noWrap w:val="0"/>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noWrap w:val="0"/>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东莞市东坑镇角社股份经济联合社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noWrap w:val="0"/>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noWrap w:val="0"/>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3</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3</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27</w:t>
      </w:r>
      <w:r>
        <w:rPr>
          <w:rFonts w:hint="eastAsia" w:ascii="黑体" w:hAnsi="黑体" w:eastAsia="黑体" w:cs="黑体"/>
          <w:color w:val="auto"/>
          <w:sz w:val="30"/>
          <w:szCs w:val="30"/>
          <w:highlight w:val="none"/>
        </w:rPr>
        <w:t>日</w:t>
      </w:r>
      <w:bookmarkEnd w:id="2"/>
    </w:p>
    <w:p>
      <w:pPr>
        <w:jc w:val="center"/>
        <w:rPr>
          <w:b/>
          <w:bCs/>
          <w:color w:val="auto"/>
          <w:sz w:val="24"/>
          <w:szCs w:val="32"/>
          <w:highlight w:val="none"/>
        </w:rPr>
      </w:pPr>
      <w:r>
        <w:rPr>
          <w:rFonts w:ascii="宋体" w:hAnsi="宋体"/>
          <w:b/>
          <w:bCs/>
          <w:color w:val="auto"/>
          <w:sz w:val="24"/>
          <w:szCs w:val="32"/>
          <w:highlight w:val="none"/>
        </w:rPr>
        <w:t>目录</w:t>
      </w:r>
    </w:p>
    <w:p>
      <w:pPr>
        <w:pStyle w:val="25"/>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6"/>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26"/>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东莞市东坑镇角社社区环卫保洁、绿化养护及除“四害”服务采购项目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17</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15</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00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2"/>
        <w:spacing w:line="360" w:lineRule="auto"/>
        <w:jc w:val="left"/>
        <w:rPr>
          <w:rFonts w:ascii="宋体" w:hAnsi="宋体" w:cs="宋体"/>
          <w:bCs/>
          <w:color w:val="auto"/>
          <w:sz w:val="21"/>
          <w:szCs w:val="21"/>
          <w:highlight w:val="none"/>
        </w:rPr>
      </w:pPr>
      <w:bookmarkStart w:id="4" w:name="_Toc35393790"/>
      <w:bookmarkStart w:id="5" w:name="_Toc35393621"/>
      <w:bookmarkStart w:id="6" w:name="_Toc28359002"/>
      <w:bookmarkStart w:id="7" w:name="_Toc2169"/>
      <w:bookmarkStart w:id="8" w:name="_Toc28359079"/>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GSDG2023-003C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东莞市东坑镇角社社区环卫保洁、绿化养护及除“四害”服务采购项目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采购预算</w:t>
      </w:r>
      <w:r>
        <w:rPr>
          <w:rFonts w:hint="eastAsia" w:ascii="宋体" w:hAnsi="宋体" w:cs="宋体"/>
          <w:color w:val="auto"/>
          <w:szCs w:val="21"/>
          <w:highlight w:val="none"/>
        </w:rPr>
        <w:t>：</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3,000,000.00</w:t>
      </w:r>
      <w:r>
        <w:rPr>
          <w:rFonts w:hint="eastAsia" w:ascii="宋体" w:hAnsi="宋体" w:cs="宋体"/>
          <w:b/>
          <w:bCs/>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5"/>
        <w:tblW w:w="90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4694"/>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4" w:type="dxa"/>
            <w:noWrap w:val="0"/>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4694" w:type="dxa"/>
            <w:noWrap w:val="0"/>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3308" w:type="dxa"/>
            <w:noWrap w:val="0"/>
            <w:vAlign w:val="center"/>
          </w:tcPr>
          <w:p>
            <w:pPr>
              <w:spacing w:line="360" w:lineRule="auto"/>
              <w:jc w:val="center"/>
              <w:rPr>
                <w:rFonts w:hAnsi="宋体"/>
                <w:b/>
                <w:color w:val="auto"/>
                <w:szCs w:val="21"/>
                <w:highlight w:val="none"/>
              </w:rPr>
            </w:pPr>
            <w:r>
              <w:rPr>
                <w:rFonts w:hint="eastAsia" w:hAnsi="宋体"/>
                <w:b/>
                <w:color w:val="auto"/>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044" w:type="dxa"/>
            <w:noWrap w:val="0"/>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4694" w:type="dxa"/>
            <w:noWrap w:val="0"/>
            <w:vAlign w:val="center"/>
          </w:tcPr>
          <w:p>
            <w:pPr>
              <w:spacing w:line="360" w:lineRule="auto"/>
              <w:jc w:val="center"/>
              <w:rPr>
                <w:rFonts w:hAnsi="宋体"/>
                <w:color w:val="auto"/>
                <w:szCs w:val="21"/>
                <w:highlight w:val="none"/>
              </w:rPr>
            </w:pPr>
            <w:r>
              <w:rPr>
                <w:rFonts w:hint="eastAsia" w:ascii="宋体" w:hAnsi="宋体" w:cs="宋体"/>
                <w:color w:val="auto"/>
                <w:szCs w:val="21"/>
                <w:highlight w:val="none"/>
                <w:lang w:eastAsia="zh-CN"/>
              </w:rPr>
              <w:t>东莞市东坑镇角社社区环卫保洁、绿化养护及除“四害”服务</w:t>
            </w:r>
            <w:r>
              <w:rPr>
                <w:rFonts w:hint="eastAsia" w:hAnsi="宋体"/>
                <w:color w:val="auto"/>
                <w:szCs w:val="21"/>
                <w:highlight w:val="none"/>
              </w:rPr>
              <w:t>采购一项</w:t>
            </w:r>
          </w:p>
        </w:tc>
        <w:tc>
          <w:tcPr>
            <w:tcW w:w="3308" w:type="dxa"/>
            <w:noWrap w:val="0"/>
            <w:vAlign w:val="center"/>
          </w:tcPr>
          <w:p>
            <w:pPr>
              <w:spacing w:line="360" w:lineRule="auto"/>
              <w:jc w:val="center"/>
              <w:rPr>
                <w:rFonts w:hint="eastAsia" w:hAnsi="宋体" w:eastAsia="宋体"/>
                <w:color w:val="auto"/>
                <w:szCs w:val="21"/>
                <w:highlight w:val="none"/>
                <w:lang w:eastAsia="zh-CN"/>
              </w:rPr>
            </w:pPr>
            <w:r>
              <w:rPr>
                <w:rFonts w:hint="eastAsia" w:hAnsi="宋体"/>
                <w:color w:val="auto"/>
                <w:szCs w:val="21"/>
                <w:highlight w:val="none"/>
                <w:lang w:val="en-US" w:eastAsia="zh-CN"/>
              </w:rPr>
              <w:t>自合同签订之日起一年</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3、合同履行期限：</w:t>
      </w:r>
      <w:r>
        <w:rPr>
          <w:rFonts w:hint="eastAsia" w:hAnsi="宋体"/>
          <w:color w:val="auto"/>
          <w:szCs w:val="21"/>
          <w:highlight w:val="none"/>
          <w:lang w:val="en-US" w:eastAsia="zh-CN"/>
        </w:rPr>
        <w:t>自合同签订之日起一年</w:t>
      </w:r>
      <w:r>
        <w:rPr>
          <w:rFonts w:hint="eastAsia" w:ascii="宋体" w:hAnsi="宋体" w:cs="宋体"/>
          <w:color w:val="auto"/>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2"/>
        <w:spacing w:line="360" w:lineRule="auto"/>
        <w:jc w:val="left"/>
        <w:rPr>
          <w:rFonts w:ascii="宋体" w:hAnsi="宋体" w:cs="宋体"/>
          <w:b w:val="0"/>
          <w:color w:val="auto"/>
          <w:sz w:val="21"/>
          <w:szCs w:val="21"/>
          <w:highlight w:val="none"/>
        </w:rPr>
      </w:pPr>
      <w:bookmarkStart w:id="10" w:name="_Toc35393622"/>
      <w:bookmarkStart w:id="11" w:name="_Toc28359003"/>
      <w:bookmarkStart w:id="12" w:name="_Toc35393791"/>
      <w:bookmarkStart w:id="13" w:name="_Toc25198"/>
      <w:bookmarkStart w:id="14" w:name="_Toc28359080"/>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81"/>
      <w:bookmarkStart w:id="17" w:name="_Toc28359004"/>
      <w:r>
        <w:rPr>
          <w:rFonts w:hint="eastAsia" w:ascii="宋体" w:hAnsi="宋体"/>
          <w:color w:val="auto"/>
          <w:szCs w:val="21"/>
          <w:highlight w:val="none"/>
        </w:rPr>
        <w:t>1.投标供应商应具备《政府采购法》第二十二条规定的条件，提供下列材料：</w:t>
      </w:r>
      <w:bookmarkEnd w:id="15"/>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2021年度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6）信用记录：供应商未被列入“信用中国”网站(www.creditchina.gov.cn)“记录失信被执行人或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 xml:space="preserve">”记录名单；不处于中国政府采购网(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outlineLvl w:val="2"/>
        <w:rPr>
          <w:rFonts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2"/>
        <w:spacing w:line="360" w:lineRule="auto"/>
        <w:jc w:val="left"/>
        <w:rPr>
          <w:rFonts w:ascii="宋体" w:hAnsi="宋体" w:cs="宋体"/>
          <w:bCs/>
          <w:color w:val="auto"/>
          <w:sz w:val="21"/>
          <w:szCs w:val="21"/>
          <w:highlight w:val="none"/>
        </w:rPr>
      </w:pPr>
      <w:bookmarkStart w:id="19" w:name="_Toc173"/>
      <w:bookmarkStart w:id="20" w:name="_Toc35393623"/>
      <w:bookmarkStart w:id="21" w:name="_Toc35393792"/>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w:t>
      </w:r>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日（节假日除外），上午9：00～12：00，下午14：30～17：30（北京时间）； </w:t>
      </w:r>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2"/>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w:t>
      </w:r>
      <w:r>
        <w:rPr>
          <w:rFonts w:hint="eastAsia" w:ascii="宋体" w:hAnsi="宋体"/>
          <w:color w:val="auto"/>
          <w:szCs w:val="21"/>
          <w:highlight w:val="none"/>
          <w:lang w:eastAsia="zh-CN"/>
        </w:rPr>
        <w:t>国顺招标网</w:t>
      </w:r>
      <w:r>
        <w:rPr>
          <w:rFonts w:hint="eastAsia" w:ascii="宋体" w:hAnsi="宋体" w:cs="宋体"/>
          <w:color w:val="auto"/>
          <w:szCs w:val="21"/>
          <w:highlight w:val="none"/>
          <w:lang w:val="en-US" w:eastAsia="zh-CN"/>
        </w:rPr>
        <w:t>上报名或现场领购</w:t>
      </w:r>
      <w:r>
        <w:rPr>
          <w:rFonts w:hint="eastAsia" w:ascii="宋体" w:hAnsi="宋体" w:cs="宋体"/>
          <w:color w:val="auto"/>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2"/>
        <w:spacing w:line="360" w:lineRule="auto"/>
        <w:jc w:val="left"/>
        <w:rPr>
          <w:rFonts w:ascii="宋体" w:hAnsi="宋体" w:cs="宋体"/>
          <w:bCs/>
          <w:color w:val="auto"/>
          <w:sz w:val="21"/>
          <w:szCs w:val="21"/>
          <w:highlight w:val="none"/>
        </w:rPr>
      </w:pPr>
      <w:bookmarkStart w:id="22" w:name="_Toc28359005"/>
      <w:bookmarkStart w:id="23" w:name="_Toc28359082"/>
      <w:bookmarkStart w:id="24" w:name="_Toc35393624"/>
      <w:bookmarkStart w:id="25" w:name="_Toc35393793"/>
      <w:bookmarkStart w:id="26" w:name="_Toc28585"/>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17</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15</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00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
        <w:spacing w:line="360" w:lineRule="auto"/>
        <w:jc w:val="left"/>
        <w:rPr>
          <w:rFonts w:ascii="宋体" w:hAnsi="宋体" w:cs="宋体"/>
          <w:bCs/>
          <w:color w:val="auto"/>
          <w:sz w:val="21"/>
          <w:szCs w:val="21"/>
          <w:highlight w:val="none"/>
        </w:rPr>
      </w:pPr>
      <w:bookmarkStart w:id="27" w:name="_Toc28359084"/>
      <w:bookmarkStart w:id="28" w:name="_Toc35393625"/>
      <w:bookmarkStart w:id="29" w:name="_Toc28359007"/>
      <w:bookmarkStart w:id="30" w:name="_Toc35393794"/>
      <w:bookmarkStart w:id="31" w:name="_Toc25695"/>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2"/>
        <w:spacing w:line="360" w:lineRule="auto"/>
        <w:jc w:val="left"/>
        <w:rPr>
          <w:rFonts w:ascii="宋体" w:hAnsi="宋体" w:cs="宋体"/>
          <w:bCs/>
          <w:color w:val="auto"/>
          <w:sz w:val="21"/>
          <w:szCs w:val="21"/>
          <w:highlight w:val="none"/>
        </w:rPr>
      </w:pPr>
      <w:bookmarkStart w:id="32" w:name="_Toc35393626"/>
      <w:bookmarkStart w:id="33" w:name="_Toc35393795"/>
      <w:bookmarkStart w:id="34" w:name="_Toc1519"/>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35393627"/>
      <w:bookmarkStart w:id="36" w:name="_Toc28359085"/>
      <w:bookmarkStart w:id="37" w:name="_Toc35393796"/>
      <w:bookmarkStart w:id="38" w:name="_Toc28359008"/>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2"/>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东莞市东坑镇角社股份经济联合社</w:t>
      </w:r>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址：东莞市</w:t>
      </w:r>
      <w:r>
        <w:rPr>
          <w:rFonts w:hint="eastAsia" w:ascii="宋体" w:hAnsi="宋体" w:cs="宋体"/>
          <w:color w:val="auto"/>
          <w:szCs w:val="21"/>
          <w:highlight w:val="none"/>
          <w:lang w:val="en-US" w:eastAsia="zh-CN"/>
        </w:rPr>
        <w:t>东坑镇</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联系人：苏树棠</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bookmarkStart w:id="41" w:name="_Toc28359009"/>
      <w:bookmarkStart w:id="42" w:name="_Toc28359086"/>
      <w:r>
        <w:rPr>
          <w:rFonts w:hint="eastAsia" w:ascii="宋体" w:hAnsi="宋体" w:cs="宋体"/>
          <w:color w:val="auto"/>
          <w:szCs w:val="21"/>
          <w:highlight w:val="none"/>
        </w:rPr>
        <w:t>13712996318</w:t>
      </w:r>
    </w:p>
    <w:p>
      <w:pPr>
        <w:spacing w:line="360" w:lineRule="auto"/>
        <w:ind w:left="264" w:hanging="264" w:hangingChars="125"/>
        <w:outlineLvl w:val="2"/>
        <w:rPr>
          <w:rFonts w:ascii="宋体" w:hAnsi="宋体" w:cs="宋体"/>
          <w:b/>
          <w:bCs/>
          <w:color w:val="auto"/>
          <w:szCs w:val="21"/>
          <w:highlight w:val="none"/>
        </w:rPr>
      </w:pPr>
      <w:bookmarkStart w:id="43" w:name="_Toc4580"/>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87"/>
      <w:bookmarkStart w:id="45" w:name="_Toc28359010"/>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2"/>
        <w:spacing w:line="360" w:lineRule="auto"/>
        <w:rPr>
          <w:color w:val="auto"/>
          <w:highlight w:val="none"/>
          <w:lang w:val="zh-CN"/>
        </w:rPr>
      </w:pPr>
      <w:bookmarkStart w:id="48" w:name="_Toc413402429"/>
      <w:bookmarkStart w:id="49" w:name="_Toc497983494"/>
      <w:bookmarkStart w:id="50" w:name="_Toc396137231"/>
      <w:bookmarkStart w:id="51" w:name="_Toc652"/>
      <w:r>
        <w:rPr>
          <w:rFonts w:hint="eastAsia"/>
          <w:color w:val="auto"/>
          <w:highlight w:val="none"/>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自有</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w:t>
            </w:r>
            <w:r>
              <w:rPr>
                <w:rFonts w:hint="eastAsia" w:ascii="宋体" w:hAnsi="宋体" w:eastAsia="宋体" w:cs="宋体"/>
                <w:color w:val="auto"/>
                <w:sz w:val="21"/>
                <w:szCs w:val="21"/>
                <w:highlight w:val="none"/>
              </w:rPr>
              <w:t>超出本项目采购预算金额/最高限价的为无效标</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numPr>
                <w:ilvl w:val="0"/>
                <w:numId w:val="3"/>
              </w:numPr>
              <w:spacing w:line="360" w:lineRule="auto"/>
              <w:jc w:val="both"/>
              <w:rPr>
                <w:b/>
                <w:bCs/>
                <w:color w:val="auto"/>
                <w:highlight w:val="none"/>
              </w:rPr>
            </w:pPr>
            <w:r>
              <w:rPr>
                <w:rFonts w:hint="eastAsia"/>
                <w:color w:val="auto"/>
                <w:highlight w:val="none"/>
              </w:rPr>
              <w:t>投标保证金金额：</w:t>
            </w:r>
            <w:r>
              <w:rPr>
                <w:rFonts w:hint="eastAsia"/>
                <w:b/>
                <w:bCs/>
                <w:color w:val="auto"/>
                <w:highlight w:val="none"/>
              </w:rPr>
              <w:t>人民币</w:t>
            </w:r>
            <w:r>
              <w:rPr>
                <w:rFonts w:hint="eastAsia"/>
                <w:b/>
                <w:bCs/>
                <w:color w:val="auto"/>
                <w:highlight w:val="none"/>
                <w:lang w:val="en-US" w:eastAsia="zh-CN"/>
              </w:rPr>
              <w:t>叁</w:t>
            </w:r>
            <w:r>
              <w:rPr>
                <w:rFonts w:hint="eastAsia"/>
                <w:b/>
                <w:bCs/>
                <w:color w:val="auto"/>
                <w:highlight w:val="none"/>
              </w:rPr>
              <w:t>万元整（￥</w:t>
            </w:r>
            <w:r>
              <w:rPr>
                <w:rFonts w:hint="eastAsia"/>
                <w:b/>
                <w:bCs/>
                <w:color w:val="auto"/>
                <w:highlight w:val="none"/>
                <w:lang w:val="en-US" w:eastAsia="zh-CN"/>
              </w:rPr>
              <w:t>3</w:t>
            </w:r>
            <w:r>
              <w:rPr>
                <w:rFonts w:hint="eastAsia"/>
                <w:b/>
                <w:bCs/>
                <w:color w:val="auto"/>
                <w:highlight w:val="none"/>
              </w:rPr>
              <w:t>0,000.00）</w:t>
            </w:r>
          </w:p>
          <w:p>
            <w:pPr>
              <w:spacing w:line="300" w:lineRule="exact"/>
              <w:jc w:val="both"/>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4"/>
              <w:rPr>
                <w:color w:val="auto"/>
                <w:highlight w:val="none"/>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8" w:rightChars="-18"/>
              <w:jc w:val="center"/>
              <w:rPr>
                <w:color w:val="auto"/>
                <w:highlight w:val="none"/>
              </w:rPr>
            </w:pPr>
            <w:r>
              <w:rPr>
                <w:rFonts w:hint="eastAsia" w:ascii="宋体" w:hAnsi="宋体" w:cs="宋体"/>
                <w:bCs/>
                <w:color w:val="auto"/>
                <w:szCs w:val="21"/>
                <w:highlight w:val="none"/>
              </w:rPr>
              <w:t>履约保证金</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如有需要</w:t>
            </w:r>
            <w:r>
              <w:rPr>
                <w:rFonts w:hint="eastAsia" w:ascii="宋体" w:hAnsi="宋体" w:cs="宋体"/>
                <w:bCs/>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履约保证金金额</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合同金额的5%。</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履约保证金账户：</w:t>
            </w:r>
            <w:r>
              <w:rPr>
                <w:rFonts w:hint="eastAsia" w:ascii="宋体" w:hAnsi="宋体" w:cs="宋体"/>
                <w:bCs/>
                <w:color w:val="auto"/>
                <w:sz w:val="21"/>
                <w:szCs w:val="21"/>
                <w:highlight w:val="none"/>
                <w:lang w:val="en-US" w:eastAsia="zh-CN"/>
              </w:rPr>
              <w:t>招标人</w:t>
            </w:r>
            <w:r>
              <w:rPr>
                <w:rFonts w:hint="eastAsia" w:ascii="宋体" w:hAnsi="宋体" w:eastAsia="宋体" w:cs="宋体"/>
                <w:bCs/>
                <w:color w:val="auto"/>
                <w:sz w:val="21"/>
                <w:szCs w:val="21"/>
                <w:highlight w:val="none"/>
              </w:rPr>
              <w:t>指定账户(单位基本账户) 。</w:t>
            </w:r>
          </w:p>
          <w:p>
            <w:pPr>
              <w:spacing w:line="360" w:lineRule="auto"/>
              <w:rPr>
                <w:rFonts w:ascii="宋体" w:hAnsi="宋体" w:cs="宋体"/>
                <w:b/>
                <w:bCs/>
                <w:color w:val="auto"/>
                <w:szCs w:val="21"/>
                <w:highlight w:val="none"/>
              </w:rPr>
            </w:pPr>
            <w:r>
              <w:rPr>
                <w:rFonts w:hint="eastAsia" w:ascii="宋体" w:hAnsi="宋体" w:eastAsia="宋体" w:cs="宋体"/>
                <w:b/>
                <w:bCs/>
                <w:color w:val="auto"/>
                <w:sz w:val="21"/>
                <w:szCs w:val="21"/>
                <w:highlight w:val="none"/>
              </w:rPr>
              <w:t>（特别提醒，本账户非</w:t>
            </w:r>
            <w:r>
              <w:rPr>
                <w:rFonts w:hint="eastAsia" w:ascii="宋体" w:hAnsi="宋体" w:cs="宋体"/>
                <w:b/>
                <w:bCs/>
                <w:color w:val="auto"/>
                <w:sz w:val="21"/>
                <w:szCs w:val="21"/>
                <w:highlight w:val="none"/>
                <w:lang w:eastAsia="zh-CN"/>
              </w:rPr>
              <w:t>响应保证金</w:t>
            </w:r>
            <w:r>
              <w:rPr>
                <w:rFonts w:hint="eastAsia" w:ascii="宋体" w:hAnsi="宋体" w:eastAsia="宋体" w:cs="宋体"/>
                <w:b/>
                <w:bCs/>
                <w:color w:val="auto"/>
                <w:sz w:val="21"/>
                <w:szCs w:val="21"/>
                <w:highlight w:val="none"/>
              </w:rPr>
              <w:t>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numPr>
                <w:ilvl w:val="0"/>
                <w:numId w:val="4"/>
              </w:numPr>
              <w:spacing w:line="360" w:lineRule="auto"/>
              <w:rPr>
                <w:rFonts w:ascii="宋体" w:hAnsi="宋体" w:cs="宋体"/>
                <w:color w:val="auto"/>
                <w:highlight w:val="none"/>
              </w:rPr>
            </w:pP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2"/>
        <w:numPr>
          <w:ilvl w:val="0"/>
          <w:numId w:val="5"/>
        </w:numPr>
        <w:rPr>
          <w:color w:val="auto"/>
          <w:highlight w:val="none"/>
        </w:rPr>
      </w:pPr>
      <w:bookmarkStart w:id="52" w:name="_Toc21639"/>
      <w:r>
        <w:rPr>
          <w:rFonts w:hint="eastAsia"/>
          <w:color w:val="auto"/>
          <w:highlight w:val="none"/>
        </w:rPr>
        <w:t>投标须知</w:t>
      </w:r>
      <w:bookmarkEnd w:id="52"/>
    </w:p>
    <w:p>
      <w:pPr>
        <w:pStyle w:val="4"/>
        <w:rPr>
          <w:color w:val="auto"/>
          <w:highlight w:val="none"/>
        </w:rPr>
      </w:pPr>
      <w:bookmarkStart w:id="53" w:name="_Toc20860"/>
      <w:bookmarkStart w:id="54" w:name="_Toc2381"/>
      <w:r>
        <w:rPr>
          <w:rFonts w:hint="eastAsia"/>
          <w:color w:val="auto"/>
          <w:highlight w:val="none"/>
        </w:rPr>
        <w:t>1.适用范围</w:t>
      </w:r>
      <w:bookmarkEnd w:id="53"/>
      <w:bookmarkEnd w:id="54"/>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4"/>
        <w:rPr>
          <w:color w:val="auto"/>
          <w:highlight w:val="none"/>
        </w:rPr>
      </w:pPr>
      <w:bookmarkStart w:id="55" w:name="_Toc6621"/>
      <w:bookmarkStart w:id="56" w:name="_Toc15203"/>
      <w:r>
        <w:rPr>
          <w:rFonts w:hint="eastAsia"/>
          <w:color w:val="auto"/>
          <w:highlight w:val="none"/>
        </w:rPr>
        <w:t>2.</w:t>
      </w:r>
      <w:bookmarkStart w:id="57" w:name="_Toc303084246"/>
      <w:bookmarkStart w:id="58" w:name="_Toc298847174"/>
      <w:bookmarkStart w:id="59" w:name="_Toc382049092"/>
      <w:bookmarkStart w:id="60" w:name="_Toc1530"/>
      <w:r>
        <w:rPr>
          <w:rFonts w:hint="eastAsia"/>
          <w:color w:val="auto"/>
          <w:highlight w:val="none"/>
        </w:rPr>
        <w:t>定义</w:t>
      </w:r>
      <w:bookmarkEnd w:id="55"/>
      <w:bookmarkEnd w:id="56"/>
      <w:bookmarkEnd w:id="57"/>
      <w:bookmarkEnd w:id="58"/>
      <w:bookmarkEnd w:id="59"/>
      <w:bookmarkEnd w:id="60"/>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招标人：是指依法进行政府采购的国家机关、事业单位等团体组织。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4"/>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63" w:name="_Toc211763038"/>
      <w:r>
        <w:rPr>
          <w:rFonts w:hint="eastAsia" w:ascii="宋体" w:hAnsi="宋体" w:cs="宋体"/>
          <w:iCs/>
          <w:color w:val="auto"/>
          <w:szCs w:val="21"/>
          <w:highlight w:val="none"/>
        </w:rPr>
        <w:t>应当获得财政部门核准。依据《政府采购进口产品管理办法</w:t>
      </w:r>
      <w:bookmarkEnd w:id="63"/>
      <w:r>
        <w:rPr>
          <w:rFonts w:hint="eastAsia" w:ascii="宋体" w:hAnsi="宋体" w:cs="宋体"/>
          <w:iCs/>
          <w:color w:val="auto"/>
          <w:szCs w:val="21"/>
          <w:highlight w:val="none"/>
        </w:rPr>
        <w:t>》优先采购向我国企业转让技术、与我国企业签订消化吸收再创新方案的供应商的进口产品。</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投标人提供的所有服务，其质量、技术等特征必须符合国家、行业现行法律、法规的相关标准和《中华人民共和国政府采购法》的有关规定及用户需求。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4"/>
        <w:rPr>
          <w:color w:val="auto"/>
          <w:highlight w:val="none"/>
        </w:rPr>
      </w:pPr>
      <w:bookmarkStart w:id="64" w:name="_Toc32610"/>
      <w:bookmarkStart w:id="65" w:name="_Toc16909"/>
      <w:r>
        <w:rPr>
          <w:rFonts w:hint="eastAsia"/>
          <w:color w:val="auto"/>
          <w:highlight w:val="none"/>
        </w:rPr>
        <w:t>4.投标费用</w:t>
      </w:r>
      <w:bookmarkEnd w:id="64"/>
      <w:bookmarkEnd w:id="65"/>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4"/>
        <w:rPr>
          <w:color w:val="auto"/>
          <w:highlight w:val="none"/>
        </w:rPr>
      </w:pPr>
      <w:bookmarkStart w:id="66" w:name="_Toc24409"/>
      <w:bookmarkStart w:id="67" w:name="_Toc13316"/>
      <w:r>
        <w:rPr>
          <w:rFonts w:hint="eastAsia"/>
          <w:color w:val="auto"/>
          <w:highlight w:val="none"/>
        </w:rPr>
        <w:t>5.知识产权</w:t>
      </w:r>
      <w:bookmarkEnd w:id="66"/>
      <w:bookmarkEnd w:id="67"/>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4"/>
        <w:rPr>
          <w:color w:val="auto"/>
          <w:highlight w:val="none"/>
        </w:rPr>
      </w:pPr>
      <w:bookmarkStart w:id="68" w:name="_Toc25911"/>
      <w:bookmarkStart w:id="69" w:name="_Toc25530"/>
      <w:r>
        <w:rPr>
          <w:rFonts w:hint="eastAsia"/>
          <w:color w:val="auto"/>
          <w:highlight w:val="none"/>
        </w:rPr>
        <w:t>6.关于联合体投标</w:t>
      </w:r>
      <w:bookmarkEnd w:id="68"/>
      <w:bookmarkEnd w:id="69"/>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4"/>
        <w:rPr>
          <w:color w:val="auto"/>
          <w:highlight w:val="none"/>
        </w:rPr>
      </w:pPr>
      <w:bookmarkStart w:id="70" w:name="_Toc24312"/>
      <w:bookmarkStart w:id="71" w:name="_Toc27528"/>
      <w:r>
        <w:rPr>
          <w:rFonts w:hint="eastAsia"/>
          <w:color w:val="auto"/>
          <w:highlight w:val="none"/>
        </w:rPr>
        <w:t>7.关于分支机构投标</w:t>
      </w:r>
      <w:bookmarkEnd w:id="70"/>
      <w:bookmarkEnd w:id="71"/>
    </w:p>
    <w:p>
      <w:pPr>
        <w:pStyle w:val="22"/>
        <w:numPr>
          <w:ilvl w:val="0"/>
          <w:numId w:val="6"/>
        </w:numPr>
        <w:spacing w:line="400" w:lineRule="exact"/>
        <w:ind w:firstLineChars="0"/>
        <w:jc w:val="both"/>
        <w:rPr>
          <w:rFonts w:ascii="宋体" w:hAnsi="宋体" w:cs="宋体"/>
          <w:vanish/>
          <w:color w:val="auto"/>
          <w:szCs w:val="21"/>
          <w:highlight w:val="none"/>
        </w:rPr>
      </w:pPr>
      <w:bookmarkStart w:id="72"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color w:val="auto"/>
          <w:szCs w:val="21"/>
          <w:highlight w:val="none"/>
        </w:rPr>
      </w:pPr>
    </w:p>
    <w:p>
      <w:pPr>
        <w:pStyle w:val="4"/>
        <w:rPr>
          <w:color w:val="auto"/>
          <w:highlight w:val="none"/>
        </w:rPr>
      </w:pPr>
      <w:bookmarkStart w:id="73" w:name="_Toc15490"/>
      <w:bookmarkStart w:id="74" w:name="_Toc13645"/>
      <w:r>
        <w:rPr>
          <w:rFonts w:hint="eastAsia"/>
          <w:color w:val="auto"/>
          <w:highlight w:val="none"/>
        </w:rPr>
        <w:t>8.招标文件的组成</w:t>
      </w:r>
      <w:bookmarkEnd w:id="73"/>
      <w:bookmarkEnd w:id="74"/>
    </w:p>
    <w:p>
      <w:pPr>
        <w:pStyle w:val="22"/>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75" w:name="_Toc7789"/>
      <w:bookmarkStart w:id="76" w:name="_Toc644"/>
      <w:r>
        <w:rPr>
          <w:rFonts w:hint="eastAsia"/>
          <w:color w:val="auto"/>
          <w:highlight w:val="none"/>
        </w:rPr>
        <w:t>9.招标文件的澄清或修改</w:t>
      </w:r>
      <w:bookmarkEnd w:id="75"/>
      <w:bookmarkEnd w:id="76"/>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8"/>
        <w:ind w:left="0"/>
        <w:rPr>
          <w:color w:val="auto"/>
          <w:sz w:val="21"/>
          <w:szCs w:val="21"/>
          <w:highlight w:val="none"/>
        </w:rPr>
      </w:pPr>
    </w:p>
    <w:p>
      <w:pPr>
        <w:pStyle w:val="4"/>
        <w:rPr>
          <w:color w:val="auto"/>
          <w:highlight w:val="none"/>
        </w:rPr>
      </w:pPr>
      <w:bookmarkStart w:id="77" w:name="_Toc708"/>
      <w:bookmarkStart w:id="78" w:name="_Toc6458"/>
      <w:r>
        <w:rPr>
          <w:rFonts w:hint="eastAsia"/>
          <w:color w:val="auto"/>
          <w:highlight w:val="none"/>
        </w:rPr>
        <w:t>10.投标文件的语言及度量衡单位</w:t>
      </w:r>
      <w:bookmarkEnd w:id="77"/>
      <w:bookmarkEnd w:id="78"/>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4"/>
        <w:rPr>
          <w:color w:val="auto"/>
          <w:highlight w:val="none"/>
        </w:rPr>
      </w:pPr>
      <w:bookmarkStart w:id="79" w:name="_Toc382049103"/>
      <w:bookmarkStart w:id="80" w:name="_Toc8246"/>
      <w:bookmarkStart w:id="81" w:name="_Toc29420"/>
      <w:bookmarkStart w:id="82" w:name="_Toc307934854"/>
      <w:bookmarkStart w:id="83" w:name="_Toc28866"/>
      <w:bookmarkStart w:id="84" w:name="_Toc303084256"/>
      <w:r>
        <w:rPr>
          <w:rFonts w:hint="eastAsia"/>
          <w:color w:val="auto"/>
          <w:highlight w:val="none"/>
        </w:rPr>
        <w:t>11.投标文件的组成</w:t>
      </w:r>
      <w:bookmarkEnd w:id="79"/>
      <w:bookmarkEnd w:id="80"/>
      <w:bookmarkEnd w:id="81"/>
      <w:bookmarkEnd w:id="82"/>
      <w:bookmarkEnd w:id="83"/>
      <w:bookmarkEnd w:id="84"/>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85" w:name="_Toc11356"/>
      <w:bookmarkStart w:id="86" w:name="_Toc5980"/>
      <w:r>
        <w:rPr>
          <w:rFonts w:hint="eastAsia"/>
          <w:color w:val="auto"/>
          <w:highlight w:val="none"/>
        </w:rPr>
        <w:t>12.投标文件编制</w:t>
      </w:r>
      <w:bookmarkEnd w:id="85"/>
      <w:bookmarkEnd w:id="86"/>
    </w:p>
    <w:p>
      <w:pPr>
        <w:pStyle w:val="22"/>
        <w:numPr>
          <w:ilvl w:val="0"/>
          <w:numId w:val="6"/>
        </w:numPr>
        <w:spacing w:line="400" w:lineRule="exact"/>
        <w:ind w:firstLineChars="0"/>
        <w:jc w:val="both"/>
        <w:rPr>
          <w:rFonts w:ascii="宋体" w:hAnsi="宋体" w:cs="宋体"/>
          <w:vanish/>
          <w:color w:val="auto"/>
          <w:szCs w:val="21"/>
          <w:highlight w:val="none"/>
        </w:rPr>
      </w:pPr>
      <w:bookmarkStart w:id="87"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7"/>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4"/>
        <w:rPr>
          <w:color w:val="auto"/>
          <w:highlight w:val="none"/>
        </w:rPr>
      </w:pPr>
      <w:bookmarkStart w:id="88" w:name="_Toc28034"/>
      <w:bookmarkStart w:id="89" w:name="_Toc1355"/>
      <w:r>
        <w:rPr>
          <w:rFonts w:hint="eastAsia"/>
          <w:color w:val="auto"/>
          <w:highlight w:val="none"/>
        </w:rPr>
        <w:t>13.投标报价说明</w:t>
      </w:r>
      <w:bookmarkEnd w:id="88"/>
      <w:bookmarkEnd w:id="89"/>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4"/>
        <w:rPr>
          <w:color w:val="auto"/>
          <w:highlight w:val="none"/>
        </w:rPr>
      </w:pPr>
      <w:bookmarkStart w:id="90" w:name="_Toc6729"/>
      <w:bookmarkStart w:id="91" w:name="_Toc34"/>
      <w:r>
        <w:rPr>
          <w:rFonts w:hint="eastAsia"/>
          <w:color w:val="auto"/>
          <w:highlight w:val="none"/>
        </w:rPr>
        <w:t>14.投标人所提供的服务或货物的证明文件</w:t>
      </w:r>
      <w:bookmarkEnd w:id="90"/>
      <w:bookmarkEnd w:id="91"/>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2" w:name="_Hlt107925638"/>
      <w:bookmarkEnd w:id="92"/>
      <w:bookmarkStart w:id="93" w:name="_Hlt107925668"/>
      <w:bookmarkEnd w:id="93"/>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2"/>
        <w:spacing w:line="400" w:lineRule="exact"/>
        <w:ind w:left="425" w:firstLine="0" w:firstLineChars="0"/>
        <w:jc w:val="both"/>
        <w:rPr>
          <w:rFonts w:ascii="宋体" w:hAnsi="宋体" w:cs="宋体"/>
          <w:color w:val="auto"/>
          <w:szCs w:val="21"/>
          <w:highlight w:val="none"/>
        </w:rPr>
      </w:pPr>
    </w:p>
    <w:p>
      <w:pPr>
        <w:pStyle w:val="4"/>
        <w:rPr>
          <w:color w:val="auto"/>
          <w:highlight w:val="none"/>
        </w:rPr>
      </w:pPr>
      <w:bookmarkStart w:id="94" w:name="_Toc29725"/>
      <w:bookmarkStart w:id="95" w:name="_Toc10940"/>
      <w:r>
        <w:rPr>
          <w:rFonts w:hint="eastAsia"/>
          <w:color w:val="auto"/>
          <w:highlight w:val="none"/>
        </w:rPr>
        <w:t>15.★投标有效期</w:t>
      </w:r>
      <w:bookmarkEnd w:id="94"/>
      <w:bookmarkEnd w:id="95"/>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4"/>
        <w:rPr>
          <w:color w:val="auto"/>
          <w:highlight w:val="none"/>
        </w:rPr>
      </w:pPr>
      <w:bookmarkStart w:id="96" w:name="_Toc15529"/>
      <w:bookmarkStart w:id="97" w:name="_Toc5483"/>
      <w:r>
        <w:rPr>
          <w:rFonts w:hint="eastAsia"/>
          <w:color w:val="auto"/>
          <w:highlight w:val="none"/>
        </w:rPr>
        <w:t>16.★投标保证金</w:t>
      </w:r>
      <w:bookmarkEnd w:id="96"/>
      <w:bookmarkEnd w:id="97"/>
    </w:p>
    <w:p>
      <w:pPr>
        <w:pStyle w:val="22"/>
        <w:numPr>
          <w:ilvl w:val="0"/>
          <w:numId w:val="6"/>
        </w:numPr>
        <w:spacing w:line="400" w:lineRule="exact"/>
        <w:ind w:firstLineChars="0"/>
        <w:jc w:val="both"/>
        <w:rPr>
          <w:rFonts w:ascii="宋体" w:hAnsi="宋体" w:cs="宋体"/>
          <w:vanish/>
          <w:color w:val="auto"/>
          <w:szCs w:val="21"/>
          <w:highlight w:val="none"/>
        </w:rPr>
      </w:pPr>
      <w:bookmarkStart w:id="98"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采用银行转账、电汇方式提交的,付至招标代理机构指定账户上。 (详见投标人资料表)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8"/>
        <w:rPr>
          <w:color w:val="auto"/>
          <w:sz w:val="21"/>
          <w:szCs w:val="21"/>
          <w:highlight w:val="none"/>
        </w:rPr>
      </w:pPr>
    </w:p>
    <w:p>
      <w:pPr>
        <w:pStyle w:val="4"/>
        <w:rPr>
          <w:color w:val="auto"/>
          <w:highlight w:val="none"/>
        </w:rPr>
      </w:pPr>
      <w:bookmarkStart w:id="99" w:name="_Toc16286"/>
      <w:bookmarkStart w:id="100" w:name="_Toc24997"/>
      <w:bookmarkStart w:id="101" w:name="_Toc382049111"/>
      <w:bookmarkStart w:id="102" w:name="_Toc303084264"/>
      <w:bookmarkStart w:id="103" w:name="_Toc16724"/>
      <w:r>
        <w:rPr>
          <w:rFonts w:hint="eastAsia"/>
          <w:color w:val="auto"/>
          <w:highlight w:val="none"/>
        </w:rPr>
        <w:t>17.投标文件的装订，签署，密封和标记</w:t>
      </w:r>
      <w:bookmarkEnd w:id="99"/>
      <w:bookmarkEnd w:id="100"/>
      <w:bookmarkEnd w:id="101"/>
      <w:bookmarkEnd w:id="102"/>
      <w:bookmarkEnd w:id="103"/>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04" w:name="_Toc17636"/>
      <w:bookmarkStart w:id="105" w:name="_Toc30088"/>
      <w:r>
        <w:rPr>
          <w:rFonts w:hint="eastAsia"/>
          <w:color w:val="auto"/>
          <w:highlight w:val="none"/>
        </w:rPr>
        <w:t>18.迟交的投标文件</w:t>
      </w:r>
      <w:bookmarkEnd w:id="104"/>
      <w:bookmarkEnd w:id="105"/>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4"/>
        <w:rPr>
          <w:color w:val="auto"/>
          <w:highlight w:val="none"/>
        </w:rPr>
      </w:pPr>
      <w:bookmarkStart w:id="106" w:name="_Toc24269"/>
      <w:bookmarkStart w:id="107" w:name="_Toc15912"/>
      <w:r>
        <w:rPr>
          <w:rFonts w:hint="eastAsia"/>
          <w:color w:val="auto"/>
          <w:highlight w:val="none"/>
        </w:rPr>
        <w:t>19.投标样品、投标演示（如有要求）</w:t>
      </w:r>
      <w:bookmarkEnd w:id="106"/>
      <w:bookmarkEnd w:id="107"/>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4"/>
        <w:rPr>
          <w:color w:val="auto"/>
          <w:highlight w:val="none"/>
        </w:rPr>
      </w:pPr>
      <w:bookmarkStart w:id="108" w:name="_Toc9777"/>
      <w:bookmarkStart w:id="109" w:name="_Toc303084265"/>
      <w:bookmarkStart w:id="110" w:name="_Toc22355"/>
      <w:bookmarkStart w:id="111" w:name="_Toc28098"/>
      <w:bookmarkStart w:id="112" w:name="_Toc382049112"/>
      <w:r>
        <w:rPr>
          <w:rFonts w:hint="eastAsia"/>
          <w:color w:val="auto"/>
          <w:highlight w:val="none"/>
        </w:rPr>
        <w:t>20.投标截止期</w:t>
      </w:r>
      <w:bookmarkEnd w:id="108"/>
      <w:bookmarkEnd w:id="109"/>
      <w:bookmarkEnd w:id="110"/>
      <w:bookmarkEnd w:id="111"/>
      <w:bookmarkEnd w:id="112"/>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4"/>
        <w:rPr>
          <w:color w:val="auto"/>
          <w:highlight w:val="none"/>
        </w:rPr>
      </w:pPr>
      <w:bookmarkStart w:id="113" w:name="_Toc22260"/>
      <w:bookmarkStart w:id="114" w:name="_Toc4270"/>
      <w:r>
        <w:rPr>
          <w:rFonts w:hint="eastAsia"/>
          <w:color w:val="auto"/>
          <w:highlight w:val="none"/>
        </w:rPr>
        <w:t>21.投标文件的补充、修改与撤回</w:t>
      </w:r>
      <w:bookmarkEnd w:id="113"/>
      <w:bookmarkEnd w:id="114"/>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8"/>
        <w:spacing w:line="360" w:lineRule="auto"/>
        <w:rPr>
          <w:color w:val="auto"/>
          <w:sz w:val="21"/>
          <w:szCs w:val="21"/>
          <w:highlight w:val="none"/>
        </w:rPr>
      </w:pPr>
    </w:p>
    <w:p>
      <w:pPr>
        <w:pStyle w:val="5"/>
        <w:overflowPunct w:val="0"/>
        <w:spacing w:before="0" w:after="0" w:line="400" w:lineRule="exact"/>
        <w:rPr>
          <w:rFonts w:ascii="宋体" w:hAnsi="宋体" w:cs="宋体"/>
          <w:color w:val="auto"/>
          <w:sz w:val="21"/>
          <w:szCs w:val="21"/>
          <w:highlight w:val="none"/>
        </w:rPr>
      </w:pPr>
      <w:bookmarkStart w:id="115" w:name="_Toc174"/>
      <w:r>
        <w:rPr>
          <w:rFonts w:hint="eastAsia" w:ascii="宋体" w:hAnsi="宋体" w:cs="宋体"/>
          <w:color w:val="auto"/>
          <w:sz w:val="21"/>
          <w:szCs w:val="21"/>
          <w:highlight w:val="none"/>
        </w:rPr>
        <w:t>22.开标</w:t>
      </w:r>
      <w:bookmarkEnd w:id="115"/>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4"/>
        <w:rPr>
          <w:color w:val="auto"/>
          <w:highlight w:val="none"/>
        </w:rPr>
      </w:pPr>
      <w:bookmarkStart w:id="116" w:name="_Toc23244"/>
      <w:bookmarkStart w:id="117" w:name="_Toc318"/>
      <w:r>
        <w:rPr>
          <w:rFonts w:hint="eastAsia"/>
          <w:color w:val="auto"/>
          <w:highlight w:val="none"/>
        </w:rPr>
        <w:t>23.评标委员会及评标方法</w:t>
      </w:r>
      <w:bookmarkEnd w:id="116"/>
      <w:bookmarkEnd w:id="117"/>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18" w:name="_Toc21911"/>
      <w:bookmarkStart w:id="119" w:name="_Toc15635"/>
      <w:r>
        <w:rPr>
          <w:rFonts w:hint="eastAsia"/>
          <w:color w:val="auto"/>
          <w:highlight w:val="none"/>
        </w:rPr>
        <w:t>24.评审原则及评标过程的保密</w:t>
      </w:r>
      <w:bookmarkEnd w:id="118"/>
      <w:bookmarkEnd w:id="119"/>
    </w:p>
    <w:p>
      <w:pPr>
        <w:pStyle w:val="22"/>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评审的基本原则：评标委员会将依据《中华人民共和国政府采购法》及国家和地方政府有关法规的规定，遵循“客观、公正、审慎”的原则进行评审工作。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4"/>
        <w:rPr>
          <w:color w:val="auto"/>
          <w:highlight w:val="none"/>
        </w:rPr>
      </w:pPr>
      <w:bookmarkStart w:id="120" w:name="_Toc10950"/>
      <w:bookmarkStart w:id="121" w:name="_Toc12318"/>
      <w:r>
        <w:rPr>
          <w:rFonts w:hint="eastAsia"/>
          <w:color w:val="auto"/>
          <w:highlight w:val="none"/>
        </w:rPr>
        <w:t>25.投标文件的初审</w:t>
      </w:r>
      <w:bookmarkEnd w:id="120"/>
      <w:bookmarkEnd w:id="121"/>
    </w:p>
    <w:p>
      <w:pPr>
        <w:pStyle w:val="22"/>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4"/>
        <w:rPr>
          <w:color w:val="auto"/>
          <w:highlight w:val="none"/>
        </w:rPr>
      </w:pPr>
      <w:bookmarkStart w:id="122" w:name="_Toc24775"/>
      <w:bookmarkStart w:id="123" w:name="_Toc19657"/>
      <w:r>
        <w:rPr>
          <w:rFonts w:hint="eastAsia"/>
          <w:color w:val="auto"/>
          <w:highlight w:val="none"/>
        </w:rPr>
        <w:t>26.商务、技术、价格评审</w:t>
      </w:r>
      <w:bookmarkEnd w:id="122"/>
      <w:bookmarkEnd w:id="123"/>
    </w:p>
    <w:p>
      <w:pPr>
        <w:pStyle w:val="22"/>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4"/>
        <w:rPr>
          <w:color w:val="auto"/>
          <w:highlight w:val="none"/>
        </w:rPr>
      </w:pPr>
      <w:bookmarkStart w:id="124" w:name="_Toc316375620"/>
      <w:bookmarkStart w:id="125" w:name="_Toc19304"/>
      <w:bookmarkStart w:id="126" w:name="_Toc5898"/>
      <w:bookmarkStart w:id="127" w:name="_Toc382049120"/>
      <w:bookmarkStart w:id="128" w:name="_Toc20328"/>
      <w:r>
        <w:rPr>
          <w:rFonts w:hint="eastAsia"/>
          <w:color w:val="auto"/>
          <w:highlight w:val="none"/>
        </w:rPr>
        <w:t>27.纪律和保密</w:t>
      </w:r>
      <w:bookmarkEnd w:id="124"/>
      <w:r>
        <w:rPr>
          <w:rFonts w:hint="eastAsia"/>
          <w:color w:val="auto"/>
          <w:highlight w:val="none"/>
        </w:rPr>
        <w:t>事项</w:t>
      </w:r>
      <w:bookmarkEnd w:id="125"/>
      <w:bookmarkEnd w:id="126"/>
      <w:bookmarkEnd w:id="127"/>
      <w:bookmarkEnd w:id="128"/>
    </w:p>
    <w:p>
      <w:pPr>
        <w:pStyle w:val="22"/>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rPr>
          <w:color w:val="auto"/>
          <w:highlight w:val="none"/>
        </w:rPr>
      </w:pPr>
      <w:bookmarkStart w:id="129" w:name="_Toc1994"/>
      <w:bookmarkStart w:id="130" w:name="_Toc508284011"/>
      <w:bookmarkStart w:id="131" w:name="_Toc4954"/>
      <w:r>
        <w:rPr>
          <w:rFonts w:hint="eastAsia"/>
          <w:color w:val="auto"/>
          <w:highlight w:val="none"/>
        </w:rPr>
        <w:t>28.合同授予标准</w:t>
      </w:r>
      <w:bookmarkEnd w:id="129"/>
      <w:bookmarkEnd w:id="130"/>
      <w:bookmarkEnd w:id="131"/>
    </w:p>
    <w:p>
      <w:pPr>
        <w:pStyle w:val="22"/>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4"/>
        <w:rPr>
          <w:color w:val="auto"/>
          <w:highlight w:val="none"/>
        </w:rPr>
      </w:pPr>
      <w:bookmarkStart w:id="132" w:name="_Toc22043"/>
      <w:bookmarkStart w:id="133" w:name="_Toc14141"/>
      <w:bookmarkStart w:id="134" w:name="_Toc508284013"/>
      <w:r>
        <w:rPr>
          <w:rFonts w:hint="eastAsia"/>
          <w:color w:val="auto"/>
          <w:highlight w:val="none"/>
        </w:rPr>
        <w:t>30.发布采购结果</w:t>
      </w:r>
      <w:bookmarkEnd w:id="132"/>
      <w:bookmarkEnd w:id="133"/>
      <w:bookmarkEnd w:id="134"/>
    </w:p>
    <w:p>
      <w:pPr>
        <w:pStyle w:val="22"/>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4"/>
        <w:rPr>
          <w:color w:val="auto"/>
          <w:highlight w:val="none"/>
        </w:rPr>
      </w:pPr>
      <w:bookmarkStart w:id="135" w:name="_Toc8411"/>
      <w:bookmarkStart w:id="136" w:name="_Toc11977"/>
      <w:r>
        <w:rPr>
          <w:rFonts w:hint="eastAsia"/>
          <w:color w:val="auto"/>
          <w:highlight w:val="none"/>
        </w:rPr>
        <w:t>30.合同的签订与履行</w:t>
      </w:r>
      <w:bookmarkEnd w:id="135"/>
      <w:bookmarkEnd w:id="136"/>
    </w:p>
    <w:p>
      <w:pPr>
        <w:pStyle w:val="22"/>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8"/>
        <w:rPr>
          <w:color w:val="auto"/>
          <w:sz w:val="21"/>
          <w:szCs w:val="21"/>
          <w:highlight w:val="none"/>
        </w:rPr>
      </w:pPr>
    </w:p>
    <w:p>
      <w:pPr>
        <w:pStyle w:val="4"/>
        <w:rPr>
          <w:color w:val="auto"/>
          <w:highlight w:val="none"/>
        </w:rPr>
      </w:pPr>
      <w:bookmarkStart w:id="137" w:name="_Toc19434"/>
      <w:bookmarkStart w:id="138" w:name="_Toc23400"/>
      <w:r>
        <w:rPr>
          <w:rFonts w:hint="eastAsia"/>
          <w:color w:val="auto"/>
          <w:highlight w:val="none"/>
        </w:rPr>
        <w:t>31.招标文件的解释权</w:t>
      </w:r>
      <w:bookmarkEnd w:id="137"/>
      <w:bookmarkEnd w:id="138"/>
    </w:p>
    <w:p>
      <w:pPr>
        <w:pStyle w:val="22"/>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9" w:name="_Toc27892"/>
      <w:r>
        <w:rPr>
          <w:rFonts w:hint="eastAsia"/>
          <w:color w:val="auto"/>
          <w:highlight w:val="none"/>
        </w:rPr>
        <w:t>用户需求书</w:t>
      </w:r>
      <w:bookmarkEnd w:id="139"/>
    </w:p>
    <w:p>
      <w:pPr>
        <w:jc w:val="center"/>
        <w:outlineLvl w:val="1"/>
        <w:rPr>
          <w:b/>
          <w:bCs/>
          <w:color w:val="auto"/>
          <w:sz w:val="28"/>
          <w:szCs w:val="36"/>
          <w:highlight w:val="none"/>
        </w:rPr>
      </w:pPr>
      <w:bookmarkStart w:id="140" w:name="_Toc16006"/>
      <w:r>
        <w:rPr>
          <w:rFonts w:hint="eastAsia"/>
          <w:b/>
          <w:bCs/>
          <w:color w:val="auto"/>
          <w:sz w:val="28"/>
          <w:szCs w:val="36"/>
          <w:highlight w:val="none"/>
        </w:rPr>
        <w:t>商务要求</w:t>
      </w:r>
      <w:bookmarkEnd w:id="140"/>
    </w:p>
    <w:tbl>
      <w:tblPr>
        <w:tblStyle w:val="15"/>
        <w:tblW w:w="5053"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74"/>
        <w:gridCol w:w="6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4" w:hRule="atLeast"/>
        </w:trPr>
        <w:tc>
          <w:tcPr>
            <w:tcW w:w="995" w:type="pct"/>
            <w:noWrap w:val="0"/>
            <w:vAlign w:val="center"/>
          </w:tcPr>
          <w:p>
            <w:pPr>
              <w:autoSpaceDE w:val="0"/>
              <w:autoSpaceDN w:val="0"/>
              <w:spacing w:line="288"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联合体投标</w:t>
            </w:r>
          </w:p>
        </w:tc>
        <w:tc>
          <w:tcPr>
            <w:tcW w:w="4004" w:type="pct"/>
            <w:noWrap w:val="0"/>
            <w:vAlign w:val="center"/>
          </w:tcPr>
          <w:p>
            <w:pPr>
              <w:autoSpaceDE w:val="0"/>
              <w:autoSpaceDN w:val="0"/>
              <w:spacing w:line="288" w:lineRule="auto"/>
              <w:ind w:firstLine="420" w:firstLineChars="200"/>
              <w:jc w:val="both"/>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本项目</w:t>
            </w:r>
            <w:r>
              <w:rPr>
                <w:rFonts w:hint="eastAsia" w:ascii="宋体" w:hAnsi="宋体" w:cs="宋体"/>
                <w:color w:val="auto"/>
                <w:szCs w:val="21"/>
                <w:highlight w:val="none"/>
                <w:lang w:val="en-US" w:bidi="zh-CN"/>
              </w:rPr>
              <w:t>不</w:t>
            </w:r>
            <w:r>
              <w:rPr>
                <w:rFonts w:hint="eastAsia" w:ascii="宋体" w:hAnsi="宋体" w:cs="宋体"/>
                <w:color w:val="auto"/>
                <w:szCs w:val="21"/>
                <w:highlight w:val="none"/>
                <w:lang w:val="zh-CN" w:bidi="zh-CN"/>
              </w:rPr>
              <w:t>接受联合体投标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6"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lang w:eastAsia="zh-CN"/>
              </w:rPr>
              <w:t>服务期</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hAnsi="宋体"/>
                <w:color w:val="auto"/>
                <w:szCs w:val="21"/>
                <w:highlight w:val="none"/>
                <w:lang w:val="en-US" w:eastAsia="zh-CN"/>
              </w:rPr>
              <w:t>自合同签订之日起一年</w:t>
            </w:r>
            <w:r>
              <w:rPr>
                <w:rFonts w:hint="eastAsia" w:ascii="宋体" w:hAnsi="宋体" w:eastAsia="宋体"/>
                <w:color w:val="auto"/>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1"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cs="宋体"/>
                <w:b/>
                <w:bCs/>
                <w:color w:val="auto"/>
                <w:kern w:val="0"/>
                <w:szCs w:val="21"/>
                <w:highlight w:val="none"/>
                <w:lang w:val="zh-CN" w:bidi="zh-CN"/>
              </w:rPr>
              <w:t>★</w:t>
            </w:r>
            <w:r>
              <w:rPr>
                <w:rFonts w:hint="eastAsia" w:ascii="宋体" w:hAnsi="宋体" w:eastAsia="宋体"/>
                <w:color w:val="auto"/>
                <w:szCs w:val="21"/>
                <w:highlight w:val="none"/>
              </w:rPr>
              <w:t>付款方式</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val="en-US" w:bidi="zh-CN"/>
              </w:rPr>
              <w:t>1</w:t>
            </w:r>
            <w:r>
              <w:rPr>
                <w:rFonts w:hint="eastAsia" w:ascii="宋体" w:hAnsi="宋体" w:cs="宋体"/>
                <w:color w:val="auto"/>
                <w:szCs w:val="21"/>
                <w:highlight w:val="none"/>
                <w:lang w:val="zh-CN" w:bidi="zh-CN"/>
              </w:rPr>
              <w:t>）该项目服务期为</w:t>
            </w:r>
            <w:r>
              <w:rPr>
                <w:rFonts w:hint="eastAsia" w:ascii="宋体" w:hAnsi="宋体" w:cs="宋体"/>
                <w:color w:val="auto"/>
                <w:szCs w:val="21"/>
                <w:highlight w:val="none"/>
                <w:lang w:val="en-US" w:bidi="zh-CN"/>
              </w:rPr>
              <w:t>一</w:t>
            </w:r>
            <w:r>
              <w:rPr>
                <w:rFonts w:hint="eastAsia" w:ascii="宋体" w:hAnsi="宋体" w:cs="宋体"/>
                <w:color w:val="auto"/>
                <w:szCs w:val="21"/>
                <w:highlight w:val="none"/>
                <w:lang w:val="zh-CN" w:bidi="zh-CN"/>
              </w:rPr>
              <w:t>年，采取月结方式结算，当月支付上月承包管理费用，上述承包管理费用采购人按照考核评分结果进行发放，若检查分数低于80分（扣分内容过半或以上属于承包方服务范围内责任造成的），每减少1分，当月管理费下浮1%，根据评分结果确定实际应付款后支付。若检查分数在80分以下连续三次以上的，采购人有权单方面终止合同。</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val="en-US" w:bidi="zh-CN"/>
              </w:rPr>
              <w:t>2</w:t>
            </w:r>
            <w:r>
              <w:rPr>
                <w:rFonts w:hint="eastAsia" w:ascii="宋体" w:hAnsi="宋体" w:cs="宋体"/>
                <w:color w:val="auto"/>
                <w:szCs w:val="21"/>
                <w:highlight w:val="none"/>
                <w:lang w:val="zh-CN" w:bidi="zh-CN"/>
              </w:rPr>
              <w:t>）中标人请款时必须提交国家税务机关印制的发票给采购人，采购人才能付款，否则视为无效票据。</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val="en-US" w:bidi="zh-CN"/>
              </w:rPr>
              <w:t>3</w:t>
            </w:r>
            <w:r>
              <w:rPr>
                <w:rFonts w:hint="eastAsia" w:ascii="宋体" w:hAnsi="宋体" w:cs="宋体"/>
                <w:color w:val="auto"/>
                <w:szCs w:val="21"/>
                <w:highlight w:val="none"/>
                <w:lang w:val="zh-CN" w:bidi="zh-CN"/>
              </w:rPr>
              <w:t>）如因考核处罚或中标人服务期间造成第三方损失的赔偿由中标人全部承担，处罚赔偿金额从服务费中相应扣除；若处罚金额超出服务费的，扣除后超出部分仍由中标人自行承担。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2"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项目地点</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default" w:ascii="宋体" w:hAnsi="宋体" w:cs="宋体"/>
                <w:color w:val="auto"/>
                <w:szCs w:val="21"/>
                <w:highlight w:val="none"/>
                <w:lang w:val="en-US" w:bidi="zh-CN"/>
              </w:rPr>
            </w:pPr>
            <w:r>
              <w:rPr>
                <w:rFonts w:hint="eastAsia" w:ascii="宋体" w:hAnsi="宋体"/>
                <w:color w:val="auto"/>
                <w:szCs w:val="21"/>
                <w:highlight w:val="none"/>
                <w:lang w:val="en-US" w:eastAsia="zh-CN"/>
              </w:rPr>
              <w:t>采购人指定地点。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3"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cs="宋体"/>
                <w:b/>
                <w:bCs/>
                <w:color w:val="auto"/>
                <w:kern w:val="0"/>
                <w:szCs w:val="21"/>
                <w:highlight w:val="none"/>
                <w:lang w:val="zh-CN" w:bidi="zh-CN"/>
              </w:rPr>
              <w:t>★</w:t>
            </w: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要求</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投标报价应包含完成本次招标所有服务内容的费用，包含员工工资福利，保险费，员工培训费，劳保用品费，作业工具费，车辆等设施设备使用及运行费，物料消耗费，设备维修费，垃圾清运费，各项税费，等一切与完成本项目相关费用及合同实施过程中已预见和不可预见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0"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合同条款</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olor w:val="auto"/>
                <w:szCs w:val="21"/>
                <w:highlight w:val="none"/>
              </w:rPr>
              <w:t>供应商</w:t>
            </w:r>
            <w:r>
              <w:rPr>
                <w:rFonts w:ascii="宋体" w:hAnsi="宋体" w:eastAsia="宋体"/>
                <w:color w:val="auto"/>
                <w:szCs w:val="21"/>
                <w:highlight w:val="none"/>
              </w:rPr>
              <w:t>实质响应合同各条款。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7" w:hRule="atLeast"/>
        </w:trPr>
        <w:tc>
          <w:tcPr>
            <w:tcW w:w="1671"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其它要求</w:t>
            </w:r>
          </w:p>
        </w:tc>
        <w:tc>
          <w:tcPr>
            <w:tcW w:w="6724"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bidi="zh-CN"/>
              </w:rPr>
            </w:pPr>
            <w:r>
              <w:rPr>
                <w:rFonts w:hint="eastAsia" w:ascii="宋体" w:hAnsi="宋体" w:eastAsia="宋体"/>
                <w:color w:val="auto"/>
                <w:szCs w:val="21"/>
                <w:highlight w:val="none"/>
              </w:rPr>
              <w:t>投标人应充分结合本招标文件上下文了解项目招标需求、采购文件未尽事宜，将在合同签订或项目执行过程中双方协商确定，供应商须无条件满足采购单位的合理要求。</w:t>
            </w:r>
          </w:p>
        </w:tc>
      </w:tr>
    </w:tbl>
    <w:p>
      <w:pPr>
        <w:rPr>
          <w:color w:val="auto"/>
          <w:highlight w:val="none"/>
        </w:rPr>
      </w:pPr>
      <w:r>
        <w:rPr>
          <w:color w:val="auto"/>
          <w:highlight w:val="none"/>
        </w:rPr>
        <w:br w:type="page"/>
      </w:r>
    </w:p>
    <w:p>
      <w:pPr>
        <w:jc w:val="center"/>
        <w:outlineLvl w:val="1"/>
        <w:rPr>
          <w:b/>
          <w:bCs/>
          <w:color w:val="auto"/>
          <w:sz w:val="28"/>
          <w:szCs w:val="36"/>
          <w:highlight w:val="none"/>
        </w:rPr>
      </w:pPr>
      <w:bookmarkStart w:id="141" w:name="_Toc4572"/>
      <w:r>
        <w:rPr>
          <w:rFonts w:hint="eastAsia"/>
          <w:b/>
          <w:bCs/>
          <w:color w:val="auto"/>
          <w:sz w:val="28"/>
          <w:szCs w:val="36"/>
          <w:highlight w:val="none"/>
        </w:rPr>
        <w:t>技术要求</w:t>
      </w:r>
      <w:bookmarkEnd w:id="141"/>
    </w:p>
    <w:p>
      <w:pPr>
        <w:numPr>
          <w:ilvl w:val="0"/>
          <w:numId w:val="10"/>
        </w:numPr>
        <w:tabs>
          <w:tab w:val="left" w:pos="360"/>
          <w:tab w:val="left" w:pos="450"/>
        </w:tabs>
        <w:autoSpaceDE w:val="0"/>
        <w:autoSpaceDN w:val="0"/>
        <w:adjustRightInd w:val="0"/>
        <w:spacing w:line="440" w:lineRule="exact"/>
        <w:ind w:left="-420" w:leftChars="-200"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服务范围</w:t>
      </w:r>
    </w:p>
    <w:p>
      <w:pPr>
        <w:autoSpaceDE w:val="0"/>
        <w:autoSpaceDN w:val="0"/>
        <w:adjustRightInd w:val="0"/>
        <w:spacing w:line="440" w:lineRule="exact"/>
        <w:ind w:left="-360" w:firstLine="450"/>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sz w:val="21"/>
          <w:szCs w:val="21"/>
          <w:highlight w:val="none"/>
          <w:lang w:val="en-US" w:eastAsia="zh-CN"/>
        </w:rPr>
        <w:t>为了进一步提升社区的人居环境，建设美丽圩镇，提高村民的幸福感，</w:t>
      </w:r>
      <w:r>
        <w:rPr>
          <w:rFonts w:hint="eastAsia" w:ascii="宋体" w:hAnsi="宋体" w:eastAsia="宋体" w:cs="宋体"/>
          <w:color w:val="auto"/>
          <w:sz w:val="21"/>
          <w:szCs w:val="21"/>
          <w:highlight w:val="none"/>
        </w:rPr>
        <w:t>拟将我村社区环卫保洁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绿化养护、除“四害”等</w:t>
      </w:r>
      <w:r>
        <w:rPr>
          <w:rFonts w:hint="eastAsia" w:ascii="宋体" w:hAnsi="宋体" w:eastAsia="宋体" w:cs="宋体"/>
          <w:color w:val="auto"/>
          <w:sz w:val="21"/>
          <w:szCs w:val="21"/>
          <w:highlight w:val="none"/>
        </w:rPr>
        <w:t>服务面向社会市场化，通过公开、公平、公正的方式寻求专业的服务供应商</w:t>
      </w:r>
      <w:r>
        <w:rPr>
          <w:rFonts w:hint="eastAsia" w:ascii="宋体" w:hAnsi="宋体" w:cs="宋体"/>
          <w:bCs/>
          <w:color w:val="auto"/>
          <w:kern w:val="0"/>
          <w:sz w:val="21"/>
          <w:szCs w:val="21"/>
          <w:highlight w:val="none"/>
          <w:lang w:eastAsia="zh-CN"/>
        </w:rPr>
        <w:t>；</w:t>
      </w:r>
      <w:r>
        <w:rPr>
          <w:rFonts w:hint="eastAsia" w:ascii="宋体" w:hAnsi="宋体" w:cs="宋体"/>
          <w:bCs/>
          <w:color w:val="auto"/>
          <w:kern w:val="0"/>
          <w:sz w:val="21"/>
          <w:szCs w:val="21"/>
          <w:highlight w:val="none"/>
          <w:lang w:val="en-US" w:eastAsia="zh-CN"/>
        </w:rPr>
        <w:t>服务包括：角社村辖区道路保洁（含清扫、清运垃圾）、绿化养护、除“四害”、清理“牛皮癣”。</w:t>
      </w:r>
    </w:p>
    <w:p>
      <w:pPr>
        <w:autoSpaceDE w:val="0"/>
        <w:autoSpaceDN w:val="0"/>
        <w:adjustRightInd w:val="0"/>
        <w:spacing w:line="440" w:lineRule="exact"/>
        <w:ind w:left="-360" w:firstLine="450"/>
        <w:rPr>
          <w:rFonts w:hint="eastAsia" w:ascii="宋体" w:hAnsi="宋体" w:eastAsia="宋体" w:cs="宋体"/>
          <w:bCs/>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具体范围：</w:t>
      </w:r>
    </w:p>
    <w:tbl>
      <w:tblPr>
        <w:tblStyle w:val="1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1970"/>
        <w:gridCol w:w="1970"/>
        <w:gridCol w:w="1971"/>
        <w:gridCol w:w="1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序号</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道路名称</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道路类型</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道路长度（m)</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保洁面积（㎡）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角祥路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1300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32500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兴国路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700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3</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兴德路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1500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37500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4</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兴科路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400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5</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新兴一路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800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6</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新兴二路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800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7</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新兴三路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400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8</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公寓路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600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9</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禾塘二路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10</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东门路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11</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上围路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400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12</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新村路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13</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上联路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1000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14</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下围路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一般道路</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1000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15</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其他街巷</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合计</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440" w:lineRule="exact"/>
              <w:ind w:left="-360" w:firstLine="450"/>
              <w:jc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301500</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注：</w:t>
      </w:r>
      <w:r>
        <w:rPr>
          <w:rFonts w:hint="eastAsia" w:ascii="宋体" w:hAnsi="宋体" w:cs="宋体"/>
          <w:b/>
          <w:color w:val="auto"/>
          <w:sz w:val="22"/>
          <w:szCs w:val="22"/>
          <w:highlight w:val="none"/>
          <w:lang w:val="en-US" w:eastAsia="zh-CN"/>
        </w:rPr>
        <w:t>1、</w:t>
      </w:r>
      <w:r>
        <w:rPr>
          <w:rFonts w:hint="eastAsia" w:ascii="宋体" w:hAnsi="宋体" w:eastAsia="宋体" w:cs="宋体"/>
          <w:b/>
          <w:color w:val="auto"/>
          <w:sz w:val="22"/>
          <w:szCs w:val="22"/>
          <w:highlight w:val="none"/>
        </w:rPr>
        <w:t>以上表格内容为参考数据，实际服务范围按合同要求及现场情况为准</w:t>
      </w:r>
      <w:r>
        <w:rPr>
          <w:rFonts w:hint="eastAsia" w:ascii="宋体" w:hAnsi="宋体" w:cs="宋体"/>
          <w:b/>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2"/>
          <w:szCs w:val="22"/>
          <w:highlight w:val="none"/>
        </w:rPr>
      </w:pPr>
      <w:r>
        <w:rPr>
          <w:rFonts w:hint="eastAsia" w:ascii="宋体" w:hAnsi="宋体" w:cs="宋体"/>
          <w:b/>
          <w:color w:val="auto"/>
          <w:sz w:val="22"/>
          <w:szCs w:val="22"/>
          <w:highlight w:val="none"/>
          <w:lang w:val="en-US" w:eastAsia="zh-CN"/>
        </w:rPr>
        <w:t>2、项目服务期内，由于政策、社区发展等因素，社区内新增（减少）道路或道路调整的，导致本项目环卫保洁、绿化养护以及除“四害”服务范围面积的增加或减少，项目的服务费金额不作调整</w:t>
      </w:r>
      <w:r>
        <w:rPr>
          <w:rFonts w:hint="eastAsia" w:ascii="宋体" w:hAnsi="宋体" w:eastAsia="宋体" w:cs="宋体"/>
          <w:b/>
          <w:color w:val="auto"/>
          <w:sz w:val="22"/>
          <w:szCs w:val="22"/>
          <w:highlight w:val="none"/>
        </w:rPr>
        <w:t>。</w:t>
      </w:r>
    </w:p>
    <w:p>
      <w:pPr>
        <w:numPr>
          <w:ilvl w:val="0"/>
          <w:numId w:val="10"/>
        </w:numPr>
        <w:tabs>
          <w:tab w:val="left" w:pos="360"/>
          <w:tab w:val="left" w:pos="450"/>
        </w:tabs>
        <w:autoSpaceDE w:val="0"/>
        <w:autoSpaceDN w:val="0"/>
        <w:adjustRightInd w:val="0"/>
        <w:spacing w:line="440" w:lineRule="exact"/>
        <w:ind w:left="-420" w:leftChars="-200" w:firstLine="0"/>
        <w:rPr>
          <w:rFonts w:hint="eastAsia" w:ascii="宋体" w:hAnsi="宋体" w:eastAsia="宋体" w:cs="宋体"/>
          <w:b/>
          <w:color w:val="auto"/>
          <w:sz w:val="21"/>
          <w:szCs w:val="21"/>
          <w:highlight w:val="none"/>
          <w:shd w:val="clear" w:color="auto" w:fill="auto"/>
        </w:rPr>
      </w:pPr>
      <w:r>
        <w:rPr>
          <w:rFonts w:hint="eastAsia" w:ascii="宋体" w:hAnsi="宋体" w:cs="宋体"/>
          <w:b/>
          <w:color w:val="auto"/>
          <w:sz w:val="21"/>
          <w:szCs w:val="21"/>
          <w:highlight w:val="none"/>
          <w:shd w:val="clear" w:color="auto" w:fill="auto"/>
          <w:lang w:val="en-US" w:eastAsia="zh-CN"/>
        </w:rPr>
        <w:t>服务要求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微软雅黑" w:hAnsi="微软雅黑" w:cs="宋体"/>
          <w:b/>
          <w:color w:val="auto"/>
          <w:highlight w:val="none"/>
        </w:rPr>
        <w:t>（</w:t>
      </w:r>
      <w:r>
        <w:rPr>
          <w:rFonts w:hint="eastAsia" w:ascii="微软雅黑" w:hAnsi="微软雅黑" w:cs="宋体"/>
          <w:b/>
          <w:color w:val="auto"/>
          <w:highlight w:val="none"/>
          <w:lang w:val="en-US" w:eastAsia="zh-CN"/>
        </w:rPr>
        <w:t>一</w:t>
      </w:r>
      <w:r>
        <w:rPr>
          <w:rFonts w:hint="eastAsia" w:ascii="微软雅黑" w:hAnsi="微软雅黑" w:cs="宋体"/>
          <w:b/>
          <w:color w:val="auto"/>
          <w:highlight w:val="none"/>
        </w:rPr>
        <w:t>）</w:t>
      </w:r>
      <w:r>
        <w:rPr>
          <w:rFonts w:hint="eastAsia" w:ascii="微软雅黑" w:hAnsi="微软雅黑" w:cs="宋体"/>
          <w:b/>
          <w:color w:val="auto"/>
          <w:highlight w:val="none"/>
          <w:lang w:val="en-US" w:eastAsia="zh-CN"/>
        </w:rPr>
        <w:t>保洁</w:t>
      </w:r>
      <w:r>
        <w:rPr>
          <w:rFonts w:hint="eastAsia" w:ascii="微软雅黑" w:hAnsi="微软雅黑" w:cs="宋体"/>
          <w:b/>
          <w:color w:val="auto"/>
          <w:highlight w:val="none"/>
        </w:rPr>
        <w:t>工作要求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中标人进场后，要求组织足够的人力及作业设备迅速对服务范围的环境卫生进行一次全方位清理整治。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每天全面清理本辖区卫生与保洁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做好责任区域范围内的垃圾收集，特殊情况下中标单位需要按照招标单位要求无条件执行。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普扫作业要达到六净六无一通标准，六净：路面净、路牙石净、人行道净、墙基净、落水口净、果皮箱净。六无：无积水、无果皮、无烟头等废弃物、无人畜粪便、无漏收垃圾堆、无往落水口、明沟、绿化带扫倒垃圾污物。</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中标人负责清理废弃家具、公共部位杂草、公园道路、杂物等。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清理本辖区道路、内巷、公共区域、空地、绿化带内外的垃圾、道路上的杂草以及辖区内的牛皮癣。</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每周清洗本辖区内果皮箱、垃圾桶及清除周边的污迹和粘贴痕迹。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村内主要道路每月至少安排洒水作业2次以上，遇特殊情况增加洒水作业次数。</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积极响应环卫主管部门的要求，对存在问题及投诉快速反应处理，特别是对市、区数字城管案件按规定时间内处理完毕并相片回复，否则因回复期限超时而造成的扣分与当月的服务费挂钩。</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果皮箱、垃圾桶及时清掏，确保垃圾桶周边无满溢现象，发现满溢现象应立即处理，保持清洁无臭味，如有损坏应及时通知社区环卫部门进行维修或更换。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标人须编制清扫保洁实施方案，列明保证质量、安全、文明施工的措施，并且严格按照实施方案按时按质完成。项目经理要落实好岗位责任制，加强日常巡查，发现他人在保洁范围内倾倒生活垃圾的行为，要及时制止，并向属地执法部门报告，同时恢复场地原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车辆设备和垃圾收集手推车要外容整洁完好，密闭，无破损、锈迹，定期检测修刷漆翻新，同时</w:t>
      </w:r>
      <w:r>
        <w:rPr>
          <w:rFonts w:hint="eastAsia" w:ascii="宋体" w:hAnsi="宋体" w:cs="宋体"/>
          <w:color w:val="auto"/>
          <w:sz w:val="21"/>
          <w:szCs w:val="21"/>
          <w:highlight w:val="none"/>
          <w:lang w:val="en-US" w:eastAsia="zh-CN"/>
        </w:rPr>
        <w:t>按上级街道部门或社区要求设置车辆外观</w:t>
      </w:r>
      <w:r>
        <w:rPr>
          <w:rFonts w:hint="eastAsia" w:ascii="宋体" w:hAnsi="宋体" w:eastAsia="宋体" w:cs="宋体"/>
          <w:color w:val="auto"/>
          <w:sz w:val="21"/>
          <w:szCs w:val="21"/>
          <w:highlight w:val="none"/>
        </w:rPr>
        <w:t>，并且装运过程中不得满溢、洒漏；机动车辆作业时，应尽量避开上下班高峰期，并开启警示灯，并尽量避免作业时危害到行人及车辆。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作业安全及设备安全由中标人全权负责，作业人员必须统一着装，穿反光马甲，出现工伤意外，</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不负任何责任。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垃圾处理严格贯彻“统一收集，定点堆放，日产日清”的原则，由中标人自行负责清运至</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指定地点。要求使用密封式运输车，避免二次污染。</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中标人必须自备垃圾收集清运车、保洁设备等，</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不提供任何作业工具。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不提供吃住场所。</w:t>
      </w:r>
    </w:p>
    <w:p>
      <w:pPr>
        <w:widowControl w:val="0"/>
        <w:tabs>
          <w:tab w:val="left" w:pos="5940"/>
        </w:tabs>
        <w:spacing w:after="0" w:line="440" w:lineRule="exact"/>
        <w:ind w:firstLine="420" w:firstLineChars="200"/>
        <w:rPr>
          <w:rFonts w:ascii="微软雅黑" w:hAnsi="微软雅黑" w:cs="宋体"/>
          <w:color w:val="auto"/>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提出的检查整改意见，中标人必须在24小时内作出响应处理，并接受</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的监督考核</w:t>
      </w:r>
      <w:r>
        <w:rPr>
          <w:rFonts w:hint="eastAsia" w:ascii="宋体" w:hAnsi="宋体" w:cs="宋体"/>
          <w:color w:val="auto"/>
          <w:sz w:val="21"/>
          <w:szCs w:val="21"/>
          <w:highlight w:val="none"/>
          <w:lang w:eastAsia="zh-CN"/>
        </w:rPr>
        <w:t>。</w:t>
      </w:r>
    </w:p>
    <w:p>
      <w:pPr>
        <w:tabs>
          <w:tab w:val="left" w:pos="5940"/>
        </w:tabs>
        <w:spacing w:after="0" w:line="360" w:lineRule="exact"/>
        <w:ind w:firstLine="422" w:firstLineChars="200"/>
        <w:rPr>
          <w:rFonts w:ascii="微软雅黑" w:hAnsi="微软雅黑" w:cs="宋体"/>
          <w:b/>
          <w:color w:val="auto"/>
          <w:highlight w:val="none"/>
        </w:rPr>
      </w:pPr>
      <w:r>
        <w:rPr>
          <w:rFonts w:hint="eastAsia" w:ascii="微软雅黑" w:hAnsi="微软雅黑" w:cs="宋体"/>
          <w:b/>
          <w:color w:val="auto"/>
          <w:highlight w:val="none"/>
        </w:rPr>
        <w:t>（二）绿化管理养护工作要求</w:t>
      </w:r>
    </w:p>
    <w:p>
      <w:pPr>
        <w:spacing w:after="0" w:line="440" w:lineRule="exact"/>
        <w:rPr>
          <w:rFonts w:ascii="微软雅黑" w:hAnsi="微软雅黑"/>
          <w:color w:val="auto"/>
          <w:highlight w:val="none"/>
        </w:rPr>
      </w:pPr>
      <w:r>
        <w:rPr>
          <w:rFonts w:hint="eastAsia" w:ascii="微软雅黑" w:hAnsi="微软雅黑"/>
          <w:color w:val="auto"/>
          <w:highlight w:val="none"/>
        </w:rPr>
        <w:t xml:space="preserve">    社区绿化管理养护服务工作要求和质量标准参照东莞市城管局制定的标准进行管理，合同期内，如因政策调整，相关部门颁发新的实施规定或行业标准的，按最新的规定标准执行，基本要求和标准为：</w:t>
      </w:r>
    </w:p>
    <w:p>
      <w:pPr>
        <w:spacing w:after="0" w:line="440" w:lineRule="exact"/>
        <w:ind w:firstLine="420" w:firstLineChars="200"/>
        <w:rPr>
          <w:rFonts w:ascii="微软雅黑" w:hAnsi="微软雅黑"/>
          <w:color w:val="auto"/>
          <w:highlight w:val="none"/>
        </w:rPr>
      </w:pPr>
      <w:r>
        <w:rPr>
          <w:rFonts w:hint="eastAsia" w:ascii="微软雅黑" w:hAnsi="微软雅黑"/>
          <w:color w:val="auto"/>
          <w:highlight w:val="none"/>
          <w:lang w:val="en-US" w:eastAsia="zh-CN"/>
        </w:rPr>
        <w:t>1</w:t>
      </w:r>
      <w:r>
        <w:rPr>
          <w:rFonts w:hint="eastAsia" w:ascii="微软雅黑" w:hAnsi="微软雅黑"/>
          <w:color w:val="auto"/>
          <w:highlight w:val="none"/>
        </w:rPr>
        <w:t>、</w:t>
      </w:r>
      <w:r>
        <w:rPr>
          <w:rFonts w:hint="eastAsia" w:ascii="微软雅黑" w:hAnsi="微软雅黑"/>
          <w:color w:val="auto"/>
          <w:highlight w:val="none"/>
          <w:lang w:eastAsia="zh-CN"/>
        </w:rPr>
        <w:t>中标人</w:t>
      </w:r>
      <w:r>
        <w:rPr>
          <w:rFonts w:hint="eastAsia" w:ascii="微软雅黑" w:hAnsi="微软雅黑"/>
          <w:color w:val="auto"/>
          <w:highlight w:val="none"/>
        </w:rPr>
        <w:t>必须配备两名以上助理园林绿化等相关技术人员负责养护管理和技术工作。</w:t>
      </w:r>
    </w:p>
    <w:p>
      <w:pPr>
        <w:spacing w:after="0" w:line="440" w:lineRule="exact"/>
        <w:ind w:firstLine="420" w:firstLineChars="200"/>
        <w:rPr>
          <w:rFonts w:ascii="微软雅黑" w:hAnsi="微软雅黑"/>
          <w:color w:val="auto"/>
          <w:highlight w:val="none"/>
        </w:rPr>
      </w:pPr>
      <w:r>
        <w:rPr>
          <w:rFonts w:hint="eastAsia" w:ascii="微软雅黑" w:hAnsi="微软雅黑"/>
          <w:color w:val="auto"/>
          <w:highlight w:val="none"/>
          <w:lang w:val="en-US" w:eastAsia="zh-CN"/>
        </w:rPr>
        <w:t>2</w:t>
      </w:r>
      <w:r>
        <w:rPr>
          <w:rFonts w:hint="eastAsia" w:ascii="微软雅黑" w:hAnsi="微软雅黑"/>
          <w:color w:val="auto"/>
          <w:highlight w:val="none"/>
        </w:rPr>
        <w:t>、绿化管理养护内容包括植物养护（含草坪、灌木、乔木、草本花卉、水生植物、垂直绿化等）、绿化地设施的卫生保洁工作（含垃圾筒、果皮箱等卫生设施、护栏、护树设施、座椅、指示牌、宣传牌、警示牌等标识系统等），绿化地、公园及构筑物的卫生保洁工作（含亭、台、楼、榭、园道、挡土墙、广场嵌草铺装、花基、小品、雕塑、停车场等）</w:t>
      </w:r>
      <w:r>
        <w:rPr>
          <w:rFonts w:hint="eastAsia" w:ascii="微软雅黑" w:hAnsi="微软雅黑"/>
          <w:color w:val="auto"/>
          <w:highlight w:val="none"/>
          <w:lang w:eastAsia="zh-CN"/>
        </w:rPr>
        <w:t>，</w:t>
      </w:r>
      <w:r>
        <w:rPr>
          <w:rFonts w:hint="eastAsia" w:ascii="微软雅黑" w:hAnsi="微软雅黑"/>
          <w:color w:val="auto"/>
          <w:highlight w:val="none"/>
        </w:rPr>
        <w:t>绿化地设施</w:t>
      </w:r>
      <w:r>
        <w:rPr>
          <w:rFonts w:hint="eastAsia" w:ascii="微软雅黑" w:hAnsi="微软雅黑"/>
          <w:color w:val="auto"/>
          <w:highlight w:val="none"/>
          <w:lang w:val="en-US" w:eastAsia="zh-CN"/>
        </w:rPr>
        <w:t>更换并不属于中标人的工作范围内</w:t>
      </w:r>
      <w:r>
        <w:rPr>
          <w:rFonts w:hint="eastAsia" w:ascii="微软雅黑" w:hAnsi="微软雅黑"/>
          <w:color w:val="auto"/>
          <w:highlight w:val="none"/>
        </w:rPr>
        <w:t>。具体工作按</w:t>
      </w:r>
      <w:r>
        <w:rPr>
          <w:rFonts w:hint="eastAsia" w:ascii="微软雅黑" w:hAnsi="微软雅黑"/>
          <w:color w:val="auto"/>
          <w:highlight w:val="none"/>
          <w:lang w:eastAsia="zh-CN"/>
        </w:rPr>
        <w:t>招标人</w:t>
      </w:r>
      <w:r>
        <w:rPr>
          <w:rFonts w:hint="eastAsia" w:ascii="微软雅黑" w:hAnsi="微软雅黑"/>
          <w:color w:val="auto"/>
          <w:highlight w:val="none"/>
        </w:rPr>
        <w:t>规定的工作要求执行，包括以下内容：</w:t>
      </w:r>
    </w:p>
    <w:p>
      <w:pPr>
        <w:spacing w:after="0" w:line="440" w:lineRule="exact"/>
        <w:ind w:firstLine="422" w:firstLineChars="200"/>
        <w:rPr>
          <w:rFonts w:ascii="微软雅黑" w:hAnsi="微软雅黑"/>
          <w:color w:val="auto"/>
          <w:highlight w:val="none"/>
        </w:rPr>
      </w:pPr>
      <w:r>
        <w:rPr>
          <w:rFonts w:hint="eastAsia" w:ascii="微软雅黑" w:hAnsi="微软雅黑"/>
          <w:b/>
          <w:color w:val="auto"/>
          <w:highlight w:val="none"/>
        </w:rPr>
        <w:t>2.1绿化地保洁工作</w:t>
      </w:r>
      <w:r>
        <w:rPr>
          <w:rFonts w:hint="eastAsia" w:ascii="微软雅黑" w:hAnsi="微软雅黑"/>
          <w:color w:val="auto"/>
          <w:highlight w:val="none"/>
        </w:rPr>
        <w:t xml:space="preserve">  在保洁时间内保持绿化地清洁无垃圾杂物，产出垃圾当天清运；保持绿化设施的清洁，及时清理乱涂写、乱张贴。</w:t>
      </w:r>
    </w:p>
    <w:p>
      <w:pPr>
        <w:spacing w:after="0" w:line="440" w:lineRule="exact"/>
        <w:ind w:firstLine="422" w:firstLineChars="200"/>
        <w:rPr>
          <w:rFonts w:ascii="微软雅黑" w:hAnsi="微软雅黑"/>
          <w:color w:val="auto"/>
          <w:highlight w:val="none"/>
        </w:rPr>
      </w:pPr>
      <w:r>
        <w:rPr>
          <w:rFonts w:hint="eastAsia" w:ascii="微软雅黑" w:hAnsi="微软雅黑"/>
          <w:b/>
          <w:color w:val="auto"/>
          <w:highlight w:val="none"/>
        </w:rPr>
        <w:t>2.2垃圾清运工作</w:t>
      </w:r>
      <w:r>
        <w:rPr>
          <w:rFonts w:hint="eastAsia" w:ascii="微软雅黑" w:hAnsi="微软雅黑"/>
          <w:color w:val="auto"/>
          <w:highlight w:val="none"/>
        </w:rPr>
        <w:t xml:space="preserve">  </w:t>
      </w:r>
      <w:r>
        <w:rPr>
          <w:rFonts w:hint="eastAsia" w:ascii="微软雅黑" w:hAnsi="微软雅黑"/>
          <w:color w:val="auto"/>
          <w:highlight w:val="none"/>
          <w:lang w:eastAsia="zh-CN"/>
        </w:rPr>
        <w:t>中标人</w:t>
      </w:r>
      <w:r>
        <w:rPr>
          <w:rFonts w:hint="eastAsia" w:ascii="微软雅黑" w:hAnsi="微软雅黑"/>
          <w:color w:val="auto"/>
          <w:highlight w:val="none"/>
        </w:rPr>
        <w:t>将绿化地管养范围内的所有垃圾运到</w:t>
      </w:r>
      <w:r>
        <w:rPr>
          <w:rFonts w:hint="eastAsia" w:ascii="微软雅黑" w:hAnsi="微软雅黑"/>
          <w:color w:val="auto"/>
          <w:highlight w:val="none"/>
          <w:lang w:eastAsia="zh-CN"/>
        </w:rPr>
        <w:t>招标人</w:t>
      </w:r>
      <w:r>
        <w:rPr>
          <w:rFonts w:hint="eastAsia" w:ascii="微软雅黑" w:hAnsi="微软雅黑"/>
          <w:color w:val="auto"/>
          <w:highlight w:val="none"/>
        </w:rPr>
        <w:t>指定的垃圾堆放场地处理，其费用由</w:t>
      </w:r>
      <w:r>
        <w:rPr>
          <w:rFonts w:hint="eastAsia" w:ascii="微软雅黑" w:hAnsi="微软雅黑"/>
          <w:color w:val="auto"/>
          <w:highlight w:val="none"/>
          <w:lang w:eastAsia="zh-CN"/>
        </w:rPr>
        <w:t>中标人</w:t>
      </w:r>
      <w:r>
        <w:rPr>
          <w:rFonts w:hint="eastAsia" w:ascii="微软雅黑" w:hAnsi="微软雅黑"/>
          <w:color w:val="auto"/>
          <w:highlight w:val="none"/>
        </w:rPr>
        <w:t>支付。</w:t>
      </w:r>
    </w:p>
    <w:p>
      <w:pPr>
        <w:spacing w:after="0" w:line="440" w:lineRule="exact"/>
        <w:ind w:firstLine="420" w:firstLineChars="200"/>
        <w:rPr>
          <w:rFonts w:ascii="微软雅黑" w:hAnsi="微软雅黑"/>
          <w:color w:val="auto"/>
          <w:highlight w:val="none"/>
        </w:rPr>
      </w:pPr>
      <w:r>
        <w:rPr>
          <w:rFonts w:hint="eastAsia" w:ascii="微软雅黑" w:hAnsi="微软雅黑"/>
          <w:color w:val="auto"/>
          <w:highlight w:val="none"/>
        </w:rPr>
        <w:t>2</w:t>
      </w:r>
      <w:r>
        <w:rPr>
          <w:rFonts w:hint="eastAsia" w:ascii="微软雅黑" w:hAnsi="微软雅黑"/>
          <w:b/>
          <w:color w:val="auto"/>
          <w:highlight w:val="none"/>
        </w:rPr>
        <w:t>.3灌溉、施肥工作</w:t>
      </w:r>
      <w:r>
        <w:rPr>
          <w:rFonts w:hint="eastAsia" w:ascii="微软雅黑" w:hAnsi="微软雅黑"/>
          <w:color w:val="auto"/>
          <w:highlight w:val="none"/>
        </w:rPr>
        <w:t xml:space="preserve">  根据植物生长需要加强淋水和施肥，各级绿化每平方米每年投放的肥料不得低于以下标准：一级管养须投放复合肥0.55斤、蘑菇肥0.55斤、花生麸0.3斤；二级管养须投放复合肥0.4斤、蘑菇肥0.4斤、花生麸0.2斤；三级管养须投放复合肥0.2斤、蘑菇肥0.2斤、花生麸0.1斤；复合肥要求N∶P∶K＝15∶15∶15，有机肥只限于花生麸、腐熟的粪肥、草木灰。</w:t>
      </w:r>
    </w:p>
    <w:p>
      <w:pPr>
        <w:spacing w:after="0" w:line="440" w:lineRule="exact"/>
        <w:ind w:firstLine="422" w:firstLineChars="200"/>
        <w:rPr>
          <w:rFonts w:ascii="微软雅黑" w:hAnsi="微软雅黑"/>
          <w:color w:val="auto"/>
          <w:highlight w:val="none"/>
        </w:rPr>
      </w:pPr>
      <w:r>
        <w:rPr>
          <w:rFonts w:hint="eastAsia" w:ascii="微软雅黑" w:hAnsi="微软雅黑"/>
          <w:b/>
          <w:color w:val="auto"/>
          <w:highlight w:val="none"/>
        </w:rPr>
        <w:t>2.4整形修剪工作</w:t>
      </w:r>
      <w:r>
        <w:rPr>
          <w:rFonts w:hint="eastAsia" w:ascii="微软雅黑" w:hAnsi="微软雅黑"/>
          <w:color w:val="auto"/>
          <w:highlight w:val="none"/>
        </w:rPr>
        <w:t xml:space="preserve">  根据植物的生长发育要求、景观要求、安全要求及防风要求等，对植物进行有计划的定期修剪和不定期突击修剪。</w:t>
      </w:r>
    </w:p>
    <w:p>
      <w:pPr>
        <w:spacing w:after="0" w:line="440" w:lineRule="exact"/>
        <w:ind w:firstLine="422" w:firstLineChars="200"/>
        <w:rPr>
          <w:rFonts w:ascii="微软雅黑" w:hAnsi="微软雅黑"/>
          <w:color w:val="auto"/>
          <w:highlight w:val="none"/>
        </w:rPr>
      </w:pPr>
      <w:r>
        <w:rPr>
          <w:rFonts w:hint="eastAsia" w:ascii="微软雅黑" w:hAnsi="微软雅黑"/>
          <w:b/>
          <w:color w:val="auto"/>
          <w:highlight w:val="none"/>
        </w:rPr>
        <w:t>2.</w:t>
      </w:r>
      <w:r>
        <w:rPr>
          <w:rFonts w:hint="eastAsia" w:ascii="微软雅黑" w:hAnsi="微软雅黑"/>
          <w:b/>
          <w:color w:val="auto"/>
          <w:highlight w:val="none"/>
          <w:lang w:val="en-US" w:eastAsia="zh-CN"/>
        </w:rPr>
        <w:t>5</w:t>
      </w:r>
      <w:r>
        <w:rPr>
          <w:rFonts w:hint="eastAsia" w:ascii="微软雅黑" w:hAnsi="微软雅黑"/>
          <w:b/>
          <w:color w:val="auto"/>
          <w:highlight w:val="none"/>
        </w:rPr>
        <w:t>植物病虫害防治工作、绿地除四害及防白蚁、红火蚁工作</w:t>
      </w:r>
      <w:r>
        <w:rPr>
          <w:rFonts w:hint="eastAsia" w:ascii="微软雅黑" w:hAnsi="微软雅黑"/>
          <w:color w:val="auto"/>
          <w:highlight w:val="none"/>
        </w:rPr>
        <w:t xml:space="preserve">  其中投放鼠药等工作每季度统一进行一次，灭蚊、灭蝇等工作每月进行2-3次。将“四害”密度控制在标准之内。</w:t>
      </w:r>
    </w:p>
    <w:p>
      <w:pPr>
        <w:spacing w:after="0" w:line="440" w:lineRule="exact"/>
        <w:ind w:firstLine="422" w:firstLineChars="200"/>
        <w:rPr>
          <w:rFonts w:ascii="微软雅黑" w:hAnsi="微软雅黑"/>
          <w:color w:val="auto"/>
          <w:highlight w:val="none"/>
        </w:rPr>
      </w:pPr>
      <w:r>
        <w:rPr>
          <w:rFonts w:hint="eastAsia" w:ascii="微软雅黑" w:hAnsi="微软雅黑"/>
          <w:b/>
          <w:color w:val="auto"/>
          <w:highlight w:val="none"/>
        </w:rPr>
        <w:t>2.</w:t>
      </w:r>
      <w:r>
        <w:rPr>
          <w:rFonts w:hint="eastAsia" w:ascii="微软雅黑" w:hAnsi="微软雅黑"/>
          <w:b/>
          <w:color w:val="auto"/>
          <w:highlight w:val="none"/>
          <w:lang w:val="en-US" w:eastAsia="zh-CN"/>
        </w:rPr>
        <w:t>6</w:t>
      </w:r>
      <w:r>
        <w:rPr>
          <w:rFonts w:hint="eastAsia" w:ascii="微软雅黑" w:hAnsi="微软雅黑"/>
          <w:b/>
          <w:color w:val="auto"/>
          <w:highlight w:val="none"/>
        </w:rPr>
        <w:t xml:space="preserve">绿化保护工作  </w:t>
      </w:r>
      <w:r>
        <w:rPr>
          <w:rFonts w:hint="eastAsia" w:ascii="微软雅黑" w:hAnsi="微软雅黑"/>
          <w:color w:val="auto"/>
          <w:highlight w:val="none"/>
        </w:rPr>
        <w:t>保护绿化地红线不被侵占，对破坏绿化及影响绿化景观的现象及时制止，对受破坏的绿化地及时采取有效措施予以修复。</w:t>
      </w:r>
    </w:p>
    <w:p>
      <w:pPr>
        <w:spacing w:after="0" w:line="440" w:lineRule="exact"/>
        <w:ind w:firstLine="422" w:firstLineChars="200"/>
        <w:rPr>
          <w:rFonts w:ascii="微软雅黑" w:hAnsi="微软雅黑"/>
          <w:color w:val="auto"/>
          <w:highlight w:val="none"/>
        </w:rPr>
      </w:pPr>
      <w:r>
        <w:rPr>
          <w:rFonts w:hint="eastAsia" w:ascii="微软雅黑" w:hAnsi="微软雅黑"/>
          <w:b/>
          <w:color w:val="auto"/>
          <w:highlight w:val="none"/>
        </w:rPr>
        <w:t>2.</w:t>
      </w:r>
      <w:r>
        <w:rPr>
          <w:rFonts w:hint="eastAsia" w:ascii="微软雅黑" w:hAnsi="微软雅黑"/>
          <w:b/>
          <w:color w:val="auto"/>
          <w:highlight w:val="none"/>
          <w:lang w:val="en-US" w:eastAsia="zh-CN"/>
        </w:rPr>
        <w:t>7</w:t>
      </w:r>
      <w:r>
        <w:rPr>
          <w:rFonts w:hint="eastAsia" w:ascii="微软雅黑" w:hAnsi="微软雅黑"/>
          <w:b/>
          <w:color w:val="auto"/>
          <w:highlight w:val="none"/>
        </w:rPr>
        <w:t>绿化地内道路、铺装场地保洁</w:t>
      </w:r>
      <w:r>
        <w:rPr>
          <w:rFonts w:hint="eastAsia" w:ascii="微软雅黑" w:hAnsi="微软雅黑"/>
          <w:color w:val="auto"/>
          <w:highlight w:val="none"/>
        </w:rPr>
        <w:t xml:space="preserve">  保证所管辖范围内干净整洁，无胶袋、无饮料盒、无纸屑、无果皮（包括花生壳、瓜子皮）、无石块、无杂物、无污迹（含香口胶），并保证在保洁时间内路面无大面积的枯枝落叶。</w:t>
      </w:r>
    </w:p>
    <w:p>
      <w:pPr>
        <w:spacing w:after="0" w:line="440" w:lineRule="exact"/>
        <w:ind w:firstLine="422" w:firstLineChars="200"/>
        <w:rPr>
          <w:rFonts w:ascii="微软雅黑" w:hAnsi="微软雅黑"/>
          <w:color w:val="auto"/>
          <w:highlight w:val="none"/>
        </w:rPr>
      </w:pPr>
      <w:r>
        <w:rPr>
          <w:rFonts w:hint="eastAsia" w:ascii="微软雅黑" w:hAnsi="微软雅黑"/>
          <w:b/>
          <w:color w:val="auto"/>
          <w:highlight w:val="none"/>
        </w:rPr>
        <w:t>2.</w:t>
      </w:r>
      <w:r>
        <w:rPr>
          <w:rFonts w:hint="eastAsia" w:ascii="微软雅黑" w:hAnsi="微软雅黑"/>
          <w:b/>
          <w:color w:val="auto"/>
          <w:highlight w:val="none"/>
          <w:lang w:val="en-US" w:eastAsia="zh-CN"/>
        </w:rPr>
        <w:t>8</w:t>
      </w:r>
      <w:r>
        <w:rPr>
          <w:rFonts w:hint="eastAsia" w:ascii="微软雅黑" w:hAnsi="微软雅黑"/>
          <w:b/>
          <w:color w:val="auto"/>
          <w:highlight w:val="none"/>
        </w:rPr>
        <w:t>特殊植物种类的养护和管理</w:t>
      </w:r>
      <w:r>
        <w:rPr>
          <w:rFonts w:hint="eastAsia" w:ascii="微软雅黑" w:hAnsi="微软雅黑"/>
          <w:color w:val="auto"/>
          <w:highlight w:val="none"/>
        </w:rPr>
        <w:t xml:space="preserve">  </w:t>
      </w:r>
      <w:r>
        <w:rPr>
          <w:rFonts w:hint="eastAsia" w:ascii="微软雅黑" w:hAnsi="微软雅黑"/>
          <w:color w:val="auto"/>
          <w:highlight w:val="none"/>
          <w:lang w:eastAsia="zh-CN"/>
        </w:rPr>
        <w:t>中标人</w:t>
      </w:r>
      <w:r>
        <w:rPr>
          <w:rFonts w:hint="eastAsia" w:ascii="微软雅黑" w:hAnsi="微软雅黑"/>
          <w:color w:val="auto"/>
          <w:highlight w:val="none"/>
        </w:rPr>
        <w:t>必须具备数名对特殊植物种类有一定养护经验的管理人员，了解此类植物的习性，并定期对管理人员进行相关的培训，达到管养科学、抚育精心的水平。</w:t>
      </w:r>
    </w:p>
    <w:p>
      <w:pPr>
        <w:spacing w:after="0" w:line="440" w:lineRule="exact"/>
        <w:ind w:firstLine="422" w:firstLineChars="200"/>
        <w:rPr>
          <w:rFonts w:ascii="微软雅黑" w:hAnsi="微软雅黑"/>
          <w:color w:val="auto"/>
          <w:highlight w:val="none"/>
        </w:rPr>
      </w:pPr>
      <w:r>
        <w:rPr>
          <w:rFonts w:hint="eastAsia" w:ascii="微软雅黑" w:hAnsi="微软雅黑"/>
          <w:b/>
          <w:color w:val="auto"/>
          <w:highlight w:val="none"/>
        </w:rPr>
        <w:t>2.</w:t>
      </w:r>
      <w:r>
        <w:rPr>
          <w:rFonts w:hint="eastAsia" w:ascii="微软雅黑" w:hAnsi="微软雅黑"/>
          <w:b/>
          <w:color w:val="auto"/>
          <w:highlight w:val="none"/>
          <w:lang w:val="en-US" w:eastAsia="zh-CN"/>
        </w:rPr>
        <w:t>9</w:t>
      </w:r>
      <w:r>
        <w:rPr>
          <w:rFonts w:hint="eastAsia" w:ascii="微软雅黑" w:hAnsi="微软雅黑"/>
          <w:b/>
          <w:color w:val="auto"/>
          <w:highlight w:val="none"/>
        </w:rPr>
        <w:t xml:space="preserve">广东省地方标准 </w:t>
      </w:r>
      <w:r>
        <w:rPr>
          <w:rFonts w:hint="eastAsia" w:ascii="微软雅黑" w:hAnsi="微软雅黑"/>
          <w:color w:val="auto"/>
          <w:highlight w:val="none"/>
        </w:rPr>
        <w:t xml:space="preserve"> 相关绿化养护技术规范和养护质量标准必须符合2006年1月1日实施的广东省地方标准要求（DB44/T 268-2005及DB44/T 269-2005），不得低于广东省地方标准要求。</w:t>
      </w:r>
    </w:p>
    <w:p>
      <w:pPr>
        <w:spacing w:after="0" w:line="440" w:lineRule="exact"/>
        <w:ind w:firstLine="420" w:firstLineChars="200"/>
        <w:rPr>
          <w:rFonts w:ascii="微软雅黑" w:hAnsi="微软雅黑"/>
          <w:color w:val="auto"/>
          <w:highlight w:val="none"/>
        </w:rPr>
      </w:pPr>
      <w:r>
        <w:rPr>
          <w:rFonts w:hint="eastAsia" w:ascii="微软雅黑" w:hAnsi="微软雅黑"/>
          <w:color w:val="auto"/>
          <w:highlight w:val="none"/>
          <w:lang w:eastAsia="zh-CN"/>
        </w:rPr>
        <w:t>中标人</w:t>
      </w:r>
      <w:r>
        <w:rPr>
          <w:rFonts w:hint="eastAsia" w:ascii="微软雅黑" w:hAnsi="微软雅黑"/>
          <w:color w:val="auto"/>
          <w:highlight w:val="none"/>
        </w:rPr>
        <w:t>必须按以上工作要求、质量标准进行绿化管养养护。</w:t>
      </w:r>
    </w:p>
    <w:p>
      <w:pPr>
        <w:spacing w:before="100" w:beforeAutospacing="1" w:after="100" w:afterAutospacing="1" w:line="240" w:lineRule="exact"/>
        <w:ind w:firstLine="422" w:firstLineChars="200"/>
        <w:rPr>
          <w:rFonts w:hint="default" w:ascii="微软雅黑" w:hAnsi="微软雅黑" w:eastAsia="宋体"/>
          <w:b/>
          <w:color w:val="auto"/>
          <w:highlight w:val="none"/>
          <w:lang w:val="en-US" w:eastAsia="zh-CN"/>
        </w:rPr>
      </w:pPr>
      <w:r>
        <w:rPr>
          <w:rFonts w:hint="eastAsia" w:ascii="微软雅黑" w:hAnsi="微软雅黑"/>
          <w:b/>
          <w:color w:val="auto"/>
          <w:highlight w:val="none"/>
        </w:rPr>
        <w:t>（三）社区除“四害”</w:t>
      </w:r>
      <w:r>
        <w:rPr>
          <w:rFonts w:hint="eastAsia" w:ascii="微软雅黑" w:hAnsi="微软雅黑"/>
          <w:b/>
          <w:color w:val="auto"/>
          <w:highlight w:val="none"/>
          <w:lang w:val="en-US" w:eastAsia="zh-CN"/>
        </w:rPr>
        <w:t>工作要求</w:t>
      </w:r>
    </w:p>
    <w:p>
      <w:pPr>
        <w:spacing w:after="0" w:line="440" w:lineRule="exact"/>
        <w:ind w:firstLine="420" w:firstLineChars="200"/>
        <w:rPr>
          <w:rFonts w:ascii="微软雅黑" w:hAnsi="微软雅黑"/>
          <w:color w:val="auto"/>
          <w:highlight w:val="none"/>
        </w:rPr>
      </w:pPr>
      <w:r>
        <w:rPr>
          <w:rFonts w:hint="eastAsia" w:ascii="微软雅黑" w:hAnsi="微软雅黑"/>
          <w:color w:val="auto"/>
          <w:highlight w:val="none"/>
        </w:rPr>
        <w:t>1、</w:t>
      </w:r>
      <w:r>
        <w:rPr>
          <w:rFonts w:hint="eastAsia" w:ascii="微软雅黑" w:hAnsi="微软雅黑"/>
          <w:color w:val="auto"/>
          <w:highlight w:val="none"/>
          <w:lang w:eastAsia="zh-CN"/>
        </w:rPr>
        <w:t>招标人</w:t>
      </w:r>
      <w:r>
        <w:rPr>
          <w:rFonts w:hint="eastAsia" w:ascii="微软雅黑" w:hAnsi="微软雅黑"/>
          <w:color w:val="auto"/>
          <w:highlight w:val="none"/>
        </w:rPr>
        <w:t>指定人员负责跟进除“四害”工作，协助提供工作方便，如入室进行消杀、检测等，监督</w:t>
      </w:r>
      <w:r>
        <w:rPr>
          <w:rFonts w:hint="eastAsia" w:ascii="微软雅黑" w:hAnsi="微软雅黑"/>
          <w:color w:val="auto"/>
          <w:highlight w:val="none"/>
          <w:lang w:eastAsia="zh-CN"/>
        </w:rPr>
        <w:t>中标人</w:t>
      </w:r>
      <w:r>
        <w:rPr>
          <w:rFonts w:hint="eastAsia" w:ascii="微软雅黑" w:hAnsi="微软雅黑"/>
          <w:color w:val="auto"/>
          <w:highlight w:val="none"/>
        </w:rPr>
        <w:t>工作情况，督促</w:t>
      </w:r>
      <w:r>
        <w:rPr>
          <w:rFonts w:hint="eastAsia" w:ascii="微软雅黑" w:hAnsi="微软雅黑"/>
          <w:color w:val="auto"/>
          <w:highlight w:val="none"/>
          <w:lang w:eastAsia="zh-CN"/>
        </w:rPr>
        <w:t>中标人</w:t>
      </w:r>
      <w:r>
        <w:rPr>
          <w:rFonts w:hint="eastAsia" w:ascii="微软雅黑" w:hAnsi="微软雅黑"/>
          <w:color w:val="auto"/>
          <w:highlight w:val="none"/>
        </w:rPr>
        <w:t>执行合同有关规定，并在消杀服务单上签名。</w:t>
      </w:r>
    </w:p>
    <w:p>
      <w:pPr>
        <w:spacing w:after="0" w:line="440" w:lineRule="exact"/>
        <w:ind w:firstLine="420" w:firstLineChars="200"/>
        <w:rPr>
          <w:rFonts w:ascii="微软雅黑" w:hAnsi="微软雅黑"/>
          <w:color w:val="auto"/>
          <w:highlight w:val="none"/>
        </w:rPr>
      </w:pPr>
      <w:r>
        <w:rPr>
          <w:rFonts w:hint="eastAsia" w:ascii="微软雅黑" w:hAnsi="微软雅黑"/>
          <w:color w:val="auto"/>
          <w:highlight w:val="none"/>
        </w:rPr>
        <w:t>2、</w:t>
      </w:r>
      <w:r>
        <w:rPr>
          <w:rFonts w:hint="eastAsia" w:ascii="微软雅黑" w:hAnsi="微软雅黑"/>
          <w:color w:val="auto"/>
          <w:highlight w:val="none"/>
          <w:lang w:eastAsia="zh-CN"/>
        </w:rPr>
        <w:t>中标人</w:t>
      </w:r>
      <w:r>
        <w:rPr>
          <w:rFonts w:hint="eastAsia" w:ascii="微软雅黑" w:hAnsi="微软雅黑"/>
          <w:color w:val="auto"/>
          <w:highlight w:val="none"/>
        </w:rPr>
        <w:t>负责本单位四害孽生地的整治和卫生清洁。</w:t>
      </w:r>
    </w:p>
    <w:p>
      <w:pPr>
        <w:spacing w:after="0" w:line="440" w:lineRule="exact"/>
        <w:ind w:firstLine="420" w:firstLineChars="200"/>
        <w:rPr>
          <w:rFonts w:ascii="微软雅黑" w:hAnsi="微软雅黑"/>
          <w:color w:val="auto"/>
          <w:highlight w:val="none"/>
        </w:rPr>
      </w:pPr>
      <w:r>
        <w:rPr>
          <w:rFonts w:hint="eastAsia" w:ascii="微软雅黑" w:hAnsi="微软雅黑"/>
          <w:color w:val="auto"/>
          <w:highlight w:val="none"/>
        </w:rPr>
        <w:t>3、</w:t>
      </w:r>
      <w:r>
        <w:rPr>
          <w:rFonts w:hint="eastAsia" w:ascii="微软雅黑" w:hAnsi="微软雅黑"/>
          <w:color w:val="auto"/>
          <w:highlight w:val="none"/>
          <w:lang w:eastAsia="zh-CN"/>
        </w:rPr>
        <w:t>中标人</w:t>
      </w:r>
      <w:r>
        <w:rPr>
          <w:rFonts w:hint="eastAsia" w:ascii="微软雅黑" w:hAnsi="微软雅黑"/>
          <w:color w:val="auto"/>
          <w:highlight w:val="none"/>
        </w:rPr>
        <w:t>安排人员上岗应明确任务，文明作业，持证上岗。</w:t>
      </w:r>
    </w:p>
    <w:p>
      <w:pPr>
        <w:spacing w:after="0" w:line="440" w:lineRule="exact"/>
        <w:ind w:firstLine="420" w:firstLineChars="200"/>
        <w:rPr>
          <w:rFonts w:ascii="微软雅黑" w:hAnsi="微软雅黑"/>
          <w:color w:val="auto"/>
          <w:highlight w:val="none"/>
        </w:rPr>
      </w:pPr>
      <w:r>
        <w:rPr>
          <w:rFonts w:hint="eastAsia" w:ascii="微软雅黑" w:hAnsi="微软雅黑"/>
          <w:color w:val="auto"/>
          <w:highlight w:val="none"/>
        </w:rPr>
        <w:t>4、</w:t>
      </w:r>
      <w:r>
        <w:rPr>
          <w:rFonts w:hint="eastAsia" w:ascii="微软雅黑" w:hAnsi="微软雅黑"/>
          <w:color w:val="auto"/>
          <w:highlight w:val="none"/>
          <w:lang w:eastAsia="zh-CN"/>
        </w:rPr>
        <w:t>中标人</w:t>
      </w:r>
      <w:r>
        <w:rPr>
          <w:rFonts w:hint="eastAsia" w:ascii="微软雅黑" w:hAnsi="微软雅黑"/>
          <w:color w:val="auto"/>
          <w:highlight w:val="none"/>
        </w:rPr>
        <w:t>保证每月灭蚊四次，灭鼠二次。每次施药时需提前一天通知</w:t>
      </w:r>
      <w:r>
        <w:rPr>
          <w:rFonts w:hint="eastAsia" w:ascii="微软雅黑" w:hAnsi="微软雅黑"/>
          <w:color w:val="auto"/>
          <w:highlight w:val="none"/>
          <w:lang w:eastAsia="zh-CN"/>
        </w:rPr>
        <w:t>招标人</w:t>
      </w:r>
      <w:r>
        <w:rPr>
          <w:rFonts w:hint="eastAsia" w:ascii="微软雅黑" w:hAnsi="微软雅黑"/>
          <w:color w:val="auto"/>
          <w:highlight w:val="none"/>
        </w:rPr>
        <w:t>人员，填写消杀服务单交</w:t>
      </w:r>
      <w:r>
        <w:rPr>
          <w:rFonts w:hint="eastAsia" w:ascii="微软雅黑" w:hAnsi="微软雅黑"/>
          <w:color w:val="auto"/>
          <w:highlight w:val="none"/>
          <w:lang w:eastAsia="zh-CN"/>
        </w:rPr>
        <w:t>招标人</w:t>
      </w:r>
      <w:r>
        <w:rPr>
          <w:rFonts w:hint="eastAsia" w:ascii="微软雅黑" w:hAnsi="微软雅黑"/>
          <w:color w:val="auto"/>
          <w:highlight w:val="none"/>
        </w:rPr>
        <w:t>签名，并以此为结算依据。因天气因素导致当月灭蚊灭鼠工作延误的，需在下月安排延续。每年蚊子高发期，</w:t>
      </w:r>
      <w:r>
        <w:rPr>
          <w:rFonts w:hint="eastAsia" w:ascii="微软雅黑" w:hAnsi="微软雅黑"/>
          <w:color w:val="auto"/>
          <w:highlight w:val="none"/>
          <w:lang w:eastAsia="zh-CN"/>
        </w:rPr>
        <w:t>中标人</w:t>
      </w:r>
      <w:r>
        <w:rPr>
          <w:rFonts w:hint="eastAsia" w:ascii="微软雅黑" w:hAnsi="微软雅黑"/>
          <w:color w:val="auto"/>
          <w:highlight w:val="none"/>
        </w:rPr>
        <w:t>必需无条件按</w:t>
      </w:r>
      <w:r>
        <w:rPr>
          <w:rFonts w:hint="eastAsia" w:ascii="微软雅黑" w:hAnsi="微软雅黑"/>
          <w:color w:val="auto"/>
          <w:highlight w:val="none"/>
          <w:lang w:eastAsia="zh-CN"/>
        </w:rPr>
        <w:t>招标人</w:t>
      </w:r>
      <w:r>
        <w:rPr>
          <w:rFonts w:hint="eastAsia" w:ascii="微软雅黑" w:hAnsi="微软雅黑"/>
          <w:color w:val="auto"/>
          <w:highlight w:val="none"/>
        </w:rPr>
        <w:t>要求增加灭蚊的次数，增加灭蚊所需的药物的费用由</w:t>
      </w:r>
      <w:r>
        <w:rPr>
          <w:rFonts w:hint="eastAsia" w:ascii="微软雅黑" w:hAnsi="微软雅黑"/>
          <w:color w:val="auto"/>
          <w:highlight w:val="none"/>
          <w:lang w:eastAsia="zh-CN"/>
        </w:rPr>
        <w:t>招标人</w:t>
      </w:r>
      <w:r>
        <w:rPr>
          <w:rFonts w:hint="eastAsia" w:ascii="微软雅黑" w:hAnsi="微软雅黑"/>
          <w:color w:val="auto"/>
          <w:highlight w:val="none"/>
        </w:rPr>
        <w:t>负责，超出次数的费用（只限于人工费）由</w:t>
      </w:r>
      <w:r>
        <w:rPr>
          <w:rFonts w:hint="eastAsia" w:ascii="微软雅黑" w:hAnsi="微软雅黑"/>
          <w:color w:val="auto"/>
          <w:highlight w:val="none"/>
          <w:lang w:eastAsia="zh-CN"/>
        </w:rPr>
        <w:t>招标人中标人</w:t>
      </w:r>
      <w:r>
        <w:rPr>
          <w:rFonts w:hint="eastAsia" w:ascii="微软雅黑" w:hAnsi="微软雅黑"/>
          <w:color w:val="auto"/>
          <w:highlight w:val="none"/>
        </w:rPr>
        <w:t>双方另行协商确定补助。</w:t>
      </w:r>
    </w:p>
    <w:p>
      <w:pPr>
        <w:spacing w:after="0" w:line="440" w:lineRule="exact"/>
        <w:ind w:firstLine="420" w:firstLineChars="200"/>
        <w:rPr>
          <w:rFonts w:ascii="微软雅黑" w:hAnsi="微软雅黑"/>
          <w:color w:val="auto"/>
          <w:highlight w:val="none"/>
        </w:rPr>
      </w:pPr>
      <w:r>
        <w:rPr>
          <w:rFonts w:hint="eastAsia" w:ascii="微软雅黑" w:hAnsi="微软雅黑"/>
          <w:color w:val="auto"/>
          <w:highlight w:val="none"/>
        </w:rPr>
        <w:t>5、</w:t>
      </w:r>
      <w:r>
        <w:rPr>
          <w:rFonts w:hint="eastAsia" w:ascii="微软雅黑" w:hAnsi="微软雅黑"/>
          <w:color w:val="auto"/>
          <w:highlight w:val="none"/>
          <w:lang w:eastAsia="zh-CN"/>
        </w:rPr>
        <w:t>中标人</w:t>
      </w:r>
      <w:r>
        <w:rPr>
          <w:rFonts w:hint="eastAsia" w:ascii="微软雅黑" w:hAnsi="微软雅黑"/>
          <w:color w:val="auto"/>
          <w:highlight w:val="none"/>
        </w:rPr>
        <w:t>所使用的除“四害”药物按国家规定使用，效果好，对人畜安全，如使用不安全或假冒伪劣的药物而造成的一切后果，全部由</w:t>
      </w:r>
      <w:r>
        <w:rPr>
          <w:rFonts w:hint="eastAsia" w:ascii="微软雅黑" w:hAnsi="微软雅黑"/>
          <w:color w:val="auto"/>
          <w:highlight w:val="none"/>
          <w:lang w:eastAsia="zh-CN"/>
        </w:rPr>
        <w:t>中标人</w:t>
      </w:r>
      <w:r>
        <w:rPr>
          <w:rFonts w:hint="eastAsia" w:ascii="微软雅黑" w:hAnsi="微软雅黑"/>
          <w:color w:val="auto"/>
          <w:highlight w:val="none"/>
        </w:rPr>
        <w:t>负责。</w:t>
      </w:r>
    </w:p>
    <w:p>
      <w:pPr>
        <w:spacing w:after="0" w:line="440" w:lineRule="exact"/>
        <w:ind w:firstLine="420" w:firstLineChars="200"/>
        <w:rPr>
          <w:rFonts w:ascii="微软雅黑" w:hAnsi="微软雅黑"/>
          <w:color w:val="auto"/>
          <w:highlight w:val="none"/>
        </w:rPr>
      </w:pPr>
      <w:r>
        <w:rPr>
          <w:rFonts w:hint="eastAsia" w:ascii="微软雅黑" w:hAnsi="微软雅黑"/>
          <w:color w:val="auto"/>
          <w:highlight w:val="none"/>
        </w:rPr>
        <w:t>6、</w:t>
      </w:r>
      <w:r>
        <w:rPr>
          <w:rFonts w:hint="eastAsia" w:ascii="微软雅黑" w:hAnsi="微软雅黑"/>
          <w:color w:val="auto"/>
          <w:highlight w:val="none"/>
          <w:lang w:eastAsia="zh-CN"/>
        </w:rPr>
        <w:t>中标人</w:t>
      </w:r>
      <w:r>
        <w:rPr>
          <w:rFonts w:hint="eastAsia" w:ascii="微软雅黑" w:hAnsi="微软雅黑"/>
          <w:color w:val="auto"/>
          <w:highlight w:val="none"/>
        </w:rPr>
        <w:t>必须无条件配合</w:t>
      </w:r>
      <w:r>
        <w:rPr>
          <w:rFonts w:hint="eastAsia" w:ascii="微软雅黑" w:hAnsi="微软雅黑"/>
          <w:color w:val="auto"/>
          <w:highlight w:val="none"/>
          <w:lang w:eastAsia="zh-CN"/>
        </w:rPr>
        <w:t>招标人</w:t>
      </w:r>
      <w:r>
        <w:rPr>
          <w:rFonts w:hint="eastAsia" w:ascii="微软雅黑" w:hAnsi="微软雅黑"/>
          <w:color w:val="auto"/>
          <w:highlight w:val="none"/>
        </w:rPr>
        <w:t>做好省、市、街道布置的临时性任务（含检查、突击整治、重大活动等），须30分钟内到达指定位置安排人员灭蚊、灭鼠（</w:t>
      </w:r>
      <w:r>
        <w:rPr>
          <w:rFonts w:hint="eastAsia" w:ascii="微软雅黑" w:hAnsi="微软雅黑"/>
          <w:color w:val="auto"/>
          <w:highlight w:val="none"/>
          <w:lang w:eastAsia="zh-CN"/>
        </w:rPr>
        <w:t>中标人</w:t>
      </w:r>
      <w:r>
        <w:rPr>
          <w:rFonts w:hint="eastAsia" w:ascii="微软雅黑" w:hAnsi="微软雅黑"/>
          <w:color w:val="auto"/>
          <w:highlight w:val="none"/>
        </w:rPr>
        <w:t>不得另行收费）。</w:t>
      </w:r>
    </w:p>
    <w:p>
      <w:pPr>
        <w:spacing w:after="0" w:line="440" w:lineRule="exact"/>
        <w:ind w:firstLine="420" w:firstLineChars="200"/>
        <w:rPr>
          <w:rFonts w:hint="eastAsia" w:ascii="微软雅黑" w:hAnsi="微软雅黑" w:eastAsia="宋体"/>
          <w:color w:val="auto"/>
          <w:highlight w:val="none"/>
        </w:rPr>
      </w:pPr>
      <w:r>
        <w:rPr>
          <w:rFonts w:hint="eastAsia" w:ascii="微软雅黑" w:hAnsi="微软雅黑"/>
          <w:color w:val="auto"/>
          <w:highlight w:val="none"/>
        </w:rPr>
        <w:t>7、死鼠处理：</w:t>
      </w:r>
      <w:r>
        <w:rPr>
          <w:rFonts w:hint="eastAsia" w:ascii="微软雅黑" w:hAnsi="微软雅黑"/>
          <w:color w:val="auto"/>
          <w:highlight w:val="none"/>
          <w:lang w:eastAsia="zh-CN"/>
        </w:rPr>
        <w:t>中标人</w:t>
      </w:r>
      <w:r>
        <w:rPr>
          <w:rFonts w:hint="eastAsia" w:ascii="微软雅黑" w:hAnsi="微软雅黑"/>
          <w:color w:val="auto"/>
          <w:highlight w:val="none"/>
        </w:rPr>
        <w:t>在放药后要做好清理工作，一经发现鼠尸及时</w:t>
      </w:r>
      <w:r>
        <w:rPr>
          <w:rFonts w:hint="eastAsia" w:ascii="微软雅黑" w:hAnsi="微软雅黑" w:eastAsia="宋体"/>
          <w:color w:val="auto"/>
          <w:highlight w:val="none"/>
        </w:rPr>
        <w:t>进行无害化处理。</w:t>
      </w:r>
    </w:p>
    <w:p>
      <w:pPr>
        <w:spacing w:after="0" w:line="440" w:lineRule="exact"/>
        <w:ind w:firstLine="420" w:firstLineChars="200"/>
        <w:rPr>
          <w:rFonts w:hint="eastAsia" w:ascii="微软雅黑" w:hAnsi="微软雅黑" w:eastAsia="宋体"/>
          <w:color w:val="auto"/>
          <w:highlight w:val="none"/>
        </w:rPr>
      </w:pPr>
      <w:r>
        <w:rPr>
          <w:rFonts w:hint="eastAsia" w:ascii="微软雅黑" w:hAnsi="微软雅黑" w:eastAsia="宋体"/>
          <w:color w:val="auto"/>
          <w:highlight w:val="none"/>
        </w:rPr>
        <w:t>8、</w:t>
      </w:r>
      <w:r>
        <w:rPr>
          <w:rFonts w:hint="eastAsia" w:ascii="微软雅黑" w:hAnsi="微软雅黑" w:eastAsia="宋体"/>
          <w:color w:val="auto"/>
          <w:highlight w:val="none"/>
          <w:lang w:eastAsia="zh-CN"/>
        </w:rPr>
        <w:t>中标人</w:t>
      </w:r>
      <w:r>
        <w:rPr>
          <w:rFonts w:hint="eastAsia" w:ascii="微软雅黑" w:hAnsi="微软雅黑" w:eastAsia="宋体"/>
          <w:color w:val="auto"/>
          <w:highlight w:val="none"/>
        </w:rPr>
        <w:t>在提供服务时，如因用药安全或操作不当等问题，对其工作人员、</w:t>
      </w:r>
      <w:r>
        <w:rPr>
          <w:rFonts w:hint="eastAsia" w:ascii="微软雅黑" w:hAnsi="微软雅黑" w:eastAsia="宋体"/>
          <w:color w:val="auto"/>
          <w:highlight w:val="none"/>
          <w:lang w:eastAsia="zh-CN"/>
        </w:rPr>
        <w:t>招标人</w:t>
      </w:r>
      <w:r>
        <w:rPr>
          <w:rFonts w:hint="eastAsia" w:ascii="微软雅黑" w:hAnsi="微软雅黑" w:eastAsia="宋体"/>
          <w:color w:val="auto"/>
          <w:highlight w:val="none"/>
        </w:rPr>
        <w:t>人员或第三人人身安全造成影响的，一切经济损失和法律责任由</w:t>
      </w:r>
      <w:r>
        <w:rPr>
          <w:rFonts w:hint="eastAsia" w:ascii="微软雅黑" w:hAnsi="微软雅黑" w:eastAsia="宋体"/>
          <w:color w:val="auto"/>
          <w:highlight w:val="none"/>
          <w:lang w:eastAsia="zh-CN"/>
        </w:rPr>
        <w:t>中标人</w:t>
      </w:r>
      <w:r>
        <w:rPr>
          <w:rFonts w:hint="eastAsia" w:ascii="微软雅黑" w:hAnsi="微软雅黑" w:eastAsia="宋体"/>
          <w:color w:val="auto"/>
          <w:highlight w:val="none"/>
        </w:rPr>
        <w:t>负担。</w:t>
      </w:r>
    </w:p>
    <w:p>
      <w:pPr>
        <w:pStyle w:val="8"/>
        <w:numPr>
          <w:ilvl w:val="0"/>
          <w:numId w:val="10"/>
        </w:numPr>
        <w:spacing w:line="440" w:lineRule="exact"/>
        <w:ind w:left="-420" w:leftChars="-200"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其它说明</w:t>
      </w:r>
    </w:p>
    <w:p>
      <w:pPr>
        <w:numPr>
          <w:ilvl w:val="0"/>
          <w:numId w:val="11"/>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投标单位必须按照国家有关法律法规守法经营，按国家有关规定按时支付环卫工人工资和有关福利待遇，否则招标单位有权单方面终止合同，并没收中标单位履约保证金。</w:t>
      </w:r>
    </w:p>
    <w:p>
      <w:pPr>
        <w:numPr>
          <w:ilvl w:val="0"/>
          <w:numId w:val="11"/>
        </w:numPr>
        <w:spacing w:line="440" w:lineRule="exact"/>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lang w:val="en-US" w:eastAsia="zh-CN"/>
        </w:rPr>
        <w:t>为保证项目质量及实施服务效果，中标单位须根据项目需求配备充足的服务人员及必要的设备投入，服务过程中如未能满足实际作业需要，中标人需根据实际增加人员和设备以达到作业量的需要，保证项目的正常运营</w:t>
      </w:r>
      <w:r>
        <w:rPr>
          <w:rFonts w:hint="eastAsia" w:ascii="宋体" w:hAnsi="宋体" w:cs="宋体"/>
          <w:bCs/>
          <w:color w:val="auto"/>
          <w:sz w:val="21"/>
          <w:szCs w:val="21"/>
          <w:highlight w:val="none"/>
          <w:lang w:val="en-US" w:eastAsia="zh-CN"/>
        </w:rPr>
        <w:t>。项目服务期内，中标人应在社区免费提供的办公场所驻点，便于联系。</w:t>
      </w:r>
    </w:p>
    <w:p>
      <w:pPr>
        <w:numPr>
          <w:ilvl w:val="0"/>
          <w:numId w:val="11"/>
        </w:numPr>
        <w:spacing w:line="440" w:lineRule="exact"/>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中标人因考核不合格，且达到终止合同条款时，采购人有权终止合同。</w:t>
      </w:r>
    </w:p>
    <w:p>
      <w:pPr>
        <w:autoSpaceDE w:val="0"/>
        <w:autoSpaceDN w:val="0"/>
        <w:spacing w:line="360" w:lineRule="auto"/>
        <w:ind w:right="565" w:rightChars="269"/>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8"/>
        <w:spacing w:before="0" w:line="360" w:lineRule="auto"/>
        <w:ind w:left="638" w:leftChars="304"/>
        <w:rPr>
          <w:rFonts w:hint="eastAsia"/>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rFonts w:hint="eastAsia"/>
          <w:b/>
          <w:bCs/>
          <w:color w:val="auto"/>
          <w:kern w:val="0"/>
          <w:sz w:val="21"/>
          <w:szCs w:val="21"/>
          <w:highlight w:val="none"/>
        </w:rPr>
      </w:pPr>
      <w:r>
        <w:rPr>
          <w:rFonts w:hint="eastAsia"/>
          <w:b/>
          <w:bCs/>
          <w:color w:val="auto"/>
          <w:kern w:val="0"/>
          <w:sz w:val="21"/>
          <w:szCs w:val="21"/>
          <w:highlight w:val="none"/>
        </w:rPr>
        <w:br w:type="page"/>
      </w:r>
    </w:p>
    <w:p>
      <w:pPr>
        <w:jc w:val="left"/>
        <w:rPr>
          <w:b/>
          <w:color w:val="auto"/>
          <w:sz w:val="24"/>
          <w:highlight w:val="none"/>
        </w:rPr>
      </w:pPr>
      <w:r>
        <w:rPr>
          <w:rFonts w:hint="eastAsia"/>
          <w:b/>
          <w:color w:val="auto"/>
          <w:sz w:val="24"/>
          <w:highlight w:val="none"/>
        </w:rPr>
        <w:t>附件：</w:t>
      </w:r>
    </w:p>
    <w:p>
      <w:pPr>
        <w:pStyle w:val="22"/>
        <w:ind w:left="708" w:leftChars="337" w:right="678" w:rightChars="323" w:firstLine="0" w:firstLineChars="0"/>
        <w:jc w:val="center"/>
        <w:rPr>
          <w:b/>
          <w:color w:val="auto"/>
          <w:sz w:val="24"/>
          <w:highlight w:val="none"/>
        </w:rPr>
      </w:pPr>
      <w:r>
        <w:rPr>
          <w:rFonts w:hint="eastAsia"/>
          <w:b/>
          <w:color w:val="auto"/>
          <w:sz w:val="24"/>
          <w:highlight w:val="none"/>
        </w:rPr>
        <w:t>《</w:t>
      </w:r>
      <w:r>
        <w:rPr>
          <w:rFonts w:hint="eastAsia"/>
          <w:b/>
          <w:color w:val="auto"/>
          <w:sz w:val="24"/>
          <w:highlight w:val="none"/>
          <w:lang w:val="en-US" w:eastAsia="zh-CN"/>
        </w:rPr>
        <w:t>东莞市东坑镇角社社区</w:t>
      </w:r>
      <w:r>
        <w:rPr>
          <w:rFonts w:hint="eastAsia" w:ascii="宋体" w:hAnsi="宋体" w:cs="宋体"/>
          <w:b/>
          <w:color w:val="auto"/>
          <w:sz w:val="22"/>
          <w:highlight w:val="none"/>
        </w:rPr>
        <w:t>考核评分暂行标准</w:t>
      </w:r>
      <w:r>
        <w:rPr>
          <w:rFonts w:hint="eastAsia"/>
          <w:b/>
          <w:color w:val="auto"/>
          <w:sz w:val="24"/>
          <w:highlight w:val="none"/>
        </w:rPr>
        <w:t>》</w:t>
      </w:r>
    </w:p>
    <w:p>
      <w:pPr>
        <w:rPr>
          <w:color w:val="auto"/>
          <w:sz w:val="22"/>
          <w:szCs w:val="22"/>
          <w:highlight w:val="none"/>
        </w:rPr>
      </w:pPr>
      <w:r>
        <w:rPr>
          <w:rFonts w:hint="eastAsia"/>
          <w:color w:val="auto"/>
          <w:sz w:val="22"/>
          <w:szCs w:val="22"/>
          <w:highlight w:val="none"/>
        </w:rPr>
        <w:t>考评时间：20   年   月   日</w:t>
      </w:r>
    </w:p>
    <w:tbl>
      <w:tblPr>
        <w:tblStyle w:val="15"/>
        <w:tblW w:w="0" w:type="auto"/>
        <w:jc w:val="center"/>
        <w:tblLayout w:type="autofit"/>
        <w:tblCellMar>
          <w:top w:w="0" w:type="dxa"/>
          <w:left w:w="108" w:type="dxa"/>
          <w:bottom w:w="0" w:type="dxa"/>
          <w:right w:w="108" w:type="dxa"/>
        </w:tblCellMar>
      </w:tblPr>
      <w:tblGrid>
        <w:gridCol w:w="543"/>
        <w:gridCol w:w="736"/>
        <w:gridCol w:w="4005"/>
        <w:gridCol w:w="2386"/>
        <w:gridCol w:w="426"/>
        <w:gridCol w:w="426"/>
      </w:tblGrid>
      <w:tr>
        <w:tblPrEx>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检查方法及评价考核</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扣分办法</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分</w:t>
            </w:r>
          </w:p>
        </w:tc>
      </w:tr>
      <w:tr>
        <w:tblPrEx>
          <w:tblCellMar>
            <w:top w:w="0" w:type="dxa"/>
            <w:left w:w="108" w:type="dxa"/>
            <w:bottom w:w="0" w:type="dxa"/>
            <w:right w:w="108" w:type="dxa"/>
          </w:tblCellMar>
        </w:tblPrEx>
        <w:trPr>
          <w:trHeight w:val="630" w:hRule="atLeast"/>
          <w:jc w:val="center"/>
        </w:trPr>
        <w:tc>
          <w:tcPr>
            <w:tcW w:w="0" w:type="auto"/>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清扫保洁</w:t>
            </w: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配置</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1、配置足额的管理人员和环卫工人</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未按期规定配置，每少1人扣</w:t>
            </w:r>
            <w:r>
              <w:rPr>
                <w:rFonts w:hint="eastAsia" w:ascii="宋体" w:hAnsi="宋体" w:cs="宋体"/>
                <w:color w:val="auto"/>
                <w:sz w:val="21"/>
                <w:szCs w:val="21"/>
                <w:highlight w:val="none"/>
                <w:lang w:val="en-US" w:eastAsia="zh-CN"/>
              </w:rPr>
              <w:t>0.2分。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both"/>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2、作业人员按规定穿统一服饰上岗</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未按要求执行的，每人每次扣</w:t>
            </w:r>
            <w:r>
              <w:rPr>
                <w:rFonts w:hint="eastAsia" w:ascii="宋体" w:hAnsi="宋体" w:cs="宋体"/>
                <w:color w:val="auto"/>
                <w:sz w:val="21"/>
                <w:szCs w:val="21"/>
                <w:highlight w:val="none"/>
                <w:lang w:val="en-US" w:eastAsia="zh-CN"/>
              </w:rPr>
              <w:t>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3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配置</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3、配置足额的环卫设备</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未按期规定配置，每少1台扣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both"/>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48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4、垃圾收集车、运输车、手推车必须密封作业；车辆无乱停放，定期清洗环卫车辆，保持整洁完好</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无密封设备和封盖不严的，每辆每次扣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分；乱停乱放的或无定期清洗的，每辆车每次扣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1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保洁</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5、每日普扫三次，全天重点保洁</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w:t>
            </w:r>
            <w:r>
              <w:rPr>
                <w:rFonts w:hint="eastAsia" w:ascii="宋体" w:hAnsi="宋体" w:cs="宋体"/>
                <w:color w:val="auto"/>
                <w:sz w:val="21"/>
                <w:szCs w:val="21"/>
                <w:highlight w:val="none"/>
                <w:lang w:val="en-US" w:eastAsia="zh-CN"/>
              </w:rPr>
              <w:t>少1</w:t>
            </w:r>
            <w:r>
              <w:rPr>
                <w:rFonts w:hint="eastAsia" w:ascii="宋体" w:hAnsi="宋体" w:eastAsia="宋体" w:cs="宋体"/>
                <w:color w:val="auto"/>
                <w:sz w:val="21"/>
                <w:szCs w:val="21"/>
                <w:highlight w:val="none"/>
              </w:rPr>
              <w:t>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both"/>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1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6、路面清扫要求达到六净六无标准；路面保洁率达到100％</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每1000平方米多于6片垃圾的，每片扣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eastAsia="zh-CN"/>
              </w:rPr>
              <w:t>确保每条主要道路、背街小巷有人员保洁，建立主要道路、背街小巷人员名单（包含人员名称、联系电话和保洁区域等信息），背街小巷保洁建议按村小组辖区区分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每少一人口</w:t>
            </w:r>
            <w:r>
              <w:rPr>
                <w:rFonts w:hint="eastAsia" w:ascii="宋体" w:hAnsi="宋体" w:cs="宋体"/>
                <w:color w:val="auto"/>
                <w:sz w:val="21"/>
                <w:szCs w:val="21"/>
                <w:highlight w:val="none"/>
                <w:lang w:val="en-US" w:eastAsia="zh-CN"/>
              </w:rPr>
              <w:t>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8、路面没有积水、没有成堆垃圾</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发现有积水或成堆垃圾的，每处每次扣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集处理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9、路面有成堆垃圾未及时清理或漏收</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未及时清理或漏收垃圾的，每处扣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10、垃圾收集专用手推车无乱停乱放</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乱停乱放的，每辆每次扣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both"/>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148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11、垃圾收集点、转运站内外要求干净、整洁；每周开展不少于2次除臭消毒工作，无异味，蚊蝇密度达标</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未达到要求的，每次扣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pStyle w:val="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12、垃圾容器要求无积存过量垃圾</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要按指定地点倾倒垃圾</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发现有积存过量垃圾的，每处扣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color w:val="auto"/>
                <w:highlight w:val="none"/>
                <w:lang w:eastAsia="zh-CN"/>
              </w:rPr>
              <w:t>主要道路的垃圾容器每月清洗不少于</w:t>
            </w:r>
            <w:r>
              <w:rPr>
                <w:rFonts w:hint="eastAsia"/>
                <w:color w:val="auto"/>
                <w:highlight w:val="none"/>
                <w:lang w:val="en-US" w:eastAsia="zh-CN"/>
              </w:rPr>
              <w:t>2次，及时跟换破损和残旧的垃圾容器</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死角</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14、道路内未发现卫生死角及残留痕迹</w:t>
            </w:r>
          </w:p>
        </w:tc>
        <w:tc>
          <w:tcPr>
            <w:tcW w:w="0" w:type="auto"/>
            <w:tcBorders>
              <w:top w:val="single" w:color="000000" w:sz="4" w:space="0"/>
              <w:left w:val="nil"/>
              <w:bottom w:val="single" w:color="000000" w:sz="4" w:space="0"/>
              <w:right w:val="single" w:color="000000" w:sz="4" w:space="0"/>
            </w:tcBorders>
            <w:noWrap w:val="0"/>
            <w:vAlign w:val="center"/>
          </w:tcPr>
          <w:p>
            <w:pPr>
              <w:pStyle w:val="7"/>
              <w:rPr>
                <w:rFonts w:hint="eastAsia"/>
                <w:color w:val="auto"/>
                <w:highlight w:val="none"/>
                <w:lang w:val="en-US" w:eastAsia="zh-CN"/>
              </w:rPr>
            </w:pPr>
            <w:r>
              <w:rPr>
                <w:rFonts w:hint="eastAsia"/>
                <w:color w:val="auto"/>
                <w:highlight w:val="none"/>
                <w:lang w:eastAsia="zh-CN"/>
              </w:rPr>
              <w:t>每发现一处卫生黑点直接扣</w:t>
            </w:r>
            <w:r>
              <w:rPr>
                <w:rFonts w:hint="eastAsia"/>
                <w:color w:val="auto"/>
                <w:highlight w:val="none"/>
                <w:lang w:val="en-US" w:eastAsia="zh-CN"/>
              </w:rPr>
              <w:t>0.2分</w:t>
            </w:r>
          </w:p>
          <w:p>
            <w:pPr>
              <w:pStyle w:val="7"/>
              <w:rPr>
                <w:rFonts w:hint="eastAsia" w:ascii="宋体" w:hAnsi="宋体" w:eastAsia="宋体" w:cs="宋体"/>
                <w:color w:val="auto"/>
                <w:sz w:val="21"/>
                <w:szCs w:val="21"/>
                <w:highlight w:val="none"/>
              </w:rPr>
            </w:pPr>
            <w:r>
              <w:rPr>
                <w:rFonts w:hint="eastAsia"/>
                <w:color w:val="auto"/>
                <w:highlight w:val="none"/>
                <w:lang w:eastAsia="zh-CN"/>
              </w:rPr>
              <w:t>对于监督组要求整改的环卫项目，</w:t>
            </w:r>
            <w:r>
              <w:rPr>
                <w:rFonts w:hint="eastAsia"/>
                <w:color w:val="auto"/>
                <w:highlight w:val="none"/>
                <w:lang w:val="en-US" w:eastAsia="zh-CN"/>
              </w:rPr>
              <w:t>5小时内整改不到位的扣0.2分，不整改的扣0.5分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15、人行道无杂草</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未按要求的，每次每处扣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restart"/>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果皮箱</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16、每天清掏，未造成满溢、外观脏乱</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造成满溢、脏乱的，每处扣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17、果皮箱及垃圾桶摆放端正，无损坏、妥善管理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摆放不端正或损坏，每处每次扣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下水道</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18、沉沙井每月清理一次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排水明渠半年清理一次</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未按期清理的，每个扣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0" w:type="auto"/>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牛皮癣</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清理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方面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、无发现“城市牛皮癣”</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每发现一张（条）“城市牛皮癣”扣</w:t>
            </w:r>
            <w:r>
              <w:rPr>
                <w:rFonts w:hint="eastAsia" w:ascii="Arial" w:hAnsi="Arial" w:cs="Arial"/>
                <w:color w:val="auto"/>
                <w:sz w:val="21"/>
                <w:szCs w:val="21"/>
                <w:highlight w:val="none"/>
                <w:lang w:val="en-US" w:eastAsia="zh-CN"/>
              </w:rPr>
              <w:t>0.2</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不净</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、清除不干净</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清除不干净、有残留物和痕迹的，每处扣0.1分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1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附着无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损伤</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、基底、附着物无损伤</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基底、附着物有损伤的，每处扣0.1分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作业</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、涂刷覆盖作业不规范</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涂刷覆盖作业不规范，与周边基底不协调的，每处扣0.1分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绿化养护</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绿地清洁卫生</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微软雅黑" w:hAnsi="微软雅黑" w:cs="宋体"/>
                <w:color w:val="auto"/>
                <w:highlight w:val="none"/>
              </w:rPr>
              <w:t>未发现垃圾连片（面积≥6cm*6cm）的地方（特别是花生壳、瓜子壳、白色垃圾等）</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w:t>
            </w:r>
            <w:r>
              <w:rPr>
                <w:rFonts w:hint="eastAsia" w:ascii="宋体" w:hAnsi="宋体" w:cs="宋体"/>
                <w:color w:val="auto"/>
                <w:sz w:val="21"/>
                <w:szCs w:val="21"/>
                <w:highlight w:val="none"/>
                <w:lang w:val="en-US" w:eastAsia="zh-CN"/>
              </w:rPr>
              <w:t>清洁</w:t>
            </w:r>
            <w:r>
              <w:rPr>
                <w:rFonts w:hint="eastAsia" w:ascii="宋体" w:hAnsi="宋体" w:eastAsia="宋体" w:cs="宋体"/>
                <w:color w:val="auto"/>
                <w:sz w:val="21"/>
                <w:szCs w:val="21"/>
                <w:highlight w:val="none"/>
              </w:rPr>
              <w:t>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水肥管理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微软雅黑" w:hAnsi="微软雅黑" w:cs="宋体"/>
                <w:color w:val="auto"/>
                <w:highlight w:val="none"/>
              </w:rPr>
              <w:t>在干旱季节，苗木草地应淋足水，每天要淋水两次以上</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有明显缺水现象的绿地（含乔灌木），每10平方米扣</w:t>
            </w:r>
            <w:r>
              <w:rPr>
                <w:rFonts w:hint="eastAsia" w:ascii="微软雅黑" w:hAnsi="微软雅黑" w:cs="宋体"/>
                <w:color w:val="auto"/>
                <w:highlight w:val="none"/>
                <w:lang w:val="en-US" w:eastAsia="zh-CN"/>
              </w:rPr>
              <w:t>0.1</w:t>
            </w:r>
            <w:r>
              <w:rPr>
                <w:rFonts w:hint="eastAsia" w:ascii="微软雅黑" w:hAnsi="微软雅黑" w:cs="宋体"/>
                <w:color w:val="auto"/>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病虫害防治</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微软雅黑" w:hAnsi="微软雅黑" w:cs="宋体"/>
                <w:color w:val="auto"/>
                <w:highlight w:val="none"/>
              </w:rPr>
              <w:t>要做好病虫害防治工作，防止草坪、地被、花坛、乔木、灌木受害</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微软雅黑" w:hAnsi="微软雅黑" w:cs="宋体"/>
                <w:color w:val="auto"/>
                <w:highlight w:val="none"/>
              </w:rPr>
              <w:t>有明显虫害现象，每株或每平方米扣</w:t>
            </w:r>
            <w:r>
              <w:rPr>
                <w:rFonts w:hint="eastAsia" w:ascii="微软雅黑" w:hAnsi="微软雅黑" w:cs="宋体"/>
                <w:color w:val="auto"/>
                <w:highlight w:val="none"/>
                <w:lang w:val="en-US" w:eastAsia="zh-CN"/>
              </w:rPr>
              <w:t>0.1</w:t>
            </w:r>
            <w:r>
              <w:rPr>
                <w:rFonts w:hint="eastAsia" w:ascii="微软雅黑" w:hAnsi="微软雅黑" w:cs="宋体"/>
                <w:color w:val="auto"/>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垃圾清</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运作业</w:t>
            </w:r>
          </w:p>
        </w:tc>
        <w:tc>
          <w:tcPr>
            <w:tcW w:w="0" w:type="auto"/>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污染</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、在垃圾清运过程中，如有垃圾和污水散落在道路上</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造成二次污染的，每次扣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日产</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日清</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、垃圾要求日产日清，在规定的时间完成垃圾清运作业，无积存垃圾</w:t>
            </w:r>
            <w:r>
              <w:rPr>
                <w:rFonts w:hint="eastAsia" w:ascii="宋体" w:hAnsi="宋体" w:cs="宋体"/>
                <w:color w:val="auto"/>
                <w:sz w:val="21"/>
                <w:szCs w:val="21"/>
                <w:highlight w:val="none"/>
                <w:lang w:eastAsia="zh-CN"/>
              </w:rPr>
              <w:t>，保证垃圾清运后垃圾容器周边无垃圾散落。</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发现没完成的，每次扣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备清洗</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rPr>
              <w:t>、压缩车厢、运输车辆需及时清洗</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如未及时清洗或清洗后后仍有异味的，每次扣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车辆行驶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及车容</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rPr>
              <w:t>、运输车辆不按规定的线路行走或车辆外观不整洁的</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both"/>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垃圾转运站</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周边环境</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、垃圾压缩中转站的污水没有按规定进行排放，对环境造成影响的</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时间</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、不迟到、不早退，遵守作业时间；</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1200" w:hRule="atLeast"/>
          <w:jc w:val="center"/>
        </w:trPr>
        <w:tc>
          <w:tcPr>
            <w:tcW w:w="0" w:type="auto"/>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扣分项目</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领导</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巡查</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、“行走东莞”、“洁净城市”等专项行动被上级部门检查发现清扫保洁不到位。</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20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迎检及重大节日保洁</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、迎“创文”、“创卫”等检查及、重大节假日发现清扫保洁不到位。</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8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、无市民或相关部门投诉。</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接到市民或相关部门投诉，每一次扣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督办函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回复</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、市及镇部门发出的督办函的及时回复情况</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逾期未报一宗扣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0" w:type="auto"/>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bl>
    <w:p>
      <w:pPr>
        <w:rPr>
          <w:color w:val="auto"/>
          <w:highlight w:val="none"/>
        </w:rPr>
      </w:pPr>
    </w:p>
    <w:p>
      <w:pPr>
        <w:rPr>
          <w:color w:val="auto"/>
          <w:highlight w:val="none"/>
        </w:rPr>
      </w:pPr>
      <w:bookmarkStart w:id="142" w:name="_Toc28584"/>
      <w:r>
        <w:rPr>
          <w:rFonts w:hint="eastAsia"/>
          <w:color w:val="auto"/>
          <w:highlight w:val="none"/>
          <w:lang w:val="en-US" w:eastAsia="zh-CN"/>
        </w:rPr>
        <w:t>注：本《东莞市东坑镇角社社区考核评分暂行标准》满分100分，扣完为止；若检查分数低于80分（扣分内容过半或以上属于承包方服务范围内责任造成的），每减少1分（不足1分按1分计算），当月管理费下浮1%，根据评分结果确定实际应付款后支付。若检查分数在80分以下连续三次以上的，采购人有权单方面终止合同。</w:t>
      </w:r>
      <w:r>
        <w:rPr>
          <w:rFonts w:hint="eastAsia"/>
          <w:color w:val="auto"/>
          <w:highlight w:val="none"/>
        </w:rPr>
        <w:br w:type="page"/>
      </w:r>
    </w:p>
    <w:p>
      <w:pPr>
        <w:pStyle w:val="3"/>
        <w:numPr>
          <w:ilvl w:val="0"/>
          <w:numId w:val="1"/>
        </w:numPr>
        <w:rPr>
          <w:color w:val="auto"/>
          <w:highlight w:val="none"/>
        </w:rPr>
      </w:pPr>
      <w:r>
        <w:rPr>
          <w:rFonts w:hint="eastAsia"/>
          <w:color w:val="auto"/>
          <w:highlight w:val="none"/>
        </w:rPr>
        <w:t>详细评审</w:t>
      </w:r>
      <w:bookmarkEnd w:id="142"/>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pStyle w:val="24"/>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30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spacing w:after="0" w:line="360" w:lineRule="auto"/>
              <w:ind w:firstLine="0" w:firstLineChars="0"/>
              <w:jc w:val="center"/>
              <w:textAlignment w:val="auto"/>
              <w:rPr>
                <w:rFonts w:asci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0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lang w:val="zh-CN"/>
              </w:rPr>
              <w:t>体系认证</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lang w:val="en-US" w:eastAsia="zh-CN"/>
              </w:rPr>
              <w:t>6</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投标人具有国家认证认可监督管理部门批准设立的认证机构颁发并在有效期内的质量管理体系认证证书、环境管理体系认证证书、职业健康安全管理体系认证证书，每个证书得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分，最高得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cs="宋体"/>
                <w:bCs/>
                <w:color w:val="auto"/>
                <w:szCs w:val="21"/>
                <w:highlight w:val="none"/>
                <w:lang w:val="zh-CN"/>
              </w:rPr>
            </w:pPr>
            <w:r>
              <w:rPr>
                <w:rFonts w:hint="eastAsia" w:ascii="宋体" w:hAnsi="宋体" w:eastAsia="宋体" w:cs="宋体"/>
                <w:bCs/>
                <w:color w:val="auto"/>
                <w:sz w:val="21"/>
                <w:szCs w:val="21"/>
                <w:highlight w:val="none"/>
              </w:rPr>
              <w:t>注：</w:t>
            </w:r>
            <w:r>
              <w:rPr>
                <w:rFonts w:hint="eastAsia" w:ascii="宋体" w:hAnsi="宋体" w:eastAsia="宋体" w:cs="宋体"/>
                <w:bCs/>
                <w:color w:val="auto"/>
                <w:sz w:val="21"/>
                <w:szCs w:val="21"/>
                <w:highlight w:val="none"/>
                <w:lang w:val="en-US" w:eastAsia="zh-CN"/>
              </w:rPr>
              <w:t>须</w:t>
            </w:r>
            <w:r>
              <w:rPr>
                <w:rFonts w:hint="eastAsia" w:ascii="宋体" w:hAnsi="宋体" w:eastAsia="宋体" w:cs="宋体"/>
                <w:bCs/>
                <w:color w:val="auto"/>
                <w:sz w:val="21"/>
                <w:szCs w:val="21"/>
                <w:highlight w:val="none"/>
              </w:rPr>
              <w:t>提供有效证书复印件并加盖投标人公章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否则不得分</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相关业绩</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rPr>
              <w:t>20</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投标人具有同类项目业绩（同类项目指服务内容具有环卫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道路</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保洁</w:t>
            </w:r>
            <w:r>
              <w:rPr>
                <w:rFonts w:hint="eastAsia" w:ascii="宋体" w:hAnsi="宋体" w:eastAsia="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垃圾</w:t>
            </w:r>
            <w:r>
              <w:rPr>
                <w:rFonts w:hint="eastAsia" w:ascii="宋体" w:hAnsi="宋体" w:eastAsia="宋体" w:cs="宋体"/>
                <w:bCs/>
                <w:color w:val="auto"/>
                <w:sz w:val="21"/>
                <w:szCs w:val="21"/>
                <w:highlight w:val="none"/>
                <w:lang w:val="en-US" w:eastAsia="zh-CN"/>
              </w:rPr>
              <w:t>清（转）运或绿化养护类</w:t>
            </w:r>
            <w:r>
              <w:rPr>
                <w:rFonts w:hint="eastAsia" w:ascii="宋体" w:hAnsi="宋体" w:eastAsia="宋体" w:cs="宋体"/>
                <w:bCs/>
                <w:color w:val="auto"/>
                <w:sz w:val="21"/>
                <w:szCs w:val="21"/>
                <w:highlight w:val="none"/>
              </w:rPr>
              <w:t>的服务项目）的，每提供一个合同业绩得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分，本项最高得20分。</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cs="宋体"/>
                <w:bCs/>
                <w:color w:val="auto"/>
                <w:szCs w:val="21"/>
                <w:highlight w:val="none"/>
                <w:lang w:val="zh-CN"/>
              </w:rPr>
            </w:pPr>
            <w:r>
              <w:rPr>
                <w:rFonts w:hint="eastAsia" w:ascii="宋体" w:hAnsi="宋体" w:eastAsia="宋体" w:cs="宋体"/>
                <w:bCs/>
                <w:color w:val="auto"/>
                <w:sz w:val="21"/>
                <w:szCs w:val="21"/>
                <w:highlight w:val="none"/>
              </w:rPr>
              <w:t>注：须提供合同复印件并加盖投标人公章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否则不得分</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eastAsia="宋体" w:cs="宋体"/>
                <w:b w:val="0"/>
                <w:bCs w:val="0"/>
                <w:color w:val="auto"/>
                <w:sz w:val="21"/>
                <w:szCs w:val="21"/>
                <w:highlight w:val="none"/>
              </w:rPr>
              <w:t>服务响应时间</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rPr>
              <w:t>根据投标人提供的服务响应时间承诺进行</w:t>
            </w:r>
            <w:r>
              <w:rPr>
                <w:rFonts w:hint="eastAsia" w:ascii="宋体" w:hAnsi="宋体" w:eastAsia="宋体" w:cs="宋体"/>
                <w:b w:val="0"/>
                <w:bCs w:val="0"/>
                <w:color w:val="auto"/>
                <w:sz w:val="21"/>
                <w:szCs w:val="21"/>
                <w:highlight w:val="none"/>
                <w:lang w:val="en-US" w:eastAsia="zh-CN"/>
              </w:rPr>
              <w:t>评审：</w:t>
            </w:r>
          </w:p>
          <w:p>
            <w:pPr>
              <w:pStyle w:val="24"/>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承诺在接到采购人通知后1小时内到现场</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zh-CN"/>
              </w:rPr>
              <w:t>，得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rPr>
              <w:t>分；</w:t>
            </w:r>
          </w:p>
          <w:p>
            <w:pPr>
              <w:pStyle w:val="24"/>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承诺在接到采购人通知后2小时内到现场</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zh-CN"/>
              </w:rPr>
              <w:t>，得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分；</w:t>
            </w:r>
          </w:p>
          <w:p>
            <w:pPr>
              <w:pStyle w:val="24"/>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承诺在接到采购人通知后3小时内到现场</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zh-CN"/>
              </w:rPr>
              <w:t>，得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rPr>
              <w:t>分；</w:t>
            </w:r>
          </w:p>
          <w:p>
            <w:pPr>
              <w:pStyle w:val="24"/>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en-US" w:eastAsia="zh-CN"/>
              </w:rPr>
              <w:t>未承诺或</w:t>
            </w:r>
            <w:r>
              <w:rPr>
                <w:rFonts w:hint="eastAsia" w:ascii="宋体" w:hAnsi="宋体" w:eastAsia="宋体" w:cs="宋体"/>
                <w:b w:val="0"/>
                <w:bCs w:val="0"/>
                <w:color w:val="auto"/>
                <w:sz w:val="21"/>
                <w:szCs w:val="21"/>
                <w:highlight w:val="none"/>
                <w:lang w:val="zh-CN"/>
              </w:rPr>
              <w:t>承诺在接到采购人通知后超过3小时到现场</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en-US" w:eastAsia="zh-CN"/>
              </w:rPr>
              <w:t>不得分</w:t>
            </w:r>
            <w:r>
              <w:rPr>
                <w:rFonts w:hint="eastAsia" w:ascii="宋体" w:hAnsi="宋体" w:eastAsia="宋体" w:cs="宋体"/>
                <w:b w:val="0"/>
                <w:bCs w:val="0"/>
                <w:color w:val="auto"/>
                <w:sz w:val="21"/>
                <w:szCs w:val="21"/>
                <w:highlight w:val="none"/>
                <w:lang w:val="zh-CN"/>
              </w:rPr>
              <w:t>。</w:t>
            </w:r>
          </w:p>
          <w:p>
            <w:pPr>
              <w:pStyle w:val="24"/>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cs="宋体"/>
                <w:bCs/>
                <w:color w:val="auto"/>
                <w:szCs w:val="21"/>
                <w:highlight w:val="none"/>
                <w:lang w:val="zh-CN"/>
              </w:rPr>
            </w:pPr>
            <w:r>
              <w:rPr>
                <w:rFonts w:hint="eastAsia" w:ascii="宋体" w:hAnsi="宋体" w:eastAsia="宋体" w:cs="宋体"/>
                <w:b w:val="0"/>
                <w:bCs w:val="0"/>
                <w:color w:val="auto"/>
                <w:sz w:val="21"/>
                <w:szCs w:val="21"/>
                <w:highlight w:val="none"/>
                <w:lang w:val="zh-CN"/>
              </w:rPr>
              <w:t>注：</w:t>
            </w:r>
            <w:r>
              <w:rPr>
                <w:rFonts w:hint="eastAsia" w:ascii="宋体" w:hAnsi="宋体" w:eastAsia="宋体" w:cs="宋体"/>
                <w:b w:val="0"/>
                <w:bCs w:val="0"/>
                <w:color w:val="auto"/>
                <w:sz w:val="21"/>
                <w:szCs w:val="21"/>
                <w:highlight w:val="none"/>
                <w:lang w:val="en-US" w:eastAsia="zh-CN"/>
              </w:rPr>
              <w:t>须</w:t>
            </w:r>
            <w:r>
              <w:rPr>
                <w:rFonts w:hint="eastAsia" w:ascii="宋体" w:hAnsi="宋体" w:eastAsia="宋体" w:cs="宋体"/>
                <w:b w:val="0"/>
                <w:bCs w:val="0"/>
                <w:color w:val="auto"/>
                <w:sz w:val="21"/>
                <w:szCs w:val="21"/>
                <w:highlight w:val="none"/>
                <w:lang w:val="zh-CN"/>
              </w:rPr>
              <w:t>提供单独服务承诺书，并加盖投标人公章。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pStyle w:val="24"/>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60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spacing w:after="0" w:line="360" w:lineRule="auto"/>
              <w:ind w:firstLine="0" w:firstLineChars="0"/>
              <w:jc w:val="center"/>
              <w:textAlignment w:val="auto"/>
              <w:rPr>
                <w:rFonts w:asci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服务总体方案</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cs="宋体"/>
                <w:color w:val="auto"/>
                <w:szCs w:val="21"/>
                <w:highlight w:val="none"/>
                <w:lang w:val="en-US"/>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2</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根据各投标人针对本项目作出的项目实施方案（包括但不仅限于对本项目现场实际情况的响应理解、环卫保洁方案等）是否具有针对性、可行性、科学性等进行综合评审：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投标人对本项目的完全理解，且方案完整合理、可行性强，完全满足或优于招标文件要求，得1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投标人对本项目的理解准确，且方案完整、可行性一般，符合招标文件要求，得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投标人对本项目的基本理解，且方案基本完整、可行性较差，基本符合招标文件要求，得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投标人对本项目的基本不理解，提供对应方案较差，得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bCs/>
                <w:color w:val="auto"/>
                <w:szCs w:val="21"/>
                <w:highlight w:val="none"/>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spacing w:after="0" w:line="360" w:lineRule="auto"/>
              <w:ind w:firstLine="0" w:firstLineChars="0"/>
              <w:jc w:val="center"/>
              <w:textAlignment w:val="auto"/>
              <w:rPr>
                <w:rFonts w:asci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0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内部管理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制度方案</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7</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根据投标人提供的内部管理制度方案的合理性、科学性、全面性以及是否适用进行综合评审：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方案完整合理、可行性强，完全满足或优于招标文件要求，得7分；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方案完整、可行性一般，符合招标文件要求，得4分；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方案基本完整、可行性较差，基本符合招标文件要求，得2分。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bCs/>
                <w:color w:val="auto"/>
                <w:szCs w:val="21"/>
                <w:highlight w:val="none"/>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cs="宋体"/>
                <w:color w:val="auto"/>
                <w:sz w:val="21"/>
                <w:szCs w:val="21"/>
                <w:highlight w:val="none"/>
              </w:rPr>
            </w:pPr>
            <w:r>
              <w:rPr>
                <w:rFonts w:hint="eastAsia" w:ascii="宋体" w:hAnsi="宋体" w:eastAsia="宋体" w:cs="宋体"/>
                <w:color w:val="auto"/>
                <w:kern w:val="2"/>
                <w:sz w:val="21"/>
                <w:szCs w:val="21"/>
                <w:highlight w:val="none"/>
              </w:rPr>
              <w:t>安全作业措施方案</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eastAsia="宋体" w:cs="宋体"/>
                <w:color w:val="auto"/>
                <w:sz w:val="21"/>
                <w:szCs w:val="21"/>
                <w:highlight w:val="none"/>
                <w:lang w:val="en-US"/>
              </w:rPr>
            </w:pPr>
            <w:r>
              <w:rPr>
                <w:rFonts w:hint="eastAsia" w:ascii="宋体" w:hAnsi="宋体" w:eastAsia="宋体" w:cs="宋体"/>
                <w:color w:val="auto"/>
                <w:kern w:val="2"/>
                <w:sz w:val="21"/>
                <w:szCs w:val="21"/>
                <w:highlight w:val="none"/>
              </w:rPr>
              <w:t>7</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根据投标人对本项目编制的安全作业措施方案进行综合评审：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方案完整合理、可行性强，完全满足或优于招标文件要求，得7分；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方案完整、可行性一般，符合招标文件要求，得4分；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方案基本完整、可行性较差，基本符合招标文件要求，得2分。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bCs/>
                <w:color w:val="auto"/>
                <w:szCs w:val="21"/>
                <w:highlight w:val="none"/>
                <w:lang w:val="zh-CN"/>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s="宋体"/>
                <w:color w:val="auto"/>
                <w:sz w:val="21"/>
                <w:szCs w:val="21"/>
                <w:highlight w:val="none"/>
              </w:rPr>
            </w:pPr>
            <w:r>
              <w:rPr>
                <w:rFonts w:hint="eastAsia" w:ascii="宋体" w:hAnsi="宋体" w:eastAsia="宋体" w:cs="宋体"/>
                <w:color w:val="auto"/>
                <w:kern w:val="2"/>
                <w:sz w:val="21"/>
                <w:szCs w:val="21"/>
                <w:highlight w:val="none"/>
              </w:rPr>
              <w:t>质量保证措施方案</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s="宋体"/>
                <w:color w:val="auto"/>
                <w:sz w:val="21"/>
                <w:szCs w:val="21"/>
                <w:highlight w:val="none"/>
              </w:rPr>
            </w:pPr>
            <w:r>
              <w:rPr>
                <w:rFonts w:hint="eastAsia" w:ascii="宋体" w:hAnsi="宋体" w:cs="宋体"/>
                <w:color w:val="auto"/>
                <w:kern w:val="2"/>
                <w:sz w:val="21"/>
                <w:szCs w:val="21"/>
                <w:highlight w:val="none"/>
                <w:lang w:val="en-US" w:eastAsia="zh-CN"/>
              </w:rPr>
              <w:t>8</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根据投标人是否能根据本项目要求提供详细的服务质量方案保证目标及分期目标，并提供具体可行、详细的保证措施等进行综合评审：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bCs/>
                <w:color w:val="auto"/>
                <w:szCs w:val="21"/>
                <w:highlight w:val="none"/>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s="宋体"/>
                <w:color w:val="auto"/>
                <w:sz w:val="21"/>
                <w:szCs w:val="21"/>
                <w:highlight w:val="none"/>
              </w:rPr>
            </w:pPr>
            <w:r>
              <w:rPr>
                <w:rFonts w:hint="eastAsia" w:ascii="宋体" w:hAnsi="宋体" w:eastAsia="宋体" w:cs="宋体"/>
                <w:color w:val="auto"/>
                <w:kern w:val="2"/>
                <w:sz w:val="21"/>
                <w:szCs w:val="21"/>
                <w:highlight w:val="none"/>
              </w:rPr>
              <w:t>应急处置</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s="宋体"/>
                <w:color w:val="auto"/>
                <w:sz w:val="21"/>
                <w:szCs w:val="21"/>
                <w:highlight w:val="none"/>
              </w:rPr>
            </w:pPr>
            <w:r>
              <w:rPr>
                <w:rFonts w:hint="eastAsia" w:ascii="宋体" w:hAnsi="宋体" w:eastAsia="宋体" w:cs="宋体"/>
                <w:color w:val="auto"/>
                <w:kern w:val="2"/>
                <w:sz w:val="21"/>
                <w:szCs w:val="21"/>
                <w:highlight w:val="none"/>
              </w:rPr>
              <w:t>7</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根据本项目的特点，针对台风、暴雨等天气影响，重大接待任务，重大节假日或活动等特殊情况制定应急处置方案，包括传达机制、人员和设备调配、责任分工等。应急事件做出的应急方案进行综合评审：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方案完整合理、可行性强，完全满足或优于招标文件要求，得7分；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方案完整、可行性一般，符合招标文件要求，得4分；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方案基本完整、可行性较差，基本符合招标文件要求，得2分；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bCs/>
                <w:color w:val="auto"/>
                <w:szCs w:val="21"/>
                <w:highlight w:val="none"/>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人员投入</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12</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1、根据</w:t>
            </w:r>
            <w:r>
              <w:rPr>
                <w:rFonts w:hint="eastAsia" w:ascii="宋体" w:hAnsi="宋体" w:eastAsia="宋体" w:cs="宋体"/>
                <w:bCs/>
                <w:color w:val="auto"/>
                <w:sz w:val="21"/>
                <w:szCs w:val="21"/>
                <w:highlight w:val="none"/>
                <w:lang w:val="zh-CN"/>
              </w:rPr>
              <w:t>拟投入本项目的项目</w:t>
            </w:r>
            <w:r>
              <w:rPr>
                <w:rFonts w:hint="eastAsia" w:ascii="宋体" w:hAnsi="宋体" w:cs="宋体"/>
                <w:bCs/>
                <w:color w:val="auto"/>
                <w:sz w:val="21"/>
                <w:szCs w:val="21"/>
                <w:highlight w:val="none"/>
                <w:lang w:val="en-US" w:eastAsia="zh-CN"/>
              </w:rPr>
              <w:t>经理</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仅</w:t>
            </w:r>
            <w:r>
              <w:rPr>
                <w:rFonts w:hint="eastAsia" w:ascii="宋体" w:hAnsi="宋体" w:eastAsia="宋体" w:cs="宋体"/>
                <w:bCs/>
                <w:color w:val="auto"/>
                <w:sz w:val="21"/>
                <w:szCs w:val="21"/>
                <w:highlight w:val="none"/>
              </w:rPr>
              <w:t>1人</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进行评审：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①</w:t>
            </w:r>
            <w:r>
              <w:rPr>
                <w:rFonts w:hint="eastAsia" w:ascii="宋体" w:hAnsi="宋体" w:eastAsia="宋体" w:cs="宋体"/>
                <w:bCs/>
                <w:color w:val="auto"/>
                <w:sz w:val="21"/>
                <w:szCs w:val="21"/>
                <w:highlight w:val="none"/>
                <w:lang w:val="zh-CN"/>
              </w:rPr>
              <w:t>具有</w:t>
            </w:r>
            <w:r>
              <w:rPr>
                <w:rFonts w:hint="eastAsia" w:ascii="宋体" w:hAnsi="宋体" w:eastAsia="宋体" w:cs="宋体"/>
                <w:bCs/>
                <w:color w:val="auto"/>
                <w:sz w:val="21"/>
                <w:szCs w:val="21"/>
                <w:highlight w:val="none"/>
                <w:lang w:val="en-US" w:eastAsia="zh-CN"/>
              </w:rPr>
              <w:t>城市环卫工程师（高级）证书的，</w:t>
            </w:r>
            <w:r>
              <w:rPr>
                <w:rFonts w:hint="eastAsia" w:ascii="宋体" w:hAnsi="宋体" w:eastAsia="宋体" w:cs="宋体"/>
                <w:bCs/>
                <w:color w:val="auto"/>
                <w:sz w:val="21"/>
                <w:szCs w:val="21"/>
                <w:highlight w:val="none"/>
                <w:lang w:val="zh-CN"/>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w:t>
            </w:r>
            <w:r>
              <w:rPr>
                <w:rFonts w:hint="eastAsia" w:ascii="宋体" w:hAnsi="宋体" w:eastAsia="宋体" w:cs="宋体"/>
                <w:bCs/>
                <w:color w:val="auto"/>
                <w:sz w:val="21"/>
                <w:szCs w:val="21"/>
                <w:highlight w:val="none"/>
                <w:lang w:val="zh-CN"/>
              </w:rPr>
              <w:t>具有</w:t>
            </w:r>
            <w:r>
              <w:rPr>
                <w:rFonts w:hint="eastAsia" w:ascii="宋体" w:hAnsi="宋体" w:eastAsia="宋体" w:cs="宋体"/>
                <w:bCs/>
                <w:color w:val="auto"/>
                <w:sz w:val="21"/>
                <w:szCs w:val="21"/>
                <w:highlight w:val="none"/>
                <w:lang w:val="en-US" w:eastAsia="zh-CN"/>
              </w:rPr>
              <w:t>安全管理师（高级）证书的，</w:t>
            </w:r>
            <w:r>
              <w:rPr>
                <w:rFonts w:hint="eastAsia" w:ascii="宋体" w:hAnsi="宋体" w:eastAsia="宋体" w:cs="宋体"/>
                <w:bCs/>
                <w:color w:val="auto"/>
                <w:sz w:val="21"/>
                <w:szCs w:val="21"/>
                <w:highlight w:val="none"/>
                <w:lang w:val="zh-CN"/>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r>
              <w:rPr>
                <w:rFonts w:hint="eastAsia" w:ascii="宋体" w:hAnsi="宋体" w:cs="宋体"/>
                <w:bCs/>
                <w:color w:val="auto"/>
                <w:sz w:val="21"/>
                <w:szCs w:val="21"/>
                <w:highlight w:val="none"/>
                <w:lang w:val="zh-CN"/>
              </w:rPr>
              <w:t>；</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②</w:t>
            </w:r>
            <w:r>
              <w:rPr>
                <w:rFonts w:hint="eastAsia" w:ascii="宋体" w:hAnsi="宋体" w:eastAsia="宋体" w:cs="宋体"/>
                <w:bCs/>
                <w:color w:val="auto"/>
                <w:sz w:val="21"/>
                <w:szCs w:val="21"/>
                <w:highlight w:val="none"/>
                <w:lang w:val="zh-CN"/>
              </w:rPr>
              <w:t>具有</w:t>
            </w:r>
            <w:r>
              <w:rPr>
                <w:rFonts w:hint="eastAsia" w:ascii="宋体" w:hAnsi="宋体" w:cs="宋体"/>
                <w:bCs/>
                <w:color w:val="auto"/>
                <w:sz w:val="21"/>
                <w:szCs w:val="21"/>
                <w:highlight w:val="none"/>
                <w:lang w:val="en-US" w:eastAsia="zh-CN"/>
              </w:rPr>
              <w:t>环境类或绿化类</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中</w:t>
            </w:r>
            <w:r>
              <w:rPr>
                <w:rFonts w:hint="eastAsia" w:ascii="宋体" w:hAnsi="宋体" w:eastAsia="宋体" w:cs="宋体"/>
                <w:bCs/>
                <w:color w:val="auto"/>
                <w:sz w:val="21"/>
                <w:szCs w:val="21"/>
                <w:highlight w:val="none"/>
                <w:lang w:val="en-US" w:eastAsia="zh-CN"/>
              </w:rPr>
              <w:t>级</w:t>
            </w:r>
            <w:r>
              <w:rPr>
                <w:rFonts w:hint="eastAsia" w:ascii="宋体" w:hAnsi="宋体" w:cs="宋体"/>
                <w:bCs/>
                <w:color w:val="auto"/>
                <w:sz w:val="21"/>
                <w:szCs w:val="21"/>
                <w:highlight w:val="none"/>
                <w:lang w:val="en-US" w:eastAsia="zh-CN"/>
              </w:rPr>
              <w:t>或以上</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职称</w:t>
            </w:r>
            <w:r>
              <w:rPr>
                <w:rFonts w:hint="eastAsia" w:ascii="宋体" w:hAnsi="宋体" w:eastAsia="宋体" w:cs="宋体"/>
                <w:bCs/>
                <w:color w:val="auto"/>
                <w:sz w:val="21"/>
                <w:szCs w:val="21"/>
                <w:highlight w:val="none"/>
                <w:lang w:val="en-US" w:eastAsia="zh-CN"/>
              </w:rPr>
              <w:t>证书的，</w:t>
            </w:r>
            <w:r>
              <w:rPr>
                <w:rFonts w:hint="eastAsia" w:ascii="宋体" w:hAnsi="宋体" w:eastAsia="宋体" w:cs="宋体"/>
                <w:bCs/>
                <w:color w:val="auto"/>
                <w:sz w:val="21"/>
                <w:szCs w:val="21"/>
                <w:highlight w:val="none"/>
                <w:lang w:val="zh-CN"/>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r>
              <w:rPr>
                <w:rFonts w:hint="eastAsia" w:ascii="宋体" w:hAnsi="宋体" w:cs="宋体"/>
                <w:bCs/>
                <w:color w:val="auto"/>
                <w:sz w:val="21"/>
                <w:szCs w:val="21"/>
                <w:highlight w:val="none"/>
                <w:lang w:val="zh-CN"/>
              </w:rPr>
              <w:t>。</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本项最高得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2、根据</w:t>
            </w:r>
            <w:r>
              <w:rPr>
                <w:rFonts w:hint="eastAsia" w:ascii="宋体" w:hAnsi="宋体" w:eastAsia="宋体" w:cs="宋体"/>
                <w:bCs/>
                <w:color w:val="auto"/>
                <w:sz w:val="21"/>
                <w:szCs w:val="21"/>
                <w:highlight w:val="none"/>
                <w:lang w:val="zh-CN"/>
              </w:rPr>
              <w:t>拟投入本项目的</w:t>
            </w:r>
            <w:r>
              <w:rPr>
                <w:rFonts w:hint="eastAsia" w:ascii="宋体" w:hAnsi="宋体" w:eastAsia="宋体" w:cs="宋体"/>
                <w:bCs/>
                <w:color w:val="auto"/>
                <w:sz w:val="21"/>
                <w:szCs w:val="21"/>
                <w:highlight w:val="none"/>
                <w:lang w:val="en-US" w:eastAsia="zh-CN"/>
              </w:rPr>
              <w:t>技术人员</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项目</w:t>
            </w:r>
            <w:r>
              <w:rPr>
                <w:rFonts w:hint="eastAsia" w:ascii="宋体" w:hAnsi="宋体" w:cs="宋体"/>
                <w:bCs/>
                <w:color w:val="auto"/>
                <w:sz w:val="21"/>
                <w:szCs w:val="21"/>
                <w:highlight w:val="none"/>
                <w:lang w:val="en-US" w:eastAsia="zh-CN"/>
              </w:rPr>
              <w:t>经理</w:t>
            </w:r>
            <w:r>
              <w:rPr>
                <w:rFonts w:hint="eastAsia" w:ascii="宋体" w:hAnsi="宋体" w:eastAsia="宋体" w:cs="宋体"/>
                <w:bCs/>
                <w:color w:val="auto"/>
                <w:sz w:val="21"/>
                <w:szCs w:val="21"/>
                <w:highlight w:val="none"/>
                <w:lang w:val="en-US" w:eastAsia="zh-CN"/>
              </w:rPr>
              <w:t>除外</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进行评审：</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具有</w:t>
            </w:r>
            <w:r>
              <w:rPr>
                <w:rFonts w:hint="eastAsia" w:ascii="宋体" w:hAnsi="宋体" w:eastAsia="宋体" w:cs="宋体"/>
                <w:bCs/>
                <w:color w:val="auto"/>
                <w:sz w:val="21"/>
                <w:szCs w:val="21"/>
                <w:highlight w:val="none"/>
                <w:lang w:val="en-US" w:eastAsia="zh-CN"/>
              </w:rPr>
              <w:t>垃圾分类项目管理师证书的，</w:t>
            </w:r>
            <w:r>
              <w:rPr>
                <w:rFonts w:hint="eastAsia" w:ascii="宋体" w:hAnsi="宋体" w:eastAsia="宋体" w:cs="宋体"/>
                <w:bCs/>
                <w:color w:val="auto"/>
                <w:sz w:val="21"/>
                <w:szCs w:val="21"/>
                <w:highlight w:val="none"/>
                <w:lang w:val="zh-CN"/>
              </w:rPr>
              <w:t>每提供1人得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r>
              <w:rPr>
                <w:rFonts w:hint="eastAsia" w:ascii="宋体" w:hAnsi="宋体" w:eastAsia="宋体" w:cs="宋体"/>
                <w:bCs/>
                <w:color w:val="auto"/>
                <w:sz w:val="21"/>
                <w:szCs w:val="21"/>
                <w:highlight w:val="none"/>
                <w:lang w:val="en-US" w:eastAsia="zh-CN"/>
              </w:rPr>
              <w:t>本项最高得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val="zh-CN"/>
              </w:rPr>
              <w:t>；</w:t>
            </w:r>
          </w:p>
          <w:p>
            <w:pPr>
              <w:keepNext w:val="0"/>
              <w:keepLines w:val="0"/>
              <w:pageBreakBefore w:val="0"/>
              <w:numPr>
                <w:ilvl w:val="0"/>
                <w:numId w:val="0"/>
              </w:numPr>
              <w:kinsoku/>
              <w:wordWrap/>
              <w:overflowPunct/>
              <w:topLinePunct w:val="0"/>
              <w:autoSpaceDE/>
              <w:autoSpaceDN/>
              <w:bidi w:val="0"/>
              <w:spacing w:line="360" w:lineRule="auto"/>
              <w:ind w:left="0" w:leftChars="0" w:firstLine="420" w:firstLineChars="200"/>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sz w:val="21"/>
                <w:szCs w:val="21"/>
                <w:highlight w:val="none"/>
                <w:lang w:val="zh-CN"/>
              </w:rPr>
              <w:t>注：</w:t>
            </w:r>
            <w:r>
              <w:rPr>
                <w:rFonts w:hint="eastAsia" w:ascii="宋体" w:hAnsi="宋体" w:eastAsia="宋体" w:cs="宋体"/>
                <w:bCs/>
                <w:color w:val="auto"/>
                <w:sz w:val="21"/>
                <w:szCs w:val="21"/>
                <w:highlight w:val="none"/>
                <w:lang w:val="zh-CN"/>
              </w:rPr>
              <w:t>（1）以上项目</w:t>
            </w:r>
            <w:r>
              <w:rPr>
                <w:rFonts w:hint="eastAsia" w:ascii="宋体" w:hAnsi="宋体" w:eastAsia="宋体" w:cs="宋体"/>
                <w:bCs/>
                <w:color w:val="auto"/>
                <w:sz w:val="21"/>
                <w:szCs w:val="21"/>
                <w:highlight w:val="none"/>
              </w:rPr>
              <w:t>负责人</w:t>
            </w:r>
            <w:r>
              <w:rPr>
                <w:rFonts w:hint="eastAsia" w:ascii="宋体" w:hAnsi="宋体" w:eastAsia="宋体" w:cs="宋体"/>
                <w:bCs/>
                <w:color w:val="auto"/>
                <w:sz w:val="21"/>
                <w:szCs w:val="21"/>
                <w:highlight w:val="none"/>
                <w:lang w:val="zh-CN"/>
              </w:rPr>
              <w:t>、技术人员的名单不得重复，</w:t>
            </w:r>
            <w:r>
              <w:rPr>
                <w:rFonts w:hint="eastAsia" w:ascii="宋体" w:hAnsi="宋体" w:eastAsia="宋体" w:cs="宋体"/>
                <w:bCs/>
                <w:color w:val="auto"/>
                <w:sz w:val="21"/>
                <w:szCs w:val="21"/>
                <w:highlight w:val="none"/>
              </w:rPr>
              <w:t>不重复计分</w:t>
            </w:r>
            <w:r>
              <w:rPr>
                <w:rFonts w:hint="eastAsia" w:ascii="宋体" w:hAnsi="宋体" w:eastAsia="宋体" w:cs="宋体"/>
                <w:bCs/>
                <w:color w:val="auto"/>
                <w:sz w:val="21"/>
                <w:szCs w:val="21"/>
                <w:highlight w:val="none"/>
                <w:lang w:val="zh-CN"/>
              </w:rPr>
              <w:t>。（2）须提供以上人员有效证书</w:t>
            </w:r>
            <w:r>
              <w:rPr>
                <w:rFonts w:hint="eastAsia" w:ascii="宋体" w:hAnsi="宋体" w:eastAsia="宋体" w:cs="宋体"/>
                <w:bCs/>
                <w:color w:val="auto"/>
                <w:sz w:val="21"/>
                <w:szCs w:val="21"/>
                <w:highlight w:val="none"/>
                <w:lang w:val="en-US" w:eastAsia="zh-CN"/>
              </w:rPr>
              <w:t>复印件</w:t>
            </w:r>
            <w:r>
              <w:rPr>
                <w:rFonts w:hint="eastAsia" w:ascii="宋体" w:hAnsi="宋体" w:eastAsia="宋体" w:cs="宋体"/>
                <w:bCs/>
                <w:color w:val="auto"/>
                <w:sz w:val="21"/>
                <w:szCs w:val="21"/>
                <w:highlight w:val="none"/>
                <w:lang w:val="zh-CN"/>
              </w:rPr>
              <w:t>及</w:t>
            </w: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lang w:val="zh-CN"/>
              </w:rPr>
              <w:t>为其缴纳的近</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个月</w:t>
            </w:r>
            <w:r>
              <w:rPr>
                <w:rFonts w:hint="eastAsia" w:ascii="宋体" w:hAnsi="宋体" w:eastAsia="宋体" w:cs="宋体"/>
                <w:bCs/>
                <w:color w:val="auto"/>
                <w:sz w:val="21"/>
                <w:szCs w:val="21"/>
                <w:highlight w:val="none"/>
                <w:lang w:val="en-US" w:eastAsia="zh-CN"/>
              </w:rPr>
              <w:t>内</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rPr>
              <w:t>不含开标当月</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任意1个月的</w:t>
            </w:r>
            <w:r>
              <w:rPr>
                <w:rFonts w:hint="eastAsia" w:ascii="宋体" w:hAnsi="宋体" w:eastAsia="宋体" w:cs="宋体"/>
                <w:bCs/>
                <w:color w:val="auto"/>
                <w:sz w:val="21"/>
                <w:szCs w:val="21"/>
                <w:highlight w:val="none"/>
                <w:lang w:val="zh-CN"/>
              </w:rPr>
              <w:t>社保证明复印件加盖</w:t>
            </w: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lang w:val="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设备投入</w:t>
            </w:r>
          </w:p>
        </w:tc>
        <w:tc>
          <w:tcPr>
            <w:tcW w:w="7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7</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根据投标人本项目的设备投入方案及投标人各种作业设备日常使用、维护保养的保障程度等进行综合评定：</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方案完整合理、可行性强，完全满足或优于招标文件要求，得7分；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方案完整、可行性一般，符合招标文件要求，得4分；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方案基本完整、可行性较差，基本符合招标文件要求，得2分。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（2）投标人根据以上评分要求提供的投标材料因模糊不清导致评标委员会无法清晰辨认进行评审的，视为无效材料。</w:t>
            </w:r>
          </w:p>
          <w:p>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pStyle w:val="24"/>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1</w:t>
            </w:r>
            <w:r>
              <w:rPr>
                <w:rFonts w:hint="eastAsia" w:asci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投标报价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p>
        </w:tc>
        <w:tc>
          <w:tcPr>
            <w:tcW w:w="5489"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价格分计算方法：满足招标文件要求且投标</w:t>
            </w:r>
            <w:r>
              <w:rPr>
                <w:rFonts w:hint="eastAsia" w:ascii="宋体" w:hAnsi="宋体" w:eastAsia="宋体" w:cs="宋体"/>
                <w:color w:val="auto"/>
                <w:sz w:val="21"/>
                <w:szCs w:val="21"/>
                <w:highlight w:val="none"/>
                <w:lang w:val="en-US" w:eastAsia="zh-CN"/>
              </w:rPr>
              <w:t>报价最低</w:t>
            </w:r>
            <w:r>
              <w:rPr>
                <w:rFonts w:hint="eastAsia" w:ascii="宋体" w:hAnsi="宋体" w:eastAsia="宋体" w:cs="宋体"/>
                <w:color w:val="auto"/>
                <w:sz w:val="21"/>
                <w:szCs w:val="21"/>
                <w:highlight w:val="none"/>
              </w:rPr>
              <w:t>的为评标基准价，其价格分为满分。其他投标人的价格分统一按照下列公式计算：</w:t>
            </w:r>
          </w:p>
          <w:p>
            <w:pPr>
              <w:ind w:firstLine="420" w:firstLineChars="200"/>
              <w:rPr>
                <w:rFonts w:ascii="宋体" w:hAnsi="宋体" w:cs="宋体"/>
                <w:color w:val="auto"/>
                <w:szCs w:val="21"/>
                <w:highlight w:val="none"/>
              </w:rPr>
            </w:pPr>
            <w:r>
              <w:rPr>
                <w:rFonts w:hint="eastAsia" w:ascii="宋体" w:hAnsi="宋体" w:eastAsia="宋体" w:cs="宋体"/>
                <w:color w:val="auto"/>
                <w:sz w:val="21"/>
                <w:szCs w:val="21"/>
                <w:highlight w:val="none"/>
              </w:rPr>
              <w:t>投标报价得分=(投标报价／评标基准价)×价格权值×100</w:t>
            </w:r>
          </w:p>
        </w:tc>
      </w:tr>
    </w:tbl>
    <w:p>
      <w:pPr>
        <w:rPr>
          <w:color w:val="auto"/>
          <w:highlight w:val="none"/>
        </w:rPr>
      </w:pPr>
      <w:r>
        <w:rPr>
          <w:color w:val="auto"/>
          <w:highlight w:val="none"/>
        </w:rPr>
        <w:br w:type="page"/>
      </w:r>
    </w:p>
    <w:p>
      <w:pPr>
        <w:pStyle w:val="3"/>
        <w:numPr>
          <w:ilvl w:val="0"/>
          <w:numId w:val="1"/>
        </w:numPr>
        <w:rPr>
          <w:color w:val="auto"/>
          <w:highlight w:val="none"/>
        </w:rPr>
      </w:pPr>
      <w:bookmarkStart w:id="143" w:name="_Toc32522"/>
      <w:r>
        <w:rPr>
          <w:rFonts w:hint="eastAsia"/>
          <w:color w:val="auto"/>
          <w:highlight w:val="none"/>
        </w:rPr>
        <w:t>合同文本参考格式</w:t>
      </w:r>
      <w:bookmarkEnd w:id="143"/>
    </w:p>
    <w:p>
      <w:pPr>
        <w:jc w:val="center"/>
        <w:outlineLvl w:val="1"/>
        <w:rPr>
          <w:color w:val="auto"/>
          <w:sz w:val="18"/>
          <w:szCs w:val="21"/>
          <w:highlight w:val="none"/>
        </w:rPr>
      </w:pPr>
      <w:bookmarkStart w:id="144" w:name="_Toc1541"/>
      <w:r>
        <w:rPr>
          <w:rFonts w:hint="eastAsia" w:ascii="宋体" w:hAnsi="宋体" w:cs="宋体"/>
          <w:b/>
          <w:bCs/>
          <w:color w:val="auto"/>
          <w:sz w:val="22"/>
          <w:szCs w:val="22"/>
          <w:highlight w:val="none"/>
        </w:rPr>
        <w:t>（本格式编排在招标文件中，供投标人参考，投标时不需填写）</w:t>
      </w:r>
      <w:bookmarkEnd w:id="144"/>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项目的采购结果，按照《中华人民共和国政府采购法》，《中华人民共和国民法典(合同编)》的规定，经双方协商，本着平等互利和诚实信用的原则，一致同意遵守本合同如下。</w:t>
      </w:r>
    </w:p>
    <w:p>
      <w:pPr>
        <w:spacing w:line="360" w:lineRule="auto"/>
        <w:outlineLvl w:val="1"/>
        <w:rPr>
          <w:b/>
          <w:bCs/>
          <w:color w:val="auto"/>
          <w:highlight w:val="none"/>
        </w:rPr>
      </w:pPr>
      <w:bookmarkStart w:id="145" w:name="_Toc864"/>
      <w:r>
        <w:rPr>
          <w:rFonts w:hint="eastAsia"/>
          <w:b/>
          <w:bCs/>
          <w:color w:val="auto"/>
          <w:highlight w:val="none"/>
        </w:rPr>
        <w:t>一、合同金额</w:t>
      </w:r>
      <w:bookmarkEnd w:id="145"/>
    </w:p>
    <w:p>
      <w:pPr>
        <w:spacing w:line="360" w:lineRule="auto"/>
        <w:ind w:firstLine="420" w:firstLineChars="200"/>
        <w:rPr>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pPr>
        <w:spacing w:line="360" w:lineRule="auto"/>
        <w:outlineLvl w:val="1"/>
        <w:rPr>
          <w:b/>
          <w:bCs/>
          <w:color w:val="auto"/>
          <w:highlight w:val="none"/>
        </w:rPr>
      </w:pPr>
      <w:bookmarkStart w:id="146" w:name="_Toc32599"/>
      <w:r>
        <w:rPr>
          <w:rFonts w:hint="eastAsia"/>
          <w:b/>
          <w:bCs/>
          <w:color w:val="auto"/>
          <w:highlight w:val="none"/>
        </w:rPr>
        <w:t>二、服务范围</w:t>
      </w:r>
      <w:bookmarkEnd w:id="146"/>
    </w:p>
    <w:p>
      <w:pPr>
        <w:spacing w:line="360" w:lineRule="auto"/>
        <w:ind w:firstLine="420" w:firstLineChars="200"/>
        <w:rPr>
          <w:color w:val="auto"/>
          <w:highlight w:val="none"/>
        </w:rPr>
      </w:pPr>
      <w:r>
        <w:rPr>
          <w:rFonts w:hint="eastAsia"/>
          <w:color w:val="auto"/>
          <w:highlight w:val="none"/>
        </w:rPr>
        <w:t>甲方聘请乙方提供以下服务：</w:t>
      </w:r>
    </w:p>
    <w:p>
      <w:pPr>
        <w:spacing w:line="360" w:lineRule="auto"/>
        <w:ind w:firstLine="420" w:firstLineChars="200"/>
        <w:rPr>
          <w:color w:val="auto"/>
          <w:highlight w:val="none"/>
        </w:rPr>
      </w:pPr>
      <w:r>
        <w:rPr>
          <w:rFonts w:hint="eastAsia"/>
          <w:color w:val="auto"/>
          <w:highlight w:val="none"/>
        </w:rPr>
        <w:t xml:space="preserve">1.               </w:t>
      </w:r>
    </w:p>
    <w:p>
      <w:pPr>
        <w:spacing w:line="360" w:lineRule="auto"/>
        <w:ind w:firstLine="420" w:firstLineChars="200"/>
        <w:rPr>
          <w:color w:val="auto"/>
          <w:highlight w:val="none"/>
        </w:rPr>
      </w:pPr>
      <w:r>
        <w:rPr>
          <w:rFonts w:hint="eastAsia"/>
          <w:color w:val="auto"/>
          <w:highlight w:val="none"/>
        </w:rPr>
        <w:t xml:space="preserve">2．              </w:t>
      </w:r>
    </w:p>
    <w:p>
      <w:pPr>
        <w:spacing w:line="360" w:lineRule="auto"/>
        <w:outlineLvl w:val="1"/>
        <w:rPr>
          <w:b/>
          <w:bCs/>
          <w:color w:val="auto"/>
          <w:highlight w:val="none"/>
        </w:rPr>
      </w:pPr>
      <w:bookmarkStart w:id="147" w:name="_Toc28304"/>
      <w:r>
        <w:rPr>
          <w:rFonts w:hint="eastAsia"/>
          <w:b/>
          <w:bCs/>
          <w:color w:val="auto"/>
          <w:highlight w:val="none"/>
        </w:rPr>
        <w:t>三、甲方乙方的权利和义务</w:t>
      </w:r>
      <w:bookmarkEnd w:id="147"/>
    </w:p>
    <w:p>
      <w:pPr>
        <w:spacing w:line="360" w:lineRule="auto"/>
        <w:ind w:firstLine="420" w:firstLineChars="200"/>
        <w:rPr>
          <w:color w:val="auto"/>
          <w:highlight w:val="none"/>
        </w:rPr>
      </w:pPr>
      <w:r>
        <w:rPr>
          <w:rFonts w:hint="eastAsia"/>
          <w:color w:val="auto"/>
          <w:highlight w:val="none"/>
        </w:rPr>
        <w:t>甲方的权利和义务：</w:t>
      </w:r>
    </w:p>
    <w:p>
      <w:pPr>
        <w:spacing w:line="360" w:lineRule="auto"/>
        <w:ind w:firstLine="420" w:firstLineChars="200"/>
        <w:rPr>
          <w:color w:val="auto"/>
          <w:highlight w:val="none"/>
        </w:rPr>
      </w:pPr>
      <w:r>
        <w:rPr>
          <w:rFonts w:hint="eastAsia"/>
          <w:color w:val="auto"/>
          <w:highlight w:val="none"/>
        </w:rPr>
        <w:t>乙方的权利和义务：</w:t>
      </w:r>
    </w:p>
    <w:p>
      <w:pPr>
        <w:spacing w:line="360" w:lineRule="auto"/>
        <w:outlineLvl w:val="1"/>
        <w:rPr>
          <w:b/>
          <w:bCs/>
          <w:color w:val="auto"/>
          <w:highlight w:val="none"/>
        </w:rPr>
      </w:pPr>
      <w:bookmarkStart w:id="148" w:name="_Toc31228"/>
      <w:r>
        <w:rPr>
          <w:rFonts w:hint="eastAsia"/>
          <w:b/>
          <w:bCs/>
          <w:color w:val="auto"/>
          <w:highlight w:val="none"/>
        </w:rPr>
        <w:t>四、服务期间（项目完成期限）</w:t>
      </w:r>
      <w:bookmarkEnd w:id="148"/>
    </w:p>
    <w:p>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pPr>
        <w:spacing w:line="360" w:lineRule="auto"/>
        <w:outlineLvl w:val="1"/>
        <w:rPr>
          <w:b/>
          <w:bCs/>
          <w:color w:val="auto"/>
          <w:highlight w:val="none"/>
        </w:rPr>
      </w:pPr>
      <w:bookmarkStart w:id="149" w:name="_Toc1315"/>
      <w:r>
        <w:rPr>
          <w:rFonts w:hint="eastAsia"/>
          <w:b/>
          <w:bCs/>
          <w:color w:val="auto"/>
          <w:highlight w:val="none"/>
        </w:rPr>
        <w:t>五、付款方式</w:t>
      </w:r>
      <w:bookmarkEnd w:id="149"/>
    </w:p>
    <w:p>
      <w:pPr>
        <w:spacing w:line="360" w:lineRule="auto"/>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本合同的付款方式为：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b/>
          <w:bCs/>
          <w:color w:val="auto"/>
          <w:highlight w:val="none"/>
        </w:rPr>
      </w:pPr>
      <w:bookmarkStart w:id="150" w:name="_Toc29016"/>
      <w:r>
        <w:rPr>
          <w:rFonts w:hint="eastAsia"/>
          <w:b/>
          <w:bCs/>
          <w:color w:val="auto"/>
          <w:highlight w:val="none"/>
        </w:rPr>
        <w:t>六、知识产权归属</w:t>
      </w:r>
      <w:bookmarkEnd w:id="150"/>
    </w:p>
    <w:p>
      <w:pPr>
        <w:spacing w:line="360" w:lineRule="auto"/>
        <w:outlineLvl w:val="1"/>
        <w:rPr>
          <w:b/>
          <w:bCs/>
          <w:color w:val="auto"/>
          <w:highlight w:val="none"/>
        </w:rPr>
      </w:pPr>
      <w:bookmarkStart w:id="151" w:name="_Toc491"/>
      <w:r>
        <w:rPr>
          <w:rFonts w:hint="eastAsia"/>
          <w:b/>
          <w:bCs/>
          <w:color w:val="auto"/>
          <w:highlight w:val="none"/>
        </w:rPr>
        <w:t>七、保密</w:t>
      </w:r>
      <w:bookmarkEnd w:id="151"/>
    </w:p>
    <w:p>
      <w:pPr>
        <w:spacing w:line="360" w:lineRule="auto"/>
        <w:outlineLvl w:val="1"/>
        <w:rPr>
          <w:b/>
          <w:bCs/>
          <w:color w:val="auto"/>
          <w:highlight w:val="none"/>
        </w:rPr>
      </w:pPr>
      <w:bookmarkStart w:id="152" w:name="_Toc5642"/>
      <w:r>
        <w:rPr>
          <w:rFonts w:hint="eastAsia"/>
          <w:b/>
          <w:bCs/>
          <w:color w:val="auto"/>
          <w:highlight w:val="none"/>
        </w:rPr>
        <w:t>八、违约责任与赔偿损失</w:t>
      </w:r>
      <w:bookmarkEnd w:id="152"/>
    </w:p>
    <w:p>
      <w:pPr>
        <w:spacing w:line="360" w:lineRule="auto"/>
        <w:ind w:firstLine="420" w:firstLineChars="200"/>
        <w:rPr>
          <w:color w:val="auto"/>
          <w:highlight w:val="none"/>
        </w:rPr>
      </w:pPr>
      <w:r>
        <w:rPr>
          <w:rFonts w:hint="eastAsia"/>
          <w:color w:val="auto"/>
          <w:highlight w:val="none"/>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color w:val="auto"/>
          <w:highlight w:val="none"/>
        </w:rPr>
      </w:pPr>
      <w:r>
        <w:rPr>
          <w:rFonts w:hint="eastAsia"/>
          <w:color w:val="auto"/>
          <w:highlight w:val="none"/>
        </w:rPr>
        <w:t>2.甲方无正当理由拒收接受服务，到期拒付服务款项的，甲方向乙方偿付本合同总的5%的违约金。甲方人逾期付款，则每日按本合同总价的3‰向乙方偿付违约金。</w:t>
      </w:r>
    </w:p>
    <w:p>
      <w:pPr>
        <w:spacing w:line="360" w:lineRule="auto"/>
        <w:ind w:firstLine="420" w:firstLineChars="200"/>
        <w:rPr>
          <w:color w:val="auto"/>
          <w:highlight w:val="none"/>
        </w:rPr>
      </w:pPr>
      <w:r>
        <w:rPr>
          <w:rFonts w:hint="eastAsia"/>
          <w:color w:val="auto"/>
          <w:highlight w:val="none"/>
        </w:rPr>
        <w:t>3.对于因甲方原因导致变更、中止或者终止政府采购合同的，甲方应当依照以下合同约定对供应商受到的损失予以赔偿或者补偿：</w:t>
      </w:r>
    </w:p>
    <w:p>
      <w:pPr>
        <w:spacing w:line="360" w:lineRule="auto"/>
        <w:ind w:firstLine="420" w:firstLineChars="200"/>
        <w:rPr>
          <w:color w:val="auto"/>
          <w:highlight w:val="none"/>
        </w:rPr>
      </w:pPr>
      <w:r>
        <w:rPr>
          <w:rFonts w:hint="eastAsia"/>
          <w:color w:val="auto"/>
          <w:highlight w:val="none"/>
        </w:rPr>
        <w:t>4.其它违约责任按《中华人民共和国民法典(合同编)》处理</w:t>
      </w:r>
    </w:p>
    <w:p>
      <w:pPr>
        <w:spacing w:line="360" w:lineRule="auto"/>
        <w:outlineLvl w:val="1"/>
        <w:rPr>
          <w:b/>
          <w:bCs/>
          <w:color w:val="auto"/>
          <w:highlight w:val="none"/>
        </w:rPr>
      </w:pPr>
      <w:bookmarkStart w:id="153" w:name="_Toc30679"/>
      <w:r>
        <w:rPr>
          <w:rFonts w:hint="eastAsia"/>
          <w:b/>
          <w:bCs/>
          <w:color w:val="auto"/>
          <w:highlight w:val="none"/>
        </w:rPr>
        <w:t>九、争议的解决</w:t>
      </w:r>
      <w:bookmarkEnd w:id="153"/>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合同执行过程中发生的任何争议，如双方不能通过友好协商解决，按相关法律法规处理。</w:t>
      </w:r>
    </w:p>
    <w:p>
      <w:pPr>
        <w:spacing w:line="360" w:lineRule="auto"/>
        <w:outlineLvl w:val="1"/>
        <w:rPr>
          <w:b/>
          <w:bCs/>
          <w:color w:val="auto"/>
          <w:highlight w:val="none"/>
        </w:rPr>
      </w:pPr>
      <w:bookmarkStart w:id="154" w:name="_Toc26856"/>
      <w:r>
        <w:rPr>
          <w:rFonts w:hint="eastAsia"/>
          <w:b/>
          <w:bCs/>
          <w:color w:val="auto"/>
          <w:highlight w:val="none"/>
        </w:rPr>
        <w:t>十、不可抗力</w:t>
      </w:r>
      <w:bookmarkEnd w:id="154"/>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55" w:name="_Toc16247"/>
      <w:r>
        <w:rPr>
          <w:rFonts w:hint="eastAsia"/>
          <w:b/>
          <w:bCs/>
          <w:color w:val="auto"/>
          <w:highlight w:val="none"/>
        </w:rPr>
        <w:t>十一、税费</w:t>
      </w:r>
      <w:bookmarkEnd w:id="155"/>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156" w:name="_Toc14065"/>
      <w:r>
        <w:rPr>
          <w:rFonts w:hint="eastAsia"/>
          <w:b/>
          <w:bCs/>
          <w:color w:val="auto"/>
          <w:highlight w:val="none"/>
        </w:rPr>
        <w:t>十二、其它</w:t>
      </w:r>
      <w:bookmarkEnd w:id="156"/>
    </w:p>
    <w:p>
      <w:pPr>
        <w:spacing w:line="360" w:lineRule="auto"/>
        <w:ind w:firstLine="420" w:firstLineChars="200"/>
        <w:rPr>
          <w:color w:val="auto"/>
          <w:highlight w:val="none"/>
        </w:rPr>
      </w:pPr>
      <w:r>
        <w:rPr>
          <w:rFonts w:hint="eastAsia"/>
          <w:color w:val="auto"/>
          <w:highlight w:val="none"/>
        </w:rPr>
        <w:t>1.本合同所有附件、招标文件、投标文件、中标通知书均为合同的有效组成部分，与本合同具有同等法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157" w:name="_Toc13763"/>
      <w:r>
        <w:rPr>
          <w:rFonts w:hint="eastAsia"/>
          <w:b/>
          <w:bCs/>
          <w:color w:val="auto"/>
          <w:highlight w:val="none"/>
        </w:rPr>
        <w:t>十三、合同生效</w:t>
      </w:r>
      <w:bookmarkEnd w:id="157"/>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spacing w:line="360" w:lineRule="auto"/>
        <w:rPr>
          <w:color w:val="auto"/>
          <w:highlight w:val="none"/>
        </w:rPr>
      </w:pPr>
      <w:r>
        <w:rPr>
          <w:rFonts w:hint="eastAsia"/>
          <w:color w:val="auto"/>
          <w:highlight w:val="none"/>
        </w:rPr>
        <w:t>开 户 行：</w:t>
      </w:r>
    </w:p>
    <w:p>
      <w:pPr>
        <w:spacing w:line="360" w:lineRule="auto"/>
        <w:rPr>
          <w:color w:val="auto"/>
          <w:highlight w:val="none"/>
        </w:rPr>
      </w:pPr>
    </w:p>
    <w:p>
      <w:pPr>
        <w:rPr>
          <w:color w:val="auto"/>
          <w:highlight w:val="none"/>
        </w:rPr>
      </w:pPr>
      <w:r>
        <w:rPr>
          <w:rFonts w:hint="eastAsia"/>
          <w:color w:val="auto"/>
          <w:highlight w:val="none"/>
        </w:rPr>
        <w:br w:type="page"/>
      </w:r>
    </w:p>
    <w:p>
      <w:pPr>
        <w:pStyle w:val="3"/>
        <w:rPr>
          <w:color w:val="auto"/>
          <w:highlight w:val="none"/>
        </w:rPr>
      </w:pPr>
      <w:bookmarkStart w:id="158" w:name="_Toc17794"/>
      <w:r>
        <w:rPr>
          <w:rFonts w:hint="eastAsia"/>
          <w:color w:val="auto"/>
          <w:highlight w:val="none"/>
        </w:rPr>
        <w:t>第六篇 投标文件格式</w:t>
      </w:r>
      <w:bookmarkEnd w:id="158"/>
    </w:p>
    <w:p>
      <w:pPr>
        <w:rPr>
          <w:b/>
          <w:bCs/>
          <w:color w:val="auto"/>
          <w:highlight w:val="none"/>
        </w:rPr>
      </w:pPr>
      <w:r>
        <w:rPr>
          <w:rFonts w:hint="eastAsia"/>
          <w:b/>
          <w:bCs/>
          <w:color w:val="auto"/>
          <w:highlight w:val="none"/>
        </w:rPr>
        <w:t>注意事项：</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8"/>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59" w:name="_Toc32213"/>
      <w:r>
        <w:rPr>
          <w:rFonts w:hint="eastAsia"/>
          <w:b/>
          <w:bCs/>
          <w:color w:val="auto"/>
          <w:highlight w:val="none"/>
        </w:rPr>
        <w:t>（封面格式仅供参考）</w:t>
      </w:r>
      <w:bookmarkEnd w:id="159"/>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60" w:name="_Toc14748"/>
      <w:r>
        <w:rPr>
          <w:rFonts w:ascii="宋体" w:hAnsi="宋体" w:cs="宋体"/>
          <w:b/>
          <w:color w:val="auto"/>
          <w:spacing w:val="10"/>
          <w:kern w:val="0"/>
          <w:sz w:val="38"/>
          <w:szCs w:val="38"/>
          <w:highlight w:val="none"/>
          <w:lang w:val="zh-CN" w:bidi="zh-CN"/>
        </w:rPr>
        <w:t>投标文件封面</w:t>
      </w:r>
      <w:bookmarkEnd w:id="160"/>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1"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61"/>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pPr>
              <w:spacing w:line="360" w:lineRule="auto"/>
              <w:jc w:val="center"/>
              <w:rPr>
                <w:rFonts w:ascii="宋体" w:hAnsi="宋体" w:cs="宋体"/>
                <w:color w:val="auto"/>
                <w:szCs w:val="21"/>
                <w:highlight w:val="none"/>
              </w:rPr>
            </w:pPr>
          </w:p>
        </w:tc>
        <w:tc>
          <w:tcPr>
            <w:tcW w:w="1551" w:type="dxa"/>
            <w:noWrap w:val="0"/>
            <w:vAlign w:val="center"/>
          </w:tcPr>
          <w:p>
            <w:pPr>
              <w:spacing w:line="360" w:lineRule="auto"/>
              <w:jc w:val="center"/>
              <w:rPr>
                <w:rFonts w:ascii="宋体" w:hAnsi="宋体" w:cs="宋体"/>
                <w:color w:val="auto"/>
                <w:szCs w:val="21"/>
                <w:highlight w:val="none"/>
              </w:rPr>
            </w:pPr>
          </w:p>
        </w:tc>
        <w:tc>
          <w:tcPr>
            <w:tcW w:w="3382" w:type="dxa"/>
            <w:noWrap w:val="0"/>
            <w:vAlign w:val="center"/>
          </w:tcPr>
          <w:p>
            <w:pPr>
              <w:spacing w:line="360" w:lineRule="auto"/>
              <w:jc w:val="center"/>
              <w:rPr>
                <w:rFonts w:ascii="宋体" w:hAnsi="宋体" w:cs="宋体"/>
                <w:color w:val="auto"/>
                <w:szCs w:val="21"/>
                <w:highlight w:val="none"/>
              </w:rPr>
            </w:pPr>
          </w:p>
        </w:tc>
        <w:tc>
          <w:tcPr>
            <w:tcW w:w="2452" w:type="dxa"/>
            <w:noWrap w:val="0"/>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pPr>
              <w:spacing w:line="360" w:lineRule="auto"/>
              <w:jc w:val="center"/>
              <w:rPr>
                <w:rFonts w:ascii="宋体" w:hAnsi="宋体" w:cs="宋体"/>
                <w:color w:val="auto"/>
                <w:szCs w:val="21"/>
                <w:highlight w:val="none"/>
              </w:rPr>
            </w:pPr>
          </w:p>
        </w:tc>
        <w:tc>
          <w:tcPr>
            <w:tcW w:w="1551" w:type="dxa"/>
            <w:noWrap w:val="0"/>
            <w:vAlign w:val="center"/>
          </w:tcPr>
          <w:p>
            <w:pPr>
              <w:spacing w:line="360" w:lineRule="auto"/>
              <w:jc w:val="center"/>
              <w:rPr>
                <w:rFonts w:ascii="宋体" w:hAnsi="宋体" w:cs="宋体"/>
                <w:color w:val="auto"/>
                <w:szCs w:val="21"/>
                <w:highlight w:val="none"/>
              </w:rPr>
            </w:pPr>
          </w:p>
        </w:tc>
        <w:tc>
          <w:tcPr>
            <w:tcW w:w="3382" w:type="dxa"/>
            <w:noWrap w:val="0"/>
            <w:vAlign w:val="center"/>
          </w:tcPr>
          <w:p>
            <w:pPr>
              <w:spacing w:line="360" w:lineRule="auto"/>
              <w:jc w:val="center"/>
              <w:rPr>
                <w:rFonts w:ascii="宋体" w:hAnsi="宋体" w:cs="宋体"/>
                <w:color w:val="auto"/>
                <w:szCs w:val="21"/>
                <w:highlight w:val="none"/>
              </w:rPr>
            </w:pPr>
          </w:p>
        </w:tc>
        <w:tc>
          <w:tcPr>
            <w:tcW w:w="2452" w:type="dxa"/>
            <w:noWrap w:val="0"/>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pPr>
              <w:spacing w:line="360" w:lineRule="auto"/>
              <w:jc w:val="center"/>
              <w:rPr>
                <w:rFonts w:ascii="宋体" w:hAnsi="宋体" w:cs="宋体"/>
                <w:color w:val="auto"/>
                <w:szCs w:val="21"/>
                <w:highlight w:val="none"/>
              </w:rPr>
            </w:pPr>
          </w:p>
        </w:tc>
        <w:tc>
          <w:tcPr>
            <w:tcW w:w="1551" w:type="dxa"/>
            <w:noWrap w:val="0"/>
            <w:vAlign w:val="center"/>
          </w:tcPr>
          <w:p>
            <w:pPr>
              <w:spacing w:line="360" w:lineRule="auto"/>
              <w:jc w:val="center"/>
              <w:rPr>
                <w:rFonts w:ascii="宋体" w:hAnsi="宋体" w:cs="宋体"/>
                <w:color w:val="auto"/>
                <w:szCs w:val="21"/>
                <w:highlight w:val="none"/>
              </w:rPr>
            </w:pPr>
          </w:p>
        </w:tc>
        <w:tc>
          <w:tcPr>
            <w:tcW w:w="3382" w:type="dxa"/>
            <w:noWrap w:val="0"/>
            <w:vAlign w:val="center"/>
          </w:tcPr>
          <w:p>
            <w:pPr>
              <w:spacing w:line="360" w:lineRule="auto"/>
              <w:jc w:val="center"/>
              <w:rPr>
                <w:rFonts w:ascii="宋体" w:hAnsi="宋体" w:cs="宋体"/>
                <w:color w:val="auto"/>
                <w:szCs w:val="21"/>
                <w:highlight w:val="none"/>
              </w:rPr>
            </w:pPr>
          </w:p>
        </w:tc>
        <w:tc>
          <w:tcPr>
            <w:tcW w:w="2452" w:type="dxa"/>
            <w:noWrap w:val="0"/>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pPr>
              <w:spacing w:line="360" w:lineRule="auto"/>
              <w:jc w:val="center"/>
              <w:rPr>
                <w:rFonts w:ascii="宋体" w:hAnsi="宋体" w:cs="宋体"/>
                <w:color w:val="auto"/>
                <w:szCs w:val="21"/>
                <w:highlight w:val="none"/>
              </w:rPr>
            </w:pPr>
          </w:p>
        </w:tc>
        <w:tc>
          <w:tcPr>
            <w:tcW w:w="1551" w:type="dxa"/>
            <w:noWrap w:val="0"/>
            <w:vAlign w:val="center"/>
          </w:tcPr>
          <w:p>
            <w:pPr>
              <w:spacing w:line="360" w:lineRule="auto"/>
              <w:jc w:val="center"/>
              <w:rPr>
                <w:rFonts w:ascii="宋体" w:hAnsi="宋体" w:cs="宋体"/>
                <w:color w:val="auto"/>
                <w:szCs w:val="21"/>
                <w:highlight w:val="none"/>
              </w:rPr>
            </w:pPr>
          </w:p>
        </w:tc>
        <w:tc>
          <w:tcPr>
            <w:tcW w:w="3382" w:type="dxa"/>
            <w:noWrap w:val="0"/>
            <w:vAlign w:val="center"/>
          </w:tcPr>
          <w:p>
            <w:pPr>
              <w:spacing w:line="360" w:lineRule="auto"/>
              <w:jc w:val="center"/>
              <w:rPr>
                <w:rFonts w:ascii="宋体" w:hAnsi="宋体" w:cs="宋体"/>
                <w:color w:val="auto"/>
                <w:szCs w:val="21"/>
                <w:highlight w:val="none"/>
              </w:rPr>
            </w:pPr>
          </w:p>
        </w:tc>
        <w:tc>
          <w:tcPr>
            <w:tcW w:w="2452" w:type="dxa"/>
            <w:noWrap w:val="0"/>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pPr>
              <w:spacing w:line="360" w:lineRule="auto"/>
              <w:jc w:val="center"/>
              <w:rPr>
                <w:rFonts w:ascii="宋体" w:hAnsi="宋体" w:cs="宋体"/>
                <w:color w:val="auto"/>
                <w:szCs w:val="21"/>
                <w:highlight w:val="none"/>
              </w:rPr>
            </w:pPr>
          </w:p>
        </w:tc>
        <w:tc>
          <w:tcPr>
            <w:tcW w:w="1551" w:type="dxa"/>
            <w:noWrap w:val="0"/>
            <w:vAlign w:val="center"/>
          </w:tcPr>
          <w:p>
            <w:pPr>
              <w:spacing w:line="360" w:lineRule="auto"/>
              <w:jc w:val="center"/>
              <w:rPr>
                <w:rFonts w:ascii="宋体" w:hAnsi="宋体" w:cs="宋体"/>
                <w:color w:val="auto"/>
                <w:szCs w:val="21"/>
                <w:highlight w:val="none"/>
              </w:rPr>
            </w:pPr>
          </w:p>
        </w:tc>
        <w:tc>
          <w:tcPr>
            <w:tcW w:w="3382" w:type="dxa"/>
            <w:noWrap w:val="0"/>
            <w:vAlign w:val="center"/>
          </w:tcPr>
          <w:p>
            <w:pPr>
              <w:spacing w:line="360" w:lineRule="auto"/>
              <w:jc w:val="center"/>
              <w:rPr>
                <w:rFonts w:ascii="宋体" w:hAnsi="宋体" w:cs="宋体"/>
                <w:color w:val="auto"/>
                <w:szCs w:val="21"/>
                <w:highlight w:val="none"/>
              </w:rPr>
            </w:pPr>
          </w:p>
        </w:tc>
        <w:tc>
          <w:tcPr>
            <w:tcW w:w="2452" w:type="dxa"/>
            <w:noWrap w:val="0"/>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pPr>
              <w:spacing w:line="360" w:lineRule="auto"/>
              <w:jc w:val="center"/>
              <w:rPr>
                <w:rFonts w:ascii="宋体" w:hAnsi="宋体" w:cs="宋体"/>
                <w:color w:val="auto"/>
                <w:szCs w:val="21"/>
                <w:highlight w:val="none"/>
              </w:rPr>
            </w:pPr>
          </w:p>
        </w:tc>
        <w:tc>
          <w:tcPr>
            <w:tcW w:w="1551" w:type="dxa"/>
            <w:noWrap w:val="0"/>
            <w:vAlign w:val="center"/>
          </w:tcPr>
          <w:p>
            <w:pPr>
              <w:spacing w:line="360" w:lineRule="auto"/>
              <w:jc w:val="center"/>
              <w:rPr>
                <w:rFonts w:ascii="宋体" w:hAnsi="宋体" w:cs="宋体"/>
                <w:color w:val="auto"/>
                <w:szCs w:val="21"/>
                <w:highlight w:val="none"/>
              </w:rPr>
            </w:pPr>
          </w:p>
        </w:tc>
        <w:tc>
          <w:tcPr>
            <w:tcW w:w="3382" w:type="dxa"/>
            <w:noWrap w:val="0"/>
            <w:vAlign w:val="center"/>
          </w:tcPr>
          <w:p>
            <w:pPr>
              <w:spacing w:line="360" w:lineRule="auto"/>
              <w:jc w:val="center"/>
              <w:rPr>
                <w:rFonts w:ascii="宋体" w:hAnsi="宋体" w:cs="宋体"/>
                <w:color w:val="auto"/>
                <w:szCs w:val="21"/>
                <w:highlight w:val="none"/>
              </w:rPr>
            </w:pPr>
          </w:p>
        </w:tc>
        <w:tc>
          <w:tcPr>
            <w:tcW w:w="2452" w:type="dxa"/>
            <w:noWrap w:val="0"/>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pPr>
              <w:spacing w:line="360" w:lineRule="auto"/>
              <w:jc w:val="center"/>
              <w:rPr>
                <w:rFonts w:ascii="宋体" w:hAnsi="宋体" w:cs="宋体"/>
                <w:color w:val="auto"/>
                <w:szCs w:val="21"/>
                <w:highlight w:val="none"/>
              </w:rPr>
            </w:pPr>
          </w:p>
        </w:tc>
        <w:tc>
          <w:tcPr>
            <w:tcW w:w="1551" w:type="dxa"/>
            <w:noWrap w:val="0"/>
            <w:vAlign w:val="center"/>
          </w:tcPr>
          <w:p>
            <w:pPr>
              <w:spacing w:line="360" w:lineRule="auto"/>
              <w:jc w:val="center"/>
              <w:rPr>
                <w:rFonts w:ascii="宋体" w:hAnsi="宋体" w:cs="宋体"/>
                <w:color w:val="auto"/>
                <w:szCs w:val="21"/>
                <w:highlight w:val="none"/>
              </w:rPr>
            </w:pPr>
          </w:p>
        </w:tc>
        <w:tc>
          <w:tcPr>
            <w:tcW w:w="3382" w:type="dxa"/>
            <w:noWrap w:val="0"/>
            <w:vAlign w:val="center"/>
          </w:tcPr>
          <w:p>
            <w:pPr>
              <w:spacing w:line="360" w:lineRule="auto"/>
              <w:jc w:val="center"/>
              <w:rPr>
                <w:rFonts w:ascii="宋体" w:hAnsi="宋体" w:cs="宋体"/>
                <w:color w:val="auto"/>
                <w:szCs w:val="21"/>
                <w:highlight w:val="none"/>
              </w:rPr>
            </w:pPr>
          </w:p>
        </w:tc>
        <w:tc>
          <w:tcPr>
            <w:tcW w:w="2452" w:type="dxa"/>
            <w:noWrap w:val="0"/>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pPr>
              <w:spacing w:line="360" w:lineRule="auto"/>
              <w:jc w:val="center"/>
              <w:rPr>
                <w:rFonts w:ascii="宋体" w:hAnsi="宋体" w:cs="宋体"/>
                <w:color w:val="auto"/>
                <w:szCs w:val="21"/>
                <w:highlight w:val="none"/>
              </w:rPr>
            </w:pPr>
          </w:p>
        </w:tc>
        <w:tc>
          <w:tcPr>
            <w:tcW w:w="1551" w:type="dxa"/>
            <w:noWrap w:val="0"/>
            <w:vAlign w:val="center"/>
          </w:tcPr>
          <w:p>
            <w:pPr>
              <w:spacing w:line="360" w:lineRule="auto"/>
              <w:jc w:val="center"/>
              <w:rPr>
                <w:rFonts w:ascii="宋体" w:hAnsi="宋体" w:cs="宋体"/>
                <w:color w:val="auto"/>
                <w:szCs w:val="21"/>
                <w:highlight w:val="none"/>
              </w:rPr>
            </w:pPr>
          </w:p>
        </w:tc>
        <w:tc>
          <w:tcPr>
            <w:tcW w:w="3382" w:type="dxa"/>
            <w:noWrap w:val="0"/>
            <w:vAlign w:val="center"/>
          </w:tcPr>
          <w:p>
            <w:pPr>
              <w:spacing w:line="360" w:lineRule="auto"/>
              <w:jc w:val="center"/>
              <w:rPr>
                <w:rFonts w:ascii="宋体" w:hAnsi="宋体" w:cs="宋体"/>
                <w:color w:val="auto"/>
                <w:szCs w:val="21"/>
                <w:highlight w:val="none"/>
              </w:rPr>
            </w:pPr>
          </w:p>
        </w:tc>
        <w:tc>
          <w:tcPr>
            <w:tcW w:w="2452" w:type="dxa"/>
            <w:noWrap w:val="0"/>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pPr>
              <w:spacing w:line="360" w:lineRule="auto"/>
              <w:jc w:val="center"/>
              <w:rPr>
                <w:rFonts w:ascii="宋体" w:hAnsi="宋体" w:cs="宋体"/>
                <w:color w:val="auto"/>
                <w:szCs w:val="21"/>
                <w:highlight w:val="none"/>
              </w:rPr>
            </w:pPr>
          </w:p>
        </w:tc>
        <w:tc>
          <w:tcPr>
            <w:tcW w:w="1551" w:type="dxa"/>
            <w:noWrap w:val="0"/>
            <w:vAlign w:val="center"/>
          </w:tcPr>
          <w:p>
            <w:pPr>
              <w:spacing w:line="360" w:lineRule="auto"/>
              <w:jc w:val="center"/>
              <w:rPr>
                <w:rFonts w:ascii="宋体" w:hAnsi="宋体" w:cs="宋体"/>
                <w:color w:val="auto"/>
                <w:szCs w:val="21"/>
                <w:highlight w:val="none"/>
              </w:rPr>
            </w:pPr>
          </w:p>
        </w:tc>
        <w:tc>
          <w:tcPr>
            <w:tcW w:w="3382" w:type="dxa"/>
            <w:noWrap w:val="0"/>
            <w:vAlign w:val="center"/>
          </w:tcPr>
          <w:p>
            <w:pPr>
              <w:spacing w:line="360" w:lineRule="auto"/>
              <w:jc w:val="center"/>
              <w:rPr>
                <w:rFonts w:ascii="宋体" w:hAnsi="宋体" w:cs="宋体"/>
                <w:color w:val="auto"/>
                <w:szCs w:val="21"/>
                <w:highlight w:val="none"/>
              </w:rPr>
            </w:pPr>
          </w:p>
        </w:tc>
        <w:tc>
          <w:tcPr>
            <w:tcW w:w="2452" w:type="dxa"/>
            <w:noWrap w:val="0"/>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center"/>
          </w:tcPr>
          <w:p>
            <w:pPr>
              <w:spacing w:line="360" w:lineRule="auto"/>
              <w:jc w:val="center"/>
              <w:rPr>
                <w:rFonts w:ascii="宋体" w:hAnsi="宋体" w:cs="宋体"/>
                <w:color w:val="auto"/>
                <w:szCs w:val="21"/>
                <w:highlight w:val="none"/>
              </w:rPr>
            </w:pPr>
          </w:p>
        </w:tc>
        <w:tc>
          <w:tcPr>
            <w:tcW w:w="1551" w:type="dxa"/>
            <w:noWrap w:val="0"/>
            <w:vAlign w:val="center"/>
          </w:tcPr>
          <w:p>
            <w:pPr>
              <w:spacing w:line="360" w:lineRule="auto"/>
              <w:jc w:val="center"/>
              <w:rPr>
                <w:rFonts w:ascii="宋体" w:hAnsi="宋体" w:cs="宋体"/>
                <w:color w:val="auto"/>
                <w:szCs w:val="21"/>
                <w:highlight w:val="none"/>
              </w:rPr>
            </w:pPr>
          </w:p>
        </w:tc>
        <w:tc>
          <w:tcPr>
            <w:tcW w:w="3382" w:type="dxa"/>
            <w:noWrap w:val="0"/>
            <w:vAlign w:val="center"/>
          </w:tcPr>
          <w:p>
            <w:pPr>
              <w:spacing w:line="360" w:lineRule="auto"/>
              <w:jc w:val="center"/>
              <w:rPr>
                <w:rFonts w:ascii="宋体" w:hAnsi="宋体" w:cs="宋体"/>
                <w:color w:val="auto"/>
                <w:szCs w:val="21"/>
                <w:highlight w:val="none"/>
              </w:rPr>
            </w:pPr>
          </w:p>
        </w:tc>
        <w:tc>
          <w:tcPr>
            <w:tcW w:w="2452" w:type="dxa"/>
            <w:noWrap w:val="0"/>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8"/>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8"/>
        <w:jc w:val="center"/>
        <w:rPr>
          <w:b/>
          <w:color w:val="auto"/>
          <w:sz w:val="12"/>
          <w:highlight w:val="none"/>
        </w:rPr>
      </w:pPr>
      <w:r>
        <w:rPr>
          <w:b/>
          <w:color w:val="auto"/>
          <w:highlight w:val="none"/>
        </w:rPr>
        <w:t>投标函</w:t>
      </w:r>
    </w:p>
    <w:p>
      <w:pPr>
        <w:pStyle w:val="8"/>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2"/>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2"/>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8"/>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8"/>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8"/>
        <w:gridCol w:w="8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20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投标报价</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20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eastAsia="宋体"/>
                <w:color w:val="auto"/>
                <w:highlight w:val="none"/>
                <w:lang w:eastAsia="zh-CN"/>
              </w:rPr>
            </w:pPr>
            <w:r>
              <w:rPr>
                <w:rFonts w:hint="eastAsia"/>
                <w:color w:val="auto"/>
                <w:highlight w:val="none"/>
              </w:rPr>
              <w:t>小写：</w:t>
            </w:r>
          </w:p>
          <w:p>
            <w:pPr>
              <w:spacing w:line="360" w:lineRule="auto"/>
              <w:rPr>
                <w:rFonts w:hint="eastAsia" w:eastAsia="宋体"/>
                <w:color w:val="auto"/>
                <w:highlight w:val="none"/>
                <w:lang w:eastAsia="zh-CN"/>
              </w:rPr>
            </w:pPr>
            <w:r>
              <w:rPr>
                <w:rFonts w:hint="eastAsia"/>
                <w:color w:val="auto"/>
                <w:highlight w:val="none"/>
              </w:rPr>
              <w:t>大写：</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2"/>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pPr>
        <w:pStyle w:val="22"/>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2"/>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8"/>
        <w:rPr>
          <w:b/>
          <w:bCs/>
          <w:color w:val="auto"/>
          <w:highlight w:val="none"/>
          <w:lang w:val="en-US"/>
        </w:rPr>
      </w:pPr>
      <w:r>
        <w:rPr>
          <w:rFonts w:hint="eastAsia"/>
          <w:b/>
          <w:bCs/>
          <w:color w:val="auto"/>
          <w:highlight w:val="none"/>
          <w:lang w:val="en-US"/>
        </w:rPr>
        <w:t>格式四：</w:t>
      </w:r>
    </w:p>
    <w:p>
      <w:pPr>
        <w:pStyle w:val="2"/>
        <w:spacing w:line="360" w:lineRule="auto"/>
        <w:rPr>
          <w:color w:val="auto"/>
          <w:sz w:val="24"/>
          <w:highlight w:val="none"/>
        </w:rPr>
      </w:pPr>
      <w:bookmarkStart w:id="162" w:name="_Toc23039"/>
      <w:r>
        <w:rPr>
          <w:color w:val="auto"/>
          <w:sz w:val="24"/>
          <w:highlight w:val="none"/>
        </w:rPr>
        <w:t>法定代表人证明书</w:t>
      </w:r>
      <w:bookmarkEnd w:id="162"/>
    </w:p>
    <w:p>
      <w:pPr>
        <w:pStyle w:val="8"/>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8"/>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3693"/>
        </w:tabs>
        <w:spacing w:line="242" w:lineRule="exact"/>
        <w:ind w:right="104"/>
        <w:jc w:val="right"/>
        <w:rPr>
          <w:color w:val="auto"/>
          <w:sz w:val="21"/>
          <w:szCs w:val="21"/>
          <w:highlight w:val="none"/>
        </w:rPr>
      </w:pPr>
    </w:p>
    <w:p>
      <w:pPr>
        <w:pStyle w:val="8"/>
        <w:tabs>
          <w:tab w:val="left" w:pos="3693"/>
        </w:tabs>
        <w:spacing w:line="242" w:lineRule="exact"/>
        <w:ind w:right="104"/>
        <w:jc w:val="right"/>
        <w:rPr>
          <w:color w:val="auto"/>
          <w:sz w:val="21"/>
          <w:szCs w:val="21"/>
          <w:highlight w:val="none"/>
        </w:rPr>
      </w:pPr>
    </w:p>
    <w:p>
      <w:pPr>
        <w:pStyle w:val="8"/>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8"/>
        <w:rPr>
          <w:color w:val="auto"/>
          <w:highlight w:val="none"/>
          <w:lang w:val="en-US"/>
        </w:rPr>
      </w:pPr>
    </w:p>
    <w:p>
      <w:pPr>
        <w:rPr>
          <w:color w:val="auto"/>
          <w:highlight w:val="none"/>
        </w:rPr>
      </w:pPr>
    </w:p>
    <w:p>
      <w:pPr>
        <w:pStyle w:val="8"/>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noWrap w:val="0"/>
            <w:vAlign w:val="center"/>
          </w:tcPr>
          <w:p>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noWrap w:val="0"/>
            <w:vAlign w:val="center"/>
          </w:tcPr>
          <w:p>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8"/>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8"/>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8"/>
        <w:tabs>
          <w:tab w:val="left" w:pos="10713"/>
        </w:tabs>
        <w:spacing w:before="0" w:line="360" w:lineRule="auto"/>
        <w:ind w:left="0"/>
        <w:jc w:val="right"/>
        <w:rPr>
          <w:color w:val="auto"/>
          <w:sz w:val="21"/>
          <w:szCs w:val="21"/>
          <w:highlight w:val="none"/>
        </w:rPr>
      </w:pPr>
    </w:p>
    <w:p>
      <w:pPr>
        <w:pStyle w:val="8"/>
        <w:tabs>
          <w:tab w:val="left" w:pos="10713"/>
        </w:tabs>
        <w:spacing w:before="0" w:line="360" w:lineRule="auto"/>
        <w:ind w:left="0"/>
        <w:jc w:val="right"/>
        <w:rPr>
          <w:color w:val="auto"/>
          <w:sz w:val="21"/>
          <w:szCs w:val="21"/>
          <w:highlight w:val="none"/>
        </w:rPr>
      </w:pP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8"/>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noWrap w:val="0"/>
            <w:vAlign w:val="center"/>
          </w:tcPr>
          <w:p>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noWrap w:val="0"/>
            <w:vAlign w:val="center"/>
          </w:tcPr>
          <w:p>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8"/>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noWrap w:val="0"/>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8"/>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8"/>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2、具有良好的商业信誉和健全的财务会计制度：供应商必须具有良好的商业信誉和健全的财务会计制度（提供2020年度</w:t>
      </w:r>
      <w:r>
        <w:rPr>
          <w:rFonts w:hint="eastAsia" w:ascii="宋体" w:hAnsi="宋体"/>
          <w:color w:val="auto"/>
          <w:szCs w:val="21"/>
          <w:highlight w:val="none"/>
          <w:lang w:val="en-US" w:eastAsia="zh-CN"/>
        </w:rPr>
        <w:t>或2021年度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3、履行合同所必须的设备和专业技术能力：填报设备及专业技术能力情况，格式自拟。</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8"/>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8"/>
        <w:jc w:val="center"/>
        <w:rPr>
          <w:b/>
          <w:bCs/>
          <w:color w:val="auto"/>
          <w:highlight w:val="none"/>
          <w:lang w:val="en-US"/>
        </w:rPr>
      </w:pPr>
      <w:r>
        <w:rPr>
          <w:b/>
          <w:bCs/>
          <w:color w:val="auto"/>
          <w:highlight w:val="none"/>
          <w:lang w:val="en-US"/>
        </w:rPr>
        <w:t>投标人业绩情况表</w:t>
      </w:r>
    </w:p>
    <w:p>
      <w:pPr>
        <w:pStyle w:val="8"/>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noWrap w:val="0"/>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noWrap w:val="0"/>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noWrap w:val="0"/>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noWrap w:val="0"/>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noWrap w:val="0"/>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noWrap w:val="0"/>
            <w:vAlign w:val="center"/>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noWrap w:val="0"/>
            <w:vAlign w:val="top"/>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noWrap w:val="0"/>
            <w:vAlign w:val="top"/>
          </w:tcPr>
          <w:p>
            <w:pPr>
              <w:pStyle w:val="23"/>
              <w:spacing w:line="360" w:lineRule="auto"/>
              <w:rPr>
                <w:rFonts w:ascii="宋体" w:hAnsi="宋体" w:cs="宋体"/>
                <w:color w:val="auto"/>
                <w:szCs w:val="21"/>
                <w:highlight w:val="none"/>
              </w:rPr>
            </w:pPr>
          </w:p>
        </w:tc>
        <w:tc>
          <w:tcPr>
            <w:tcW w:w="1553" w:type="pct"/>
            <w:shd w:val="clear" w:color="auto" w:fill="FFFFFF"/>
            <w:noWrap w:val="0"/>
            <w:vAlign w:val="top"/>
          </w:tcPr>
          <w:p>
            <w:pPr>
              <w:pStyle w:val="23"/>
              <w:spacing w:line="360" w:lineRule="auto"/>
              <w:rPr>
                <w:rFonts w:ascii="宋体" w:hAnsi="宋体" w:cs="宋体"/>
                <w:color w:val="auto"/>
                <w:szCs w:val="21"/>
                <w:highlight w:val="none"/>
              </w:rPr>
            </w:pPr>
          </w:p>
        </w:tc>
        <w:tc>
          <w:tcPr>
            <w:tcW w:w="779" w:type="pct"/>
            <w:shd w:val="clear" w:color="auto" w:fill="FFFFFF"/>
            <w:noWrap w:val="0"/>
            <w:vAlign w:val="top"/>
          </w:tcPr>
          <w:p>
            <w:pPr>
              <w:pStyle w:val="23"/>
              <w:spacing w:line="360" w:lineRule="auto"/>
              <w:rPr>
                <w:rFonts w:ascii="宋体" w:hAnsi="宋体" w:cs="宋体"/>
                <w:color w:val="auto"/>
                <w:szCs w:val="21"/>
                <w:highlight w:val="none"/>
              </w:rPr>
            </w:pPr>
          </w:p>
        </w:tc>
        <w:tc>
          <w:tcPr>
            <w:tcW w:w="1001" w:type="pct"/>
            <w:shd w:val="clear" w:color="auto" w:fill="FFFFFF"/>
            <w:noWrap w:val="0"/>
            <w:vAlign w:val="top"/>
          </w:tcPr>
          <w:p>
            <w:pPr>
              <w:pStyle w:val="23"/>
              <w:spacing w:line="360" w:lineRule="auto"/>
              <w:rPr>
                <w:rFonts w:ascii="宋体" w:hAnsi="宋体" w:cs="宋体"/>
                <w:color w:val="auto"/>
                <w:szCs w:val="21"/>
                <w:highlight w:val="none"/>
              </w:rPr>
            </w:pPr>
          </w:p>
        </w:tc>
        <w:tc>
          <w:tcPr>
            <w:tcW w:w="785" w:type="pct"/>
            <w:shd w:val="clear" w:color="auto" w:fill="FFFFFF"/>
            <w:noWrap w:val="0"/>
            <w:vAlign w:val="top"/>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noWrap w:val="0"/>
            <w:vAlign w:val="top"/>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noWrap w:val="0"/>
            <w:vAlign w:val="top"/>
          </w:tcPr>
          <w:p>
            <w:pPr>
              <w:pStyle w:val="23"/>
              <w:spacing w:line="360" w:lineRule="auto"/>
              <w:rPr>
                <w:rFonts w:ascii="宋体" w:hAnsi="宋体" w:cs="宋体"/>
                <w:color w:val="auto"/>
                <w:szCs w:val="21"/>
                <w:highlight w:val="none"/>
              </w:rPr>
            </w:pPr>
          </w:p>
        </w:tc>
        <w:tc>
          <w:tcPr>
            <w:tcW w:w="1553" w:type="pct"/>
            <w:shd w:val="clear" w:color="auto" w:fill="FFFFFF"/>
            <w:noWrap w:val="0"/>
            <w:vAlign w:val="top"/>
          </w:tcPr>
          <w:p>
            <w:pPr>
              <w:pStyle w:val="23"/>
              <w:spacing w:line="360" w:lineRule="auto"/>
              <w:rPr>
                <w:rFonts w:ascii="宋体" w:hAnsi="宋体" w:cs="宋体"/>
                <w:color w:val="auto"/>
                <w:szCs w:val="21"/>
                <w:highlight w:val="none"/>
              </w:rPr>
            </w:pPr>
          </w:p>
        </w:tc>
        <w:tc>
          <w:tcPr>
            <w:tcW w:w="779" w:type="pct"/>
            <w:shd w:val="clear" w:color="auto" w:fill="FFFFFF"/>
            <w:noWrap w:val="0"/>
            <w:vAlign w:val="top"/>
          </w:tcPr>
          <w:p>
            <w:pPr>
              <w:pStyle w:val="23"/>
              <w:spacing w:line="360" w:lineRule="auto"/>
              <w:rPr>
                <w:rFonts w:ascii="宋体" w:hAnsi="宋体" w:cs="宋体"/>
                <w:color w:val="auto"/>
                <w:szCs w:val="21"/>
                <w:highlight w:val="none"/>
              </w:rPr>
            </w:pPr>
          </w:p>
        </w:tc>
        <w:tc>
          <w:tcPr>
            <w:tcW w:w="1001" w:type="pct"/>
            <w:shd w:val="clear" w:color="auto" w:fill="FFFFFF"/>
            <w:noWrap w:val="0"/>
            <w:vAlign w:val="top"/>
          </w:tcPr>
          <w:p>
            <w:pPr>
              <w:pStyle w:val="23"/>
              <w:spacing w:line="360" w:lineRule="auto"/>
              <w:rPr>
                <w:rFonts w:ascii="宋体" w:hAnsi="宋体" w:cs="宋体"/>
                <w:color w:val="auto"/>
                <w:szCs w:val="21"/>
                <w:highlight w:val="none"/>
              </w:rPr>
            </w:pPr>
          </w:p>
        </w:tc>
        <w:tc>
          <w:tcPr>
            <w:tcW w:w="785" w:type="pct"/>
            <w:shd w:val="clear" w:color="auto" w:fill="FFFFFF"/>
            <w:noWrap w:val="0"/>
            <w:vAlign w:val="top"/>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noWrap w:val="0"/>
            <w:vAlign w:val="top"/>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noWrap w:val="0"/>
            <w:vAlign w:val="top"/>
          </w:tcPr>
          <w:p>
            <w:pPr>
              <w:pStyle w:val="23"/>
              <w:spacing w:line="360" w:lineRule="auto"/>
              <w:rPr>
                <w:rFonts w:ascii="宋体" w:hAnsi="宋体" w:cs="宋体"/>
                <w:color w:val="auto"/>
                <w:szCs w:val="21"/>
                <w:highlight w:val="none"/>
              </w:rPr>
            </w:pPr>
          </w:p>
        </w:tc>
        <w:tc>
          <w:tcPr>
            <w:tcW w:w="1553" w:type="pct"/>
            <w:shd w:val="clear" w:color="auto" w:fill="FFFFFF"/>
            <w:noWrap w:val="0"/>
            <w:vAlign w:val="top"/>
          </w:tcPr>
          <w:p>
            <w:pPr>
              <w:pStyle w:val="23"/>
              <w:spacing w:line="360" w:lineRule="auto"/>
              <w:rPr>
                <w:rFonts w:ascii="宋体" w:hAnsi="宋体" w:cs="宋体"/>
                <w:color w:val="auto"/>
                <w:szCs w:val="21"/>
                <w:highlight w:val="none"/>
              </w:rPr>
            </w:pPr>
          </w:p>
        </w:tc>
        <w:tc>
          <w:tcPr>
            <w:tcW w:w="779" w:type="pct"/>
            <w:shd w:val="clear" w:color="auto" w:fill="FFFFFF"/>
            <w:noWrap w:val="0"/>
            <w:vAlign w:val="top"/>
          </w:tcPr>
          <w:p>
            <w:pPr>
              <w:pStyle w:val="23"/>
              <w:spacing w:line="360" w:lineRule="auto"/>
              <w:rPr>
                <w:rFonts w:ascii="宋体" w:hAnsi="宋体" w:cs="宋体"/>
                <w:color w:val="auto"/>
                <w:szCs w:val="21"/>
                <w:highlight w:val="none"/>
              </w:rPr>
            </w:pPr>
          </w:p>
        </w:tc>
        <w:tc>
          <w:tcPr>
            <w:tcW w:w="1001" w:type="pct"/>
            <w:shd w:val="clear" w:color="auto" w:fill="FFFFFF"/>
            <w:noWrap w:val="0"/>
            <w:vAlign w:val="top"/>
          </w:tcPr>
          <w:p>
            <w:pPr>
              <w:pStyle w:val="23"/>
              <w:spacing w:line="360" w:lineRule="auto"/>
              <w:rPr>
                <w:rFonts w:ascii="宋体" w:hAnsi="宋体" w:cs="宋体"/>
                <w:color w:val="auto"/>
                <w:szCs w:val="21"/>
                <w:highlight w:val="none"/>
              </w:rPr>
            </w:pPr>
          </w:p>
        </w:tc>
        <w:tc>
          <w:tcPr>
            <w:tcW w:w="785" w:type="pct"/>
            <w:shd w:val="clear" w:color="auto" w:fill="FFFFFF"/>
            <w:noWrap w:val="0"/>
            <w:vAlign w:val="top"/>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noWrap w:val="0"/>
            <w:vAlign w:val="top"/>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noWrap w:val="0"/>
            <w:vAlign w:val="top"/>
          </w:tcPr>
          <w:p>
            <w:pPr>
              <w:pStyle w:val="23"/>
              <w:spacing w:line="360" w:lineRule="auto"/>
              <w:rPr>
                <w:rFonts w:ascii="宋体" w:hAnsi="宋体" w:cs="宋体"/>
                <w:color w:val="auto"/>
                <w:szCs w:val="21"/>
                <w:highlight w:val="none"/>
              </w:rPr>
            </w:pPr>
          </w:p>
        </w:tc>
        <w:tc>
          <w:tcPr>
            <w:tcW w:w="1553" w:type="pct"/>
            <w:noWrap w:val="0"/>
            <w:vAlign w:val="top"/>
          </w:tcPr>
          <w:p>
            <w:pPr>
              <w:pStyle w:val="23"/>
              <w:spacing w:line="360" w:lineRule="auto"/>
              <w:rPr>
                <w:rFonts w:ascii="宋体" w:hAnsi="宋体" w:cs="宋体"/>
                <w:color w:val="auto"/>
                <w:szCs w:val="21"/>
                <w:highlight w:val="none"/>
              </w:rPr>
            </w:pPr>
          </w:p>
        </w:tc>
        <w:tc>
          <w:tcPr>
            <w:tcW w:w="779" w:type="pct"/>
            <w:noWrap w:val="0"/>
            <w:vAlign w:val="top"/>
          </w:tcPr>
          <w:p>
            <w:pPr>
              <w:pStyle w:val="23"/>
              <w:spacing w:line="360" w:lineRule="auto"/>
              <w:rPr>
                <w:rFonts w:ascii="宋体" w:hAnsi="宋体" w:cs="宋体"/>
                <w:color w:val="auto"/>
                <w:szCs w:val="21"/>
                <w:highlight w:val="none"/>
              </w:rPr>
            </w:pPr>
          </w:p>
        </w:tc>
        <w:tc>
          <w:tcPr>
            <w:tcW w:w="1001" w:type="pct"/>
            <w:noWrap w:val="0"/>
            <w:vAlign w:val="top"/>
          </w:tcPr>
          <w:p>
            <w:pPr>
              <w:pStyle w:val="23"/>
              <w:spacing w:line="360" w:lineRule="auto"/>
              <w:rPr>
                <w:rFonts w:ascii="宋体" w:hAnsi="宋体" w:cs="宋体"/>
                <w:color w:val="auto"/>
                <w:szCs w:val="21"/>
                <w:highlight w:val="none"/>
              </w:rPr>
            </w:pPr>
          </w:p>
        </w:tc>
        <w:tc>
          <w:tcPr>
            <w:tcW w:w="785" w:type="pct"/>
            <w:noWrap w:val="0"/>
            <w:vAlign w:val="top"/>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noWrap w:val="0"/>
            <w:vAlign w:val="top"/>
          </w:tcPr>
          <w:p>
            <w:pPr>
              <w:pStyle w:val="23"/>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noWrap w:val="0"/>
            <w:vAlign w:val="top"/>
          </w:tcPr>
          <w:p>
            <w:pPr>
              <w:pStyle w:val="23"/>
              <w:spacing w:line="360" w:lineRule="auto"/>
              <w:rPr>
                <w:rFonts w:ascii="宋体" w:hAnsi="宋体" w:cs="宋体"/>
                <w:color w:val="auto"/>
                <w:szCs w:val="21"/>
                <w:highlight w:val="none"/>
              </w:rPr>
            </w:pPr>
          </w:p>
        </w:tc>
        <w:tc>
          <w:tcPr>
            <w:tcW w:w="1553" w:type="pct"/>
            <w:noWrap w:val="0"/>
            <w:vAlign w:val="top"/>
          </w:tcPr>
          <w:p>
            <w:pPr>
              <w:pStyle w:val="23"/>
              <w:spacing w:line="360" w:lineRule="auto"/>
              <w:rPr>
                <w:rFonts w:ascii="宋体" w:hAnsi="宋体" w:cs="宋体"/>
                <w:color w:val="auto"/>
                <w:szCs w:val="21"/>
                <w:highlight w:val="none"/>
              </w:rPr>
            </w:pPr>
          </w:p>
        </w:tc>
        <w:tc>
          <w:tcPr>
            <w:tcW w:w="779" w:type="pct"/>
            <w:noWrap w:val="0"/>
            <w:vAlign w:val="top"/>
          </w:tcPr>
          <w:p>
            <w:pPr>
              <w:pStyle w:val="23"/>
              <w:spacing w:line="360" w:lineRule="auto"/>
              <w:rPr>
                <w:rFonts w:ascii="宋体" w:hAnsi="宋体" w:cs="宋体"/>
                <w:color w:val="auto"/>
                <w:szCs w:val="21"/>
                <w:highlight w:val="none"/>
              </w:rPr>
            </w:pPr>
          </w:p>
        </w:tc>
        <w:tc>
          <w:tcPr>
            <w:tcW w:w="1001" w:type="pct"/>
            <w:noWrap w:val="0"/>
            <w:vAlign w:val="top"/>
          </w:tcPr>
          <w:p>
            <w:pPr>
              <w:pStyle w:val="23"/>
              <w:spacing w:line="360" w:lineRule="auto"/>
              <w:rPr>
                <w:rFonts w:ascii="宋体" w:hAnsi="宋体" w:cs="宋体"/>
                <w:color w:val="auto"/>
                <w:szCs w:val="21"/>
                <w:highlight w:val="none"/>
              </w:rPr>
            </w:pPr>
          </w:p>
        </w:tc>
        <w:tc>
          <w:tcPr>
            <w:tcW w:w="785" w:type="pct"/>
            <w:noWrap w:val="0"/>
            <w:vAlign w:val="top"/>
          </w:tcPr>
          <w:p>
            <w:pPr>
              <w:pStyle w:val="23"/>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8"/>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noWrap w:val="0"/>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noWrap w:val="0"/>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noWrap w:val="0"/>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noWrap w:val="0"/>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noWrap w:val="0"/>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noWrap w:val="0"/>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noWrap w:val="0"/>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c>
          <w:tcPr>
            <w:tcW w:w="0" w:type="auto"/>
            <w:noWrap w:val="0"/>
            <w:vAlign w:val="center"/>
          </w:tcPr>
          <w:p>
            <w:pPr>
              <w:pStyle w:val="8"/>
              <w:spacing w:before="0" w:line="360" w:lineRule="auto"/>
              <w:ind w:left="0"/>
              <w:jc w:val="center"/>
              <w:rPr>
                <w:color w:val="auto"/>
                <w:sz w:val="21"/>
                <w:szCs w:val="21"/>
                <w:highlight w:val="none"/>
                <w:lang w:val="en-US"/>
              </w:rPr>
            </w:pPr>
          </w:p>
        </w:tc>
      </w:tr>
    </w:tbl>
    <w:p>
      <w:pPr>
        <w:pStyle w:val="8"/>
        <w:rPr>
          <w:color w:val="auto"/>
          <w:highlight w:val="none"/>
          <w:lang w:val="en-US"/>
        </w:rPr>
      </w:pPr>
    </w:p>
    <w:p>
      <w:pPr>
        <w:rPr>
          <w:color w:val="auto"/>
          <w:highlight w:val="none"/>
        </w:rPr>
      </w:pP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2"/>
        <w:tabs>
          <w:tab w:val="left" w:pos="731"/>
        </w:tabs>
        <w:autoSpaceDE w:val="0"/>
        <w:autoSpaceDN w:val="0"/>
        <w:spacing w:line="360" w:lineRule="auto"/>
        <w:ind w:firstLine="423"/>
        <w:rPr>
          <w:rFonts w:ascii="宋体" w:hAnsi="宋体" w:cs="宋体"/>
          <w:color w:val="auto"/>
          <w:w w:val="101"/>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noWrap w:val="0"/>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noWrap w:val="0"/>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noWrap w:val="0"/>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noWrap w:val="0"/>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noWrap w:val="0"/>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noWrap w:val="0"/>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noWrap w:val="0"/>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noWrap w:val="0"/>
            <w:vAlign w:val="center"/>
          </w:tcPr>
          <w:p>
            <w:pPr>
              <w:pStyle w:val="8"/>
              <w:spacing w:before="0" w:line="360" w:lineRule="auto"/>
              <w:ind w:left="0"/>
              <w:jc w:val="center"/>
              <w:rPr>
                <w:color w:val="auto"/>
                <w:sz w:val="21"/>
                <w:szCs w:val="21"/>
                <w:highlight w:val="none"/>
                <w:lang w:val="en-US"/>
              </w:rPr>
            </w:pPr>
          </w:p>
        </w:tc>
        <w:tc>
          <w:tcPr>
            <w:tcW w:w="814" w:type="dxa"/>
            <w:noWrap w:val="0"/>
            <w:vAlign w:val="center"/>
          </w:tcPr>
          <w:p>
            <w:pPr>
              <w:pStyle w:val="8"/>
              <w:spacing w:before="0" w:line="360" w:lineRule="auto"/>
              <w:ind w:left="0"/>
              <w:jc w:val="center"/>
              <w:rPr>
                <w:color w:val="auto"/>
                <w:sz w:val="21"/>
                <w:szCs w:val="21"/>
                <w:highlight w:val="none"/>
                <w:lang w:val="en-US"/>
              </w:rPr>
            </w:pPr>
          </w:p>
        </w:tc>
        <w:tc>
          <w:tcPr>
            <w:tcW w:w="1900" w:type="dxa"/>
            <w:noWrap w:val="0"/>
            <w:vAlign w:val="center"/>
          </w:tcPr>
          <w:p>
            <w:pPr>
              <w:pStyle w:val="8"/>
              <w:spacing w:before="0" w:line="360" w:lineRule="auto"/>
              <w:ind w:left="0"/>
              <w:jc w:val="center"/>
              <w:rPr>
                <w:color w:val="auto"/>
                <w:sz w:val="21"/>
                <w:szCs w:val="21"/>
                <w:highlight w:val="none"/>
                <w:lang w:val="en-US"/>
              </w:rPr>
            </w:pPr>
          </w:p>
        </w:tc>
        <w:tc>
          <w:tcPr>
            <w:tcW w:w="1900" w:type="dxa"/>
            <w:noWrap w:val="0"/>
            <w:vAlign w:val="center"/>
          </w:tcPr>
          <w:p>
            <w:pPr>
              <w:pStyle w:val="8"/>
              <w:spacing w:before="0" w:line="360" w:lineRule="auto"/>
              <w:ind w:left="0"/>
              <w:jc w:val="center"/>
              <w:rPr>
                <w:color w:val="auto"/>
                <w:sz w:val="21"/>
                <w:szCs w:val="21"/>
                <w:highlight w:val="none"/>
                <w:lang w:val="en-US"/>
              </w:rPr>
            </w:pPr>
          </w:p>
        </w:tc>
        <w:tc>
          <w:tcPr>
            <w:tcW w:w="647" w:type="dxa"/>
            <w:noWrap w:val="0"/>
            <w:vAlign w:val="center"/>
          </w:tcPr>
          <w:p>
            <w:pPr>
              <w:pStyle w:val="8"/>
              <w:spacing w:before="0" w:line="360" w:lineRule="auto"/>
              <w:ind w:left="0"/>
              <w:jc w:val="center"/>
              <w:rPr>
                <w:color w:val="auto"/>
                <w:sz w:val="21"/>
                <w:szCs w:val="21"/>
                <w:highlight w:val="none"/>
                <w:lang w:val="en-US"/>
              </w:rPr>
            </w:pPr>
          </w:p>
        </w:tc>
        <w:tc>
          <w:tcPr>
            <w:tcW w:w="1386" w:type="dxa"/>
            <w:noWrap w:val="0"/>
            <w:vAlign w:val="center"/>
          </w:tcPr>
          <w:p>
            <w:pPr>
              <w:pStyle w:val="8"/>
              <w:spacing w:before="0" w:line="360" w:lineRule="auto"/>
              <w:ind w:left="0"/>
              <w:jc w:val="center"/>
              <w:rPr>
                <w:color w:val="auto"/>
                <w:sz w:val="21"/>
                <w:szCs w:val="21"/>
                <w:highlight w:val="none"/>
                <w:lang w:val="en-US"/>
              </w:rPr>
            </w:pPr>
          </w:p>
        </w:tc>
        <w:tc>
          <w:tcPr>
            <w:tcW w:w="529" w:type="dxa"/>
            <w:noWrap w:val="0"/>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noWrap w:val="0"/>
            <w:vAlign w:val="center"/>
          </w:tcPr>
          <w:p>
            <w:pPr>
              <w:pStyle w:val="8"/>
              <w:spacing w:before="0" w:line="360" w:lineRule="auto"/>
              <w:ind w:left="0"/>
              <w:jc w:val="center"/>
              <w:rPr>
                <w:color w:val="auto"/>
                <w:sz w:val="21"/>
                <w:szCs w:val="21"/>
                <w:highlight w:val="none"/>
                <w:lang w:val="en-US"/>
              </w:rPr>
            </w:pPr>
          </w:p>
        </w:tc>
        <w:tc>
          <w:tcPr>
            <w:tcW w:w="814" w:type="dxa"/>
            <w:noWrap w:val="0"/>
            <w:vAlign w:val="center"/>
          </w:tcPr>
          <w:p>
            <w:pPr>
              <w:pStyle w:val="8"/>
              <w:spacing w:before="0" w:line="360" w:lineRule="auto"/>
              <w:ind w:left="0"/>
              <w:jc w:val="center"/>
              <w:rPr>
                <w:color w:val="auto"/>
                <w:sz w:val="21"/>
                <w:szCs w:val="21"/>
                <w:highlight w:val="none"/>
                <w:lang w:val="en-US"/>
              </w:rPr>
            </w:pPr>
          </w:p>
        </w:tc>
        <w:tc>
          <w:tcPr>
            <w:tcW w:w="1900" w:type="dxa"/>
            <w:noWrap w:val="0"/>
            <w:vAlign w:val="center"/>
          </w:tcPr>
          <w:p>
            <w:pPr>
              <w:pStyle w:val="8"/>
              <w:spacing w:before="0" w:line="360" w:lineRule="auto"/>
              <w:ind w:left="0"/>
              <w:jc w:val="center"/>
              <w:rPr>
                <w:color w:val="auto"/>
                <w:sz w:val="21"/>
                <w:szCs w:val="21"/>
                <w:highlight w:val="none"/>
                <w:lang w:val="en-US"/>
              </w:rPr>
            </w:pPr>
          </w:p>
        </w:tc>
        <w:tc>
          <w:tcPr>
            <w:tcW w:w="1900" w:type="dxa"/>
            <w:noWrap w:val="0"/>
            <w:vAlign w:val="center"/>
          </w:tcPr>
          <w:p>
            <w:pPr>
              <w:pStyle w:val="8"/>
              <w:spacing w:before="0" w:line="360" w:lineRule="auto"/>
              <w:ind w:left="0"/>
              <w:jc w:val="center"/>
              <w:rPr>
                <w:color w:val="auto"/>
                <w:sz w:val="21"/>
                <w:szCs w:val="21"/>
                <w:highlight w:val="none"/>
                <w:lang w:val="en-US"/>
              </w:rPr>
            </w:pPr>
          </w:p>
        </w:tc>
        <w:tc>
          <w:tcPr>
            <w:tcW w:w="647" w:type="dxa"/>
            <w:noWrap w:val="0"/>
            <w:vAlign w:val="center"/>
          </w:tcPr>
          <w:p>
            <w:pPr>
              <w:pStyle w:val="8"/>
              <w:spacing w:before="0" w:line="360" w:lineRule="auto"/>
              <w:ind w:left="0"/>
              <w:jc w:val="center"/>
              <w:rPr>
                <w:color w:val="auto"/>
                <w:sz w:val="21"/>
                <w:szCs w:val="21"/>
                <w:highlight w:val="none"/>
                <w:lang w:val="en-US"/>
              </w:rPr>
            </w:pPr>
          </w:p>
        </w:tc>
        <w:tc>
          <w:tcPr>
            <w:tcW w:w="1386" w:type="dxa"/>
            <w:noWrap w:val="0"/>
            <w:vAlign w:val="center"/>
          </w:tcPr>
          <w:p>
            <w:pPr>
              <w:pStyle w:val="8"/>
              <w:spacing w:before="0" w:line="360" w:lineRule="auto"/>
              <w:ind w:left="0"/>
              <w:jc w:val="center"/>
              <w:rPr>
                <w:color w:val="auto"/>
                <w:sz w:val="21"/>
                <w:szCs w:val="21"/>
                <w:highlight w:val="none"/>
                <w:lang w:val="en-US"/>
              </w:rPr>
            </w:pPr>
          </w:p>
        </w:tc>
        <w:tc>
          <w:tcPr>
            <w:tcW w:w="529" w:type="dxa"/>
            <w:noWrap w:val="0"/>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noWrap w:val="0"/>
            <w:vAlign w:val="center"/>
          </w:tcPr>
          <w:p>
            <w:pPr>
              <w:pStyle w:val="8"/>
              <w:spacing w:before="0" w:line="360" w:lineRule="auto"/>
              <w:ind w:left="0"/>
              <w:jc w:val="center"/>
              <w:rPr>
                <w:color w:val="auto"/>
                <w:sz w:val="21"/>
                <w:szCs w:val="21"/>
                <w:highlight w:val="none"/>
                <w:lang w:val="en-US"/>
              </w:rPr>
            </w:pPr>
          </w:p>
        </w:tc>
        <w:tc>
          <w:tcPr>
            <w:tcW w:w="814" w:type="dxa"/>
            <w:noWrap w:val="0"/>
            <w:vAlign w:val="center"/>
          </w:tcPr>
          <w:p>
            <w:pPr>
              <w:pStyle w:val="8"/>
              <w:spacing w:before="0" w:line="360" w:lineRule="auto"/>
              <w:ind w:left="0"/>
              <w:jc w:val="center"/>
              <w:rPr>
                <w:color w:val="auto"/>
                <w:sz w:val="21"/>
                <w:szCs w:val="21"/>
                <w:highlight w:val="none"/>
                <w:lang w:val="en-US"/>
              </w:rPr>
            </w:pPr>
          </w:p>
        </w:tc>
        <w:tc>
          <w:tcPr>
            <w:tcW w:w="1900" w:type="dxa"/>
            <w:noWrap w:val="0"/>
            <w:vAlign w:val="center"/>
          </w:tcPr>
          <w:p>
            <w:pPr>
              <w:pStyle w:val="8"/>
              <w:spacing w:before="0" w:line="360" w:lineRule="auto"/>
              <w:ind w:left="0"/>
              <w:jc w:val="center"/>
              <w:rPr>
                <w:color w:val="auto"/>
                <w:sz w:val="21"/>
                <w:szCs w:val="21"/>
                <w:highlight w:val="none"/>
                <w:lang w:val="en-US"/>
              </w:rPr>
            </w:pPr>
          </w:p>
        </w:tc>
        <w:tc>
          <w:tcPr>
            <w:tcW w:w="1900" w:type="dxa"/>
            <w:noWrap w:val="0"/>
            <w:vAlign w:val="center"/>
          </w:tcPr>
          <w:p>
            <w:pPr>
              <w:pStyle w:val="8"/>
              <w:spacing w:before="0" w:line="360" w:lineRule="auto"/>
              <w:ind w:left="0"/>
              <w:jc w:val="center"/>
              <w:rPr>
                <w:color w:val="auto"/>
                <w:sz w:val="21"/>
                <w:szCs w:val="21"/>
                <w:highlight w:val="none"/>
                <w:lang w:val="en-US"/>
              </w:rPr>
            </w:pPr>
          </w:p>
        </w:tc>
        <w:tc>
          <w:tcPr>
            <w:tcW w:w="647" w:type="dxa"/>
            <w:noWrap w:val="0"/>
            <w:vAlign w:val="center"/>
          </w:tcPr>
          <w:p>
            <w:pPr>
              <w:pStyle w:val="8"/>
              <w:spacing w:before="0" w:line="360" w:lineRule="auto"/>
              <w:ind w:left="0"/>
              <w:jc w:val="center"/>
              <w:rPr>
                <w:color w:val="auto"/>
                <w:sz w:val="21"/>
                <w:szCs w:val="21"/>
                <w:highlight w:val="none"/>
                <w:lang w:val="en-US"/>
              </w:rPr>
            </w:pPr>
          </w:p>
        </w:tc>
        <w:tc>
          <w:tcPr>
            <w:tcW w:w="1386" w:type="dxa"/>
            <w:noWrap w:val="0"/>
            <w:vAlign w:val="center"/>
          </w:tcPr>
          <w:p>
            <w:pPr>
              <w:pStyle w:val="8"/>
              <w:spacing w:before="0" w:line="360" w:lineRule="auto"/>
              <w:ind w:left="0"/>
              <w:jc w:val="center"/>
              <w:rPr>
                <w:color w:val="auto"/>
                <w:sz w:val="21"/>
                <w:szCs w:val="21"/>
                <w:highlight w:val="none"/>
                <w:lang w:val="en-US"/>
              </w:rPr>
            </w:pPr>
          </w:p>
        </w:tc>
        <w:tc>
          <w:tcPr>
            <w:tcW w:w="529" w:type="dxa"/>
            <w:noWrap w:val="0"/>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noWrap w:val="0"/>
            <w:vAlign w:val="center"/>
          </w:tcPr>
          <w:p>
            <w:pPr>
              <w:pStyle w:val="8"/>
              <w:spacing w:before="0" w:line="360" w:lineRule="auto"/>
              <w:ind w:left="0"/>
              <w:jc w:val="center"/>
              <w:rPr>
                <w:color w:val="auto"/>
                <w:sz w:val="21"/>
                <w:szCs w:val="21"/>
                <w:highlight w:val="none"/>
                <w:lang w:val="en-US"/>
              </w:rPr>
            </w:pPr>
          </w:p>
        </w:tc>
        <w:tc>
          <w:tcPr>
            <w:tcW w:w="814" w:type="dxa"/>
            <w:noWrap w:val="0"/>
            <w:vAlign w:val="center"/>
          </w:tcPr>
          <w:p>
            <w:pPr>
              <w:pStyle w:val="8"/>
              <w:spacing w:before="0" w:line="360" w:lineRule="auto"/>
              <w:ind w:left="0"/>
              <w:jc w:val="center"/>
              <w:rPr>
                <w:color w:val="auto"/>
                <w:sz w:val="21"/>
                <w:szCs w:val="21"/>
                <w:highlight w:val="none"/>
                <w:lang w:val="en-US"/>
              </w:rPr>
            </w:pPr>
          </w:p>
        </w:tc>
        <w:tc>
          <w:tcPr>
            <w:tcW w:w="1900" w:type="dxa"/>
            <w:noWrap w:val="0"/>
            <w:vAlign w:val="center"/>
          </w:tcPr>
          <w:p>
            <w:pPr>
              <w:pStyle w:val="8"/>
              <w:spacing w:before="0" w:line="360" w:lineRule="auto"/>
              <w:ind w:left="0"/>
              <w:jc w:val="center"/>
              <w:rPr>
                <w:color w:val="auto"/>
                <w:sz w:val="21"/>
                <w:szCs w:val="21"/>
                <w:highlight w:val="none"/>
                <w:lang w:val="en-US"/>
              </w:rPr>
            </w:pPr>
          </w:p>
        </w:tc>
        <w:tc>
          <w:tcPr>
            <w:tcW w:w="1900" w:type="dxa"/>
            <w:noWrap w:val="0"/>
            <w:vAlign w:val="center"/>
          </w:tcPr>
          <w:p>
            <w:pPr>
              <w:pStyle w:val="8"/>
              <w:spacing w:before="0" w:line="360" w:lineRule="auto"/>
              <w:ind w:left="0"/>
              <w:jc w:val="center"/>
              <w:rPr>
                <w:color w:val="auto"/>
                <w:sz w:val="21"/>
                <w:szCs w:val="21"/>
                <w:highlight w:val="none"/>
                <w:lang w:val="en-US"/>
              </w:rPr>
            </w:pPr>
          </w:p>
        </w:tc>
        <w:tc>
          <w:tcPr>
            <w:tcW w:w="647" w:type="dxa"/>
            <w:noWrap w:val="0"/>
            <w:vAlign w:val="center"/>
          </w:tcPr>
          <w:p>
            <w:pPr>
              <w:pStyle w:val="8"/>
              <w:spacing w:before="0" w:line="360" w:lineRule="auto"/>
              <w:ind w:left="0"/>
              <w:jc w:val="center"/>
              <w:rPr>
                <w:color w:val="auto"/>
                <w:sz w:val="21"/>
                <w:szCs w:val="21"/>
                <w:highlight w:val="none"/>
                <w:lang w:val="en-US"/>
              </w:rPr>
            </w:pPr>
          </w:p>
        </w:tc>
        <w:tc>
          <w:tcPr>
            <w:tcW w:w="1386" w:type="dxa"/>
            <w:noWrap w:val="0"/>
            <w:vAlign w:val="center"/>
          </w:tcPr>
          <w:p>
            <w:pPr>
              <w:pStyle w:val="8"/>
              <w:spacing w:before="0" w:line="360" w:lineRule="auto"/>
              <w:ind w:left="0"/>
              <w:jc w:val="center"/>
              <w:rPr>
                <w:color w:val="auto"/>
                <w:sz w:val="21"/>
                <w:szCs w:val="21"/>
                <w:highlight w:val="none"/>
                <w:lang w:val="en-US"/>
              </w:rPr>
            </w:pPr>
          </w:p>
        </w:tc>
        <w:tc>
          <w:tcPr>
            <w:tcW w:w="529" w:type="dxa"/>
            <w:noWrap w:val="0"/>
            <w:vAlign w:val="center"/>
          </w:tcPr>
          <w:p>
            <w:pPr>
              <w:pStyle w:val="8"/>
              <w:spacing w:before="0" w:line="360" w:lineRule="auto"/>
              <w:ind w:left="0"/>
              <w:jc w:val="center"/>
              <w:rPr>
                <w:color w:val="auto"/>
                <w:sz w:val="21"/>
                <w:szCs w:val="21"/>
                <w:highlight w:val="none"/>
                <w:lang w:val="en-US"/>
              </w:rPr>
            </w:pPr>
          </w:p>
        </w:tc>
      </w:tr>
    </w:tbl>
    <w:p>
      <w:pPr>
        <w:pStyle w:val="8"/>
        <w:rPr>
          <w:color w:val="auto"/>
          <w:sz w:val="21"/>
          <w:szCs w:val="21"/>
          <w:highlight w:val="none"/>
          <w:lang w:val="en-US"/>
        </w:rPr>
      </w:pPr>
    </w:p>
    <w:p>
      <w:pPr>
        <w:rPr>
          <w:color w:val="auto"/>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8"/>
        <w:autoSpaceDE w:val="0"/>
        <w:autoSpaceDN w:val="0"/>
        <w:spacing w:before="0" w:line="360" w:lineRule="auto"/>
        <w:ind w:left="0" w:firstLine="420" w:firstLineChars="200"/>
        <w:rPr>
          <w:color w:val="auto"/>
          <w:sz w:val="21"/>
          <w:szCs w:val="21"/>
          <w:highlight w:val="none"/>
          <w:lang w:val="en-US"/>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8"/>
        <w:spacing w:before="8"/>
        <w:rPr>
          <w:color w:val="auto"/>
          <w:sz w:val="13"/>
          <w:highlight w:val="none"/>
        </w:rPr>
      </w:pPr>
    </w:p>
    <w:p>
      <w:pPr>
        <w:pStyle w:val="2"/>
        <w:rPr>
          <w:color w:val="auto"/>
          <w:highlight w:val="none"/>
        </w:rPr>
      </w:pPr>
      <w:bookmarkStart w:id="163" w:name="_Toc20098"/>
      <w:r>
        <w:rPr>
          <w:color w:val="auto"/>
          <w:highlight w:val="none"/>
        </w:rPr>
        <w:t>履约进度计划表</w:t>
      </w:r>
      <w:bookmarkEnd w:id="163"/>
    </w:p>
    <w:p>
      <w:pPr>
        <w:pStyle w:val="8"/>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noWrap w:val="0"/>
            <w:vAlign w:val="top"/>
          </w:tcPr>
          <w:p>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noWrap w:val="0"/>
            <w:vAlign w:val="top"/>
          </w:tcPr>
          <w:p>
            <w:pPr>
              <w:pStyle w:val="23"/>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noWrap w:val="0"/>
            <w:vAlign w:val="top"/>
          </w:tcPr>
          <w:p>
            <w:pPr>
              <w:pStyle w:val="23"/>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noWrap w:val="0"/>
            <w:vAlign w:val="top"/>
          </w:tcPr>
          <w:p>
            <w:pPr>
              <w:pStyle w:val="23"/>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noWrap w:val="0"/>
            <w:vAlign w:val="top"/>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noWrap w:val="0"/>
            <w:vAlign w:val="top"/>
          </w:tcPr>
          <w:p>
            <w:pPr>
              <w:pStyle w:val="23"/>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noWrap w:val="0"/>
            <w:vAlign w:val="top"/>
          </w:tcPr>
          <w:p>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noWrap w:val="0"/>
            <w:vAlign w:val="top"/>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noWrap w:val="0"/>
            <w:vAlign w:val="top"/>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noWrap w:val="0"/>
            <w:vAlign w:val="top"/>
          </w:tcPr>
          <w:p>
            <w:pPr>
              <w:pStyle w:val="23"/>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noWrap w:val="0"/>
            <w:vAlign w:val="top"/>
          </w:tcPr>
          <w:p>
            <w:pPr>
              <w:pStyle w:val="23"/>
              <w:spacing w:line="360" w:lineRule="auto"/>
              <w:rPr>
                <w:rFonts w:ascii="宋体" w:hAnsi="宋体" w:cs="宋体"/>
                <w:color w:val="auto"/>
                <w:szCs w:val="21"/>
                <w:highlight w:val="none"/>
              </w:rPr>
            </w:pPr>
          </w:p>
        </w:tc>
        <w:tc>
          <w:tcPr>
            <w:tcW w:w="1354" w:type="pct"/>
            <w:shd w:val="clear" w:color="auto" w:fill="FFFFFF"/>
            <w:noWrap w:val="0"/>
            <w:vAlign w:val="top"/>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noWrap w:val="0"/>
            <w:vAlign w:val="top"/>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noWrap w:val="0"/>
            <w:vAlign w:val="top"/>
          </w:tcPr>
          <w:p>
            <w:pPr>
              <w:pStyle w:val="23"/>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noWrap w:val="0"/>
            <w:vAlign w:val="top"/>
          </w:tcPr>
          <w:p>
            <w:pPr>
              <w:pStyle w:val="23"/>
              <w:spacing w:line="360" w:lineRule="auto"/>
              <w:rPr>
                <w:rFonts w:ascii="宋体" w:hAnsi="宋体" w:cs="宋体"/>
                <w:color w:val="auto"/>
                <w:szCs w:val="21"/>
                <w:highlight w:val="none"/>
              </w:rPr>
            </w:pPr>
          </w:p>
        </w:tc>
        <w:tc>
          <w:tcPr>
            <w:tcW w:w="1354" w:type="pct"/>
            <w:shd w:val="clear" w:color="auto" w:fill="FFFFFF"/>
            <w:noWrap w:val="0"/>
            <w:vAlign w:val="top"/>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noWrap w:val="0"/>
            <w:vAlign w:val="top"/>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noWrap w:val="0"/>
            <w:vAlign w:val="top"/>
          </w:tcPr>
          <w:p>
            <w:pPr>
              <w:pStyle w:val="23"/>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noWrap w:val="0"/>
            <w:vAlign w:val="top"/>
          </w:tcPr>
          <w:p>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noWrap w:val="0"/>
            <w:vAlign w:val="top"/>
          </w:tcPr>
          <w:p>
            <w:pPr>
              <w:pStyle w:val="23"/>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64" w:name="_Toc2912"/>
      <w:r>
        <w:rPr>
          <w:rFonts w:hint="eastAsia"/>
          <w:b/>
          <w:bCs/>
          <w:color w:val="auto"/>
          <w:sz w:val="24"/>
          <w:szCs w:val="32"/>
          <w:highlight w:val="none"/>
        </w:rPr>
        <w:t>格式十四：</w:t>
      </w:r>
      <w:bookmarkEnd w:id="164"/>
    </w:p>
    <w:p>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8"/>
        <w:jc w:val="center"/>
        <w:rPr>
          <w:b/>
          <w:bCs/>
          <w:color w:val="auto"/>
          <w:highlight w:val="none"/>
        </w:rPr>
      </w:pPr>
      <w:r>
        <w:rPr>
          <w:b/>
          <w:bCs/>
          <w:color w:val="auto"/>
          <w:highlight w:val="none"/>
        </w:rPr>
        <w:t>各类证明材料</w:t>
      </w:r>
    </w:p>
    <w:p>
      <w:pPr>
        <w:pStyle w:val="22"/>
        <w:tabs>
          <w:tab w:val="left" w:pos="673"/>
        </w:tabs>
        <w:spacing w:line="360" w:lineRule="auto"/>
        <w:ind w:firstLine="0" w:firstLineChars="0"/>
        <w:outlineLvl w:val="1"/>
        <w:rPr>
          <w:rFonts w:ascii="宋体" w:hAnsi="宋体" w:cs="宋体"/>
          <w:color w:val="auto"/>
          <w:szCs w:val="21"/>
          <w:highlight w:val="none"/>
        </w:rPr>
      </w:pPr>
      <w:bookmarkStart w:id="165" w:name="_Toc14919"/>
      <w:r>
        <w:rPr>
          <w:rFonts w:hint="eastAsia" w:ascii="宋体" w:hAnsi="宋体" w:cs="宋体"/>
          <w:color w:val="auto"/>
          <w:szCs w:val="21"/>
          <w:highlight w:val="none"/>
        </w:rPr>
        <w:t>1、招标文件要求提供的其他资料。</w:t>
      </w:r>
      <w:bookmarkEnd w:id="165"/>
    </w:p>
    <w:p>
      <w:pPr>
        <w:pStyle w:val="22"/>
        <w:tabs>
          <w:tab w:val="left" w:pos="673"/>
        </w:tabs>
        <w:spacing w:line="360" w:lineRule="auto"/>
        <w:ind w:firstLine="0" w:firstLineChars="0"/>
        <w:outlineLvl w:val="1"/>
        <w:rPr>
          <w:rFonts w:ascii="宋体" w:hAnsi="宋体" w:cs="宋体"/>
          <w:color w:val="auto"/>
          <w:szCs w:val="21"/>
          <w:highlight w:val="none"/>
        </w:rPr>
      </w:pPr>
      <w:bookmarkStart w:id="166" w:name="_Toc7938"/>
      <w:r>
        <w:rPr>
          <w:rFonts w:hint="eastAsia" w:ascii="宋体" w:hAnsi="宋体" w:cs="宋体"/>
          <w:color w:val="auto"/>
          <w:szCs w:val="21"/>
          <w:highlight w:val="none"/>
        </w:rPr>
        <w:t>2、投标人认为需提供的其他资料。</w:t>
      </w:r>
      <w:bookmarkEnd w:id="166"/>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2"/>
        <w:tabs>
          <w:tab w:val="left" w:pos="673"/>
        </w:tabs>
        <w:spacing w:line="360" w:lineRule="auto"/>
        <w:ind w:firstLine="0" w:firstLineChars="0"/>
        <w:outlineLvl w:val="1"/>
        <w:rPr>
          <w:rFonts w:ascii="宋体" w:hAnsi="宋体" w:cs="宋体"/>
          <w:b/>
          <w:bCs/>
          <w:color w:val="auto"/>
          <w:sz w:val="24"/>
          <w:highlight w:val="none"/>
        </w:rPr>
      </w:pPr>
      <w:bookmarkStart w:id="167" w:name="_Toc30382"/>
      <w:r>
        <w:rPr>
          <w:rFonts w:hint="eastAsia" w:ascii="宋体" w:hAnsi="宋体" w:cs="宋体"/>
          <w:b/>
          <w:bCs/>
          <w:color w:val="auto"/>
          <w:sz w:val="24"/>
          <w:highlight w:val="none"/>
        </w:rPr>
        <w:t>格式十五：</w:t>
      </w:r>
      <w:bookmarkEnd w:id="167"/>
    </w:p>
    <w:p>
      <w:pPr>
        <w:pStyle w:val="22"/>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2"/>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2"/>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2"/>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2"/>
        <w:tabs>
          <w:tab w:val="left" w:pos="673"/>
        </w:tabs>
        <w:spacing w:line="360" w:lineRule="auto"/>
        <w:ind w:firstLine="0" w:firstLineChars="0"/>
        <w:outlineLvl w:val="1"/>
        <w:rPr>
          <w:rFonts w:ascii="宋体" w:hAnsi="宋体" w:cs="宋体"/>
          <w:b/>
          <w:bCs/>
          <w:color w:val="auto"/>
          <w:sz w:val="24"/>
          <w:highlight w:val="none"/>
        </w:rPr>
      </w:pPr>
      <w:bookmarkStart w:id="168" w:name="_Toc3970"/>
      <w:r>
        <w:rPr>
          <w:rFonts w:hint="eastAsia" w:ascii="宋体" w:hAnsi="宋体" w:cs="宋体"/>
          <w:b/>
          <w:bCs/>
          <w:color w:val="auto"/>
          <w:sz w:val="24"/>
          <w:highlight w:val="none"/>
        </w:rPr>
        <w:t>格式十五：</w:t>
      </w:r>
      <w:bookmarkEnd w:id="168"/>
    </w:p>
    <w:p>
      <w:pPr>
        <w:pStyle w:val="8"/>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8"/>
        <w:spacing w:before="8"/>
        <w:rPr>
          <w:color w:val="auto"/>
          <w:sz w:val="21"/>
          <w:szCs w:val="21"/>
          <w:highlight w:val="none"/>
        </w:rPr>
      </w:pPr>
    </w:p>
    <w:p>
      <w:pPr>
        <w:jc w:val="center"/>
        <w:outlineLvl w:val="1"/>
        <w:rPr>
          <w:rFonts w:ascii="宋体" w:hAnsi="宋体" w:cs="宋体"/>
          <w:b/>
          <w:bCs/>
          <w:color w:val="auto"/>
          <w:szCs w:val="21"/>
          <w:highlight w:val="none"/>
        </w:rPr>
      </w:pPr>
      <w:bookmarkStart w:id="169" w:name="_Toc4401"/>
      <w:r>
        <w:rPr>
          <w:rFonts w:hint="eastAsia" w:ascii="宋体" w:hAnsi="宋体" w:cs="宋体"/>
          <w:b/>
          <w:bCs/>
          <w:color w:val="auto"/>
          <w:szCs w:val="21"/>
          <w:highlight w:val="none"/>
        </w:rPr>
        <w:t>需要招标人提供的附加条件</w:t>
      </w:r>
      <w:bookmarkEnd w:id="169"/>
    </w:p>
    <w:p>
      <w:pPr>
        <w:pStyle w:val="8"/>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noWrap w:val="0"/>
            <w:vAlign w:val="top"/>
          </w:tcPr>
          <w:p>
            <w:pPr>
              <w:pStyle w:val="23"/>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noWrap w:val="0"/>
            <w:vAlign w:val="top"/>
          </w:tcPr>
          <w:p>
            <w:pPr>
              <w:pStyle w:val="23"/>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noWrap w:val="0"/>
            <w:vAlign w:val="top"/>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noWrap w:val="0"/>
            <w:vAlign w:val="top"/>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noWrap w:val="0"/>
            <w:vAlign w:val="top"/>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noWrap w:val="0"/>
            <w:vAlign w:val="top"/>
          </w:tcPr>
          <w:p>
            <w:pPr>
              <w:pStyle w:val="23"/>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noWrap w:val="0"/>
            <w:vAlign w:val="top"/>
          </w:tcPr>
          <w:p>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noWrap w:val="0"/>
            <w:vAlign w:val="top"/>
          </w:tcPr>
          <w:p>
            <w:pPr>
              <w:pStyle w:val="23"/>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8"/>
        <w:outlineLvl w:val="1"/>
        <w:rPr>
          <w:b/>
          <w:bCs/>
          <w:color w:val="auto"/>
          <w:highlight w:val="none"/>
          <w:lang w:val="en-US"/>
        </w:rPr>
      </w:pPr>
      <w:bookmarkStart w:id="170" w:name="_Toc25747"/>
      <w:r>
        <w:rPr>
          <w:rFonts w:hint="eastAsia"/>
          <w:b/>
          <w:bCs/>
          <w:color w:val="auto"/>
          <w:highlight w:val="none"/>
          <w:lang w:val="en-US"/>
        </w:rPr>
        <w:t>格式十六：</w:t>
      </w:r>
      <w:bookmarkEnd w:id="170"/>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71" w:name="_Toc27211"/>
      <w:r>
        <w:rPr>
          <w:rFonts w:hint="eastAsia"/>
          <w:color w:val="auto"/>
          <w:highlight w:val="none"/>
        </w:rPr>
        <w:t>第七篇 开标文件格式</w:t>
      </w:r>
      <w:bookmarkEnd w:id="171"/>
    </w:p>
    <w:p>
      <w:pPr>
        <w:jc w:val="center"/>
        <w:outlineLvl w:val="1"/>
        <w:rPr>
          <w:b/>
          <w:bCs/>
          <w:color w:val="auto"/>
          <w:highlight w:val="none"/>
        </w:rPr>
      </w:pPr>
      <w:bookmarkStart w:id="172" w:name="_Toc32249"/>
      <w:r>
        <w:rPr>
          <w:rFonts w:hint="eastAsia"/>
          <w:b/>
          <w:bCs/>
          <w:color w:val="auto"/>
          <w:highlight w:val="none"/>
        </w:rPr>
        <w:t>（封面格式仅供参考）</w:t>
      </w:r>
      <w:bookmarkEnd w:id="172"/>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73"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3"/>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74"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74"/>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8"/>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8"/>
        <w:spacing w:before="0" w:line="360" w:lineRule="auto"/>
        <w:ind w:left="0"/>
        <w:outlineLvl w:val="1"/>
        <w:rPr>
          <w:b/>
          <w:bCs/>
          <w:color w:val="auto"/>
          <w:sz w:val="21"/>
          <w:szCs w:val="21"/>
          <w:highlight w:val="none"/>
          <w:lang w:val="en-US"/>
        </w:rPr>
      </w:pPr>
      <w:bookmarkStart w:id="175" w:name="_Toc32100"/>
      <w:r>
        <w:rPr>
          <w:rFonts w:hint="eastAsia"/>
          <w:b/>
          <w:bCs/>
          <w:color w:val="auto"/>
          <w:sz w:val="21"/>
          <w:szCs w:val="21"/>
          <w:highlight w:val="none"/>
          <w:lang w:val="en-US"/>
        </w:rPr>
        <w:t>1、开标一览表</w:t>
      </w:r>
      <w:bookmarkEnd w:id="175"/>
    </w:p>
    <w:p>
      <w:pPr>
        <w:spacing w:line="360" w:lineRule="auto"/>
        <w:outlineLvl w:val="1"/>
        <w:rPr>
          <w:rFonts w:ascii="宋体" w:hAnsi="宋体" w:cs="宋体"/>
          <w:b/>
          <w:bCs/>
          <w:color w:val="auto"/>
          <w:szCs w:val="21"/>
          <w:highlight w:val="none"/>
        </w:rPr>
      </w:pPr>
      <w:bookmarkStart w:id="176" w:name="_Toc8054"/>
      <w:r>
        <w:rPr>
          <w:rFonts w:hint="eastAsia" w:ascii="宋体" w:hAnsi="宋体" w:cs="宋体"/>
          <w:b/>
          <w:bCs/>
          <w:color w:val="auto"/>
          <w:szCs w:val="21"/>
          <w:highlight w:val="none"/>
        </w:rPr>
        <w:t>2、分项报价表</w:t>
      </w:r>
      <w:bookmarkEnd w:id="176"/>
    </w:p>
    <w:p>
      <w:pPr>
        <w:pStyle w:val="8"/>
        <w:spacing w:before="0" w:line="360" w:lineRule="auto"/>
        <w:ind w:left="0"/>
        <w:outlineLvl w:val="1"/>
        <w:rPr>
          <w:b/>
          <w:bCs/>
          <w:color w:val="auto"/>
          <w:sz w:val="21"/>
          <w:szCs w:val="21"/>
          <w:highlight w:val="none"/>
          <w:lang w:val="en-US"/>
        </w:rPr>
      </w:pPr>
      <w:bookmarkStart w:id="177" w:name="_Toc5011"/>
      <w:r>
        <w:rPr>
          <w:rFonts w:hint="eastAsia"/>
          <w:b/>
          <w:bCs/>
          <w:color w:val="auto"/>
          <w:sz w:val="21"/>
          <w:szCs w:val="21"/>
          <w:highlight w:val="none"/>
          <w:lang w:val="en-US"/>
        </w:rPr>
        <w:t>3、法定代表人证明书</w:t>
      </w:r>
      <w:bookmarkEnd w:id="177"/>
    </w:p>
    <w:p>
      <w:pPr>
        <w:pStyle w:val="8"/>
        <w:spacing w:before="0" w:line="360" w:lineRule="auto"/>
        <w:ind w:left="0"/>
        <w:outlineLvl w:val="1"/>
        <w:rPr>
          <w:b/>
          <w:bCs/>
          <w:color w:val="auto"/>
          <w:sz w:val="21"/>
          <w:szCs w:val="21"/>
          <w:highlight w:val="none"/>
          <w:lang w:val="en-US"/>
        </w:rPr>
      </w:pPr>
      <w:bookmarkStart w:id="178" w:name="_Toc27439"/>
      <w:r>
        <w:rPr>
          <w:rFonts w:hint="eastAsia"/>
          <w:b/>
          <w:bCs/>
          <w:color w:val="auto"/>
          <w:sz w:val="21"/>
          <w:szCs w:val="21"/>
          <w:highlight w:val="none"/>
          <w:lang w:val="en-US"/>
        </w:rPr>
        <w:t>4、法定代表人授权书</w:t>
      </w:r>
      <w:bookmarkEnd w:id="178"/>
    </w:p>
    <w:p>
      <w:pPr>
        <w:spacing w:line="360" w:lineRule="auto"/>
        <w:outlineLvl w:val="1"/>
        <w:rPr>
          <w:rFonts w:ascii="宋体" w:hAnsi="宋体" w:cs="宋体"/>
          <w:b/>
          <w:bCs/>
          <w:color w:val="auto"/>
          <w:szCs w:val="21"/>
          <w:highlight w:val="none"/>
        </w:rPr>
      </w:pPr>
      <w:bookmarkStart w:id="179" w:name="_Toc16304"/>
      <w:r>
        <w:rPr>
          <w:rFonts w:hint="eastAsia" w:ascii="宋体" w:hAnsi="宋体" w:cs="宋体"/>
          <w:b/>
          <w:bCs/>
          <w:color w:val="auto"/>
          <w:szCs w:val="21"/>
          <w:highlight w:val="none"/>
        </w:rPr>
        <w:t>5、投标保证金</w:t>
      </w:r>
      <w:bookmarkEnd w:id="179"/>
    </w:p>
    <w:p>
      <w:pPr>
        <w:rPr>
          <w:color w:val="auto"/>
          <w:highlight w:val="none"/>
        </w:rPr>
      </w:pPr>
    </w:p>
    <w:p>
      <w:pPr>
        <w:pStyle w:val="8"/>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80" w:name="_Toc2722"/>
      <w:r>
        <w:rPr>
          <w:rFonts w:hint="eastAsia"/>
          <w:color w:val="auto"/>
          <w:highlight w:val="none"/>
        </w:rPr>
        <w:t>第八篇 其它文件格式（如有需要）</w:t>
      </w:r>
      <w:bookmarkEnd w:id="180"/>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8"/>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2"/>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2"/>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8"/>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8"/>
        <w:tabs>
          <w:tab w:val="left" w:pos="10713"/>
        </w:tabs>
        <w:autoSpaceDE w:val="0"/>
        <w:autoSpaceDN w:val="0"/>
        <w:spacing w:before="0" w:line="360" w:lineRule="auto"/>
        <w:ind w:left="0" w:firstLine="420" w:firstLineChars="200"/>
        <w:rPr>
          <w:color w:val="auto"/>
          <w:sz w:val="21"/>
          <w:szCs w:val="21"/>
          <w:highlight w:val="none"/>
        </w:rPr>
      </w:pP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8"/>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8"/>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8"/>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8"/>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8"/>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8"/>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8"/>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8"/>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8"/>
        <w:tabs>
          <w:tab w:val="left" w:pos="3165"/>
          <w:tab w:val="left" w:pos="5818"/>
        </w:tabs>
        <w:autoSpaceDE w:val="0"/>
        <w:autoSpaceDN w:val="0"/>
        <w:spacing w:line="360" w:lineRule="auto"/>
        <w:ind w:left="0" w:firstLine="420" w:firstLineChars="200"/>
        <w:rPr>
          <w:color w:val="auto"/>
          <w:sz w:val="21"/>
          <w:szCs w:val="21"/>
          <w:highlight w:val="none"/>
        </w:rPr>
      </w:pPr>
    </w:p>
    <w:p>
      <w:pPr>
        <w:pStyle w:val="8"/>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8"/>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8"/>
        <w:autoSpaceDE w:val="0"/>
        <w:autoSpaceDN w:val="0"/>
        <w:spacing w:line="360" w:lineRule="auto"/>
        <w:ind w:left="0" w:firstLine="420" w:firstLineChars="200"/>
        <w:rPr>
          <w:color w:val="auto"/>
          <w:sz w:val="21"/>
          <w:szCs w:val="21"/>
          <w:highlight w:val="none"/>
        </w:rPr>
      </w:pP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2"/>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8"/>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8"/>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9"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思源黑体 CN Heavy">
    <w:altName w:val="黑体"/>
    <w:panose1 w:val="000000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eastAsia" w:eastAsia="宋体"/>
        <w:lang w:eastAsia="zh-CN"/>
      </w:rPr>
    </w:pPr>
    <w:r>
      <w:rPr>
        <w:rFonts w:hint="eastAsia"/>
        <w:lang w:eastAsia="zh-CN"/>
      </w:rPr>
      <w:t>东莞市东坑镇角社社区环卫保洁、绿化养护及除“四害”服务采购项目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E55BFF18"/>
    <w:multiLevelType w:val="singleLevel"/>
    <w:tmpl w:val="E55BFF18"/>
    <w:lvl w:ilvl="0" w:tentative="0">
      <w:start w:val="1"/>
      <w:numFmt w:val="decimal"/>
      <w:suff w:val="nothing"/>
      <w:lvlText w:val="（%1）"/>
      <w:lvlJc w:val="left"/>
    </w:lvl>
  </w:abstractNum>
  <w:abstractNum w:abstractNumId="3">
    <w:nsid w:val="F3851CDE"/>
    <w:multiLevelType w:val="singleLevel"/>
    <w:tmpl w:val="F3851CDE"/>
    <w:lvl w:ilvl="0" w:tentative="0">
      <w:start w:val="2"/>
      <w:numFmt w:val="chineseCounting"/>
      <w:suff w:val="nothing"/>
      <w:lvlText w:val="%1、"/>
      <w:lvlJc w:val="left"/>
      <w:rPr>
        <w:rFonts w:hint="eastAsia"/>
      </w:rPr>
    </w:lvl>
  </w:abstractNum>
  <w:abstractNum w:abstractNumId="4">
    <w:nsid w:val="F73DC5D7"/>
    <w:multiLevelType w:val="singleLevel"/>
    <w:tmpl w:val="F73DC5D7"/>
    <w:lvl w:ilvl="0" w:tentative="0">
      <w:start w:val="1"/>
      <w:numFmt w:val="decimal"/>
      <w:suff w:val="nothing"/>
      <w:lvlText w:val="（%1）"/>
      <w:lvlJc w:val="left"/>
      <w:pPr>
        <w:ind w:left="66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2BE14068"/>
    <w:multiLevelType w:val="singleLevel"/>
    <w:tmpl w:val="2BE14068"/>
    <w:lvl w:ilvl="0" w:tentative="0">
      <w:start w:val="1"/>
      <w:numFmt w:val="chineseCounting"/>
      <w:suff w:val="nothing"/>
      <w:lvlText w:val="%1、"/>
      <w:lvlJc w:val="left"/>
      <w:pPr>
        <w:ind w:left="0" w:firstLine="420"/>
      </w:pPr>
      <w:rPr>
        <w:rFonts w:hint="eastAsia"/>
      </w:rPr>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abstractNum w:abstractNumId="10">
    <w:nsid w:val="49F90668"/>
    <w:multiLevelType w:val="singleLevel"/>
    <w:tmpl w:val="49F90668"/>
    <w:lvl w:ilvl="0" w:tentative="0">
      <w:start w:val="1"/>
      <w:numFmt w:val="decimal"/>
      <w:lvlText w:val="%1."/>
      <w:lvlJc w:val="left"/>
      <w:pPr>
        <w:ind w:left="425" w:hanging="425"/>
      </w:pPr>
      <w:rPr>
        <w:rFonts w:hint="default"/>
        <w:b w:val="0"/>
        <w:bCs/>
      </w:rPr>
    </w:lvl>
  </w:abstractNum>
  <w:num w:numId="1">
    <w:abstractNumId w:val="1"/>
  </w:num>
  <w:num w:numId="2">
    <w:abstractNumId w:val="8"/>
  </w:num>
  <w:num w:numId="3">
    <w:abstractNumId w:val="0"/>
  </w:num>
  <w:num w:numId="4">
    <w:abstractNumId w:val="2"/>
  </w:num>
  <w:num w:numId="5">
    <w:abstractNumId w:val="3"/>
  </w:num>
  <w:num w:numId="6">
    <w:abstractNumId w:val="5"/>
  </w:num>
  <w:num w:numId="7">
    <w:abstractNumId w:val="9"/>
  </w:num>
  <w:num w:numId="8">
    <w:abstractNumId w:val="6"/>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5FA9422E"/>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57C5CF6"/>
    <w:rsid w:val="06450BAE"/>
    <w:rsid w:val="088F544C"/>
    <w:rsid w:val="0B696582"/>
    <w:rsid w:val="0C502C33"/>
    <w:rsid w:val="0F1622A5"/>
    <w:rsid w:val="104E109A"/>
    <w:rsid w:val="11322932"/>
    <w:rsid w:val="122B4561"/>
    <w:rsid w:val="17210B05"/>
    <w:rsid w:val="18185736"/>
    <w:rsid w:val="19CA09A4"/>
    <w:rsid w:val="1ABB1B93"/>
    <w:rsid w:val="1BBB674D"/>
    <w:rsid w:val="1DB725C0"/>
    <w:rsid w:val="1F865058"/>
    <w:rsid w:val="20315D21"/>
    <w:rsid w:val="21E7176C"/>
    <w:rsid w:val="276615B8"/>
    <w:rsid w:val="28FA1F48"/>
    <w:rsid w:val="2A213986"/>
    <w:rsid w:val="2D3A4F1C"/>
    <w:rsid w:val="2E462ABD"/>
    <w:rsid w:val="2EAE74F5"/>
    <w:rsid w:val="2FE55D43"/>
    <w:rsid w:val="31CA0466"/>
    <w:rsid w:val="34BE4BEB"/>
    <w:rsid w:val="389A6D8D"/>
    <w:rsid w:val="38E92A20"/>
    <w:rsid w:val="39D500B4"/>
    <w:rsid w:val="3A7F43FC"/>
    <w:rsid w:val="3B2A432E"/>
    <w:rsid w:val="3CA536A7"/>
    <w:rsid w:val="3E0202C6"/>
    <w:rsid w:val="3FB63E1C"/>
    <w:rsid w:val="438833C2"/>
    <w:rsid w:val="46AB033E"/>
    <w:rsid w:val="474E4864"/>
    <w:rsid w:val="47735BD0"/>
    <w:rsid w:val="483640BB"/>
    <w:rsid w:val="48F73D9E"/>
    <w:rsid w:val="498145E0"/>
    <w:rsid w:val="4B220E45"/>
    <w:rsid w:val="4DCA11E8"/>
    <w:rsid w:val="4EED33F9"/>
    <w:rsid w:val="515F5768"/>
    <w:rsid w:val="51C43276"/>
    <w:rsid w:val="521035E6"/>
    <w:rsid w:val="52E14EC4"/>
    <w:rsid w:val="53F51E89"/>
    <w:rsid w:val="593926E1"/>
    <w:rsid w:val="597532F9"/>
    <w:rsid w:val="59BD5013"/>
    <w:rsid w:val="5BE04967"/>
    <w:rsid w:val="5C015C21"/>
    <w:rsid w:val="5D744988"/>
    <w:rsid w:val="5DD23083"/>
    <w:rsid w:val="5E720F58"/>
    <w:rsid w:val="5FA9422E"/>
    <w:rsid w:val="64D3048A"/>
    <w:rsid w:val="66CA48D2"/>
    <w:rsid w:val="687065DC"/>
    <w:rsid w:val="6ABF49BB"/>
    <w:rsid w:val="6D464CA3"/>
    <w:rsid w:val="6E003853"/>
    <w:rsid w:val="6E9B3562"/>
    <w:rsid w:val="6EEF2FF6"/>
    <w:rsid w:val="71302E2E"/>
    <w:rsid w:val="74951BFB"/>
    <w:rsid w:val="76A84E33"/>
    <w:rsid w:val="770B2652"/>
    <w:rsid w:val="776504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kern w:val="2"/>
      <w:sz w:val="21"/>
      <w:szCs w:val="24"/>
      <w:lang w:val="en-US" w:eastAsia="zh-CN" w:bidi="ar-SA"/>
    </w:rPr>
  </w:style>
  <w:style w:type="paragraph" w:styleId="3">
    <w:name w:val="heading 1"/>
    <w:basedOn w:val="1"/>
    <w:next w:val="1"/>
    <w:link w:val="20"/>
    <w:qFormat/>
    <w:uiPriority w:val="0"/>
    <w:pPr>
      <w:keepNext/>
      <w:keepLines/>
      <w:spacing w:line="576" w:lineRule="auto"/>
      <w:jc w:val="center"/>
      <w:outlineLvl w:val="0"/>
    </w:pPr>
    <w:rPr>
      <w:b/>
      <w:kern w:val="44"/>
      <w:sz w:val="30"/>
    </w:rPr>
  </w:style>
  <w:style w:type="paragraph" w:styleId="2">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4">
    <w:name w:val="heading 3"/>
    <w:basedOn w:val="1"/>
    <w:next w:val="1"/>
    <w:unhideWhenUsed/>
    <w:qFormat/>
    <w:uiPriority w:val="0"/>
    <w:pPr>
      <w:keepNext/>
      <w:keepLines/>
      <w:spacing w:line="360" w:lineRule="auto"/>
      <w:outlineLvl w:val="2"/>
    </w:pPr>
    <w:rPr>
      <w:b/>
    </w:rPr>
  </w:style>
  <w:style w:type="paragraph" w:styleId="5">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style>
  <w:style w:type="paragraph" w:styleId="7">
    <w:name w:val="annotation text"/>
    <w:basedOn w:val="1"/>
    <w:qFormat/>
    <w:uiPriority w:val="0"/>
  </w:style>
  <w:style w:type="paragraph" w:styleId="8">
    <w:name w:val="Body Text"/>
    <w:basedOn w:val="1"/>
    <w:next w:val="1"/>
    <w:qFormat/>
    <w:uiPriority w:val="1"/>
    <w:pPr>
      <w:spacing w:before="161"/>
      <w:ind w:left="120"/>
    </w:pPr>
    <w:rPr>
      <w:rFonts w:ascii="宋体" w:hAnsi="宋体" w:cs="宋体"/>
      <w:sz w:val="24"/>
      <w:lang w:val="zh-CN" w:bidi="zh-CN"/>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宋体"/>
      <w:szCs w:val="22"/>
    </w:rPr>
  </w:style>
  <w:style w:type="paragraph" w:styleId="11">
    <w:name w:val="Balloon Text"/>
    <w:basedOn w:val="1"/>
    <w:link w:val="21"/>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qFormat/>
    <w:uiPriority w:val="0"/>
    <w:pPr>
      <w:spacing w:line="360" w:lineRule="auto"/>
      <w:ind w:firstLine="420" w:firstLineChars="200"/>
    </w:pPr>
    <w:rPr>
      <w:bCs/>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basedOn w:val="17"/>
    <w:qFormat/>
    <w:uiPriority w:val="0"/>
    <w:rPr>
      <w:sz w:val="21"/>
      <w:szCs w:val="21"/>
    </w:rPr>
  </w:style>
  <w:style w:type="character" w:customStyle="1" w:styleId="20">
    <w:name w:val="标题 1 Char"/>
    <w:link w:val="3"/>
    <w:qFormat/>
    <w:uiPriority w:val="0"/>
    <w:rPr>
      <w:b/>
      <w:kern w:val="44"/>
      <w:sz w:val="30"/>
    </w:rPr>
  </w:style>
  <w:style w:type="character" w:customStyle="1" w:styleId="21">
    <w:name w:val="批注框文本 Char"/>
    <w:basedOn w:val="17"/>
    <w:link w:val="11"/>
    <w:qFormat/>
    <w:uiPriority w:val="0"/>
    <w:rPr>
      <w:rFonts w:ascii="Calibri" w:hAnsi="Calibri" w:cs="Times New Roman"/>
      <w:kern w:val="2"/>
      <w:sz w:val="18"/>
      <w:szCs w:val="18"/>
    </w:rPr>
  </w:style>
  <w:style w:type="paragraph" w:styleId="22">
    <w:name w:val="List Paragraph"/>
    <w:basedOn w:val="1"/>
    <w:qFormat/>
    <w:uiPriority w:val="34"/>
    <w:pPr>
      <w:ind w:firstLine="420" w:firstLineChars="200"/>
    </w:pPr>
  </w:style>
  <w:style w:type="paragraph" w:customStyle="1" w:styleId="23">
    <w:name w:val="Table Paragraph"/>
    <w:basedOn w:val="1"/>
    <w:qFormat/>
    <w:uiPriority w:val="1"/>
  </w:style>
  <w:style w:type="paragraph" w:customStyle="1" w:styleId="24">
    <w:name w:val="正文缩进2格"/>
    <w:basedOn w:val="1"/>
    <w:qFormat/>
    <w:uiPriority w:val="0"/>
    <w:pPr>
      <w:spacing w:line="600" w:lineRule="exact"/>
      <w:ind w:firstLine="639" w:firstLineChars="206"/>
      <w:jc w:val="both"/>
    </w:pPr>
    <w:rPr>
      <w:rFonts w:ascii="仿宋_GB2312" w:hAnsi="宋体" w:eastAsia="仿宋_GB2312"/>
      <w:sz w:val="31"/>
    </w:rPr>
  </w:style>
  <w:style w:type="paragraph" w:customStyle="1" w:styleId="25">
    <w:name w:val="WPSOffice手动目录 1"/>
    <w:qFormat/>
    <w:uiPriority w:val="0"/>
    <w:rPr>
      <w:rFonts w:ascii="Calibri" w:hAnsi="Calibri" w:eastAsia="宋体" w:cs="Times New Roman"/>
      <w:lang w:val="en-US" w:eastAsia="zh-CN" w:bidi="ar-SA"/>
    </w:rPr>
  </w:style>
  <w:style w:type="paragraph" w:customStyle="1" w:styleId="26">
    <w:name w:val="WPSOffice手动目录 2"/>
    <w:qFormat/>
    <w:uiPriority w:val="0"/>
    <w:pPr>
      <w:ind w:left="200" w:leftChars="200"/>
    </w:pPr>
    <w:rPr>
      <w:rFonts w:ascii="Calibri" w:hAnsi="Calibri" w:eastAsia="宋体" w:cs="Times New Roman"/>
      <w:lang w:val="en-US" w:eastAsia="zh-CN" w:bidi="ar-SA"/>
    </w:rPr>
  </w:style>
  <w:style w:type="paragraph" w:customStyle="1" w:styleId="27">
    <w:name w:val="WPSOffice手动目录 3"/>
    <w:qFormat/>
    <w:uiPriority w:val="0"/>
    <w:pPr>
      <w:ind w:left="400" w:leftChars="400"/>
    </w:pPr>
    <w:rPr>
      <w:rFonts w:ascii="Calibri" w:hAnsi="Calibri" w:eastAsia="宋体" w:cs="Times New Roman"/>
      <w:lang w:val="en-US" w:eastAsia="zh-CN" w:bidi="ar-SA"/>
    </w:rPr>
  </w:style>
  <w:style w:type="paragraph" w:customStyle="1" w:styleId="28">
    <w:name w:val="列出段落1"/>
    <w:basedOn w:val="1"/>
    <w:qFormat/>
    <w:uiPriority w:val="0"/>
    <w:pPr>
      <w:ind w:firstLine="420" w:firstLineChars="200"/>
    </w:pPr>
    <w:rPr>
      <w:rFonts w:ascii="Calibri" w:hAnsi="Calibri"/>
      <w:kern w:val="0"/>
      <w:sz w:val="20"/>
      <w:szCs w:val="20"/>
    </w:rPr>
  </w:style>
  <w:style w:type="paragraph" w:customStyle="1" w:styleId="29">
    <w:name w:val="Other|1"/>
    <w:basedOn w:val="1"/>
    <w:qFormat/>
    <w:uiPriority w:val="0"/>
    <w:pPr>
      <w:jc w:val="center"/>
    </w:pPr>
    <w:rPr>
      <w:rFonts w:ascii="宋体" w:hAnsi="宋体" w:cs="宋体"/>
      <w:sz w:val="14"/>
      <w:szCs w:val="14"/>
      <w:lang w:val="zh-TW" w:eastAsia="zh-TW" w:bidi="zh-TW"/>
    </w:rPr>
  </w:style>
  <w:style w:type="paragraph" w:customStyle="1" w:styleId="30">
    <w:name w:val="unnamed3"/>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1">
    <w:name w:val="font01"/>
    <w:basedOn w:val="17"/>
    <w:qFormat/>
    <w:uiPriority w:val="0"/>
    <w:rPr>
      <w:rFonts w:ascii="仿宋_GB2312" w:eastAsia="仿宋_GB2312" w:cs="仿宋_GB2312"/>
      <w:color w:val="000000"/>
      <w:sz w:val="21"/>
      <w:szCs w:val="21"/>
      <w:u w:val="none"/>
    </w:rPr>
  </w:style>
  <w:style w:type="character" w:customStyle="1" w:styleId="32">
    <w:name w:val="font11"/>
    <w:basedOn w:val="1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033;&#30446;\&#26410;&#25346;&#32593;\&#19996;&#33694;&#24066;&#19996;&#22353;&#38215;&#35282;&#31038;&#31038;&#21306;&#29615;&#21355;&#20445;&#27905;&#12289;&#32511;&#21270;&#20859;&#25252;&#21450;&#38500;&#8220;&#22235;&#23475;&#8221;&#26381;&#21153;&#37319;&#36141;&#39033;&#30446;\&#25307;&#26631;&#25991;&#20214;-&#19996;&#33694;&#24066;&#19996;&#22353;&#38215;&#35282;&#31038;&#31038;&#21306;&#29615;&#21355;&#20445;&#27905;&#12289;&#32511;&#21270;&#20859;&#25252;&#21450;&#38500;&#8220;&#22235;&#23475;&#8221;&#26381;&#21153;&#37319;&#36141;&#39033;&#30446;&#65288;20230316)0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招标文件-东莞市东坑镇角社社区环卫保洁、绿化养护及除“四害”服务采购项目（20230316)02.wpt</Template>
  <Pages>72</Pages>
  <Words>32919</Words>
  <Characters>34034</Characters>
  <Lines>343</Lines>
  <Paragraphs>96</Paragraphs>
  <TotalTime>10</TotalTime>
  <ScaleCrop>false</ScaleCrop>
  <LinksUpToDate>false</LinksUpToDate>
  <CharactersWithSpaces>35573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2023-03-16T02:34:00Z</dcterms:created>
  <dc:creator>国顺</dc:creator>
  <cp:lastModifiedBy>国顺</cp:lastModifiedBy>
  <dcterms:modified xsi:type="dcterms:W3CDTF">2023-03-27T08:57:26Z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3FB0286561E04B12A3C9DA4FA1CA9777</vt:lpwstr>
  </property>
</Properties>
</file>