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8"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东莞市横沥资产经营管理有限公司、东莞市横沥镇招投标服务所食堂厨房设备采购项目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GSDG2023-007A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东莞市横沥资产经营管理有限公司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652"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bookmarkEnd w:id="2"/>
      <w:r>
        <w:rPr>
          <w:rFonts w:hint="eastAsia" w:ascii="黑体" w:hAnsi="黑体" w:eastAsia="黑体" w:cs="黑体"/>
          <w:color w:val="auto"/>
          <w:sz w:val="30"/>
          <w:szCs w:val="30"/>
          <w:highlight w:val="none"/>
          <w:lang w:val="en-US" w:eastAsia="zh-CN"/>
        </w:rPr>
        <w:t>4月13日</w:t>
      </w:r>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8"/>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2"/>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东莞市横沥资产经营管理有限公司、东莞市横沥镇招投标服务所食堂厨房设备采购项目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02"/>
      <w:bookmarkStart w:id="5" w:name="_Toc2169"/>
      <w:bookmarkStart w:id="6" w:name="_Toc35393621"/>
      <w:bookmarkStart w:id="7" w:name="_Toc35393790"/>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GSDG2023-007A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东莞市横沥资产经营管理有限公司、东莞市横沥镇招投标服务所食堂厨房设备采购项目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59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5594"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2408" w:type="dxa"/>
            <w:vAlign w:val="center"/>
          </w:tcPr>
          <w:p>
            <w:pPr>
              <w:spacing w:line="360" w:lineRule="auto"/>
              <w:jc w:val="center"/>
              <w:rPr>
                <w:rFonts w:hint="default" w:hAnsi="宋体" w:eastAsia="宋体"/>
                <w:b/>
                <w:color w:val="auto"/>
                <w:szCs w:val="21"/>
                <w:highlight w:val="none"/>
                <w:lang w:val="en-US" w:eastAsia="zh-CN"/>
              </w:rPr>
            </w:pPr>
            <w:r>
              <w:rPr>
                <w:rFonts w:hint="eastAsia" w:hAnsi="宋体"/>
                <w:b/>
                <w:color w:val="auto"/>
                <w:szCs w:val="21"/>
                <w:highlight w:val="no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5594" w:type="dxa"/>
            <w:vAlign w:val="center"/>
          </w:tcPr>
          <w:p>
            <w:pPr>
              <w:spacing w:line="360" w:lineRule="auto"/>
              <w:jc w:val="center"/>
              <w:rPr>
                <w:rFonts w:hAnsi="宋体"/>
                <w:color w:val="auto"/>
                <w:szCs w:val="21"/>
                <w:highlight w:val="none"/>
              </w:rPr>
            </w:pPr>
            <w:r>
              <w:rPr>
                <w:rFonts w:hint="eastAsia" w:hAnsi="宋体"/>
                <w:color w:val="auto"/>
                <w:szCs w:val="21"/>
                <w:highlight w:val="none"/>
              </w:rPr>
              <w:t>东莞市横沥资产经营管理有限公司、东莞市横沥镇招投标服务所食堂厨房设备采购项目</w:t>
            </w:r>
          </w:p>
        </w:tc>
        <w:tc>
          <w:tcPr>
            <w:tcW w:w="2408"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¥500,000.00元</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cs="宋体"/>
          <w:color w:val="auto"/>
          <w:sz w:val="21"/>
          <w:szCs w:val="21"/>
          <w:highlight w:val="none"/>
          <w:lang w:eastAsia="zh-CN"/>
        </w:rPr>
        <w:t>合同签订生效后的30天内完成供货、安装。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622"/>
      <w:bookmarkStart w:id="11" w:name="_Toc35393791"/>
      <w:bookmarkStart w:id="12" w:name="_Toc28359080"/>
      <w:bookmarkStart w:id="13" w:name="_Toc28359003"/>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hint="eastAsia" w:ascii="宋体" w:hAnsi="宋体" w:eastAsia="宋体" w:cs="宋体"/>
          <w:color w:val="auto"/>
          <w:sz w:val="21"/>
          <w:szCs w:val="21"/>
          <w:highlight w:val="none"/>
        </w:rPr>
      </w:pPr>
      <w:bookmarkStart w:id="15" w:name="_Toc16211"/>
      <w:bookmarkStart w:id="16" w:name="_Toc28359004"/>
      <w:bookmarkStart w:id="17" w:name="_Toc28359081"/>
      <w:r>
        <w:rPr>
          <w:rFonts w:hint="eastAsia" w:ascii="宋体" w:hAnsi="宋体" w:eastAsia="宋体" w:cs="宋体"/>
          <w:color w:val="auto"/>
          <w:sz w:val="21"/>
          <w:szCs w:val="21"/>
          <w:highlight w:val="none"/>
        </w:rPr>
        <w:t>1.投标供应商应具备《政府采购法》第二十二条规定的条件，提供下列材料：</w:t>
      </w:r>
      <w:bookmarkEnd w:id="15"/>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3）具有良好的商业信誉和健全的财务会计制度：供应商必须具有良好的商业信誉和健全的财务会计制度（提供2020年度</w:t>
      </w:r>
      <w:r>
        <w:rPr>
          <w:rFonts w:hint="eastAsia" w:ascii="宋体" w:hAnsi="宋体" w:eastAsia="宋体" w:cs="宋体"/>
          <w:color w:val="auto"/>
          <w:sz w:val="21"/>
          <w:szCs w:val="21"/>
          <w:highlight w:val="none"/>
          <w:lang w:val="en-US" w:eastAsia="zh-CN"/>
        </w:rPr>
        <w:t>或2021年度</w:t>
      </w:r>
      <w:r>
        <w:rPr>
          <w:rFonts w:hint="eastAsia" w:ascii="宋体" w:hAnsi="宋体" w:eastAsia="宋体" w:cs="宋体"/>
          <w:color w:val="auto"/>
          <w:sz w:val="21"/>
          <w:szCs w:val="21"/>
          <w:highlight w:val="none"/>
        </w:rPr>
        <w:t>财务状况报告或基本开户行出具的资信证明）。(或提供相关承诺函）</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4）履行合同所必须的设备和专业技术能力：填报设备及专业技术能力情况，格式自拟。(或提供相关承诺函）</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sz w:val="21"/>
          <w:szCs w:val="21"/>
          <w:highlight w:val="none"/>
        </w:rPr>
        <w:t>。</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6）信用记录：供应商未被列入“信用中国”网站(www.creditchina.gov.cn)“记录失信被执行人或</w:t>
      </w:r>
      <w:r>
        <w:rPr>
          <w:rFonts w:hint="eastAsia" w:ascii="宋体" w:hAnsi="宋体" w:eastAsia="宋体" w:cs="宋体"/>
          <w:color w:val="auto"/>
          <w:sz w:val="21"/>
          <w:szCs w:val="21"/>
          <w:highlight w:val="none"/>
          <w:lang w:eastAsia="zh-CN"/>
        </w:rPr>
        <w:t>税收违法黑名单</w:t>
      </w:r>
      <w:r>
        <w:rPr>
          <w:rFonts w:hint="eastAsia" w:ascii="宋体" w:hAnsi="宋体" w:eastAsia="宋体" w:cs="宋体"/>
          <w:color w:val="auto"/>
          <w:sz w:val="21"/>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hint="eastAsia" w:ascii="宋体" w:hAnsi="宋体" w:eastAsia="宋体" w:cs="宋体"/>
          <w:color w:val="auto"/>
          <w:sz w:val="21"/>
          <w:szCs w:val="21"/>
          <w:highlight w:val="none"/>
        </w:rPr>
      </w:pPr>
      <w:bookmarkStart w:id="18" w:name="_Toc26119"/>
      <w:r>
        <w:rPr>
          <w:rFonts w:hint="eastAsia" w:ascii="宋体" w:hAnsi="宋体" w:eastAsia="宋体" w:cs="宋体"/>
          <w:color w:val="auto"/>
          <w:sz w:val="21"/>
          <w:szCs w:val="21"/>
          <w:highlight w:val="none"/>
        </w:rPr>
        <w:t>2.本项目的特定资格要求：</w:t>
      </w:r>
      <w:bookmarkEnd w:id="18"/>
    </w:p>
    <w:p>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pStyle w:val="4"/>
        <w:spacing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4月13日</w:t>
      </w:r>
      <w:r>
        <w:rPr>
          <w:rFonts w:hint="eastAsia" w:ascii="宋体" w:hAnsi="宋体" w:cs="宋体"/>
          <w:color w:val="auto"/>
          <w:szCs w:val="21"/>
          <w:highlight w:val="none"/>
        </w:rPr>
        <w:t>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4月13日</w:t>
      </w:r>
      <w:r>
        <w:rPr>
          <w:rFonts w:hint="eastAsia" w:ascii="宋体" w:hAnsi="宋体" w:cs="宋体"/>
          <w:color w:val="auto"/>
          <w:szCs w:val="21"/>
          <w:highlight w:val="none"/>
        </w:rPr>
        <w:t>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 xml:space="preserve">日（节假日除外），上午9：00～12：00，下午14：30～17：30（北京时间）； </w:t>
      </w:r>
      <w:bookmarkStart w:id="184" w:name="_GoBack"/>
      <w:bookmarkEnd w:id="184"/>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4"/>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cs="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793"/>
      <w:bookmarkStart w:id="25" w:name="_Toc35393624"/>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4"/>
        <w:spacing w:line="360" w:lineRule="auto"/>
        <w:jc w:val="left"/>
        <w:rPr>
          <w:rFonts w:ascii="宋体" w:hAnsi="宋体" w:cs="宋体"/>
          <w:bCs/>
          <w:color w:val="auto"/>
          <w:sz w:val="21"/>
          <w:szCs w:val="21"/>
          <w:highlight w:val="none"/>
        </w:rPr>
      </w:pPr>
      <w:bookmarkStart w:id="27" w:name="_Toc35393794"/>
      <w:bookmarkStart w:id="28" w:name="_Toc35393625"/>
      <w:bookmarkStart w:id="29" w:name="_Toc25695"/>
      <w:bookmarkStart w:id="30" w:name="_Toc28359084"/>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08"/>
      <w:bookmarkStart w:id="37" w:name="_Toc28359085"/>
      <w:bookmarkStart w:id="38" w:name="_Toc35393796"/>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东莞市横沥资产经营管理有限公司</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横沥镇</w:t>
      </w:r>
    </w:p>
    <w:p>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 张工</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41" w:name="_Toc28359009"/>
      <w:bookmarkStart w:id="42" w:name="_Toc28359086"/>
      <w:r>
        <w:rPr>
          <w:rFonts w:hint="eastAsia"/>
          <w:color w:val="auto"/>
          <w:highlight w:val="none"/>
          <w:lang w:val="en-US" w:eastAsia="zh-CN"/>
        </w:rPr>
        <w:t xml:space="preserve"> 0769-83717636</w:t>
      </w:r>
    </w:p>
    <w:p>
      <w:pPr>
        <w:spacing w:line="360" w:lineRule="auto"/>
        <w:ind w:left="264" w:hanging="264" w:hangingChars="125"/>
        <w:outlineLvl w:val="2"/>
        <w:rPr>
          <w:rFonts w:ascii="宋体" w:hAnsi="宋体" w:cs="宋体"/>
          <w:b/>
          <w:bCs/>
          <w:color w:val="auto"/>
          <w:szCs w:val="21"/>
          <w:highlight w:val="none"/>
        </w:rPr>
      </w:pPr>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color w:val="auto"/>
          <w:highlight w:val="none"/>
        </w:rPr>
      </w:pPr>
      <w:bookmarkStart w:id="47" w:name="_Toc29954"/>
      <w:r>
        <w:rPr>
          <w:rFonts w:hint="eastAsia"/>
          <w:color w:val="auto"/>
          <w:highlight w:val="none"/>
        </w:rPr>
        <w:br w:type="page"/>
      </w:r>
    </w:p>
    <w:p>
      <w:pPr>
        <w:pStyle w:val="3"/>
        <w:numPr>
          <w:ilvl w:val="0"/>
          <w:numId w:val="2"/>
        </w:numPr>
        <w:spacing w:line="360" w:lineRule="auto"/>
        <w:rPr>
          <w:color w:val="auto"/>
          <w:highlight w:val="none"/>
        </w:rPr>
      </w:pPr>
      <w:r>
        <w:rPr>
          <w:rFonts w:hint="eastAsia"/>
          <w:color w:val="auto"/>
          <w:highlight w:val="none"/>
        </w:rPr>
        <w:t>投标人须知</w:t>
      </w:r>
      <w:bookmarkEnd w:id="47"/>
    </w:p>
    <w:p>
      <w:pPr>
        <w:pStyle w:val="4"/>
        <w:spacing w:line="360" w:lineRule="auto"/>
        <w:rPr>
          <w:color w:val="auto"/>
          <w:highlight w:val="none"/>
          <w:lang w:val="zh-CN"/>
        </w:rPr>
      </w:pPr>
      <w:bookmarkStart w:id="48" w:name="_Toc396137231"/>
      <w:bookmarkStart w:id="49" w:name="_Toc413402429"/>
      <w:bookmarkStart w:id="50" w:name="_Toc497983494"/>
      <w:bookmarkStart w:id="51" w:name="_Toc652"/>
      <w:r>
        <w:rPr>
          <w:rFonts w:hint="eastAsia"/>
          <w:color w:val="auto"/>
          <w:highlight w:val="none"/>
          <w:lang w:val="zh-CN"/>
        </w:rPr>
        <w:t>一、投标须知前附表</w:t>
      </w:r>
      <w:bookmarkEnd w:id="48"/>
      <w:bookmarkEnd w:id="49"/>
      <w:bookmarkEnd w:id="50"/>
      <w:bookmarkEnd w:id="51"/>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b/>
                <w:bCs/>
                <w:color w:val="auto"/>
                <w:highlight w:val="none"/>
              </w:rPr>
            </w:pPr>
            <w:r>
              <w:rPr>
                <w:rFonts w:hint="eastAsia"/>
                <w:color w:val="auto"/>
                <w:highlight w:val="none"/>
                <w:lang w:val="en-US" w:eastAsia="zh-CN"/>
              </w:rPr>
              <w:t>1、</w:t>
            </w:r>
            <w:r>
              <w:rPr>
                <w:rFonts w:hint="eastAsia"/>
                <w:color w:val="auto"/>
                <w:highlight w:val="none"/>
              </w:rPr>
              <w:t>投标保证金金额</w:t>
            </w:r>
            <w:r>
              <w:rPr>
                <w:rFonts w:hint="eastAsia" w:eastAsia="宋体"/>
                <w:color w:val="auto"/>
                <w:highlight w:val="none"/>
              </w:rPr>
              <w:t>：</w:t>
            </w:r>
            <w:r>
              <w:rPr>
                <w:rFonts w:hint="eastAsia" w:eastAsia="宋体"/>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本项目不收取投标保证金</w:t>
            </w:r>
            <w:r>
              <w:rPr>
                <w:rFonts w:hint="eastAsia" w:ascii="宋体" w:hAnsi="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382049092"/>
      <w:bookmarkStart w:id="58" w:name="_Toc303084246"/>
      <w:bookmarkStart w:id="59" w:name="_Toc298847174"/>
      <w:bookmarkStart w:id="60" w:name="_Toc1530"/>
      <w:r>
        <w:rPr>
          <w:rFonts w:hint="eastAsia"/>
          <w:color w:val="auto"/>
          <w:highlight w:val="none"/>
        </w:rPr>
        <w:t>定义</w:t>
      </w:r>
      <w:bookmarkEnd w:id="55"/>
      <w:bookmarkEnd w:id="56"/>
      <w:bookmarkEnd w:id="57"/>
      <w:bookmarkEnd w:id="58"/>
      <w:bookmarkEnd w:id="59"/>
      <w:bookmarkEnd w:id="60"/>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13316"/>
      <w:bookmarkStart w:id="67" w:name="_Toc24409"/>
      <w:r>
        <w:rPr>
          <w:rFonts w:hint="eastAsia"/>
          <w:color w:val="auto"/>
          <w:highlight w:val="none"/>
        </w:rPr>
        <w:t>5.知识产权</w:t>
      </w:r>
      <w:bookmarkEnd w:id="66"/>
      <w:bookmarkEnd w:id="67"/>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4"/>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4"/>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9"/>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8246"/>
      <w:bookmarkStart w:id="80" w:name="_Toc28866"/>
      <w:bookmarkStart w:id="81" w:name="_Toc382049103"/>
      <w:bookmarkStart w:id="82" w:name="_Toc29420"/>
      <w:bookmarkStart w:id="83" w:name="_Toc307934854"/>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4"/>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4"/>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p>
    <w:p>
      <w:pPr>
        <w:pStyle w:val="24"/>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9"/>
        <w:rPr>
          <w:color w:val="auto"/>
          <w:sz w:val="21"/>
          <w:szCs w:val="21"/>
          <w:highlight w:val="none"/>
        </w:rPr>
      </w:pPr>
    </w:p>
    <w:p>
      <w:pPr>
        <w:pStyle w:val="5"/>
        <w:rPr>
          <w:color w:val="auto"/>
          <w:highlight w:val="none"/>
        </w:rPr>
      </w:pPr>
      <w:bookmarkStart w:id="99" w:name="_Toc382049111"/>
      <w:bookmarkStart w:id="100" w:name="_Toc16286"/>
      <w:bookmarkStart w:id="101" w:name="_Toc303084264"/>
      <w:bookmarkStart w:id="102" w:name="_Toc24997"/>
      <w:bookmarkStart w:id="103" w:name="_Toc16724"/>
      <w:r>
        <w:rPr>
          <w:rFonts w:hint="eastAsia"/>
          <w:color w:val="auto"/>
          <w:highlight w:val="none"/>
        </w:rPr>
        <w:t>17.投标文件的装订，签署，密封和标记</w:t>
      </w:r>
      <w:bookmarkEnd w:id="99"/>
      <w:bookmarkEnd w:id="100"/>
      <w:bookmarkEnd w:id="101"/>
      <w:bookmarkEnd w:id="102"/>
      <w:bookmarkEnd w:id="103"/>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9777"/>
      <w:bookmarkStart w:id="109" w:name="_Toc22355"/>
      <w:bookmarkStart w:id="110" w:name="_Toc28098"/>
      <w:bookmarkStart w:id="111" w:name="_Toc303084265"/>
      <w:bookmarkStart w:id="112" w:name="_Toc382049112"/>
      <w:r>
        <w:rPr>
          <w:rFonts w:hint="eastAsia"/>
          <w:color w:val="auto"/>
          <w:highlight w:val="none"/>
        </w:rPr>
        <w:t>20.投标截止期</w:t>
      </w:r>
      <w:bookmarkEnd w:id="108"/>
      <w:bookmarkEnd w:id="109"/>
      <w:bookmarkEnd w:id="110"/>
      <w:bookmarkEnd w:id="111"/>
      <w:bookmarkEnd w:id="112"/>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4"/>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382049120"/>
      <w:bookmarkStart w:id="126" w:name="_Toc20328"/>
      <w:bookmarkStart w:id="127" w:name="_Toc5898"/>
      <w:bookmarkStart w:id="128" w:name="_Toc19304"/>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4954"/>
      <w:bookmarkStart w:id="130" w:name="_Toc1994"/>
      <w:bookmarkStart w:id="131" w:name="_Toc508284011"/>
      <w:r>
        <w:rPr>
          <w:rFonts w:hint="eastAsia"/>
          <w:color w:val="auto"/>
          <w:highlight w:val="none"/>
        </w:rPr>
        <w:t>28.合同授予标准</w:t>
      </w:r>
      <w:bookmarkEnd w:id="129"/>
      <w:bookmarkEnd w:id="130"/>
      <w:bookmarkEnd w:id="131"/>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508284013"/>
      <w:bookmarkStart w:id="134" w:name="_Toc22043"/>
      <w:r>
        <w:rPr>
          <w:rFonts w:hint="eastAsia"/>
          <w:color w:val="auto"/>
          <w:highlight w:val="none"/>
        </w:rPr>
        <w:t>30.发布采购结果</w:t>
      </w:r>
      <w:bookmarkEnd w:id="132"/>
      <w:bookmarkEnd w:id="133"/>
      <w:bookmarkEnd w:id="134"/>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9"/>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4"/>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8"/>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3"/>
        <w:gridCol w:w="1369"/>
        <w:gridCol w:w="6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color w:val="auto"/>
                <w:szCs w:val="21"/>
                <w:highlight w:val="none"/>
                <w:lang w:val="en-US" w:eastAsia="zh-CN"/>
              </w:rPr>
              <w:t>供货</w:t>
            </w:r>
            <w:r>
              <w:rPr>
                <w:rFonts w:hint="eastAsia" w:ascii="宋体" w:hAnsi="宋体" w:eastAsia="宋体"/>
                <w:color w:val="auto"/>
                <w:szCs w:val="21"/>
                <w:highlight w:val="none"/>
              </w:rPr>
              <w:t>期</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合同签订生效后的30天内完成供货、安装。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1、合同签订后10个工作日内，由采购人向中标人支付合同总价的30%作为第一期款项；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2、在主要设备到场后，经双方项目负责人确认无误后，在10个工作日内由采购人向中标人支付合同总价的</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0%作为第二期款项；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3、货物安装调试完毕，经采购人组织项目验收，在项目验收合格后，由采购人向中标人支付剩余合同总价的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0%给中标人。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782" w:type="pct"/>
            <w:vAlign w:val="center"/>
          </w:tcPr>
          <w:p>
            <w:pPr>
              <w:pStyle w:val="26"/>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按国家及相关行业标准进行验收。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质保期</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项目安装调试完成、验收合格后壹年，中标人负责指导用户使用。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lang w:eastAsia="zh-CN"/>
              </w:rPr>
              <w:t>售后服务</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免费保修期间及期满的售后服务，接到电话后4小时内到达现场，8小时内不能维修好的，则提供同类产品更换或备用，以保证饭堂正常运作。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其它要求</w:t>
            </w:r>
          </w:p>
        </w:tc>
        <w:tc>
          <w:tcPr>
            <w:tcW w:w="3849"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投标人应充分结合本招标文件上下文了解项目招标需求、采购文件未尽事宜，将在合同签订或项目执行过程中双方协商确定，供应商须无条件满足采购单位的合理要求。</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141" w:name="_Toc3714"/>
      <w:bookmarkStart w:id="142" w:name="_Toc16983"/>
      <w:bookmarkStart w:id="143" w:name="_Toc4445"/>
      <w:bookmarkStart w:id="144" w:name="_Toc4572"/>
      <w:r>
        <w:rPr>
          <w:rFonts w:hint="eastAsia" w:eastAsia="宋体"/>
          <w:b/>
          <w:bCs/>
          <w:color w:val="auto"/>
          <w:sz w:val="28"/>
          <w:szCs w:val="36"/>
          <w:highlight w:val="none"/>
          <w:lang w:eastAsia="zh-CN"/>
        </w:rPr>
        <w:t>技术要求</w:t>
      </w:r>
      <w:bookmarkEnd w:id="141"/>
      <w:bookmarkEnd w:id="142"/>
      <w:bookmarkEnd w:id="143"/>
      <w:bookmarkEnd w:id="144"/>
    </w:p>
    <w:p>
      <w:pPr>
        <w:numPr>
          <w:ilvl w:val="0"/>
          <w:numId w:val="0"/>
        </w:numPr>
        <w:rPr>
          <w:rFonts w:ascii="宋体" w:hAnsi="宋体" w:eastAsia="宋体" w:cs="宋体"/>
          <w:b/>
          <w:bCs/>
          <w:color w:val="auto"/>
          <w:sz w:val="24"/>
          <w:szCs w:val="16"/>
          <w:highlight w:val="none"/>
        </w:rPr>
      </w:pPr>
      <w:r>
        <w:rPr>
          <w:rFonts w:hint="eastAsia" w:ascii="宋体" w:hAnsi="宋体" w:eastAsia="宋体" w:cs="宋体"/>
          <w:b/>
          <w:bCs/>
          <w:color w:val="auto"/>
          <w:sz w:val="24"/>
          <w:szCs w:val="16"/>
          <w:highlight w:val="none"/>
          <w:lang w:val="en-US" w:eastAsia="zh-CN"/>
        </w:rPr>
        <w:t>一、</w:t>
      </w:r>
      <w:r>
        <w:rPr>
          <w:rFonts w:hint="eastAsia" w:ascii="宋体" w:hAnsi="宋体" w:eastAsia="宋体" w:cs="宋体"/>
          <w:b/>
          <w:bCs/>
          <w:color w:val="auto"/>
          <w:sz w:val="24"/>
          <w:szCs w:val="16"/>
          <w:highlight w:val="none"/>
        </w:rPr>
        <w:t>项目基本要求</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rPr>
        <w:t xml:space="preserve">1、投标人须提供厂商原装、全新的、符合用户提出的有关质量标准的设备、货物。 </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rPr>
        <w:t xml:space="preserve">2、所有货物在开箱检验时必须完好，无破损，配置与装箱单相符。货物外观清洁，标记编号以及盘面显示等字体清晰明确。 </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rPr>
        <w:t xml:space="preserve">3、对于影响货物正常工作的必要组成部分，无论在技术规范中指出与否，投标人都应提供并在投标文件中明确列出。 </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rPr>
        <w:t xml:space="preserve">4、投标人须保证产品符合相关验收标准，并通过验收后，再移交采购人。 </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rPr>
        <w:t>5、投标人所投设备应符合中华人民共和国有关规范和安全要求。</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6</w:t>
      </w:r>
      <w:r>
        <w:rPr>
          <w:rFonts w:hint="eastAsia"/>
          <w:color w:val="auto"/>
          <w:sz w:val="21"/>
          <w:szCs w:val="21"/>
          <w:highlight w:val="none"/>
          <w:lang w:val="en-US"/>
        </w:rPr>
        <w:t xml:space="preserve">、投标须负责投标货物的运输、验收、试运行和售后服务、培训等。 </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7</w:t>
      </w:r>
      <w:r>
        <w:rPr>
          <w:rFonts w:hint="eastAsia"/>
          <w:color w:val="auto"/>
          <w:sz w:val="21"/>
          <w:szCs w:val="21"/>
          <w:highlight w:val="none"/>
          <w:lang w:val="en-US"/>
        </w:rPr>
        <w:t>、本项目产品技术参数及功能要求仅供投标人参考，涉及具体品牌、型号、产地的产品，仅作为项目质量水平与配置的参考，在不低于此基准的前提下，投标人可以选用同档次或更优的同类产品替代。</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8</w:t>
      </w:r>
      <w:r>
        <w:rPr>
          <w:rFonts w:hint="eastAsia"/>
          <w:color w:val="auto"/>
          <w:sz w:val="21"/>
          <w:szCs w:val="21"/>
          <w:highlight w:val="none"/>
          <w:lang w:val="en-US"/>
        </w:rPr>
        <w:t>、本项目为一个整体，投标人必须对本项目整体进行投标，不能只对其中一部分货物进行投标，且要提供详细的技术资料。</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9</w:t>
      </w:r>
      <w:r>
        <w:rPr>
          <w:rFonts w:hint="eastAsia"/>
          <w:color w:val="auto"/>
          <w:sz w:val="21"/>
          <w:szCs w:val="21"/>
          <w:highlight w:val="none"/>
          <w:lang w:val="en-US"/>
        </w:rPr>
        <w:t>、投标人提供的产品必须符合招标文件要求的技术参数及功能要求。</w:t>
      </w:r>
    </w:p>
    <w:p>
      <w:pPr>
        <w:pStyle w:val="9"/>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10</w:t>
      </w:r>
      <w:r>
        <w:rPr>
          <w:rFonts w:hint="eastAsia"/>
          <w:color w:val="auto"/>
          <w:sz w:val="21"/>
          <w:szCs w:val="21"/>
          <w:highlight w:val="none"/>
          <w:lang w:val="en-US"/>
        </w:rPr>
        <w:t>、本项目主要标的的名称（即核心产品）为：</w:t>
      </w:r>
      <w:r>
        <w:rPr>
          <w:rFonts w:hint="eastAsia"/>
          <w:b/>
          <w:bCs/>
          <w:color w:val="auto"/>
          <w:sz w:val="21"/>
          <w:szCs w:val="21"/>
          <w:highlight w:val="none"/>
          <w:lang w:val="en-US"/>
        </w:rPr>
        <w:t>单头电磁小炒炉</w:t>
      </w:r>
      <w:r>
        <w:rPr>
          <w:rFonts w:hint="eastAsia"/>
          <w:color w:val="auto"/>
          <w:sz w:val="21"/>
          <w:szCs w:val="21"/>
          <w:highlight w:val="none"/>
          <w:lang w:val="en-US" w:eastAsia="zh-CN"/>
        </w:rPr>
        <w:t xml:space="preserve"> </w:t>
      </w:r>
      <w:r>
        <w:rPr>
          <w:rFonts w:hint="eastAsia"/>
          <w:color w:val="auto"/>
          <w:sz w:val="21"/>
          <w:szCs w:val="21"/>
          <w:highlight w:val="none"/>
          <w:lang w:val="en-US"/>
        </w:rPr>
        <w:t>。</w:t>
      </w:r>
    </w:p>
    <w:p>
      <w:pPr>
        <w:pStyle w:val="9"/>
        <w:spacing w:before="0" w:after="0" w:line="360" w:lineRule="auto"/>
        <w:ind w:left="0" w:firstLine="480" w:firstLineChars="200"/>
        <w:rPr>
          <w:color w:val="auto"/>
          <w:highlight w:val="none"/>
          <w:lang w:val="en-US"/>
        </w:rPr>
      </w:pPr>
    </w:p>
    <w:p>
      <w:pPr>
        <w:numPr>
          <w:ilvl w:val="0"/>
          <w:numId w:val="0"/>
        </w:numPr>
        <w:rPr>
          <w:rFonts w:ascii="宋体" w:hAnsi="宋体" w:eastAsia="宋体" w:cs="宋体"/>
          <w:b/>
          <w:bCs/>
          <w:color w:val="auto"/>
          <w:sz w:val="24"/>
          <w:szCs w:val="16"/>
          <w:highlight w:val="none"/>
        </w:rPr>
      </w:pPr>
      <w:r>
        <w:rPr>
          <w:rFonts w:hint="eastAsia" w:ascii="宋体" w:hAnsi="宋体" w:eastAsia="宋体" w:cs="宋体"/>
          <w:b/>
          <w:bCs/>
          <w:color w:val="auto"/>
          <w:sz w:val="24"/>
          <w:szCs w:val="16"/>
          <w:highlight w:val="none"/>
          <w:lang w:val="en-US" w:eastAsia="zh-CN"/>
        </w:rPr>
        <w:t>二、</w:t>
      </w:r>
      <w:r>
        <w:rPr>
          <w:rFonts w:hint="eastAsia" w:ascii="宋体" w:hAnsi="宋体" w:eastAsia="宋体" w:cs="宋体"/>
          <w:b/>
          <w:bCs/>
          <w:color w:val="auto"/>
          <w:sz w:val="24"/>
          <w:szCs w:val="16"/>
          <w:highlight w:val="none"/>
        </w:rPr>
        <w:t>采购清单</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659"/>
        <w:gridCol w:w="1621"/>
        <w:gridCol w:w="3828"/>
        <w:gridCol w:w="537"/>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功能及配置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主仓库</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加厚卡板（米面架）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使用聚乙烯(PE/PP)等热塑性材料；</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1.托盘外观整洁，易清洗易消毒；</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2.无钉无刺，在包装过程中不会因意外损毁货物</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3.塑料托盘耐酸碱，耐腐蚀，可在多种特殊场合使用</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4.无毒无味，利于仓库环境改善，不会对货物尤其是食品有任何污染</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5.塑料托盘免熏蒸</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6.托盘不助燃，无静电火花</w:t>
            </w:r>
          </w:p>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7.破损塑料托盘可回收</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不锈钢平板推车</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700*900*800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采用304#不锈钢制作；车身主支架采用38*25不锈钢方通，面板封厚1.2mm不锈钢板，配5"弹力无声脚轮。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副食仓库</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四层板式货架</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1700*500*1500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采用304#不锈钢制作；要求主材不锈钢层板；立柱Φ38×1.0mm，配不锈钢子弹调节脚。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农检室</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不锈钢星盆工作台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单门展示柜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（留样冰箱）</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630*692*1910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内外为全不锈钢材料,防锈抗腐,玻璃门展示，微电脑温度显示器,聚胺脂高压发泡。温度范围：冷藏-6℃~+12℃ 风冷机组</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收货区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电子称</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300KG</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最大称量：300KG，精度：20g，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面尺寸：400*600mm </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挂墙单星洗手盆含水龙头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采用304#不锈钢制作,1.0mm厚优质不锈钢板，不锈钢安装支架。配感应水龙头。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清洁间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加长单星盆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1600*500*800+150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蔬菜加工区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高压洗地水龙头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长：7.5米</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采用3/8''NPT内螺纹，配高压橡胶软管，管子的承受压力是300psi-1000psi，温度0-100度，软管可以自动回卷。</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1200*500*180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1.主支架采用38*25，厚1.2mm不锈钢方管；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去皮机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730*520*900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功率：2.2KW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四门雪柜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（铜管双温双控）</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不锈钢板材内外胆制成，压缩机，制冷效果强，冷藏温度5℃～-5℃，冷冻温度-6℃～-18℃，环保无氟制冷，无凝霜。蒸发器为铜管，凝聚器为铜管铝箔翘片式加风机散热。底部装轮子。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大单星盆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1.台面板采用厚为1.2mm不锈钢板,面板内采用厚20mm加厚防水模板加固；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单门刀具砧板消毒一体柜</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600*600*1600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参数：可容纳砧板4块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可容纳菜刀5把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功率：600W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不锈钢四层货架</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采用304#不锈钢制作；要求主材不锈钢层板；立柱Φ38×1.0mm，配不锈钢子弹调节脚。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双层加固斩台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1.台面板采用厚为1.2mm不锈钢板,面板内采用厚20mm加厚防水模板加固；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鱼肉类加工区</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双层加固斩台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1.台面板采用厚为1.2mm不锈钢板,面板内采用厚20mm加厚防水模板加固；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多功能切菜机</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610*460*810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效率:200KG/H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功率：2.2KW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单门刀具砧板消毒一体柜</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600*600*1600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参数：可容纳砧板4块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可容纳菜刀5把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功率：600W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不锈钢四层货架</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1.主支架采用38*25，厚1.2mm不锈钢方管；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高压洗地水龙头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长：7.5米</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采用3/8''NPT内螺纹，配高压橡胶软管，管子的承受压力是300psi-1000psi，温度0-100度，软管可以自动回卷。</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四门雪柜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（铜管双温双控）</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不锈钢板材内外胆制成，压缩机，制冷效果强，冷藏温度5℃～-5℃，冷冻温度-6℃～-18℃，环保无氟制冷，无凝霜。蒸发器为铜管，凝聚器为铜管铝箔翘片式加风机散热。底部装轮子。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烹饪区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大单星盆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24盆电蒸饭柜          （含24个蒸饭盒）</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1440*660*1560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蒸饭量100-120KG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可供人数：500-600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电压：380V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功率：24KW </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电磁单头煲汤炉</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700*700*700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1.规格：650*750*（500+700）mm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2.电压/功率：380v / 15kW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3.材质：SUS304#不锈钢,面板厚1.20mm,侧板厚1.0mm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4.汤桶：材质304复合底,尺寸Ømm500厚度3mm,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5.面板为一次性折弯无焊接,防水防污垢四面可直接喷淋,具备国家IPX6防护等级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所投产品根据GB4706.1-2005《家用和类似用途电器的安全第1部分:通用要求》、GB4706.52-2008《家用和类似用途电器的安全商用电炉灶、烤箱、灶和灶单元的特殊要求》标准试验的一般条件、分类、标志和说明、对触及带电部件的防护、电动器具的启动、输入功率和电流、发热、工作温度下的泄漏电和电气强度、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防锈、辐射、毒性和类似危险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所投产品依据QB/T 4499-2013《商用电磁灶》进行连续工作时间、自动关机性能的检测；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8"/>
                <w:rFonts w:hint="eastAsia" w:ascii="宋体" w:hAnsi="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单头电磁小炒炉（</w:t>
            </w:r>
            <w:r>
              <w:rPr>
                <w:rStyle w:val="39"/>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500）</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1000*1100*800+450)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1.规格：1000*1100*（800+400）mm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2.电压/功率：380V/15kW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3.材质：采用SUS304不锈钢,面板厚1.20mm,侧板厚1.0mm.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4.锅具：材质409#不锈铁,直径Ø500mm ,容积16L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5.面板为一次性折弯无焊接，防水防污垢四面可直接喷淋，具备国家IPX6防护等级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所投电磁炉符合GB4706.1-2005《家用和类似用途电器的安全第1部分:通用要求》GB4706.52-2008《家用和类似用途电器的安全商用电炉灶、烤箱、灶和灶单元的特殊要求》试验的一般条件、分类、标志和说明、对触及带电部件的防护、输入功率和电流、发热、工作温度下的泄漏电和电气强度、耐潮湿、泄漏电流和电气强度、非正常工作、稳定性和机械危险、机械强度、结构、内部布线、元件、电源连接和外部软线、外部导线用接线端子、接地措施、螺钉和连接、电气间隙、爬电距离和固体绝缘、耐热和耐燃、防锈、辐射、毒性和类似危险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widowControl/>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▲7.所投产品符合SB/T 10548-2009《商用电磁灶》热效率不小于90%的检测；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▲8.所投产品符合QB/T 4499-2013《商用电磁灶》炒菜灶抛锅平均功率合格的检测；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8"/>
                <w:rFonts w:hint="eastAsia" w:ascii="宋体" w:hAnsi="宋体" w:eastAsia="宋体" w:cs="宋体"/>
                <w:color w:val="auto"/>
                <w:sz w:val="21"/>
                <w:szCs w:val="21"/>
                <w:highlight w:val="none"/>
                <w:lang w:val="en-US" w:eastAsia="zh-CN" w:bidi="ar"/>
              </w:rPr>
              <w:t>电磁单头大炒炉（</w:t>
            </w:r>
            <w:r>
              <w:rPr>
                <w:rStyle w:val="39"/>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800）</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1000*1100*（800+400）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1.规格：1000*1100*（800+400）mm</w:t>
            </w:r>
          </w:p>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2.电压/功率：380V/20kW</w:t>
            </w:r>
          </w:p>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3.材质：采用SUS304#不锈钢,面板厚1.20mm，侧板厚1.0mm； </w:t>
            </w:r>
          </w:p>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4.锅具：材质409#、25mm厚的不锈铁，外径Ø800mm，内径Ø730mm，净重：12.5kg;深度250mm,容积61L；</w:t>
            </w:r>
          </w:p>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电磁炉符合GB4706.1-2005《家用和类似用途电器的安全第1部分:通用要求》GB4706.52-2008《家用和类似用途电器的安全商用电炉灶、烤箱、灶和灶单元的特殊要求》试验的一般条件、分类、标志和说明、对触及带电部件的防护、电动器具的启动、输入功率和电流、发热、工作温度下的泄漏电和电气强度、耐潮湿、泄漏电流和电气强度、非正常工作、稳定性和机械危险、机械强度、结构、内部布线、元件、电源连接和外部软线、外部导线用接线端子、接地措施、螺钉和连接、电气间隙、爬电距离和固体绝缘、耐热和耐燃、防锈、辐射、毒性和类似危险的检测。</w:t>
            </w:r>
            <w:r>
              <w:rPr>
                <w:rFonts w:hint="eastAsia" w:ascii="宋体" w:hAnsi="宋体" w:eastAsia="宋体" w:cs="宋体"/>
                <w:b/>
                <w:bCs/>
                <w:i w:val="0"/>
                <w:iCs w:val="0"/>
                <w:color w:val="auto"/>
                <w:kern w:val="0"/>
                <w:sz w:val="21"/>
                <w:szCs w:val="21"/>
                <w:highlight w:val="none"/>
                <w:u w:val="none"/>
                <w:lang w:val="en-US" w:eastAsia="zh-CN" w:bidi="ar"/>
              </w:rPr>
              <w:t>（注：须提供第三方检测机构出具的检测报告复印件，加盖投标人公章。）</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▲6.所投产品应符合GB/T 17626.10-2017《电磁兼容试验和测量技术阻尼振荡磁场抗扰度试验》</w:t>
            </w:r>
            <w:r>
              <w:rPr>
                <w:rFonts w:hint="eastAsia" w:ascii="宋体" w:hAnsi="宋体" w:cs="宋体"/>
                <w:i w:val="0"/>
                <w:iCs w:val="0"/>
                <w:color w:val="auto"/>
                <w:kern w:val="0"/>
                <w:sz w:val="21"/>
                <w:szCs w:val="21"/>
                <w:highlight w:val="none"/>
                <w:u w:val="none"/>
                <w:lang w:val="en-US" w:eastAsia="zh-CN" w:bidi="ar"/>
              </w:rPr>
              <w:t>的检测；</w:t>
            </w:r>
            <w:r>
              <w:rPr>
                <w:rFonts w:hint="eastAsia" w:ascii="宋体" w:hAnsi="宋体" w:eastAsia="宋体" w:cs="宋体"/>
                <w:b/>
                <w:bCs/>
                <w:i w:val="0"/>
                <w:iCs w:val="0"/>
                <w:color w:val="auto"/>
                <w:kern w:val="0"/>
                <w:sz w:val="21"/>
                <w:szCs w:val="21"/>
                <w:highlight w:val="none"/>
                <w:u w:val="none"/>
                <w:lang w:val="en-US" w:eastAsia="zh-CN" w:bidi="ar"/>
              </w:rPr>
              <w:t>（注：须提供第三方检测机构出具的检测报告复印件，加盖投标人公章。）</w:t>
            </w:r>
          </w:p>
          <w:p>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▲7.所投产品符合EN 62233:2008《对人体暴露于家用及类似用途电器电磁场的测量方法》电磁场辐射合格的检测；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▲8.所投产品符合</w:t>
            </w:r>
            <w:r>
              <w:rPr>
                <w:rFonts w:hint="default" w:ascii="宋体" w:hAnsi="宋体" w:eastAsia="宋体" w:cs="宋体"/>
                <w:i w:val="0"/>
                <w:iCs w:val="0"/>
                <w:color w:val="auto"/>
                <w:kern w:val="0"/>
                <w:sz w:val="21"/>
                <w:szCs w:val="21"/>
                <w:highlight w:val="none"/>
                <w:u w:val="none"/>
                <w:lang w:val="en-US" w:eastAsia="zh-CN" w:bidi="ar"/>
              </w:rPr>
              <w:t>QB/T4499-2013《商用电磁灶》</w:t>
            </w:r>
            <w:r>
              <w:rPr>
                <w:rFonts w:hint="eastAsia" w:ascii="宋体" w:hAnsi="宋体" w:eastAsia="宋体" w:cs="宋体"/>
                <w:i w:val="0"/>
                <w:iCs w:val="0"/>
                <w:color w:val="auto"/>
                <w:kern w:val="0"/>
                <w:sz w:val="21"/>
                <w:szCs w:val="21"/>
                <w:highlight w:val="none"/>
                <w:u w:val="none"/>
                <w:lang w:val="en-US" w:eastAsia="zh-CN" w:bidi="ar"/>
              </w:rPr>
              <w:t>防油合格的检测；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▲9.所投产品依据</w:t>
            </w:r>
            <w:r>
              <w:rPr>
                <w:rFonts w:hint="default" w:ascii="宋体" w:hAnsi="宋体" w:eastAsia="宋体" w:cs="宋体"/>
                <w:i w:val="0"/>
                <w:iCs w:val="0"/>
                <w:color w:val="auto"/>
                <w:kern w:val="0"/>
                <w:sz w:val="21"/>
                <w:szCs w:val="21"/>
                <w:highlight w:val="none"/>
                <w:u w:val="none"/>
                <w:lang w:val="en-US" w:eastAsia="zh-CN" w:bidi="ar"/>
              </w:rPr>
              <w:t>GB/T 2423</w:t>
            </w:r>
            <w:r>
              <w:rPr>
                <w:rFonts w:hint="eastAsia" w:ascii="宋体" w:hAnsi="宋体" w:eastAsia="宋体" w:cs="宋体"/>
                <w:i w:val="0"/>
                <w:iCs w:val="0"/>
                <w:color w:val="auto"/>
                <w:kern w:val="0"/>
                <w:sz w:val="21"/>
                <w:szCs w:val="21"/>
                <w:highlight w:val="none"/>
                <w:u w:val="none"/>
                <w:lang w:val="en-US" w:eastAsia="zh-CN" w:bidi="ar"/>
              </w:rPr>
              <w:t>.</w:t>
            </w:r>
            <w:r>
              <w:rPr>
                <w:rFonts w:hint="default" w:ascii="宋体" w:hAnsi="宋体" w:eastAsia="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w:t>
            </w:r>
            <w:r>
              <w:rPr>
                <w:rFonts w:hint="default" w:ascii="宋体" w:hAnsi="宋体" w:eastAsia="宋体" w:cs="宋体"/>
                <w:i w:val="0"/>
                <w:iCs w:val="0"/>
                <w:color w:val="auto"/>
                <w:kern w:val="0"/>
                <w:sz w:val="21"/>
                <w:szCs w:val="21"/>
                <w:highlight w:val="none"/>
                <w:u w:val="none"/>
                <w:lang w:val="en-US" w:eastAsia="zh-CN" w:bidi="ar"/>
              </w:rPr>
              <w:t>2008 电工电子产品境试验 第2部分:试验方法 试验 F</w:t>
            </w:r>
            <w:r>
              <w:rPr>
                <w:rFonts w:hint="eastAsia" w:ascii="宋体" w:hAnsi="宋体" w:eastAsia="宋体" w:cs="宋体"/>
                <w:i w:val="0"/>
                <w:iCs w:val="0"/>
                <w:color w:val="auto"/>
                <w:kern w:val="0"/>
                <w:sz w:val="21"/>
                <w:szCs w:val="21"/>
                <w:highlight w:val="none"/>
                <w:u w:val="none"/>
                <w:lang w:val="en-US" w:eastAsia="zh-CN" w:bidi="ar"/>
              </w:rPr>
              <w:t>e</w:t>
            </w:r>
            <w:r>
              <w:rPr>
                <w:rFonts w:hint="default" w:ascii="宋体" w:hAnsi="宋体" w:eastAsia="宋体" w:cs="宋体"/>
                <w:i w:val="0"/>
                <w:iCs w:val="0"/>
                <w:color w:val="auto"/>
                <w:kern w:val="0"/>
                <w:sz w:val="21"/>
                <w:szCs w:val="21"/>
                <w:highlight w:val="none"/>
                <w:u w:val="none"/>
                <w:lang w:val="en-US" w:eastAsia="zh-CN" w:bidi="ar"/>
              </w:rPr>
              <w:t>:振动(</w:t>
            </w:r>
            <w:r>
              <w:rPr>
                <w:rFonts w:hint="eastAsia" w:ascii="宋体" w:hAnsi="宋体" w:eastAsia="宋体" w:cs="宋体"/>
                <w:i w:val="0"/>
                <w:iCs w:val="0"/>
                <w:color w:val="auto"/>
                <w:kern w:val="0"/>
                <w:sz w:val="21"/>
                <w:szCs w:val="21"/>
                <w:highlight w:val="none"/>
                <w:u w:val="none"/>
                <w:lang w:val="en-US" w:eastAsia="zh-CN" w:bidi="ar"/>
              </w:rPr>
              <w:t>正弦）中振动试验符合要求的检测；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p>
            <w:pPr>
              <w:keepNext w:val="0"/>
              <w:keepLines w:val="0"/>
              <w:widowControl/>
              <w:suppressLineNumbers w:val="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▲10.所投产品符合</w:t>
            </w:r>
            <w:r>
              <w:rPr>
                <w:rFonts w:hint="default" w:ascii="宋体" w:hAnsi="宋体" w:eastAsia="宋体" w:cs="宋体"/>
                <w:i w:val="0"/>
                <w:iCs w:val="0"/>
                <w:color w:val="auto"/>
                <w:kern w:val="0"/>
                <w:sz w:val="21"/>
                <w:szCs w:val="21"/>
                <w:highlight w:val="none"/>
                <w:u w:val="none"/>
                <w:lang w:val="en-US" w:eastAsia="zh-CN" w:bidi="ar"/>
              </w:rPr>
              <w:t>GB 4208-2008《外壳防护等级(IP代码)》</w:t>
            </w:r>
            <w:r>
              <w:rPr>
                <w:rFonts w:hint="eastAsia" w:ascii="宋体" w:hAnsi="宋体" w:eastAsia="宋体" w:cs="宋体"/>
                <w:i w:val="0"/>
                <w:iCs w:val="0"/>
                <w:color w:val="auto"/>
                <w:kern w:val="0"/>
                <w:sz w:val="21"/>
                <w:szCs w:val="21"/>
                <w:highlight w:val="none"/>
                <w:u w:val="none"/>
                <w:lang w:val="en-US" w:eastAsia="zh-CN" w:bidi="ar"/>
              </w:rPr>
              <w:t>要求的检测；</w:t>
            </w:r>
            <w:r>
              <w:rPr>
                <w:rFonts w:hint="eastAsia" w:ascii="宋体" w:hAnsi="宋体" w:cs="宋体"/>
                <w:b/>
                <w:bCs/>
                <w:i w:val="0"/>
                <w:iCs w:val="0"/>
                <w:color w:val="auto"/>
                <w:kern w:val="0"/>
                <w:sz w:val="21"/>
                <w:szCs w:val="21"/>
                <w:highlight w:val="none"/>
                <w:u w:val="none"/>
                <w:lang w:val="en-US" w:eastAsia="zh-CN" w:bidi="ar"/>
              </w:rPr>
              <w:t>（注：须提供第三方检测机构出具的检测报告复印件，加盖投标人公章。）</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不锈钢炉拼台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350*1100*800+450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面板采用厚1.2mm不锈钢板折弯焊接而成。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1080*1250*800+400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双通柜式荷台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采用304#不锈钢制作；台面板采用厚为1.2mm不锈钢板,门板、围板、层板及底板采用厚为1.0mm不锈钢板，4条采用38*38厚1.2mm方通可调脚调脚。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不锈钢四层货架</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1.主支架采用38*25，厚1.2mm不锈钢方管；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四门高身雪柜          （双温双控）</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不锈钢板材内外胆制成，压缩机，制冷效果强，冷藏温度5℃～-5℃，冷冻温度-6℃～-18℃，环保无氟制冷，无凝霜。蒸发器为铜管，凝聚器为铜管铝箔翘片式加风机散热。底部装轮子。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万能蒸烤箱</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855*780*1060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1.规格:855*780*835mm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电压/功率:380V/蒸18kW,烤18kW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所投产品304不锈钢板GB/T 2423.17-2008《电工电子产品环境试验第2部分:试验方法&lt;试验Ka:盐雾》在盐水浓度为(5士1%，喷雾量为（1～2)mL/80cm2/h, PH值在6.5～7.2范围内，大气压在（1士0.01）kgf/cm2，相对湿度在85%以上，温度35℃士2℃,压力桶温度（47士2)℃，连续喷雾600小时后,样品外观应无生锈、无白斑、无腐蚀现象。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所投产品智能显示屏依据GB/T 4208-2017标准,在试验8h情况下，防尘能力达到IP6X，壳内无明显的灰尘沉积；在防高温/高压喷水试验中，从四个角度各喷射不低于30S，水温保持在（80±5）℃，试验结束后，防水能力达到IPX9；     </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灭火系统</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双瓶装</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1、厨房灭火装置依据厨房灶具及烟罩配置情况进行专门设计。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2、系统通过感温元件对厨房火灾进行24小时监控，当厨房灶台或烟道发生火灾时，感温片熔断，设备自动启动灭火装置，喷洒灭火剂并发出声光报警，在3-5秒之内扑灭火灾， 也可以在火灾发生初期，人工启动灭火装置进行自动灭火。</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炊具洗消区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三星洗物盆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不锈钢消毒柜</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1380*680*1920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消毒方式：热风循环高温消毒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容积：880L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电压:220V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功率:3250W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备餐间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不锈钢保洁柜</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1.柜身板、层板、门板及底板采用厚为1.2mm不锈钢板；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单门展示柜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（留样冰箱）</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630*692*1910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内外为全不锈钢材料,防锈抗腐,玻璃门展示，微电脑温度显示器,聚胺脂高压发泡。温度范围：冷藏-6℃~+12℃ 风冷机组</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单通柜式荷台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台面板采用厚为1.2mm不锈钢板,门板、围板、层板及底板采用厚为1.0mm不锈钢板，4条采用38*38厚1.2mm方通可调脚调脚。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回收洗消区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9"/>
                          <a:stretch>
                            <a:fillRect/>
                          </a:stretch>
                        </pic:blipFill>
                        <pic:spPr>
                          <a:xfrm>
                            <a:off x="0" y="0"/>
                            <a:ext cx="10795" cy="9525"/>
                          </a:xfrm>
                          <a:prstGeom prst="rect">
                            <a:avLst/>
                          </a:prstGeom>
                          <a:noFill/>
                          <a:ln>
                            <a:noFill/>
                          </a:ln>
                        </pic:spPr>
                      </pic:pic>
                    </a:graphicData>
                  </a:graphic>
                </wp:anchor>
              </w:drawing>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双头回收柜</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采用304#不锈钢板，台面1.0mm,台面内衬18mm防水机制板并用1.0mm厚不锈钢板折成加强筋加固,后板,侧板,层板1.6mm,脚为不锈钢管，配可调节子弹脚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餐具洁碟台</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单头回收柜</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采用304#不锈钢板，采用厚为1.2mm不锈钢板做柜身和漏斗式回收口。</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加大餐具浸泡盆</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采用304#不锈钢板，1.面板采用厚1.2mm不锈钢板；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热水器连三角挂架</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电压：380V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功率：9KW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长龙式洗碗机</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3800*900*1800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产量：1500-2000碟/小时</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标准配置：一洗一漂一烘干</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 xml:space="preserve">清洗能力：2000~3500(套/h)餐盘 ，适合大型餐饮，学校、政府机关、企业饭堂、酒楼、大型宴会厅、餐具消毒公司使用               </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采用国标304不锈钢材质，坚实耐用，符合食品接触安全要求</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主洗温度60-70℃，漂洗温度82-95℃，消毒更彻底</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45度斜角鹰嘴式传动链带，食品级材质，耐高温，抗老化，更卫生</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一键启动，无需专业人士操作，更直观，更简便。</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高效烘干系统：聚拢型风口设计，快速风干，热风循环，更节能（选型）</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不锈钢喷淋臂，内凹式清洗孔设计，防堵塞，抽拉式可拆卸、易清洗</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主洗喷淋系统采用上四下三组合喷淋系统，更强劲，清洗效率高</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电机扭矩保护系统，防止餐具滑落损失设备</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变频式可调传送速度，可根据客户自己的节奏，自由选择（选型）</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餐具出口防卡装置，多重保护感应系统，保障设备无故障运行</w:t>
            </w:r>
          </w:p>
          <w:p>
            <w:pPr>
              <w:keepNext w:val="0"/>
              <w:keepLines w:val="0"/>
              <w:widowControl/>
              <w:suppressLineNumbers w:val="0"/>
              <w:jc w:val="left"/>
              <w:textAlignment w:val="center"/>
              <w:rPr>
                <w:rStyle w:val="38"/>
                <w:rFonts w:hint="eastAsia" w:ascii="宋体" w:hAnsi="宋体" w:eastAsia="宋体" w:cs="宋体"/>
                <w:color w:val="auto"/>
                <w:sz w:val="21"/>
                <w:szCs w:val="21"/>
                <w:highlight w:val="none"/>
                <w:lang w:val="en-US" w:eastAsia="zh-CN" w:bidi="ar"/>
              </w:rPr>
            </w:pPr>
            <w:r>
              <w:rPr>
                <w:rStyle w:val="38"/>
                <w:rFonts w:hint="eastAsia" w:ascii="宋体" w:hAnsi="宋体" w:eastAsia="宋体" w:cs="宋体"/>
                <w:color w:val="auto"/>
                <w:sz w:val="21"/>
                <w:szCs w:val="21"/>
                <w:highlight w:val="none"/>
                <w:lang w:val="en-US" w:eastAsia="zh-CN" w:bidi="ar"/>
              </w:rPr>
              <w:t>控制箱采用机电控制系统，耐环境，耐使用，寿命长，维修方便，维修成本低</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8"/>
                <w:rFonts w:hint="eastAsia" w:ascii="宋体" w:hAnsi="宋体" w:eastAsia="宋体" w:cs="宋体"/>
                <w:color w:val="auto"/>
                <w:sz w:val="21"/>
                <w:szCs w:val="21"/>
                <w:highlight w:val="none"/>
                <w:lang w:val="en-US" w:eastAsia="zh-CN" w:bidi="ar"/>
              </w:rPr>
              <w:t>长龙式洗碗机模块化设计，灵活组合，满足不同客户不同的需求</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双层推车</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900*500*900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1.车身主支架采用38*25不锈钢方通；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2.横拉管采用25*25不锈钢方通；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3.置碗架四周采用25*25*Φ2.0mm不锈钢钢网；</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4.配耐高温脚轮。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高压洗地水龙头</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长：7.5米</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三星洗物盆</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采用304#不锈钢板;1.面板采用厚1.2mm不锈钢板；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双门消毒柜</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575*575*1628</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消毒方式：中温臭氧消毒+远红外线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烘干温度范围：0-75度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电压:220V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功率900W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不锈钢保洁柜</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采用304#不锈钢制作；1.柜身板、层板、门板及底板采用厚为1.2mm不锈钢板；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双门消毒柜</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1380*680*1920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消毒方式：热风循环高温消毒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容积：880L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电压:220V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功率:3250W</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量贩式自选区</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保温煲</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81328-7</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1、容量：10升，功率：400W/220V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2、尺寸：400*400*380</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自助餐炉</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1、配：1/1*65mm  8.5升食物盆</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2、尺寸：610*475*325</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电饭煲</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23L</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容量：23L</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不锈钢钢餐盘</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大六格</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采用304食品级不锈钢一体成型，易清洗</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双层焊边碗</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13CM</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采用双层不锈钢加工制作，美观大方磨砂型。隔热防烫。</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不锈钢筷子</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圆头餐更</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304#不锈钢2#</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不锈钢保温柜</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采用304#不锈钢板材制作；台面厚1.2mm；加强处理；通脚为Φ38×1.0mm不锈钢管；加装优质不锈钢可调子弹脚φ500*500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水吧</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雪柜工作台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不锈钢板材内外胆制成，压缩机，制冷效果强，冷藏温度5℃～-5℃，冷冻温度-6℃～-18℃，环保无氟制冷，无凝霜。蒸发器为铜管，凝聚器为铜管铝箔翘片式加风机散热。底部装轮子。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单通荷台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1、面板采用厚为1.2mm不锈钢板,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2、门板、围板、层板及底板采用厚为1.2mm不锈钢板，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3、4条采用38*38，厚0.95mm方通可调脚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四门高身雪柜          （双温双控）</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不锈钢板材内外胆制成，压缩机，制冷效果强，冷藏温度5℃～-5℃，冷冻温度-6℃～-18℃，环保无氟制冷，无凝霜。蒸发器为铜管，凝聚器为铜管铝箔翘片式加风机散热。底部装轮子。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不锈钢星盆工作台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1400*700*800+150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1.面板采用厚1.2mm不锈钢板；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2.星盆采用厚1.0mm不锈钢板；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3.四肢采用38*38，厚1.2mm方通可调脚；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4.配不锈钢下水口及水龙头。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工作台</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1450*700*800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采用304#不锈钢制作；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1.台面板采用厚为1.2mm不锈钢板：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2.层条采用30*15，厚1.0mm不锈钢方管；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3.4条采用38*38,厚1.2mm方通可调脚。</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步进式开水器</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190*260*538</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内胆容量：8L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功率：2.5KW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电压：220V</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制冰机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400*500*785</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效率：60KG-24H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功率：275W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电压：220V</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380*450*720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效率：5秒一杯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水箱/料盒容积：1.8L/1KG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功率：1600W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电压：220V</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双缸果汁机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510*450*680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功率：制冷300W/制热1000W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容积：22L*2</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电压：220V</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吧台凳</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高70CM</w:t>
            </w:r>
          </w:p>
        </w:tc>
        <w:tc>
          <w:tcPr>
            <w:tcW w:w="3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可旋转高吧椅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高回弹海绵+科技布面料+钢制腿</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双人餐桌</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800*800*750</w:t>
            </w:r>
          </w:p>
        </w:tc>
        <w:tc>
          <w:tcPr>
            <w:tcW w:w="3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钢木家具，人造木面板，组合式钢底座，一桌配两椅</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油烟抽排系统</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10160"/>
                  <wp:effectExtent l="0" t="0" r="0" b="0"/>
                  <wp:wrapNone/>
                  <wp:docPr id="3" name="图片_10_SpCnt_1"/>
                  <wp:cNvGraphicFramePr/>
                  <a:graphic xmlns:a="http://schemas.openxmlformats.org/drawingml/2006/main">
                    <a:graphicData uri="http://schemas.openxmlformats.org/drawingml/2006/picture">
                      <pic:pic xmlns:pic="http://schemas.openxmlformats.org/drawingml/2006/picture">
                        <pic:nvPicPr>
                          <pic:cNvPr id="3" name="图片_10_SpCnt_1"/>
                          <pic:cNvPicPr/>
                        </pic:nvPicPr>
                        <pic:blipFill>
                          <a:blip r:embed="rId9"/>
                          <a:stretch>
                            <a:fillRect/>
                          </a:stretch>
                        </pic:blipFill>
                        <pic:spPr>
                          <a:xfrm>
                            <a:off x="0" y="0"/>
                            <a:ext cx="10795"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10160"/>
                  <wp:effectExtent l="0" t="0" r="0" b="0"/>
                  <wp:wrapNone/>
                  <wp:docPr id="5" name="图片_10_SpCnt_2"/>
                  <wp:cNvGraphicFramePr/>
                  <a:graphic xmlns:a="http://schemas.openxmlformats.org/drawingml/2006/main">
                    <a:graphicData uri="http://schemas.openxmlformats.org/drawingml/2006/picture">
                      <pic:pic xmlns:pic="http://schemas.openxmlformats.org/drawingml/2006/picture">
                        <pic:nvPicPr>
                          <pic:cNvPr id="5" name="图片_10_SpCnt_2"/>
                          <pic:cNvPicPr/>
                        </pic:nvPicPr>
                        <pic:blipFill>
                          <a:blip r:embed="rId9"/>
                          <a:stretch>
                            <a:fillRect/>
                          </a:stretch>
                        </pic:blipFill>
                        <pic:spPr>
                          <a:xfrm>
                            <a:off x="0" y="0"/>
                            <a:ext cx="10795"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10160"/>
                  <wp:effectExtent l="0" t="0" r="0" b="0"/>
                  <wp:wrapNone/>
                  <wp:docPr id="6" name="图片_10_SpCnt_3"/>
                  <wp:cNvGraphicFramePr/>
                  <a:graphic xmlns:a="http://schemas.openxmlformats.org/drawingml/2006/main">
                    <a:graphicData uri="http://schemas.openxmlformats.org/drawingml/2006/picture">
                      <pic:pic xmlns:pic="http://schemas.openxmlformats.org/drawingml/2006/picture">
                        <pic:nvPicPr>
                          <pic:cNvPr id="6" name="图片_10_SpCnt_3"/>
                          <pic:cNvPicPr/>
                        </pic:nvPicPr>
                        <pic:blipFill>
                          <a:blip r:embed="rId9"/>
                          <a:stretch>
                            <a:fillRect/>
                          </a:stretch>
                        </pic:blipFill>
                        <pic:spPr>
                          <a:xfrm>
                            <a:off x="0" y="0"/>
                            <a:ext cx="10795" cy="10160"/>
                          </a:xfrm>
                          <a:prstGeom prst="rect">
                            <a:avLst/>
                          </a:prstGeom>
                          <a:noFill/>
                          <a:ln>
                            <a:noFill/>
                          </a:ln>
                        </pic:spPr>
                      </pic:pic>
                    </a:graphicData>
                  </a:graphic>
                </wp:anchor>
              </w:drawing>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不锈钢网式抽油烟罩</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1300*L*600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面板采用厚1.2mm不锈钢板</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不锈钢油烟网</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500*500*50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0.6mm不锈钢板折弯而成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炉后封板</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600*L</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采用304#不锈钢厚1.0mm不锈钢板折弯焊接而成</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抽油烟风柜</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风柜防震座架</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按风柜尺寸</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采用4*8槽钢及5*5角钢，外刷防锈油漆，配专用减震器。</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6线制风柜线路  （厨房到顶楼）</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新三角降压启动电箱</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6平方线路</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1"/>
                <w:rFonts w:hint="eastAsia" w:ascii="宋体" w:hAnsi="宋体" w:eastAsia="宋体" w:cs="宋体"/>
                <w:color w:val="auto"/>
                <w:sz w:val="21"/>
                <w:szCs w:val="21"/>
                <w:highlight w:val="none"/>
                <w:lang w:val="en-US" w:eastAsia="zh-CN" w:bidi="ar"/>
              </w:rPr>
            </w:pPr>
            <w:r>
              <w:rPr>
                <w:rStyle w:val="41"/>
                <w:rFonts w:hint="eastAsia" w:ascii="宋体" w:hAnsi="宋体" w:eastAsia="宋体" w:cs="宋体"/>
                <w:color w:val="auto"/>
                <w:sz w:val="21"/>
                <w:szCs w:val="21"/>
                <w:highlight w:val="none"/>
                <w:lang w:val="en-US" w:eastAsia="zh-CN" w:bidi="ar"/>
              </w:rPr>
              <w:t>爬墙管连弯头</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1"/>
                <w:rFonts w:hint="eastAsia" w:ascii="宋体" w:hAnsi="宋体" w:eastAsia="宋体" w:cs="宋体"/>
                <w:color w:val="auto"/>
                <w:sz w:val="21"/>
                <w:szCs w:val="21"/>
                <w:highlight w:val="none"/>
                <w:lang w:val="en-US" w:eastAsia="zh-CN" w:bidi="ar"/>
              </w:rPr>
              <w:t>（含高空作业费）</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500*700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采用0.8镀锌板制作</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墙身管包铝塑板</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网孔直径2.5mm</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按需定制</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防火阀（150℃)</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500*700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须符合</w:t>
            </w:r>
            <w:r>
              <w:rPr>
                <w:rFonts w:hint="eastAsia" w:ascii="宋体" w:hAnsi="宋体" w:eastAsia="宋体" w:cs="宋体"/>
                <w:i w:val="0"/>
                <w:iCs w:val="0"/>
                <w:color w:val="auto"/>
                <w:kern w:val="0"/>
                <w:sz w:val="21"/>
                <w:szCs w:val="21"/>
                <w:highlight w:val="none"/>
                <w:u w:val="none"/>
                <w:lang w:val="en-US" w:eastAsia="zh-CN" w:bidi="ar"/>
              </w:rPr>
              <w:t>行业标准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19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油烟处理系统</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高空油烟净化器</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8"/>
                <w:rFonts w:hint="eastAsia" w:ascii="宋体" w:hAnsi="宋体" w:eastAsia="宋体" w:cs="宋体"/>
                <w:color w:val="auto"/>
                <w:sz w:val="21"/>
                <w:szCs w:val="21"/>
                <w:highlight w:val="none"/>
                <w:lang w:val="en-US" w:eastAsia="zh-CN" w:bidi="ar"/>
              </w:rPr>
              <w:t>32000m</w:t>
            </w:r>
            <w:r>
              <w:rPr>
                <w:rStyle w:val="43"/>
                <w:rFonts w:hint="eastAsia" w:ascii="宋体" w:hAnsi="宋体" w:eastAsia="宋体" w:cs="宋体"/>
                <w:color w:val="auto"/>
                <w:sz w:val="21"/>
                <w:szCs w:val="21"/>
                <w:highlight w:val="none"/>
                <w:lang w:val="en-US" w:eastAsia="zh-CN" w:bidi="ar"/>
              </w:rPr>
              <w:t>3</w:t>
            </w:r>
            <w:r>
              <w:rPr>
                <w:rStyle w:val="42"/>
                <w:rFonts w:hint="eastAsia" w:ascii="宋体" w:hAnsi="宋体" w:eastAsia="宋体" w:cs="宋体"/>
                <w:color w:val="auto"/>
                <w:sz w:val="21"/>
                <w:szCs w:val="21"/>
                <w:highlight w:val="none"/>
                <w:lang w:val="en-US" w:eastAsia="zh-CN" w:bidi="ar"/>
              </w:rPr>
              <w:t>/H风量</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功率：1.8KW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净化器座架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采用50*50加厚角钢，外刷防锈油漆。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净化器线路及开关</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开关、2.5平方金环宇线路</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417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厨房鲜风系统</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环保空调连座架</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1"/>
                <w:rFonts w:hint="eastAsia" w:ascii="宋体" w:hAnsi="宋体" w:eastAsia="宋体" w:cs="宋体"/>
                <w:color w:val="auto"/>
                <w:sz w:val="21"/>
                <w:szCs w:val="21"/>
                <w:highlight w:val="none"/>
                <w:lang w:val="en-US" w:eastAsia="zh-CN" w:bidi="ar"/>
              </w:rPr>
              <w:t>风量28000m</w:t>
            </w:r>
            <w:r>
              <w:rPr>
                <w:rStyle w:val="44"/>
                <w:rFonts w:hint="eastAsia" w:ascii="宋体" w:hAnsi="宋体" w:eastAsia="宋体" w:cs="宋体"/>
                <w:color w:val="auto"/>
                <w:sz w:val="21"/>
                <w:szCs w:val="21"/>
                <w:highlight w:val="none"/>
                <w:lang w:val="en-US" w:eastAsia="zh-CN" w:bidi="ar"/>
              </w:rPr>
              <w:t>³</w:t>
            </w:r>
            <w:r>
              <w:rPr>
                <w:rStyle w:val="41"/>
                <w:rFonts w:hint="eastAsia" w:ascii="宋体" w:hAnsi="宋体" w:eastAsia="宋体" w:cs="宋体"/>
                <w:color w:val="auto"/>
                <w:sz w:val="21"/>
                <w:szCs w:val="21"/>
                <w:highlight w:val="none"/>
                <w:lang w:val="en-US" w:eastAsia="zh-CN" w:bidi="ar"/>
              </w:rPr>
              <w:t>/H</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环保空调线路连专用开关</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进水及排水</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联塑管件</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鲜风管</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500*600</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采用0.8MM锌铁板制作</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不锈钢可调鲜风咀</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highlight w:val="none"/>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1800*220*180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风量：2700m3/h</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1200*220*180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风量：1710m3/h</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紫外线杀菌灯</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920*130*80</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1、功率：36W                                                        2、使用寿命不低于8000小时。</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390*85*295</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1、2*4WLED诱蚊灯管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2、输出高压：2000-2500V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3、尺寸：390*85*295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4、理论覆盖面积：60-80㎡</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防鼠板</w:t>
            </w:r>
          </w:p>
        </w:tc>
        <w:tc>
          <w:tcPr>
            <w:tcW w:w="9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2000*600 1块</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1200*600 1块</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1000*600 3块</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采用1.2mm厚不锈钢板。</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明厨亮灶系统</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1、32路2K录像机;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2、6T硬盘；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3、12个400万高清摄像头；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4、16口千兆交换机；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5、1部65寸电视机；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6、显示器、机柜及视频延长器。</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安装辅料及安装费</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1"/>
                <w:szCs w:val="21"/>
                <w:highlight w:val="none"/>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5" w:name="_Toc28584"/>
      <w:r>
        <w:rPr>
          <w:rFonts w:hint="eastAsia"/>
          <w:color w:val="auto"/>
          <w:highlight w:val="none"/>
        </w:rPr>
        <w:br w:type="page"/>
      </w:r>
    </w:p>
    <w:p>
      <w:pPr>
        <w:pStyle w:val="3"/>
        <w:numPr>
          <w:ilvl w:val="0"/>
          <w:numId w:val="2"/>
        </w:numPr>
        <w:rPr>
          <w:color w:val="auto"/>
          <w:highlight w:val="none"/>
        </w:rPr>
      </w:pPr>
      <w:r>
        <w:rPr>
          <w:rFonts w:hint="eastAsia"/>
          <w:color w:val="auto"/>
          <w:highlight w:val="none"/>
        </w:rPr>
        <w:t>详细评审</w:t>
      </w:r>
      <w:bookmarkEnd w:id="145"/>
    </w:p>
    <w:tbl>
      <w:tblPr>
        <w:tblStyle w:val="18"/>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70"/>
        <w:gridCol w:w="31"/>
        <w:gridCol w:w="957"/>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6" w:type="dxa"/>
            <w:vMerge w:val="restart"/>
            <w:shd w:val="clear" w:color="auto" w:fill="auto"/>
            <w:vAlign w:val="center"/>
          </w:tcPr>
          <w:p>
            <w:pPr>
              <w:pStyle w:val="27"/>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701" w:type="dxa"/>
            <w:gridSpan w:val="2"/>
            <w:vMerge w:val="restart"/>
            <w:shd w:val="clear" w:color="auto" w:fill="auto"/>
            <w:vAlign w:val="center"/>
          </w:tcPr>
          <w:p>
            <w:pPr>
              <w:pStyle w:val="27"/>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957" w:type="dxa"/>
            <w:vMerge w:val="restart"/>
            <w:shd w:val="clear" w:color="auto" w:fill="auto"/>
            <w:vAlign w:val="center"/>
          </w:tcPr>
          <w:p>
            <w:pPr>
              <w:pStyle w:val="27"/>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617" w:type="dxa"/>
            <w:vMerge w:val="restart"/>
            <w:shd w:val="clear" w:color="auto" w:fill="auto"/>
            <w:vAlign w:val="center"/>
          </w:tcPr>
          <w:p>
            <w:pPr>
              <w:pStyle w:val="27"/>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6" w:type="dxa"/>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1701" w:type="dxa"/>
            <w:gridSpan w:val="2"/>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957" w:type="dxa"/>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5617" w:type="dxa"/>
            <w:vMerge w:val="continue"/>
            <w:shd w:val="clear" w:color="auto" w:fill="auto"/>
            <w:vAlign w:val="center"/>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1" w:type="dxa"/>
            <w:gridSpan w:val="5"/>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6" w:type="dxa"/>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701" w:type="dxa"/>
            <w:gridSpan w:val="2"/>
            <w:shd w:val="clear" w:color="auto" w:fill="auto"/>
            <w:vAlign w:val="center"/>
          </w:tcPr>
          <w:p>
            <w:pPr>
              <w:pStyle w:val="37"/>
              <w:spacing w:line="360" w:lineRule="auto"/>
              <w:ind w:left="0" w:leftChars="0"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业绩</w:t>
            </w:r>
          </w:p>
        </w:tc>
        <w:tc>
          <w:tcPr>
            <w:tcW w:w="957" w:type="dxa"/>
            <w:shd w:val="clear" w:color="auto" w:fill="auto"/>
            <w:vAlign w:val="center"/>
          </w:tcPr>
          <w:p>
            <w:pPr>
              <w:pStyle w:val="37"/>
              <w:spacing w:line="360" w:lineRule="auto"/>
              <w:ind w:left="0" w:leftChars="0"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12</w:t>
            </w:r>
          </w:p>
        </w:tc>
        <w:tc>
          <w:tcPr>
            <w:tcW w:w="5617" w:type="dxa"/>
            <w:shd w:val="clear" w:color="auto" w:fill="auto"/>
            <w:vAlign w:val="center"/>
          </w:tcPr>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根据投标人具有</w:t>
            </w:r>
            <w:r>
              <w:rPr>
                <w:rFonts w:hint="eastAsia" w:ascii="宋体" w:eastAsia="宋体" w:cs="宋体"/>
                <w:color w:val="auto"/>
                <w:sz w:val="21"/>
                <w:szCs w:val="21"/>
                <w:highlight w:val="none"/>
                <w:lang w:val="en-US" w:eastAsia="zh-CN"/>
              </w:rPr>
              <w:t>含</w:t>
            </w:r>
            <w:r>
              <w:rPr>
                <w:rFonts w:hint="eastAsia" w:ascii="宋体" w:eastAsia="宋体" w:cs="宋体"/>
                <w:color w:val="auto"/>
                <w:sz w:val="21"/>
                <w:szCs w:val="21"/>
                <w:highlight w:val="none"/>
              </w:rPr>
              <w:t>厨房设备</w:t>
            </w:r>
            <w:r>
              <w:rPr>
                <w:rFonts w:hint="eastAsia" w:ascii="宋体" w:eastAsia="宋体" w:cs="宋体"/>
                <w:color w:val="auto"/>
                <w:sz w:val="21"/>
                <w:szCs w:val="21"/>
                <w:highlight w:val="none"/>
                <w:lang w:val="en-US" w:eastAsia="zh-CN"/>
              </w:rPr>
              <w:t>采购</w:t>
            </w:r>
            <w:r>
              <w:rPr>
                <w:rFonts w:hint="eastAsia" w:ascii="宋体" w:eastAsia="宋体" w:cs="宋体"/>
                <w:color w:val="auto"/>
                <w:sz w:val="21"/>
                <w:szCs w:val="21"/>
                <w:highlight w:val="none"/>
              </w:rPr>
              <w:t>类项目业绩进行评审，每提供一个业绩得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分，本项最高得</w:t>
            </w:r>
            <w:r>
              <w:rPr>
                <w:rFonts w:hint="eastAsia" w:ascii="宋体" w:eastAsia="宋体" w:cs="宋体"/>
                <w:color w:val="auto"/>
                <w:sz w:val="21"/>
                <w:szCs w:val="21"/>
                <w:highlight w:val="none"/>
                <w:lang w:val="en-US" w:eastAsia="zh-CN"/>
              </w:rPr>
              <w:t>12</w:t>
            </w:r>
            <w:r>
              <w:rPr>
                <w:rFonts w:hint="eastAsia" w:ascii="宋体" w:eastAsia="宋体" w:cs="宋体"/>
                <w:color w:val="auto"/>
                <w:sz w:val="21"/>
                <w:szCs w:val="21"/>
                <w:highlight w:val="none"/>
              </w:rPr>
              <w:t>分。</w:t>
            </w:r>
          </w:p>
          <w:p>
            <w:pPr>
              <w:pStyle w:val="37"/>
              <w:spacing w:line="360" w:lineRule="auto"/>
              <w:ind w:left="0" w:leftChars="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注：须提供合同复印件加盖投标人公章，否则不得分。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6" w:type="dxa"/>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701" w:type="dxa"/>
            <w:gridSpan w:val="2"/>
            <w:shd w:val="clear" w:color="auto" w:fill="auto"/>
            <w:vAlign w:val="center"/>
          </w:tcPr>
          <w:p>
            <w:pPr>
              <w:pStyle w:val="37"/>
              <w:spacing w:line="360" w:lineRule="auto"/>
              <w:ind w:left="0" w:firstLine="0" w:firstLineChars="0"/>
              <w:jc w:val="center"/>
              <w:rPr>
                <w:rFonts w:ascii="宋体" w:eastAsia="宋体" w:cs="宋体"/>
                <w:color w:val="auto"/>
                <w:sz w:val="21"/>
                <w:szCs w:val="21"/>
                <w:highlight w:val="none"/>
              </w:rPr>
            </w:pPr>
            <w:r>
              <w:rPr>
                <w:rFonts w:hint="eastAsia" w:ascii="宋体" w:hAnsi="宋体" w:eastAsia="宋体" w:cs="宋体"/>
                <w:b w:val="0"/>
                <w:bCs w:val="0"/>
                <w:color w:val="auto"/>
                <w:sz w:val="21"/>
                <w:szCs w:val="21"/>
                <w:highlight w:val="none"/>
              </w:rPr>
              <w:t>服务响应时间</w:t>
            </w:r>
          </w:p>
        </w:tc>
        <w:tc>
          <w:tcPr>
            <w:tcW w:w="957" w:type="dxa"/>
            <w:shd w:val="clear" w:color="auto" w:fill="auto"/>
            <w:vAlign w:val="center"/>
          </w:tcPr>
          <w:p>
            <w:pPr>
              <w:pStyle w:val="37"/>
              <w:spacing w:line="360" w:lineRule="auto"/>
              <w:ind w:left="0"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617" w:type="dxa"/>
            <w:shd w:val="clear" w:color="auto" w:fill="auto"/>
            <w:vAlign w:val="center"/>
          </w:tcPr>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根据投标人提供的服务响应时间承诺进行评审：</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承诺在接到采购人通知后1小时（含）内到现场的，得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承诺在接到采购人通知后2小时（含）内到现场的，得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承诺在接到采购人通知后3小时（含）内到现场的，得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未承诺或承诺在接到采购人通知后超过3小时到现场的，不得分。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注：须提供单独服务承诺书，并加盖投标人公章。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41" w:type="dxa"/>
            <w:gridSpan w:val="5"/>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val="en-US" w:eastAsia="zh-CN"/>
              </w:rPr>
              <w:t>55</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6" w:type="dxa"/>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701" w:type="dxa"/>
            <w:gridSpan w:val="2"/>
            <w:shd w:val="clear" w:color="auto" w:fill="auto"/>
            <w:vAlign w:val="center"/>
          </w:tcPr>
          <w:p>
            <w:pPr>
              <w:spacing w:line="360" w:lineRule="auto"/>
              <w:jc w:val="center"/>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技术响应情况</w:t>
            </w:r>
          </w:p>
        </w:tc>
        <w:tc>
          <w:tcPr>
            <w:tcW w:w="957" w:type="dxa"/>
            <w:shd w:val="clear" w:color="auto" w:fill="auto"/>
            <w:vAlign w:val="center"/>
          </w:tcPr>
          <w:p>
            <w:pPr>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 xml:space="preserve"> 11</w:t>
            </w:r>
          </w:p>
        </w:tc>
        <w:tc>
          <w:tcPr>
            <w:tcW w:w="5617" w:type="dxa"/>
            <w:shd w:val="clear" w:color="auto" w:fill="auto"/>
            <w:vAlign w:val="center"/>
          </w:tcPr>
          <w:p>
            <w:pPr>
              <w:pStyle w:val="27"/>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对用户需求书中带“▲”技术要求条款的技术指标进行响应，若全部响应为满足或优于的得</w:t>
            </w:r>
            <w:r>
              <w:rPr>
                <w:rFonts w:hint="eastAsia" w:ascii="宋体" w:eastAsia="宋体" w:cs="宋体"/>
                <w:color w:val="auto"/>
                <w:sz w:val="21"/>
                <w:szCs w:val="21"/>
                <w:highlight w:val="none"/>
                <w:lang w:val="en-US" w:eastAsia="zh-CN"/>
              </w:rPr>
              <w:t>11分</w:t>
            </w:r>
            <w:r>
              <w:rPr>
                <w:rFonts w:hint="eastAsia" w:ascii="宋体" w:eastAsia="宋体" w:cs="宋体"/>
                <w:color w:val="auto"/>
                <w:sz w:val="21"/>
                <w:szCs w:val="21"/>
                <w:highlight w:val="none"/>
              </w:rPr>
              <w:t>，不满足或者不响应的每一个扣</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分，扣完为止，本项最低得0分。</w:t>
            </w:r>
          </w:p>
          <w:p>
            <w:pPr>
              <w:pStyle w:val="27"/>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①对用户需求中的带“▲”技术指标条款，用户需求书要求提供证明资料的，则投标文件中须提供对应产品参数的证明资料并加盖投标人公章；</w:t>
            </w:r>
          </w:p>
          <w:p>
            <w:pPr>
              <w:pStyle w:val="27"/>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②对用户需求书中带“▲”技术指标条款，用户需求书未要求提供证明资料的，则投标文件中须提供所投产品彩页原件或技术白皮书或技术参数说明等详细技术资料并加盖投标人公章。</w:t>
            </w:r>
          </w:p>
          <w:p>
            <w:pPr>
              <w:pStyle w:val="27"/>
              <w:spacing w:line="360" w:lineRule="auto"/>
              <w:ind w:firstLine="420" w:firstLineChars="200"/>
              <w:rPr>
                <w:rFonts w:ascii="宋体" w:eastAsia="宋体" w:cs="宋体"/>
                <w:b/>
                <w:bCs/>
                <w:color w:val="auto"/>
                <w:sz w:val="21"/>
                <w:szCs w:val="21"/>
                <w:highlight w:val="none"/>
              </w:rPr>
            </w:pPr>
            <w:r>
              <w:rPr>
                <w:rFonts w:hint="eastAsia" w:ascii="宋体" w:eastAsia="宋体" w:cs="宋体"/>
                <w:color w:val="auto"/>
                <w:sz w:val="21"/>
                <w:szCs w:val="21"/>
                <w:highlight w:val="none"/>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66" w:type="dxa"/>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701" w:type="dxa"/>
            <w:gridSpan w:val="2"/>
            <w:shd w:val="clear" w:color="auto" w:fill="auto"/>
            <w:vAlign w:val="center"/>
          </w:tcPr>
          <w:p>
            <w:pPr>
              <w:pStyle w:val="37"/>
              <w:spacing w:line="360" w:lineRule="auto"/>
              <w:ind w:left="0"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总体</w:t>
            </w:r>
            <w:r>
              <w:rPr>
                <w:rFonts w:hint="eastAsia" w:ascii="宋体" w:eastAsia="宋体" w:cs="宋体"/>
                <w:color w:val="auto"/>
                <w:sz w:val="21"/>
                <w:szCs w:val="21"/>
                <w:highlight w:val="none"/>
              </w:rPr>
              <w:t>技术方案</w:t>
            </w:r>
          </w:p>
        </w:tc>
        <w:tc>
          <w:tcPr>
            <w:tcW w:w="957" w:type="dxa"/>
            <w:shd w:val="clear" w:color="auto" w:fill="auto"/>
            <w:vAlign w:val="center"/>
          </w:tcPr>
          <w:p>
            <w:pPr>
              <w:pStyle w:val="37"/>
              <w:spacing w:line="360" w:lineRule="auto"/>
              <w:ind w:left="0"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13</w:t>
            </w:r>
          </w:p>
        </w:tc>
        <w:tc>
          <w:tcPr>
            <w:tcW w:w="5617" w:type="dxa"/>
            <w:shd w:val="clear" w:color="auto" w:fill="auto"/>
            <w:vAlign w:val="center"/>
          </w:tcPr>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根据投标人提供的总体技术方案（包括但不限于对对招标需求的整体理解及响应程度、技术人员配置、安装技术及工艺等）进行综合评审：</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投标人对招标需求的整体理解科学准确、技术方案具体详细，响应程度高，得</w:t>
            </w:r>
            <w:r>
              <w:rPr>
                <w:rFonts w:hint="eastAsia" w:ascii="宋体" w:eastAsia="宋体" w:cs="宋体"/>
                <w:color w:val="auto"/>
                <w:sz w:val="21"/>
                <w:szCs w:val="21"/>
                <w:highlight w:val="none"/>
                <w:lang w:val="en-US" w:eastAsia="zh-CN"/>
              </w:rPr>
              <w:t>13</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投标人对招标需求的整体理解基本准确、技术方案较具体详细，响应程度较高，得</w:t>
            </w:r>
            <w:r>
              <w:rPr>
                <w:rFonts w:hint="eastAsia" w:ascii="宋体" w:eastAsia="宋体" w:cs="宋体"/>
                <w:color w:val="auto"/>
                <w:sz w:val="21"/>
                <w:szCs w:val="21"/>
                <w:highlight w:val="none"/>
                <w:lang w:val="en-US" w:eastAsia="zh-CN"/>
              </w:rPr>
              <w:t>9</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投标人对招标需求的整体理解一般、技术方案一般详细，响应程度一般，得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投标人对招标需求的整体理解差、技术方案不够具体完整，响应程度差，得1分；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未提供总体技术方案的，得0分。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供货方案</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 xml:space="preserve">12 </w:t>
            </w:r>
          </w:p>
        </w:tc>
        <w:tc>
          <w:tcPr>
            <w:tcW w:w="56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根据投标人提供的供货方案（包括但不限于供货安装进度计划、安装调试实施计划等内容）进行综合评分：</w:t>
            </w:r>
          </w:p>
          <w:p>
            <w:pPr>
              <w:pStyle w:val="37"/>
              <w:spacing w:line="360" w:lineRule="auto"/>
              <w:ind w:left="0" w:firstLine="420" w:firstLineChars="200"/>
              <w:jc w:val="left"/>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供货方案（包括但不限于供货安装进度计划、安装调试实施计划等内容）详细完整、合理、可行性强的，得</w:t>
            </w:r>
            <w:r>
              <w:rPr>
                <w:rFonts w:hint="eastAsia" w:ascii="宋体" w:eastAsia="宋体" w:cs="宋体"/>
                <w:color w:val="auto"/>
                <w:sz w:val="21"/>
                <w:szCs w:val="21"/>
                <w:highlight w:val="none"/>
                <w:lang w:val="en-US" w:eastAsia="zh-CN"/>
              </w:rPr>
              <w:t>12分；</w:t>
            </w:r>
          </w:p>
          <w:p>
            <w:pPr>
              <w:pStyle w:val="37"/>
              <w:spacing w:line="360" w:lineRule="auto"/>
              <w:ind w:left="0" w:firstLine="420" w:firstLineChars="200"/>
              <w:jc w:val="left"/>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供货方案（包括但不限于供货安装进度计划、安装调试实施计划等内容）较详细完整、较合理、可行性较强的，得</w:t>
            </w:r>
            <w:r>
              <w:rPr>
                <w:rFonts w:hint="eastAsia" w:ascii="宋体" w:eastAsia="宋体" w:cs="宋体"/>
                <w:color w:val="auto"/>
                <w:sz w:val="21"/>
                <w:szCs w:val="21"/>
                <w:highlight w:val="none"/>
                <w:lang w:val="en-US" w:eastAsia="zh-CN"/>
              </w:rPr>
              <w:t>9分；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供货方案（包括但不限于供货安装进度计划、安装调试实施计划等内容）基本完整、基本合理、可行性一般的，得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供货方案（包括但不限于供货安装进度计划、安装调试实施计划等内容）不完整、合理性差的，得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未提供供货方案的，得0分。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质量保证措施</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6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根据投标人所拟定的质量保障措施方案（包括但不限于质量目标、质量控制及检验措施等）进行综合评审：</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质量目标非常明确科学合理，施工质量的控制非常详细，检验措施非常可行，得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质量目标基本明确合理，施工质量的控制措施基本符合要求，检验措施基本可行的，得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分；</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w:t>
            </w:r>
            <w:r>
              <w:rPr>
                <w:rFonts w:hint="eastAsia" w:ascii="宋体" w:eastAsia="宋体" w:cs="宋体"/>
                <w:color w:val="auto"/>
                <w:sz w:val="21"/>
                <w:szCs w:val="21"/>
                <w:highlight w:val="none"/>
                <w:lang w:val="en-US" w:eastAsia="zh-CN"/>
              </w:rPr>
              <w:t>合理性一般</w:t>
            </w:r>
            <w:r>
              <w:rPr>
                <w:rFonts w:hint="eastAsia" w:ascii="宋体" w:eastAsia="宋体" w:cs="宋体"/>
                <w:color w:val="auto"/>
                <w:sz w:val="21"/>
                <w:szCs w:val="21"/>
                <w:highlight w:val="none"/>
              </w:rPr>
              <w:t>，施工质量的控制措施</w:t>
            </w:r>
            <w:r>
              <w:rPr>
                <w:rFonts w:hint="eastAsia" w:ascii="宋体" w:eastAsia="宋体" w:cs="宋体"/>
                <w:color w:val="auto"/>
                <w:sz w:val="21"/>
                <w:szCs w:val="21"/>
                <w:highlight w:val="none"/>
                <w:lang w:val="en-US" w:eastAsia="zh-CN"/>
              </w:rPr>
              <w:t>一般</w:t>
            </w:r>
            <w:r>
              <w:rPr>
                <w:rFonts w:hint="eastAsia" w:ascii="宋体" w:eastAsia="宋体" w:cs="宋体"/>
                <w:color w:val="auto"/>
                <w:sz w:val="21"/>
                <w:szCs w:val="21"/>
                <w:highlight w:val="none"/>
              </w:rPr>
              <w:t>，检验措施可行</w:t>
            </w:r>
            <w:r>
              <w:rPr>
                <w:rFonts w:hint="eastAsia" w:ascii="宋体" w:eastAsia="宋体" w:cs="宋体"/>
                <w:color w:val="auto"/>
                <w:sz w:val="21"/>
                <w:szCs w:val="21"/>
                <w:highlight w:val="none"/>
                <w:lang w:val="en-US" w:eastAsia="zh-CN"/>
              </w:rPr>
              <w:t>性一般的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质量目标不够明确，施工质量的控制不够详细，检验措施可行度不高的，得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未提供质量保证措施的，得0分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售后服务方案</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 xml:space="preserve"> 9</w:t>
            </w:r>
          </w:p>
        </w:tc>
        <w:tc>
          <w:tcPr>
            <w:tcW w:w="56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根据投标人提供的售后服务方案（包括但不限于对内容与范围、服务承诺和保障措施、产品质量保证措施及培训措施等内容）进行综合评分：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售后服务方案（包括但不限于对内容与范围、服务承诺和保障措施、产品质量保证措施及培训措施等内容）详细完整、合理、可行性强的，得</w:t>
            </w:r>
            <w:r>
              <w:rPr>
                <w:rFonts w:hint="eastAsia" w:ascii="宋体" w:eastAsia="宋体" w:cs="宋体"/>
                <w:color w:val="auto"/>
                <w:sz w:val="21"/>
                <w:szCs w:val="21"/>
                <w:highlight w:val="none"/>
                <w:lang w:val="en-US" w:eastAsia="zh-CN"/>
              </w:rPr>
              <w:t>9</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售后服务方案（包括但不限于对内容与范围、服务承诺和保障措施、产品质量保证措施及培训措施等内容）较详细完整、较合理、可行性较强的，得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售后服务方案（包括但不限于对内容与范围、服务承诺和保障措施、产品质量保证措施及培训措施等内容）基本完整、基本合理、可行性一般的，得3分；</w:t>
            </w:r>
          </w:p>
          <w:p>
            <w:pPr>
              <w:pStyle w:val="37"/>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售后服务方案（包括但不限于对内容与范围、服务承诺和保障措施、产品质量保证措施及培训措施等内容）不完整、合理性差的，得1分；</w:t>
            </w:r>
          </w:p>
          <w:p>
            <w:pPr>
              <w:pStyle w:val="37"/>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未提供售后服务方案的，得0分。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6" w:hRule="atLeast"/>
          <w:jc w:val="center"/>
        </w:trPr>
        <w:tc>
          <w:tcPr>
            <w:tcW w:w="8941" w:type="dxa"/>
            <w:gridSpan w:val="5"/>
            <w:tcBorders>
              <w:top w:val="nil"/>
              <w:left w:val="single" w:color="auto" w:sz="4" w:space="0"/>
              <w:bottom w:val="single" w:color="auto" w:sz="4" w:space="0"/>
              <w:right w:val="single" w:color="auto" w:sz="4" w:space="0"/>
            </w:tcBorders>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价格评审（30分）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投标总价</w:t>
            </w:r>
          </w:p>
        </w:tc>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30</w:t>
            </w:r>
          </w:p>
        </w:tc>
        <w:tc>
          <w:tcPr>
            <w:tcW w:w="5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907"/>
              </w:tabs>
              <w:adjustRightInd/>
              <w:snapToGrid/>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6" w:hRule="atLeast"/>
          <w:jc w:val="center"/>
        </w:trPr>
        <w:tc>
          <w:tcPr>
            <w:tcW w:w="89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907"/>
              </w:tabs>
              <w:adjustRightInd/>
              <w:snapToGrid/>
              <w:spacing w:after="0" w:line="360" w:lineRule="auto"/>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widowControl w:val="0"/>
              <w:tabs>
                <w:tab w:val="left" w:pos="907"/>
              </w:tabs>
              <w:adjustRightInd/>
              <w:snapToGrid/>
              <w:spacing w:after="0" w:line="360" w:lineRule="auto"/>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pPr>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（2）投标人根据以上评分要求提供的投标材料因模糊不清导致评标委员会无法清晰辨认进行评审的，视为无效材料。</w:t>
            </w:r>
          </w:p>
          <w:p>
            <w:pPr>
              <w:spacing w:after="0"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bCs w:val="0"/>
                <w:color w:val="auto"/>
                <w:sz w:val="21"/>
                <w:szCs w:val="21"/>
                <w:highlight w:val="none"/>
                <w:lang w:val="zh-CN"/>
              </w:rPr>
              <w:t>若因疫情原因暂缓统一托收或阶段性减免社会保险费而导致无法打印社保缴费证明的需提供书面说明并加盖</w:t>
            </w:r>
            <w:r>
              <w:rPr>
                <w:rFonts w:hint="eastAsia" w:ascii="宋体" w:hAnsi="宋体" w:eastAsia="宋体" w:cs="宋体"/>
                <w:b/>
                <w:bCs w:val="0"/>
                <w:color w:val="auto"/>
                <w:sz w:val="21"/>
                <w:szCs w:val="21"/>
                <w:highlight w:val="none"/>
              </w:rPr>
              <w:t>投标人</w:t>
            </w:r>
            <w:r>
              <w:rPr>
                <w:rFonts w:hint="eastAsia" w:ascii="宋体" w:hAnsi="宋体" w:eastAsia="宋体" w:cs="宋体"/>
                <w:b/>
                <w:bCs w:val="0"/>
                <w:color w:val="auto"/>
                <w:sz w:val="21"/>
                <w:szCs w:val="21"/>
                <w:highlight w:val="none"/>
                <w:lang w:val="zh-CN"/>
              </w:rPr>
              <w:t>公章。</w:t>
            </w:r>
          </w:p>
        </w:tc>
      </w:tr>
    </w:tbl>
    <w:p>
      <w:pPr>
        <w:rPr>
          <w:color w:val="auto"/>
          <w:highlight w:val="none"/>
        </w:rPr>
      </w:pPr>
      <w:r>
        <w:rPr>
          <w:color w:val="auto"/>
          <w:highlight w:val="none"/>
        </w:rPr>
        <w:br w:type="page"/>
      </w:r>
    </w:p>
    <w:p>
      <w:pPr>
        <w:pStyle w:val="3"/>
        <w:numPr>
          <w:ilvl w:val="0"/>
          <w:numId w:val="2"/>
        </w:numPr>
        <w:rPr>
          <w:color w:val="auto"/>
          <w:highlight w:val="none"/>
        </w:rPr>
      </w:pPr>
      <w:bookmarkStart w:id="146" w:name="_Toc32522"/>
      <w:r>
        <w:rPr>
          <w:rFonts w:hint="eastAsia"/>
          <w:color w:val="auto"/>
          <w:highlight w:val="none"/>
        </w:rPr>
        <w:t>合同文本参考格式</w:t>
      </w:r>
      <w:bookmarkEnd w:id="146"/>
    </w:p>
    <w:p>
      <w:pPr>
        <w:jc w:val="center"/>
        <w:outlineLvl w:val="1"/>
        <w:rPr>
          <w:color w:val="auto"/>
          <w:sz w:val="18"/>
          <w:szCs w:val="21"/>
          <w:highlight w:val="none"/>
        </w:rPr>
      </w:pPr>
      <w:bookmarkStart w:id="147" w:name="_Toc1541"/>
      <w:r>
        <w:rPr>
          <w:rFonts w:hint="eastAsia" w:ascii="宋体" w:hAnsi="宋体" w:cs="宋体"/>
          <w:b/>
          <w:bCs/>
          <w:color w:val="auto"/>
          <w:sz w:val="22"/>
          <w:szCs w:val="22"/>
          <w:highlight w:val="none"/>
        </w:rPr>
        <w:t>（本格式编排在招标文件中，供投标人参考，投标时不需填写）</w:t>
      </w:r>
      <w:bookmarkEnd w:id="147"/>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8" w:name="_Toc864"/>
      <w:r>
        <w:rPr>
          <w:rFonts w:hint="eastAsia"/>
          <w:b/>
          <w:bCs/>
          <w:color w:val="auto"/>
          <w:highlight w:val="none"/>
        </w:rPr>
        <w:t>一、合同金额</w:t>
      </w:r>
      <w:bookmarkEnd w:id="148"/>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9" w:name="_Toc32599"/>
      <w:r>
        <w:rPr>
          <w:rFonts w:hint="eastAsia"/>
          <w:b/>
          <w:bCs/>
          <w:color w:val="auto"/>
          <w:highlight w:val="none"/>
        </w:rPr>
        <w:t>二、</w:t>
      </w:r>
      <w:r>
        <w:rPr>
          <w:rFonts w:hint="eastAsia"/>
          <w:b/>
          <w:bCs/>
          <w:color w:val="auto"/>
          <w:highlight w:val="none"/>
          <w:lang w:val="en-US" w:eastAsia="zh-CN"/>
        </w:rPr>
        <w:t>项目</w:t>
      </w:r>
      <w:r>
        <w:rPr>
          <w:rFonts w:hint="eastAsia"/>
          <w:b/>
          <w:bCs/>
          <w:color w:val="auto"/>
          <w:highlight w:val="none"/>
        </w:rPr>
        <w:t>范围</w:t>
      </w:r>
      <w:bookmarkEnd w:id="149"/>
    </w:p>
    <w:p>
      <w:pPr>
        <w:spacing w:line="360" w:lineRule="auto"/>
        <w:ind w:firstLine="420" w:firstLineChars="200"/>
        <w:rPr>
          <w:color w:val="auto"/>
          <w:highlight w:val="none"/>
        </w:rPr>
      </w:pPr>
      <w:r>
        <w:rPr>
          <w:rFonts w:hint="eastAsia"/>
          <w:color w:val="auto"/>
          <w:highlight w:val="none"/>
        </w:rPr>
        <w:t>甲方聘请乙方提供以下</w:t>
      </w:r>
      <w:r>
        <w:rPr>
          <w:rFonts w:hint="eastAsia"/>
          <w:color w:val="auto"/>
          <w:highlight w:val="none"/>
          <w:lang w:val="en-US" w:eastAsia="zh-CN"/>
        </w:rPr>
        <w:t>内容</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0" w:name="_Toc28304"/>
      <w:r>
        <w:rPr>
          <w:rFonts w:hint="eastAsia"/>
          <w:b/>
          <w:bCs/>
          <w:color w:val="auto"/>
          <w:highlight w:val="none"/>
        </w:rPr>
        <w:t>三、甲方乙方的权利和义务</w:t>
      </w:r>
      <w:bookmarkEnd w:id="150"/>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1" w:name="_Toc31228"/>
      <w:r>
        <w:rPr>
          <w:rFonts w:hint="eastAsia"/>
          <w:b/>
          <w:bCs/>
          <w:color w:val="auto"/>
          <w:highlight w:val="none"/>
        </w:rPr>
        <w:t>四、项目完成期限</w:t>
      </w:r>
      <w:bookmarkEnd w:id="151"/>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52" w:name="_Toc1315"/>
      <w:r>
        <w:rPr>
          <w:rFonts w:hint="eastAsia"/>
          <w:b/>
          <w:bCs/>
          <w:color w:val="auto"/>
          <w:highlight w:val="none"/>
        </w:rPr>
        <w:t>五、付款方式</w:t>
      </w:r>
      <w:bookmarkEnd w:id="152"/>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3" w:name="_Toc29016"/>
      <w:r>
        <w:rPr>
          <w:rFonts w:hint="eastAsia"/>
          <w:b/>
          <w:bCs/>
          <w:color w:val="auto"/>
          <w:highlight w:val="none"/>
        </w:rPr>
        <w:t>六、知识产权归属</w:t>
      </w:r>
      <w:bookmarkEnd w:id="153"/>
    </w:p>
    <w:p>
      <w:pPr>
        <w:spacing w:line="360" w:lineRule="auto"/>
        <w:outlineLvl w:val="1"/>
        <w:rPr>
          <w:b/>
          <w:bCs/>
          <w:color w:val="auto"/>
          <w:highlight w:val="none"/>
        </w:rPr>
      </w:pPr>
      <w:bookmarkStart w:id="154" w:name="_Toc491"/>
      <w:r>
        <w:rPr>
          <w:rFonts w:hint="eastAsia"/>
          <w:b/>
          <w:bCs/>
          <w:color w:val="auto"/>
          <w:highlight w:val="none"/>
        </w:rPr>
        <w:t>七、保密</w:t>
      </w:r>
      <w:bookmarkEnd w:id="154"/>
    </w:p>
    <w:p>
      <w:pPr>
        <w:spacing w:line="360" w:lineRule="auto"/>
        <w:outlineLvl w:val="1"/>
        <w:rPr>
          <w:b/>
          <w:bCs/>
          <w:color w:val="auto"/>
          <w:highlight w:val="none"/>
        </w:rPr>
      </w:pPr>
      <w:bookmarkStart w:id="155" w:name="_Toc5642"/>
      <w:r>
        <w:rPr>
          <w:rFonts w:hint="eastAsia"/>
          <w:b/>
          <w:bCs/>
          <w:color w:val="auto"/>
          <w:highlight w:val="none"/>
        </w:rPr>
        <w:t>八、违约责任与赔偿损失</w:t>
      </w:r>
      <w:bookmarkEnd w:id="155"/>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6" w:name="_Toc30679"/>
      <w:r>
        <w:rPr>
          <w:rFonts w:hint="eastAsia"/>
          <w:b/>
          <w:bCs/>
          <w:color w:val="auto"/>
          <w:highlight w:val="none"/>
        </w:rPr>
        <w:t>九、争议的解决</w:t>
      </w:r>
      <w:bookmarkEnd w:id="156"/>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7" w:name="_Toc26856"/>
      <w:r>
        <w:rPr>
          <w:rFonts w:hint="eastAsia"/>
          <w:b/>
          <w:bCs/>
          <w:color w:val="auto"/>
          <w:highlight w:val="none"/>
        </w:rPr>
        <w:t>十、不可抗力</w:t>
      </w:r>
      <w:bookmarkEnd w:id="157"/>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8" w:name="_Toc16247"/>
      <w:r>
        <w:rPr>
          <w:rFonts w:hint="eastAsia"/>
          <w:b/>
          <w:bCs/>
          <w:color w:val="auto"/>
          <w:highlight w:val="none"/>
        </w:rPr>
        <w:t>十一、税费</w:t>
      </w:r>
      <w:bookmarkEnd w:id="158"/>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9" w:name="_Toc14065"/>
      <w:r>
        <w:rPr>
          <w:rFonts w:hint="eastAsia"/>
          <w:b/>
          <w:bCs/>
          <w:color w:val="auto"/>
          <w:highlight w:val="none"/>
        </w:rPr>
        <w:t>十二、其它</w:t>
      </w:r>
      <w:bookmarkEnd w:id="159"/>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60" w:name="_Toc13763"/>
      <w:r>
        <w:rPr>
          <w:rFonts w:hint="eastAsia"/>
          <w:b/>
          <w:bCs/>
          <w:color w:val="auto"/>
          <w:highlight w:val="none"/>
        </w:rPr>
        <w:t>十三、合同生效</w:t>
      </w:r>
      <w:bookmarkEnd w:id="160"/>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61" w:name="_Toc17794"/>
      <w:r>
        <w:rPr>
          <w:rFonts w:hint="eastAsia"/>
          <w:color w:val="auto"/>
          <w:highlight w:val="none"/>
        </w:rPr>
        <w:t>第六篇 投标文件格式</w:t>
      </w:r>
      <w:bookmarkEnd w:id="161"/>
    </w:p>
    <w:p>
      <w:pPr>
        <w:rPr>
          <w:b/>
          <w:bCs/>
          <w:color w:val="auto"/>
          <w:highlight w:val="none"/>
        </w:rPr>
      </w:pPr>
      <w:r>
        <w:rPr>
          <w:rFonts w:hint="eastAsia"/>
          <w:b/>
          <w:bCs/>
          <w:color w:val="auto"/>
          <w:highlight w:val="none"/>
        </w:rPr>
        <w:t>注意事项：</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2" w:name="_Toc32213"/>
      <w:r>
        <w:rPr>
          <w:rFonts w:hint="eastAsia"/>
          <w:b/>
          <w:bCs/>
          <w:color w:val="auto"/>
          <w:highlight w:val="none"/>
        </w:rPr>
        <w:t>（封面格式仅供参考）</w:t>
      </w:r>
      <w:bookmarkEnd w:id="16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3" w:name="_Toc14748"/>
      <w:r>
        <w:rPr>
          <w:rFonts w:ascii="宋体" w:hAnsi="宋体" w:cs="宋体"/>
          <w:b/>
          <w:color w:val="auto"/>
          <w:spacing w:val="10"/>
          <w:kern w:val="0"/>
          <w:sz w:val="38"/>
          <w:szCs w:val="38"/>
          <w:highlight w:val="none"/>
          <w:lang w:val="zh-CN" w:bidi="zh-CN"/>
        </w:rPr>
        <w:t>投标文件封面</w:t>
      </w:r>
      <w:bookmarkEnd w:id="16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4"/>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9"/>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9"/>
        <w:jc w:val="center"/>
        <w:rPr>
          <w:b/>
          <w:color w:val="auto"/>
          <w:sz w:val="12"/>
          <w:highlight w:val="none"/>
        </w:rPr>
      </w:pPr>
      <w:r>
        <w:rPr>
          <w:b/>
          <w:color w:val="auto"/>
          <w:highlight w:val="none"/>
        </w:rPr>
        <w:t>投标函</w:t>
      </w:r>
    </w:p>
    <w:p>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9"/>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color w:val="auto"/>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9"/>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5" w:name="_Toc23039"/>
      <w:r>
        <w:rPr>
          <w:color w:val="auto"/>
          <w:sz w:val="24"/>
          <w:highlight w:val="none"/>
        </w:rPr>
        <w:t>法定代表人证明书</w:t>
      </w:r>
      <w:bookmarkEnd w:id="165"/>
    </w:p>
    <w:p>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3693"/>
        </w:tabs>
        <w:spacing w:line="242" w:lineRule="exact"/>
        <w:ind w:right="104"/>
        <w:jc w:val="right"/>
        <w:rPr>
          <w:color w:val="auto"/>
          <w:sz w:val="21"/>
          <w:szCs w:val="21"/>
          <w:highlight w:val="none"/>
        </w:rPr>
      </w:pPr>
    </w:p>
    <w:p>
      <w:pPr>
        <w:pStyle w:val="9"/>
        <w:tabs>
          <w:tab w:val="left" w:pos="3693"/>
        </w:tabs>
        <w:spacing w:line="242" w:lineRule="exact"/>
        <w:ind w:right="104"/>
        <w:jc w:val="right"/>
        <w:rPr>
          <w:color w:val="auto"/>
          <w:sz w:val="21"/>
          <w:szCs w:val="21"/>
          <w:highlight w:val="none"/>
        </w:rPr>
      </w:pPr>
    </w:p>
    <w:p>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9"/>
        <w:rPr>
          <w:color w:val="auto"/>
          <w:highlight w:val="none"/>
          <w:lang w:val="en-US"/>
        </w:rPr>
      </w:pPr>
    </w:p>
    <w:p>
      <w:pPr>
        <w:rPr>
          <w:color w:val="auto"/>
          <w:highlight w:val="none"/>
        </w:rPr>
      </w:pPr>
    </w:p>
    <w:p>
      <w:pPr>
        <w:pStyle w:val="9"/>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9"/>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9"/>
        <w:tabs>
          <w:tab w:val="left" w:pos="10713"/>
        </w:tabs>
        <w:spacing w:before="0" w:line="360" w:lineRule="auto"/>
        <w:ind w:left="0"/>
        <w:jc w:val="right"/>
        <w:rPr>
          <w:color w:val="auto"/>
          <w:sz w:val="21"/>
          <w:szCs w:val="21"/>
          <w:highlight w:val="none"/>
        </w:rPr>
      </w:pPr>
    </w:p>
    <w:p>
      <w:pPr>
        <w:pStyle w:val="9"/>
        <w:tabs>
          <w:tab w:val="left" w:pos="10713"/>
        </w:tabs>
        <w:spacing w:before="0" w:line="360" w:lineRule="auto"/>
        <w:ind w:left="0"/>
        <w:jc w:val="right"/>
        <w:rPr>
          <w:color w:val="auto"/>
          <w:sz w:val="21"/>
          <w:szCs w:val="21"/>
          <w:highlight w:val="none"/>
        </w:rPr>
      </w:pP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9"/>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9"/>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9"/>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9"/>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9"/>
        <w:jc w:val="center"/>
        <w:rPr>
          <w:b/>
          <w:bCs/>
          <w:color w:val="auto"/>
          <w:highlight w:val="none"/>
          <w:lang w:val="en-US"/>
        </w:rPr>
      </w:pPr>
      <w:r>
        <w:rPr>
          <w:b/>
          <w:bCs/>
          <w:color w:val="auto"/>
          <w:highlight w:val="none"/>
          <w:lang w:val="en-US"/>
        </w:rPr>
        <w:t>投标人业绩情况表</w:t>
      </w:r>
    </w:p>
    <w:p>
      <w:pPr>
        <w:pStyle w:val="9"/>
        <w:spacing w:before="2" w:after="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9"/>
        <w:rPr>
          <w:color w:val="auto"/>
          <w:highlight w:val="none"/>
          <w:lang w:val="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bl>
    <w:p>
      <w:pPr>
        <w:pStyle w:val="9"/>
        <w:rPr>
          <w:color w:val="auto"/>
          <w:highlight w:val="none"/>
          <w:lang w:val="en-US"/>
        </w:rPr>
      </w:pPr>
    </w:p>
    <w:p>
      <w:pPr>
        <w:rPr>
          <w:color w:val="auto"/>
          <w:highlight w:val="none"/>
        </w:rPr>
      </w:pP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4"/>
        <w:tabs>
          <w:tab w:val="left" w:pos="731"/>
        </w:tabs>
        <w:autoSpaceDE w:val="0"/>
        <w:autoSpaceDN w:val="0"/>
        <w:spacing w:line="360" w:lineRule="auto"/>
        <w:ind w:firstLine="423"/>
        <w:rPr>
          <w:rFonts w:ascii="宋体" w:hAnsi="宋体" w:cs="宋体"/>
          <w:color w:val="auto"/>
          <w:w w:val="101"/>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bl>
    <w:p>
      <w:pPr>
        <w:pStyle w:val="9"/>
        <w:rPr>
          <w:color w:val="auto"/>
          <w:sz w:val="21"/>
          <w:szCs w:val="21"/>
          <w:highlight w:val="none"/>
          <w:lang w:val="en-US"/>
        </w:rPr>
      </w:pPr>
    </w:p>
    <w:p>
      <w:pPr>
        <w:rPr>
          <w:color w:val="auto"/>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9"/>
        <w:autoSpaceDE w:val="0"/>
        <w:autoSpaceDN w:val="0"/>
        <w:spacing w:before="0" w:line="360" w:lineRule="auto"/>
        <w:ind w:left="0" w:firstLine="420" w:firstLineChars="200"/>
        <w:rPr>
          <w:color w:val="auto"/>
          <w:sz w:val="21"/>
          <w:szCs w:val="21"/>
          <w:highlight w:val="none"/>
          <w:lang w:val="en-US"/>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9"/>
        <w:spacing w:before="8"/>
        <w:rPr>
          <w:color w:val="auto"/>
          <w:sz w:val="13"/>
          <w:highlight w:val="none"/>
        </w:rPr>
      </w:pPr>
    </w:p>
    <w:p>
      <w:pPr>
        <w:pStyle w:val="4"/>
        <w:rPr>
          <w:color w:val="auto"/>
          <w:highlight w:val="none"/>
        </w:rPr>
      </w:pPr>
      <w:bookmarkStart w:id="166" w:name="_Toc20098"/>
      <w:r>
        <w:rPr>
          <w:color w:val="auto"/>
          <w:highlight w:val="none"/>
        </w:rPr>
        <w:t>履约进度计划表</w:t>
      </w:r>
      <w:bookmarkEnd w:id="166"/>
    </w:p>
    <w:p>
      <w:pPr>
        <w:pStyle w:val="9"/>
        <w:spacing w:before="2" w:after="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6"/>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7" w:name="_Toc2912"/>
      <w:r>
        <w:rPr>
          <w:rFonts w:hint="eastAsia"/>
          <w:b/>
          <w:bCs/>
          <w:color w:val="auto"/>
          <w:sz w:val="24"/>
          <w:szCs w:val="32"/>
          <w:highlight w:val="none"/>
        </w:rPr>
        <w:t>格式十四：</w:t>
      </w:r>
      <w:bookmarkEnd w:id="167"/>
    </w:p>
    <w:p>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9"/>
        <w:jc w:val="center"/>
        <w:rPr>
          <w:b/>
          <w:bCs/>
          <w:color w:val="auto"/>
          <w:highlight w:val="none"/>
        </w:rPr>
      </w:pPr>
      <w:r>
        <w:rPr>
          <w:b/>
          <w:bCs/>
          <w:color w:val="auto"/>
          <w:highlight w:val="none"/>
        </w:rPr>
        <w:t>各类证明材料</w:t>
      </w:r>
    </w:p>
    <w:p>
      <w:pPr>
        <w:pStyle w:val="24"/>
        <w:tabs>
          <w:tab w:val="left" w:pos="673"/>
        </w:tabs>
        <w:spacing w:line="360" w:lineRule="auto"/>
        <w:ind w:firstLine="0" w:firstLineChars="0"/>
        <w:outlineLvl w:val="1"/>
        <w:rPr>
          <w:rFonts w:ascii="宋体" w:hAnsi="宋体" w:cs="宋体"/>
          <w:color w:val="auto"/>
          <w:szCs w:val="21"/>
          <w:highlight w:val="none"/>
        </w:rPr>
      </w:pPr>
      <w:bookmarkStart w:id="168" w:name="_Toc14919"/>
      <w:r>
        <w:rPr>
          <w:rFonts w:hint="eastAsia" w:ascii="宋体" w:hAnsi="宋体" w:cs="宋体"/>
          <w:color w:val="auto"/>
          <w:szCs w:val="21"/>
          <w:highlight w:val="none"/>
        </w:rPr>
        <w:t>1、招标文件要求提供的其他资料。</w:t>
      </w:r>
      <w:bookmarkEnd w:id="168"/>
    </w:p>
    <w:p>
      <w:pPr>
        <w:pStyle w:val="24"/>
        <w:tabs>
          <w:tab w:val="left" w:pos="673"/>
        </w:tabs>
        <w:spacing w:line="360" w:lineRule="auto"/>
        <w:ind w:firstLine="0" w:firstLineChars="0"/>
        <w:outlineLvl w:val="1"/>
        <w:rPr>
          <w:rFonts w:ascii="宋体" w:hAnsi="宋体" w:cs="宋体"/>
          <w:color w:val="auto"/>
          <w:szCs w:val="21"/>
          <w:highlight w:val="none"/>
        </w:rPr>
      </w:pPr>
      <w:bookmarkStart w:id="169" w:name="_Toc7938"/>
      <w:r>
        <w:rPr>
          <w:rFonts w:hint="eastAsia" w:ascii="宋体" w:hAnsi="宋体" w:cs="宋体"/>
          <w:color w:val="auto"/>
          <w:szCs w:val="21"/>
          <w:highlight w:val="none"/>
        </w:rPr>
        <w:t>2、投标人认为需提供的其他资料。</w:t>
      </w:r>
      <w:bookmarkEnd w:id="169"/>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170" w:name="_Toc30382"/>
      <w:r>
        <w:rPr>
          <w:rFonts w:hint="eastAsia" w:ascii="宋体" w:hAnsi="宋体" w:cs="宋体"/>
          <w:b/>
          <w:bCs/>
          <w:color w:val="auto"/>
          <w:sz w:val="24"/>
          <w:highlight w:val="none"/>
        </w:rPr>
        <w:t>格式十五：</w:t>
      </w:r>
      <w:bookmarkEnd w:id="170"/>
    </w:p>
    <w:p>
      <w:pPr>
        <w:pStyle w:val="24"/>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4"/>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171" w:name="_Toc3970"/>
      <w:r>
        <w:rPr>
          <w:rFonts w:hint="eastAsia" w:ascii="宋体" w:hAnsi="宋体" w:cs="宋体"/>
          <w:b/>
          <w:bCs/>
          <w:color w:val="auto"/>
          <w:sz w:val="24"/>
          <w:highlight w:val="none"/>
        </w:rPr>
        <w:t>格式十五：</w:t>
      </w:r>
      <w:bookmarkEnd w:id="171"/>
    </w:p>
    <w:p>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9"/>
        <w:spacing w:before="8"/>
        <w:rPr>
          <w:color w:val="auto"/>
          <w:sz w:val="21"/>
          <w:szCs w:val="21"/>
          <w:highlight w:val="none"/>
        </w:rPr>
      </w:pPr>
    </w:p>
    <w:p>
      <w:pPr>
        <w:jc w:val="center"/>
        <w:outlineLvl w:val="1"/>
        <w:rPr>
          <w:rFonts w:ascii="宋体" w:hAnsi="宋体" w:cs="宋体"/>
          <w:b/>
          <w:bCs/>
          <w:color w:val="auto"/>
          <w:szCs w:val="21"/>
          <w:highlight w:val="none"/>
        </w:rPr>
      </w:pPr>
      <w:bookmarkStart w:id="172" w:name="_Toc4401"/>
      <w:r>
        <w:rPr>
          <w:rFonts w:hint="eastAsia" w:ascii="宋体" w:hAnsi="宋体" w:cs="宋体"/>
          <w:b/>
          <w:bCs/>
          <w:color w:val="auto"/>
          <w:szCs w:val="21"/>
          <w:highlight w:val="none"/>
        </w:rPr>
        <w:t>需要招标人提供的附加条件</w:t>
      </w:r>
      <w:bookmarkEnd w:id="172"/>
    </w:p>
    <w:p>
      <w:pPr>
        <w:pStyle w:val="9"/>
        <w:autoSpaceDE w:val="0"/>
        <w:autoSpaceDN w:val="0"/>
        <w:spacing w:before="0" w:line="360" w:lineRule="auto"/>
        <w:ind w:left="0"/>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6"/>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9"/>
        <w:outlineLvl w:val="1"/>
        <w:rPr>
          <w:b/>
          <w:bCs/>
          <w:color w:val="auto"/>
          <w:highlight w:val="none"/>
          <w:lang w:val="en-US"/>
        </w:rPr>
      </w:pPr>
      <w:bookmarkStart w:id="173" w:name="_Toc25747"/>
      <w:r>
        <w:rPr>
          <w:rFonts w:hint="eastAsia"/>
          <w:b/>
          <w:bCs/>
          <w:color w:val="auto"/>
          <w:highlight w:val="none"/>
          <w:lang w:val="en-US"/>
        </w:rPr>
        <w:t>格式十六：</w:t>
      </w:r>
      <w:bookmarkEnd w:id="173"/>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4" w:name="_Toc27211"/>
      <w:r>
        <w:rPr>
          <w:rFonts w:hint="eastAsia"/>
          <w:color w:val="auto"/>
          <w:highlight w:val="none"/>
        </w:rPr>
        <w:t>第七篇 开标文件格式</w:t>
      </w:r>
      <w:bookmarkEnd w:id="174"/>
    </w:p>
    <w:p>
      <w:pPr>
        <w:jc w:val="center"/>
        <w:outlineLvl w:val="1"/>
        <w:rPr>
          <w:b/>
          <w:bCs/>
          <w:color w:val="auto"/>
          <w:highlight w:val="none"/>
        </w:rPr>
      </w:pPr>
      <w:bookmarkStart w:id="175" w:name="_Toc32249"/>
      <w:r>
        <w:rPr>
          <w:rFonts w:hint="eastAsia"/>
          <w:b/>
          <w:bCs/>
          <w:color w:val="auto"/>
          <w:highlight w:val="none"/>
        </w:rPr>
        <w:t>（封面格式仅供参考）</w:t>
      </w:r>
      <w:bookmarkEnd w:id="175"/>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6"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6"/>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7"/>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9"/>
        <w:spacing w:before="0" w:line="360" w:lineRule="auto"/>
        <w:ind w:left="0"/>
        <w:outlineLvl w:val="1"/>
        <w:rPr>
          <w:b/>
          <w:bCs/>
          <w:color w:val="auto"/>
          <w:sz w:val="21"/>
          <w:szCs w:val="21"/>
          <w:highlight w:val="none"/>
          <w:lang w:val="en-US"/>
        </w:rPr>
      </w:pPr>
      <w:bookmarkStart w:id="178" w:name="_Toc32100"/>
      <w:r>
        <w:rPr>
          <w:rFonts w:hint="eastAsia"/>
          <w:b/>
          <w:bCs/>
          <w:color w:val="auto"/>
          <w:sz w:val="21"/>
          <w:szCs w:val="21"/>
          <w:highlight w:val="none"/>
          <w:lang w:val="en-US"/>
        </w:rPr>
        <w:t>1、开标一览表</w:t>
      </w:r>
      <w:bookmarkEnd w:id="178"/>
    </w:p>
    <w:p>
      <w:pPr>
        <w:spacing w:line="360" w:lineRule="auto"/>
        <w:outlineLvl w:val="1"/>
        <w:rPr>
          <w:rFonts w:ascii="宋体" w:hAnsi="宋体" w:cs="宋体"/>
          <w:b/>
          <w:bCs/>
          <w:color w:val="auto"/>
          <w:szCs w:val="21"/>
          <w:highlight w:val="none"/>
        </w:rPr>
      </w:pPr>
      <w:bookmarkStart w:id="179" w:name="_Toc8054"/>
      <w:r>
        <w:rPr>
          <w:rFonts w:hint="eastAsia" w:ascii="宋体" w:hAnsi="宋体" w:cs="宋体"/>
          <w:b/>
          <w:bCs/>
          <w:color w:val="auto"/>
          <w:szCs w:val="21"/>
          <w:highlight w:val="none"/>
        </w:rPr>
        <w:t>2、分项报价表</w:t>
      </w:r>
      <w:bookmarkEnd w:id="179"/>
    </w:p>
    <w:p>
      <w:pPr>
        <w:pStyle w:val="9"/>
        <w:spacing w:before="0" w:line="360" w:lineRule="auto"/>
        <w:ind w:left="0"/>
        <w:outlineLvl w:val="1"/>
        <w:rPr>
          <w:b/>
          <w:bCs/>
          <w:color w:val="auto"/>
          <w:sz w:val="21"/>
          <w:szCs w:val="21"/>
          <w:highlight w:val="none"/>
          <w:lang w:val="en-US"/>
        </w:rPr>
      </w:pPr>
      <w:bookmarkStart w:id="180" w:name="_Toc5011"/>
      <w:r>
        <w:rPr>
          <w:rFonts w:hint="eastAsia"/>
          <w:b/>
          <w:bCs/>
          <w:color w:val="auto"/>
          <w:sz w:val="21"/>
          <w:szCs w:val="21"/>
          <w:highlight w:val="none"/>
          <w:lang w:val="en-US"/>
        </w:rPr>
        <w:t>3、法定代表人证明书</w:t>
      </w:r>
      <w:bookmarkEnd w:id="180"/>
    </w:p>
    <w:p>
      <w:pPr>
        <w:pStyle w:val="9"/>
        <w:spacing w:before="0" w:line="360" w:lineRule="auto"/>
        <w:ind w:left="0"/>
        <w:outlineLvl w:val="1"/>
        <w:rPr>
          <w:b/>
          <w:bCs/>
          <w:color w:val="auto"/>
          <w:sz w:val="21"/>
          <w:szCs w:val="21"/>
          <w:highlight w:val="none"/>
          <w:lang w:val="en-US"/>
        </w:rPr>
      </w:pPr>
      <w:bookmarkStart w:id="181" w:name="_Toc27439"/>
      <w:r>
        <w:rPr>
          <w:rFonts w:hint="eastAsia"/>
          <w:b/>
          <w:bCs/>
          <w:color w:val="auto"/>
          <w:sz w:val="21"/>
          <w:szCs w:val="21"/>
          <w:highlight w:val="none"/>
          <w:lang w:val="en-US"/>
        </w:rPr>
        <w:t>4、法定代表人授权书</w:t>
      </w:r>
      <w:bookmarkEnd w:id="181"/>
    </w:p>
    <w:p>
      <w:pPr>
        <w:spacing w:line="360" w:lineRule="auto"/>
        <w:outlineLvl w:val="1"/>
        <w:rPr>
          <w:rFonts w:ascii="宋体" w:hAnsi="宋体" w:cs="宋体"/>
          <w:b/>
          <w:bCs/>
          <w:color w:val="auto"/>
          <w:szCs w:val="21"/>
          <w:highlight w:val="none"/>
        </w:rPr>
      </w:pPr>
      <w:bookmarkStart w:id="182" w:name="_Toc16304"/>
      <w:r>
        <w:rPr>
          <w:rFonts w:hint="eastAsia" w:ascii="宋体" w:hAnsi="宋体" w:cs="宋体"/>
          <w:b/>
          <w:bCs/>
          <w:color w:val="auto"/>
          <w:szCs w:val="21"/>
          <w:highlight w:val="none"/>
        </w:rPr>
        <w:t>5、投标保证金</w:t>
      </w:r>
      <w:bookmarkEnd w:id="182"/>
    </w:p>
    <w:p>
      <w:pPr>
        <w:rPr>
          <w:color w:val="auto"/>
          <w:highlight w:val="none"/>
        </w:rPr>
      </w:pPr>
    </w:p>
    <w:p>
      <w:pPr>
        <w:pStyle w:val="9"/>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3" w:name="_Toc2722"/>
      <w:r>
        <w:rPr>
          <w:rFonts w:hint="eastAsia"/>
          <w:color w:val="auto"/>
          <w:highlight w:val="none"/>
        </w:rPr>
        <w:t>第八篇 其它文件格式（如有需要）</w:t>
      </w:r>
      <w:bookmarkEnd w:id="183"/>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9"/>
        <w:tabs>
          <w:tab w:val="left" w:pos="10713"/>
        </w:tabs>
        <w:autoSpaceDE w:val="0"/>
        <w:autoSpaceDN w:val="0"/>
        <w:spacing w:before="0" w:line="360" w:lineRule="auto"/>
        <w:ind w:left="0" w:firstLine="420" w:firstLineChars="200"/>
        <w:rPr>
          <w:color w:val="auto"/>
          <w:sz w:val="21"/>
          <w:szCs w:val="21"/>
          <w:highlight w:val="none"/>
        </w:rPr>
      </w:pP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9"/>
        <w:tabs>
          <w:tab w:val="left" w:pos="3165"/>
          <w:tab w:val="left" w:pos="5818"/>
        </w:tabs>
        <w:autoSpaceDE w:val="0"/>
        <w:autoSpaceDN w:val="0"/>
        <w:spacing w:line="360" w:lineRule="auto"/>
        <w:ind w:left="0" w:firstLine="420" w:firstLineChars="200"/>
        <w:rPr>
          <w:color w:val="auto"/>
          <w:sz w:val="21"/>
          <w:szCs w:val="21"/>
          <w:highlight w:val="none"/>
        </w:rPr>
      </w:pPr>
    </w:p>
    <w:p>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9"/>
        <w:autoSpaceDE w:val="0"/>
        <w:autoSpaceDN w:val="0"/>
        <w:spacing w:line="360" w:lineRule="auto"/>
        <w:ind w:left="0" w:firstLine="420" w:firstLineChars="200"/>
        <w:rPr>
          <w:color w:val="auto"/>
          <w:sz w:val="21"/>
          <w:szCs w:val="21"/>
          <w:highlight w:val="none"/>
        </w:rPr>
      </w:pP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4"/>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9"/>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9"/>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（2）</w:t>
      </w:r>
      <w:r>
        <w:rPr>
          <w:rFonts w:hint="eastAsia" w:ascii="宋体" w:hAnsi="宋体" w:cs="宋体"/>
          <w:color w:val="auto"/>
          <w:szCs w:val="21"/>
          <w:highlight w:val="none"/>
        </w:rPr>
        <w:t>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0000000000000000000"/>
    <w:charset w:val="00"/>
    <w:family w:val="auto"/>
    <w:pitch w:val="default"/>
    <w:sig w:usb0="00000000" w:usb1="00000000" w:usb2="00000000" w:usb3="00000000" w:csb0="00000000"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东莞市横沥资产经营管理有限公司、东莞市横沥镇招投标服务所食堂厨房设备采购项目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abstractNum w:abstractNumId="8">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8"/>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MxYjlkNjI3YTY0NWM4NzJjZGI3NDYxYWQzZ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2623B5A"/>
    <w:rsid w:val="0393759D"/>
    <w:rsid w:val="03B81ACB"/>
    <w:rsid w:val="04104C49"/>
    <w:rsid w:val="042B2878"/>
    <w:rsid w:val="057C5CF6"/>
    <w:rsid w:val="07164692"/>
    <w:rsid w:val="08AA4227"/>
    <w:rsid w:val="0AF142C5"/>
    <w:rsid w:val="0B696582"/>
    <w:rsid w:val="0C035E1C"/>
    <w:rsid w:val="0C502C33"/>
    <w:rsid w:val="0CCE2E39"/>
    <w:rsid w:val="0D4771FD"/>
    <w:rsid w:val="0D7D0092"/>
    <w:rsid w:val="0EA33B28"/>
    <w:rsid w:val="0F1622A5"/>
    <w:rsid w:val="104E109A"/>
    <w:rsid w:val="14A23938"/>
    <w:rsid w:val="15024C32"/>
    <w:rsid w:val="15B14373"/>
    <w:rsid w:val="15C90CD3"/>
    <w:rsid w:val="15EC457C"/>
    <w:rsid w:val="165B7DDA"/>
    <w:rsid w:val="176A48A5"/>
    <w:rsid w:val="19FB335D"/>
    <w:rsid w:val="1A64691E"/>
    <w:rsid w:val="1BBB674D"/>
    <w:rsid w:val="1DA82F09"/>
    <w:rsid w:val="1DB725C0"/>
    <w:rsid w:val="1EDF0BAD"/>
    <w:rsid w:val="1F096735"/>
    <w:rsid w:val="20315D21"/>
    <w:rsid w:val="204A3779"/>
    <w:rsid w:val="20FB779B"/>
    <w:rsid w:val="24690A51"/>
    <w:rsid w:val="246B6A3F"/>
    <w:rsid w:val="25F3318F"/>
    <w:rsid w:val="28C04DAC"/>
    <w:rsid w:val="29473C25"/>
    <w:rsid w:val="2A213986"/>
    <w:rsid w:val="2AC77B38"/>
    <w:rsid w:val="2D3A4F1C"/>
    <w:rsid w:val="2E462ABD"/>
    <w:rsid w:val="2EAE74F5"/>
    <w:rsid w:val="2F7E5D1A"/>
    <w:rsid w:val="2FE55D43"/>
    <w:rsid w:val="2FE679A2"/>
    <w:rsid w:val="306215F9"/>
    <w:rsid w:val="32FD564D"/>
    <w:rsid w:val="3361192C"/>
    <w:rsid w:val="34BE4BEB"/>
    <w:rsid w:val="35A73A89"/>
    <w:rsid w:val="35E328D9"/>
    <w:rsid w:val="35E852A7"/>
    <w:rsid w:val="3A2F1C03"/>
    <w:rsid w:val="3B2A432E"/>
    <w:rsid w:val="3B871F58"/>
    <w:rsid w:val="3D5723D5"/>
    <w:rsid w:val="3E0202C6"/>
    <w:rsid w:val="3F0B4C4E"/>
    <w:rsid w:val="414D04F3"/>
    <w:rsid w:val="41932026"/>
    <w:rsid w:val="41ED22BC"/>
    <w:rsid w:val="438833C2"/>
    <w:rsid w:val="4513485D"/>
    <w:rsid w:val="452B604A"/>
    <w:rsid w:val="466C3393"/>
    <w:rsid w:val="47735BD0"/>
    <w:rsid w:val="47830165"/>
    <w:rsid w:val="48267B76"/>
    <w:rsid w:val="498145E0"/>
    <w:rsid w:val="4E7D288E"/>
    <w:rsid w:val="4F053468"/>
    <w:rsid w:val="500029DA"/>
    <w:rsid w:val="5058707D"/>
    <w:rsid w:val="51C43276"/>
    <w:rsid w:val="52E14EC4"/>
    <w:rsid w:val="535645E7"/>
    <w:rsid w:val="53F51E89"/>
    <w:rsid w:val="54091C4C"/>
    <w:rsid w:val="5464147A"/>
    <w:rsid w:val="589F0489"/>
    <w:rsid w:val="597532F9"/>
    <w:rsid w:val="5AD36B10"/>
    <w:rsid w:val="5BE04967"/>
    <w:rsid w:val="5C015C21"/>
    <w:rsid w:val="5CB07109"/>
    <w:rsid w:val="5CB541E5"/>
    <w:rsid w:val="5D405E5E"/>
    <w:rsid w:val="5D744988"/>
    <w:rsid w:val="5E525F9E"/>
    <w:rsid w:val="5E720F58"/>
    <w:rsid w:val="601E438A"/>
    <w:rsid w:val="61CD473F"/>
    <w:rsid w:val="62F90966"/>
    <w:rsid w:val="63FD075A"/>
    <w:rsid w:val="64D3048A"/>
    <w:rsid w:val="650A75D2"/>
    <w:rsid w:val="657F444F"/>
    <w:rsid w:val="65EE0CA2"/>
    <w:rsid w:val="66CA48D2"/>
    <w:rsid w:val="687065DC"/>
    <w:rsid w:val="69827B0F"/>
    <w:rsid w:val="69D65C6C"/>
    <w:rsid w:val="6CB06BF1"/>
    <w:rsid w:val="6E003853"/>
    <w:rsid w:val="6E063FE8"/>
    <w:rsid w:val="6EE647BB"/>
    <w:rsid w:val="6EEF2FF6"/>
    <w:rsid w:val="6F4B3D42"/>
    <w:rsid w:val="70D92B93"/>
    <w:rsid w:val="71302E2E"/>
    <w:rsid w:val="7189187F"/>
    <w:rsid w:val="71DC5995"/>
    <w:rsid w:val="71F92EA9"/>
    <w:rsid w:val="736305DA"/>
    <w:rsid w:val="7419338E"/>
    <w:rsid w:val="744C72C0"/>
    <w:rsid w:val="74951BFB"/>
    <w:rsid w:val="76A84E33"/>
    <w:rsid w:val="76AC5B4C"/>
    <w:rsid w:val="76E527AD"/>
    <w:rsid w:val="77522CE7"/>
    <w:rsid w:val="7765046B"/>
    <w:rsid w:val="77672662"/>
    <w:rsid w:val="78C12DDF"/>
    <w:rsid w:val="7B3A7A92"/>
    <w:rsid w:val="7B4D5FBD"/>
    <w:rsid w:val="7BF00E78"/>
    <w:rsid w:val="7D562F5D"/>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5"/>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w:basedOn w:val="1"/>
    <w:next w:val="1"/>
    <w:qFormat/>
    <w:uiPriority w:val="1"/>
    <w:pPr>
      <w:spacing w:before="161"/>
      <w:ind w:left="120"/>
    </w:pPr>
    <w:rPr>
      <w:rFonts w:ascii="宋体" w:hAnsi="宋体" w:cs="宋体"/>
      <w:sz w:val="24"/>
      <w:lang w:val="zh-CN" w:bidi="zh-CN"/>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eastAsiaTheme="minorEastAsia"/>
      <w:szCs w:val="22"/>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Subtitle"/>
    <w:basedOn w:val="1"/>
    <w:next w:val="1"/>
    <w:qFormat/>
    <w:uiPriority w:val="0"/>
    <w:pPr>
      <w:spacing w:before="240" w:after="60" w:line="312" w:lineRule="auto"/>
      <w:ind w:firstLine="200" w:firstLineChars="200"/>
      <w:jc w:val="center"/>
      <w:textAlignment w:val="baseline"/>
    </w:pPr>
    <w:rPr>
      <w:rFonts w:ascii="等线" w:hAnsi="等线" w:eastAsia="等线" w:cs="Times New Roman"/>
      <w:b/>
      <w:bCs/>
      <w:kern w:val="28"/>
      <w:sz w:val="32"/>
      <w:szCs w:val="32"/>
      <w:lang w:val="en-US" w:eastAsia="zh-CN" w:bidi="ar-SA"/>
    </w:rPr>
  </w:style>
  <w:style w:type="paragraph" w:styleId="16">
    <w:name w:val="Body Text First Indent"/>
    <w:basedOn w:val="9"/>
    <w:qFormat/>
    <w:uiPriority w:val="0"/>
    <w:pPr>
      <w:numPr>
        <w:ilvl w:val="0"/>
        <w:numId w:val="1"/>
      </w:numPr>
      <w:tabs>
        <w:tab w:val="clear" w:pos="420"/>
      </w:tabs>
      <w:spacing w:line="360" w:lineRule="auto"/>
      <w:ind w:left="0" w:firstLine="420" w:firstLineChars="100"/>
    </w:pPr>
    <w:rPr>
      <w:rFonts w:ascii="Calibri" w:hAnsi="Calibri"/>
    </w:rPr>
  </w:style>
  <w:style w:type="paragraph" w:styleId="17">
    <w:name w:val="Body Text First Indent 2"/>
    <w:basedOn w:val="10"/>
    <w:qFormat/>
    <w:uiPriority w:val="0"/>
    <w:pPr>
      <w:spacing w:line="360" w:lineRule="auto"/>
      <w:ind w:firstLine="420" w:firstLineChars="200"/>
    </w:pPr>
    <w:rPr>
      <w:bCs/>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qFormat/>
    <w:uiPriority w:val="0"/>
    <w:rPr>
      <w:sz w:val="21"/>
      <w:szCs w:val="21"/>
    </w:rPr>
  </w:style>
  <w:style w:type="paragraph" w:customStyle="1" w:styleId="23">
    <w:name w:val="BodyText"/>
    <w:basedOn w:val="1"/>
    <w:next w:val="15"/>
    <w:qFormat/>
    <w:uiPriority w:val="0"/>
    <w:pPr>
      <w:spacing w:before="161"/>
      <w:ind w:left="120"/>
      <w:textAlignment w:val="baseline"/>
    </w:pPr>
    <w:rPr>
      <w:rFonts w:ascii="宋体" w:hAnsi="宋体" w:eastAsia="宋体"/>
      <w:kern w:val="2"/>
      <w:sz w:val="24"/>
      <w:szCs w:val="24"/>
      <w:lang w:val="zh-CN" w:eastAsia="zh-CN" w:bidi="zh-CN"/>
    </w:rPr>
  </w:style>
  <w:style w:type="paragraph" w:styleId="24">
    <w:name w:val="List Paragraph"/>
    <w:basedOn w:val="1"/>
    <w:qFormat/>
    <w:uiPriority w:val="34"/>
    <w:pPr>
      <w:ind w:firstLine="420" w:firstLineChars="200"/>
    </w:pPr>
  </w:style>
  <w:style w:type="character" w:customStyle="1" w:styleId="25">
    <w:name w:val="标题 1 Char"/>
    <w:link w:val="3"/>
    <w:qFormat/>
    <w:uiPriority w:val="0"/>
    <w:rPr>
      <w:b/>
      <w:kern w:val="44"/>
      <w:sz w:val="30"/>
    </w:rPr>
  </w:style>
  <w:style w:type="paragraph" w:customStyle="1" w:styleId="26">
    <w:name w:val="Table Paragraph"/>
    <w:basedOn w:val="1"/>
    <w:qFormat/>
    <w:uiPriority w:val="1"/>
  </w:style>
  <w:style w:type="paragraph" w:customStyle="1" w:styleId="27">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1">
    <w:name w:val="列出段落1"/>
    <w:basedOn w:val="1"/>
    <w:qFormat/>
    <w:uiPriority w:val="0"/>
    <w:pPr>
      <w:ind w:firstLine="420" w:firstLineChars="200"/>
    </w:pPr>
    <w:rPr>
      <w:rFonts w:ascii="Calibri" w:hAnsi="Calibri"/>
      <w:kern w:val="0"/>
      <w:sz w:val="20"/>
      <w:szCs w:val="20"/>
    </w:rPr>
  </w:style>
  <w:style w:type="character" w:customStyle="1" w:styleId="32">
    <w:name w:val="批注框文本 Char"/>
    <w:basedOn w:val="20"/>
    <w:link w:val="12"/>
    <w:qFormat/>
    <w:uiPriority w:val="0"/>
    <w:rPr>
      <w:rFonts w:asciiTheme="minorHAnsi" w:hAnsiTheme="minorHAnsi" w:cstheme="minorBidi"/>
      <w:kern w:val="2"/>
      <w:sz w:val="18"/>
      <w:szCs w:val="18"/>
    </w:rPr>
  </w:style>
  <w:style w:type="paragraph" w:customStyle="1" w:styleId="33">
    <w:name w:val="Other|1"/>
    <w:basedOn w:val="1"/>
    <w:qFormat/>
    <w:uiPriority w:val="0"/>
    <w:pPr>
      <w:jc w:val="center"/>
    </w:pPr>
    <w:rPr>
      <w:rFonts w:ascii="宋体" w:hAnsi="宋体" w:cs="宋体"/>
      <w:sz w:val="14"/>
      <w:szCs w:val="14"/>
      <w:lang w:val="zh-TW" w:eastAsia="zh-TW" w:bidi="zh-TW"/>
    </w:rPr>
  </w:style>
  <w:style w:type="character" w:customStyle="1" w:styleId="34">
    <w:name w:val="weby11"/>
    <w:basedOn w:val="20"/>
    <w:qFormat/>
    <w:uiPriority w:val="0"/>
    <w:rPr>
      <w:sz w:val="18"/>
      <w:szCs w:val="18"/>
    </w:rPr>
  </w:style>
  <w:style w:type="character" w:customStyle="1" w:styleId="35">
    <w:name w:val="NormalCharacter"/>
    <w:link w:val="1"/>
    <w:semiHidden/>
    <w:qFormat/>
    <w:uiPriority w:val="0"/>
    <w:rPr>
      <w:rFonts w:eastAsia="宋体" w:asciiTheme="minorHAnsi" w:hAnsiTheme="minorHAnsi" w:cstheme="minorBidi"/>
      <w:kern w:val="2"/>
      <w:sz w:val="21"/>
      <w:szCs w:val="24"/>
      <w:lang w:val="en-US" w:eastAsia="zh-CN" w:bidi="ar-SA"/>
    </w:rPr>
  </w:style>
  <w:style w:type="paragraph" w:customStyle="1" w:styleId="36">
    <w:name w:val="表格"/>
    <w:basedOn w:val="1"/>
    <w:qFormat/>
    <w:uiPriority w:val="0"/>
    <w:rPr>
      <w:rFonts w:hint="eastAsia" w:ascii="Calibri" w:hAnsi="Calibri"/>
      <w:color w:val="000000"/>
    </w:rPr>
  </w:style>
  <w:style w:type="paragraph" w:customStyle="1" w:styleId="37">
    <w:name w:val="正文缩进4格"/>
    <w:basedOn w:val="27"/>
    <w:qFormat/>
    <w:uiPriority w:val="0"/>
    <w:pPr>
      <w:ind w:left="2" w:firstLine="538" w:firstLineChars="192"/>
    </w:pPr>
    <w:rPr>
      <w:color w:val="0000FF"/>
      <w:sz w:val="28"/>
    </w:rPr>
  </w:style>
  <w:style w:type="character" w:customStyle="1" w:styleId="38">
    <w:name w:val="font21"/>
    <w:basedOn w:val="20"/>
    <w:qFormat/>
    <w:uiPriority w:val="0"/>
    <w:rPr>
      <w:rFonts w:hint="eastAsia" w:ascii="仿宋" w:hAnsi="仿宋" w:eastAsia="仿宋" w:cs="仿宋"/>
      <w:color w:val="000000"/>
      <w:sz w:val="36"/>
      <w:szCs w:val="36"/>
      <w:u w:val="none"/>
    </w:rPr>
  </w:style>
  <w:style w:type="character" w:customStyle="1" w:styleId="39">
    <w:name w:val="font81"/>
    <w:basedOn w:val="20"/>
    <w:qFormat/>
    <w:uiPriority w:val="0"/>
    <w:rPr>
      <w:rFonts w:hint="default" w:ascii="Times New Roman" w:hAnsi="Times New Roman" w:cs="Times New Roman"/>
      <w:color w:val="000000"/>
      <w:sz w:val="36"/>
      <w:szCs w:val="36"/>
      <w:u w:val="none"/>
    </w:rPr>
  </w:style>
  <w:style w:type="character" w:customStyle="1" w:styleId="40">
    <w:name w:val="font112"/>
    <w:basedOn w:val="20"/>
    <w:qFormat/>
    <w:uiPriority w:val="0"/>
    <w:rPr>
      <w:rFonts w:ascii="Wingdings 2" w:hAnsi="Wingdings 2" w:eastAsia="Wingdings 2" w:cs="Wingdings 2"/>
      <w:color w:val="000000"/>
      <w:sz w:val="36"/>
      <w:szCs w:val="36"/>
      <w:u w:val="none"/>
    </w:rPr>
  </w:style>
  <w:style w:type="character" w:customStyle="1" w:styleId="41">
    <w:name w:val="font91"/>
    <w:basedOn w:val="20"/>
    <w:qFormat/>
    <w:uiPriority w:val="0"/>
    <w:rPr>
      <w:rFonts w:hint="eastAsia" w:ascii="仿宋" w:hAnsi="仿宋" w:eastAsia="仿宋" w:cs="仿宋"/>
      <w:color w:val="0D0D0D"/>
      <w:sz w:val="36"/>
      <w:szCs w:val="36"/>
      <w:u w:val="none"/>
    </w:rPr>
  </w:style>
  <w:style w:type="character" w:customStyle="1" w:styleId="42">
    <w:name w:val="font121"/>
    <w:basedOn w:val="20"/>
    <w:qFormat/>
    <w:uiPriority w:val="0"/>
    <w:rPr>
      <w:rFonts w:hint="eastAsia" w:ascii="仿宋" w:hAnsi="仿宋" w:eastAsia="仿宋" w:cs="仿宋"/>
      <w:color w:val="000000"/>
      <w:sz w:val="36"/>
      <w:szCs w:val="36"/>
      <w:u w:val="none"/>
    </w:rPr>
  </w:style>
  <w:style w:type="character" w:customStyle="1" w:styleId="43">
    <w:name w:val="font131"/>
    <w:basedOn w:val="20"/>
    <w:qFormat/>
    <w:uiPriority w:val="0"/>
    <w:rPr>
      <w:rFonts w:hint="eastAsia" w:ascii="仿宋" w:hAnsi="仿宋" w:eastAsia="仿宋" w:cs="仿宋"/>
      <w:color w:val="000000"/>
      <w:sz w:val="36"/>
      <w:szCs w:val="36"/>
      <w:u w:val="none"/>
      <w:vertAlign w:val="superscript"/>
    </w:rPr>
  </w:style>
  <w:style w:type="character" w:customStyle="1" w:styleId="44">
    <w:name w:val="font141"/>
    <w:basedOn w:val="20"/>
    <w:qFormat/>
    <w:uiPriority w:val="0"/>
    <w:rPr>
      <w:rFonts w:hint="eastAsia" w:ascii="宋体" w:hAnsi="宋体" w:eastAsia="宋体" w:cs="宋体"/>
      <w:color w:val="0D0D0D"/>
      <w:sz w:val="36"/>
      <w:szCs w:val="36"/>
      <w:u w:val="none"/>
    </w:rPr>
  </w:style>
  <w:style w:type="paragraph" w:customStyle="1" w:styleId="45">
    <w:name w:val="UserStyle_3"/>
    <w:basedOn w:val="1"/>
    <w:qFormat/>
    <w:uiPriority w:val="0"/>
    <w:pPr>
      <w:widowControl/>
      <w:spacing w:line="360" w:lineRule="auto"/>
      <w:ind w:firstLine="420" w:firstLineChars="200"/>
      <w:textAlignment w:val="baseline"/>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76</Pages>
  <Words>35000</Words>
  <Characters>38275</Characters>
  <Lines>343</Lines>
  <Paragraphs>96</Paragraphs>
  <TotalTime>4</TotalTime>
  <ScaleCrop>false</ScaleCrop>
  <LinksUpToDate>false</LinksUpToDate>
  <CharactersWithSpaces>40498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admin</cp:lastModifiedBy>
  <cp:lastPrinted>2022-10-24T03:02:00Z</cp:lastPrinted>
  <dcterms:modified xsi:type="dcterms:W3CDTF">2023-04-13T04:27:34Z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4684A39F0BB24DD598C76FBC78783046_13</vt:lpwstr>
  </property>
</Properties>
</file>