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auto"/>
          <w:highlight w:val="none"/>
          <w:lang w:val="en-US" w:eastAsia="zh-CN"/>
        </w:rPr>
      </w:pPr>
    </w:p>
    <w:p>
      <w:pPr>
        <w:jc w:val="center"/>
        <w:rPr>
          <w:rFonts w:hint="eastAsia"/>
          <w:color w:val="auto"/>
          <w:highlight w:val="none"/>
          <w:lang w:val="en-US" w:eastAsia="zh-CN"/>
        </w:rPr>
      </w:pPr>
    </w:p>
    <w:p>
      <w:pPr>
        <w:jc w:val="center"/>
        <w:rPr>
          <w:rFonts w:hint="eastAsia"/>
          <w:color w:val="auto"/>
          <w:highlight w:val="none"/>
          <w:lang w:val="en-US" w:eastAsia="zh-CN"/>
        </w:rPr>
      </w:pPr>
    </w:p>
    <w:p>
      <w:pPr>
        <w:jc w:val="center"/>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0"/>
        <w:rPr>
          <w:rFonts w:hint="eastAsia"/>
          <w:b/>
          <w:bCs/>
          <w:color w:val="auto"/>
          <w:sz w:val="52"/>
          <w:szCs w:val="72"/>
          <w:highlight w:val="none"/>
          <w:lang w:val="en-US" w:eastAsia="zh-CN"/>
        </w:rPr>
      </w:pPr>
      <w:bookmarkStart w:id="0" w:name="_Toc7942"/>
      <w:bookmarkStart w:id="1" w:name="_Toc16489"/>
      <w:bookmarkStart w:id="2" w:name="_Toc7243"/>
      <w:bookmarkStart w:id="3" w:name="_Toc25865"/>
      <w:r>
        <w:rPr>
          <w:rFonts w:hint="eastAsia"/>
          <w:b/>
          <w:bCs/>
          <w:color w:val="auto"/>
          <w:sz w:val="52"/>
          <w:szCs w:val="72"/>
          <w:highlight w:val="none"/>
          <w:lang w:val="en-US" w:eastAsia="zh-CN"/>
        </w:rPr>
        <w:t>国内采购</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0"/>
        <w:rPr>
          <w:rFonts w:hint="eastAsia"/>
          <w:b/>
          <w:bCs/>
          <w:color w:val="auto"/>
          <w:sz w:val="52"/>
          <w:szCs w:val="72"/>
          <w:highlight w:val="none"/>
          <w:lang w:val="en-US" w:eastAsia="zh-CN"/>
        </w:rPr>
      </w:pPr>
      <w:bookmarkStart w:id="4" w:name="_Toc20638"/>
      <w:bookmarkStart w:id="5" w:name="_Toc8734"/>
      <w:bookmarkStart w:id="6" w:name="_Toc9385"/>
      <w:bookmarkStart w:id="7" w:name="_Toc15158"/>
      <w:r>
        <w:rPr>
          <w:rFonts w:hint="eastAsia"/>
          <w:b/>
          <w:bCs/>
          <w:color w:val="auto"/>
          <w:sz w:val="52"/>
          <w:szCs w:val="72"/>
          <w:highlight w:val="none"/>
          <w:lang w:val="en-US" w:eastAsia="zh-CN"/>
        </w:rPr>
        <w:t>竞争性磋商文件</w:t>
      </w:r>
      <w:bookmarkEnd w:id="4"/>
      <w:bookmarkEnd w:id="5"/>
      <w:bookmarkEnd w:id="6"/>
      <w:bookmarkEnd w:id="7"/>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b/>
          <w:bCs/>
          <w:color w:val="auto"/>
          <w:sz w:val="96"/>
          <w:szCs w:val="160"/>
          <w:highlight w:val="none"/>
          <w:lang w:val="en-US" w:eastAsia="zh-CN"/>
        </w:rPr>
      </w:pPr>
      <w:r>
        <w:rPr>
          <w:rFonts w:hint="default"/>
          <w:b/>
          <w:bCs/>
          <w:color w:val="auto"/>
          <w:sz w:val="96"/>
          <w:szCs w:val="160"/>
          <w:highlight w:val="none"/>
          <w:lang w:val="en-US" w:eastAsia="zh-CN"/>
        </w:rPr>
        <w:drawing>
          <wp:inline distT="0" distB="0" distL="114300" distR="114300">
            <wp:extent cx="1563370" cy="1588135"/>
            <wp:effectExtent l="0" t="0" r="17780" b="12065"/>
            <wp:docPr id="1" name="图片 1" descr="国顺图形logo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顺图形logo_00"/>
                    <pic:cNvPicPr>
                      <a:picLocks noChangeAspect="1"/>
                    </pic:cNvPicPr>
                  </pic:nvPicPr>
                  <pic:blipFill>
                    <a:blip r:embed="rId6"/>
                    <a:stretch>
                      <a:fillRect/>
                    </a:stretch>
                  </pic:blipFill>
                  <pic:spPr>
                    <a:xfrm>
                      <a:off x="0" y="0"/>
                      <a:ext cx="1563370" cy="1588135"/>
                    </a:xfrm>
                    <a:prstGeom prst="rect">
                      <a:avLst/>
                    </a:prstGeom>
                  </pic:spPr>
                </pic:pic>
              </a:graphicData>
            </a:graphic>
          </wp:inline>
        </w:drawing>
      </w:r>
    </w:p>
    <w:p>
      <w:pPr>
        <w:bidi w:val="0"/>
        <w:rPr>
          <w:rFonts w:hint="default"/>
          <w:color w:val="auto"/>
          <w:highlight w:val="none"/>
          <w:lang w:val="en-US" w:eastAsia="zh-CN"/>
        </w:rPr>
      </w:pPr>
    </w:p>
    <w:p>
      <w:pPr>
        <w:bidi w:val="0"/>
        <w:rPr>
          <w:rFonts w:hint="default"/>
          <w:color w:val="auto"/>
          <w:highlight w:val="none"/>
          <w:lang w:val="en-US" w:eastAsia="zh-CN"/>
        </w:rPr>
      </w:pPr>
    </w:p>
    <w:p>
      <w:pPr>
        <w:bidi w:val="0"/>
        <w:rPr>
          <w:rFonts w:hint="default"/>
          <w:color w:val="auto"/>
          <w:highlight w:val="none"/>
          <w:lang w:val="en-US" w:eastAsia="zh-CN"/>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7"/>
        <w:gridCol w:w="6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9" w:hRule="exact"/>
        </w:trPr>
        <w:tc>
          <w:tcPr>
            <w:tcW w:w="2277" w:type="dxa"/>
            <w:tcBorders>
              <w:top w:val="nil"/>
              <w:left w:val="nil"/>
              <w:bottom w:val="nil"/>
              <w:right w:val="nil"/>
            </w:tcBorders>
            <w:vAlign w:val="center"/>
          </w:tcPr>
          <w:p>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项目名称：</w:t>
            </w:r>
          </w:p>
        </w:tc>
        <w:tc>
          <w:tcPr>
            <w:tcW w:w="6245" w:type="dxa"/>
            <w:tcBorders>
              <w:top w:val="nil"/>
              <w:left w:val="nil"/>
              <w:bottom w:val="nil"/>
              <w:right w:val="nil"/>
            </w:tcBorders>
            <w:vAlign w:val="center"/>
          </w:tcPr>
          <w:p>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东莞市德懋机电有限公司增资扩产监理项目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277" w:type="dxa"/>
            <w:tcBorders>
              <w:top w:val="nil"/>
              <w:left w:val="nil"/>
              <w:bottom w:val="nil"/>
              <w:right w:val="nil"/>
            </w:tcBorders>
            <w:vAlign w:val="center"/>
          </w:tcPr>
          <w:p>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项目编号：</w:t>
            </w:r>
          </w:p>
        </w:tc>
        <w:tc>
          <w:tcPr>
            <w:tcW w:w="6245" w:type="dxa"/>
            <w:tcBorders>
              <w:top w:val="nil"/>
              <w:left w:val="nil"/>
              <w:bottom w:val="nil"/>
              <w:right w:val="nil"/>
            </w:tcBorders>
            <w:vAlign w:val="center"/>
          </w:tcPr>
          <w:p>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GSDG2023-009B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277" w:type="dxa"/>
            <w:tcBorders>
              <w:top w:val="nil"/>
              <w:left w:val="nil"/>
              <w:bottom w:val="nil"/>
              <w:right w:val="nil"/>
            </w:tcBorders>
            <w:vAlign w:val="center"/>
          </w:tcPr>
          <w:p>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采购人：</w:t>
            </w:r>
          </w:p>
        </w:tc>
        <w:tc>
          <w:tcPr>
            <w:tcW w:w="6245" w:type="dxa"/>
            <w:tcBorders>
              <w:top w:val="nil"/>
              <w:left w:val="nil"/>
              <w:bottom w:val="nil"/>
              <w:right w:val="nil"/>
            </w:tcBorders>
            <w:vAlign w:val="center"/>
          </w:tcPr>
          <w:p>
            <w:pPr>
              <w:bidi w:val="0"/>
              <w:jc w:val="both"/>
              <w:rPr>
                <w:rFonts w:hint="default"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东莞市石排镇下沙刘屋股份经济合作社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277" w:type="dxa"/>
            <w:tcBorders>
              <w:top w:val="nil"/>
              <w:left w:val="nil"/>
              <w:bottom w:val="nil"/>
              <w:right w:val="nil"/>
            </w:tcBorders>
            <w:vAlign w:val="center"/>
          </w:tcPr>
          <w:p>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采购代理机构：</w:t>
            </w:r>
          </w:p>
        </w:tc>
        <w:tc>
          <w:tcPr>
            <w:tcW w:w="6245" w:type="dxa"/>
            <w:tcBorders>
              <w:top w:val="nil"/>
              <w:left w:val="nil"/>
              <w:bottom w:val="nil"/>
              <w:right w:val="nil"/>
            </w:tcBorders>
            <w:vAlign w:val="center"/>
          </w:tcPr>
          <w:p>
            <w:pPr>
              <w:bidi w:val="0"/>
              <w:jc w:val="both"/>
              <w:rPr>
                <w:rFonts w:hint="default"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国顺招标有限公司</w:t>
            </w:r>
          </w:p>
        </w:tc>
      </w:tr>
    </w:tbl>
    <w:p>
      <w:pPr>
        <w:bidi w:val="0"/>
        <w:rPr>
          <w:rFonts w:hint="default"/>
          <w:color w:val="auto"/>
          <w:highlight w:val="none"/>
          <w:lang w:val="en-US" w:eastAsia="zh-CN"/>
        </w:rPr>
      </w:pPr>
    </w:p>
    <w:p>
      <w:pPr>
        <w:bidi w:val="0"/>
        <w:rPr>
          <w:rFonts w:hint="default"/>
          <w:color w:val="auto"/>
          <w:highlight w:val="none"/>
          <w:lang w:val="en-US" w:eastAsia="zh-CN"/>
        </w:rPr>
      </w:pPr>
    </w:p>
    <w:p>
      <w:pPr>
        <w:bidi w:val="0"/>
        <w:jc w:val="center"/>
        <w:rPr>
          <w:rFonts w:hint="eastAsia"/>
          <w:color w:val="auto"/>
          <w:sz w:val="24"/>
          <w:szCs w:val="32"/>
          <w:highlight w:val="none"/>
          <w:lang w:val="en-US" w:eastAsia="zh-CN"/>
        </w:rPr>
      </w:pPr>
    </w:p>
    <w:p>
      <w:pPr>
        <w:bidi w:val="0"/>
        <w:jc w:val="center"/>
        <w:rPr>
          <w:rFonts w:hint="eastAsia"/>
          <w:color w:val="auto"/>
          <w:sz w:val="24"/>
          <w:szCs w:val="32"/>
          <w:highlight w:val="none"/>
          <w:lang w:val="en-US" w:eastAsia="zh-CN"/>
        </w:rPr>
      </w:pPr>
    </w:p>
    <w:p>
      <w:pPr>
        <w:bidi w:val="0"/>
        <w:jc w:val="center"/>
        <w:outlineLvl w:val="0"/>
        <w:rPr>
          <w:rFonts w:hint="eastAsia" w:ascii="黑体" w:hAnsi="黑体" w:eastAsia="黑体" w:cs="黑体"/>
          <w:color w:val="auto"/>
          <w:sz w:val="30"/>
          <w:szCs w:val="30"/>
          <w:highlight w:val="none"/>
          <w:lang w:val="en-US" w:eastAsia="zh-CN"/>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pPr>
      <w:bookmarkStart w:id="8" w:name="_Toc18278"/>
      <w:bookmarkStart w:id="9" w:name="_Toc17050"/>
      <w:bookmarkStart w:id="10" w:name="_Toc5265"/>
      <w:bookmarkStart w:id="11" w:name="_Toc4164"/>
      <w:r>
        <w:rPr>
          <w:rFonts w:hint="eastAsia" w:ascii="黑体" w:hAnsi="黑体" w:eastAsia="黑体" w:cs="黑体"/>
          <w:color w:val="auto"/>
          <w:sz w:val="30"/>
          <w:szCs w:val="30"/>
          <w:highlight w:val="none"/>
          <w:lang w:val="en-US" w:eastAsia="zh-CN"/>
        </w:rPr>
        <w:t>2023年</w:t>
      </w:r>
      <w:r>
        <w:rPr>
          <w:rFonts w:hint="default" w:ascii="黑体" w:hAnsi="黑体" w:eastAsia="黑体" w:cs="黑体"/>
          <w:color w:val="auto"/>
          <w:sz w:val="30"/>
          <w:szCs w:val="30"/>
          <w:highlight w:val="none"/>
          <w:lang w:val="en-US" w:eastAsia="zh-CN"/>
        </w:rPr>
        <w:t>4</w:t>
      </w:r>
      <w:r>
        <w:rPr>
          <w:rFonts w:hint="eastAsia" w:ascii="黑体" w:hAnsi="黑体" w:eastAsia="黑体" w:cs="黑体"/>
          <w:color w:val="auto"/>
          <w:sz w:val="30"/>
          <w:szCs w:val="30"/>
          <w:highlight w:val="none"/>
          <w:lang w:val="en-US" w:eastAsia="zh-CN"/>
        </w:rPr>
        <w:t>月</w:t>
      </w:r>
      <w:r>
        <w:rPr>
          <w:rFonts w:hint="default" w:ascii="黑体" w:hAnsi="黑体" w:eastAsia="黑体" w:cs="黑体"/>
          <w:color w:val="auto"/>
          <w:sz w:val="30"/>
          <w:szCs w:val="30"/>
          <w:highlight w:val="none"/>
          <w:lang w:val="en-US" w:eastAsia="zh-CN"/>
        </w:rPr>
        <w:t>17</w:t>
      </w:r>
      <w:r>
        <w:rPr>
          <w:rFonts w:hint="eastAsia" w:ascii="黑体" w:hAnsi="黑体" w:eastAsia="黑体" w:cs="黑体"/>
          <w:color w:val="auto"/>
          <w:sz w:val="30"/>
          <w:szCs w:val="30"/>
          <w:highlight w:val="none"/>
          <w:lang w:val="en-US" w:eastAsia="zh-CN"/>
        </w:rPr>
        <w:t>日</w:t>
      </w:r>
      <w:bookmarkEnd w:id="8"/>
      <w:bookmarkEnd w:id="9"/>
      <w:bookmarkEnd w:id="10"/>
      <w:bookmarkEnd w:id="11"/>
    </w:p>
    <w:sdt>
      <w:sdtPr>
        <w:rPr>
          <w:rFonts w:ascii="宋体" w:hAnsi="宋体" w:eastAsia="宋体" w:cstheme="minorBidi"/>
          <w:b/>
          <w:bCs/>
          <w:color w:val="auto"/>
          <w:kern w:val="2"/>
          <w:sz w:val="24"/>
          <w:szCs w:val="32"/>
          <w:highlight w:val="none"/>
          <w:lang w:val="en-US" w:eastAsia="zh-CN" w:bidi="ar-SA"/>
        </w:rPr>
        <w:id w:val="147458796"/>
        <w15:color w:val="DBDBDB"/>
        <w:docPartObj>
          <w:docPartGallery w:val="Table of Contents"/>
          <w:docPartUnique/>
        </w:docPartObj>
      </w:sdtPr>
      <w:sdtEndPr>
        <w:rPr>
          <w:rFonts w:hint="eastAsia" w:ascii="黑体" w:hAnsi="黑体" w:eastAsia="黑体" w:cs="黑体"/>
          <w:b/>
          <w:bCs/>
          <w:color w:val="auto"/>
          <w:kern w:val="2"/>
          <w:sz w:val="21"/>
          <w:szCs w:val="30"/>
          <w:highlight w:val="none"/>
          <w:lang w:val="en-US" w:eastAsia="zh-CN" w:bidi="ar-SA"/>
        </w:rPr>
      </w:sdtEndPr>
      <w:sdtContent>
        <w:p>
          <w:pPr>
            <w:spacing w:before="0" w:beforeLines="0" w:after="0" w:afterLines="0" w:line="240" w:lineRule="auto"/>
            <w:ind w:left="0" w:leftChars="0" w:right="0" w:rightChars="0" w:firstLine="0" w:firstLineChars="0"/>
            <w:jc w:val="center"/>
            <w:rPr>
              <w:b/>
              <w:bCs/>
              <w:color w:val="auto"/>
              <w:sz w:val="24"/>
              <w:szCs w:val="32"/>
              <w:highlight w:val="none"/>
            </w:rPr>
          </w:pPr>
          <w:r>
            <w:rPr>
              <w:rFonts w:ascii="宋体" w:hAnsi="宋体" w:eastAsia="宋体"/>
              <w:b/>
              <w:bCs/>
              <w:color w:val="auto"/>
              <w:sz w:val="24"/>
              <w:szCs w:val="32"/>
              <w:highlight w:val="none"/>
            </w:rPr>
            <w:t>目录</w:t>
          </w:r>
        </w:p>
        <w:p>
          <w:pPr>
            <w:pStyle w:val="13"/>
            <w:tabs>
              <w:tab w:val="right" w:leader="dot" w:pos="8306"/>
            </w:tabs>
            <w:rPr>
              <w:color w:val="auto"/>
              <w:highlight w:val="none"/>
            </w:rPr>
          </w:pPr>
          <w:r>
            <w:rPr>
              <w:rFonts w:hint="eastAsia" w:ascii="黑体" w:hAnsi="黑体" w:eastAsia="黑体" w:cs="黑体"/>
              <w:color w:val="auto"/>
              <w:sz w:val="30"/>
              <w:szCs w:val="30"/>
              <w:highlight w:val="none"/>
              <w:lang w:val="en-US" w:eastAsia="zh-CN"/>
            </w:rPr>
            <w:fldChar w:fldCharType="begin"/>
          </w:r>
          <w:r>
            <w:rPr>
              <w:rFonts w:hint="eastAsia" w:ascii="黑体" w:hAnsi="黑体" w:eastAsia="黑体" w:cs="黑体"/>
              <w:color w:val="auto"/>
              <w:sz w:val="30"/>
              <w:szCs w:val="30"/>
              <w:highlight w:val="none"/>
              <w:lang w:val="en-US" w:eastAsia="zh-CN"/>
            </w:rPr>
            <w:instrText xml:space="preserve">TOC \o "1-3" \h \u </w:instrText>
          </w:r>
          <w:r>
            <w:rPr>
              <w:rFonts w:hint="eastAsia" w:ascii="黑体" w:hAnsi="黑体" w:eastAsia="黑体" w:cs="黑体"/>
              <w:color w:val="auto"/>
              <w:sz w:val="30"/>
              <w:szCs w:val="30"/>
              <w:highlight w:val="none"/>
              <w:lang w:val="en-US" w:eastAsia="zh-CN"/>
            </w:rPr>
            <w:fldChar w:fldCharType="separate"/>
          </w: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_Toc27497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第一篇 磋商邀请</w:t>
          </w:r>
          <w:r>
            <w:rPr>
              <w:color w:val="auto"/>
              <w:highlight w:val="none"/>
            </w:rPr>
            <w:tab/>
          </w:r>
          <w:r>
            <w:rPr>
              <w:color w:val="auto"/>
              <w:highlight w:val="none"/>
            </w:rPr>
            <w:fldChar w:fldCharType="begin"/>
          </w:r>
          <w:r>
            <w:rPr>
              <w:color w:val="auto"/>
              <w:highlight w:val="none"/>
            </w:rPr>
            <w:instrText xml:space="preserve"> PAGEREF _Toc27497 \h </w:instrText>
          </w:r>
          <w:r>
            <w:rPr>
              <w:color w:val="auto"/>
              <w:highlight w:val="none"/>
            </w:rPr>
            <w:fldChar w:fldCharType="separate"/>
          </w:r>
          <w:r>
            <w:rPr>
              <w:color w:val="auto"/>
              <w:highlight w:val="none"/>
            </w:rPr>
            <w:t>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3"/>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_Toc26573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第二篇 供应商须知</w:t>
          </w:r>
          <w:r>
            <w:rPr>
              <w:color w:val="auto"/>
              <w:highlight w:val="none"/>
            </w:rPr>
            <w:tab/>
          </w:r>
          <w:r>
            <w:rPr>
              <w:color w:val="auto"/>
              <w:highlight w:val="none"/>
            </w:rPr>
            <w:fldChar w:fldCharType="begin"/>
          </w:r>
          <w:r>
            <w:rPr>
              <w:color w:val="auto"/>
              <w:highlight w:val="none"/>
            </w:rPr>
            <w:instrText xml:space="preserve"> PAGEREF _Toc26573 \h </w:instrText>
          </w:r>
          <w:r>
            <w:rPr>
              <w:color w:val="auto"/>
              <w:highlight w:val="none"/>
            </w:rPr>
            <w:fldChar w:fldCharType="separate"/>
          </w:r>
          <w:r>
            <w:rPr>
              <w:color w:val="auto"/>
              <w:highlight w:val="none"/>
            </w:rPr>
            <w:t>6</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4"/>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_Toc30510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zh-CN"/>
            </w:rPr>
            <w:t>一、</w:t>
          </w:r>
          <w:r>
            <w:rPr>
              <w:rFonts w:hint="eastAsia"/>
              <w:color w:val="auto"/>
              <w:highlight w:val="none"/>
              <w:lang w:val="en-US" w:eastAsia="zh-CN"/>
            </w:rPr>
            <w:t>响应</w:t>
          </w:r>
          <w:r>
            <w:rPr>
              <w:rFonts w:hint="eastAsia"/>
              <w:color w:val="auto"/>
              <w:highlight w:val="none"/>
              <w:lang w:val="zh-CN"/>
            </w:rPr>
            <w:t>须知前附表</w:t>
          </w:r>
          <w:r>
            <w:rPr>
              <w:color w:val="auto"/>
              <w:highlight w:val="none"/>
            </w:rPr>
            <w:tab/>
          </w:r>
          <w:r>
            <w:rPr>
              <w:color w:val="auto"/>
              <w:highlight w:val="none"/>
            </w:rPr>
            <w:fldChar w:fldCharType="begin"/>
          </w:r>
          <w:r>
            <w:rPr>
              <w:color w:val="auto"/>
              <w:highlight w:val="none"/>
            </w:rPr>
            <w:instrText xml:space="preserve"> PAGEREF _Toc30510 \h </w:instrText>
          </w:r>
          <w:r>
            <w:rPr>
              <w:color w:val="auto"/>
              <w:highlight w:val="none"/>
            </w:rPr>
            <w:fldChar w:fldCharType="separate"/>
          </w:r>
          <w:r>
            <w:rPr>
              <w:color w:val="auto"/>
              <w:highlight w:val="none"/>
            </w:rPr>
            <w:t>6</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4"/>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_Toc32123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二、 供应商须知</w:t>
          </w:r>
          <w:r>
            <w:rPr>
              <w:color w:val="auto"/>
              <w:highlight w:val="none"/>
            </w:rPr>
            <w:tab/>
          </w:r>
          <w:r>
            <w:rPr>
              <w:color w:val="auto"/>
              <w:highlight w:val="none"/>
            </w:rPr>
            <w:fldChar w:fldCharType="begin"/>
          </w:r>
          <w:r>
            <w:rPr>
              <w:color w:val="auto"/>
              <w:highlight w:val="none"/>
            </w:rPr>
            <w:instrText xml:space="preserve"> PAGEREF _Toc32123 \h </w:instrText>
          </w:r>
          <w:r>
            <w:rPr>
              <w:color w:val="auto"/>
              <w:highlight w:val="none"/>
            </w:rPr>
            <w:fldChar w:fldCharType="separate"/>
          </w:r>
          <w:r>
            <w:rPr>
              <w:color w:val="auto"/>
              <w:highlight w:val="none"/>
            </w:rPr>
            <w:t>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_Toc30834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1.适用范围</w:t>
          </w:r>
          <w:r>
            <w:rPr>
              <w:color w:val="auto"/>
              <w:highlight w:val="none"/>
            </w:rPr>
            <w:tab/>
          </w:r>
          <w:r>
            <w:rPr>
              <w:color w:val="auto"/>
              <w:highlight w:val="none"/>
            </w:rPr>
            <w:fldChar w:fldCharType="begin"/>
          </w:r>
          <w:r>
            <w:rPr>
              <w:color w:val="auto"/>
              <w:highlight w:val="none"/>
            </w:rPr>
            <w:instrText xml:space="preserve"> PAGEREF _Toc30834 \h </w:instrText>
          </w:r>
          <w:r>
            <w:rPr>
              <w:color w:val="auto"/>
              <w:highlight w:val="none"/>
            </w:rPr>
            <w:fldChar w:fldCharType="separate"/>
          </w:r>
          <w:r>
            <w:rPr>
              <w:color w:val="auto"/>
              <w:highlight w:val="none"/>
            </w:rPr>
            <w:t>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_Toc7271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2.定义</w:t>
          </w:r>
          <w:r>
            <w:rPr>
              <w:color w:val="auto"/>
              <w:highlight w:val="none"/>
            </w:rPr>
            <w:tab/>
          </w:r>
          <w:r>
            <w:rPr>
              <w:color w:val="auto"/>
              <w:highlight w:val="none"/>
            </w:rPr>
            <w:fldChar w:fldCharType="begin"/>
          </w:r>
          <w:r>
            <w:rPr>
              <w:color w:val="auto"/>
              <w:highlight w:val="none"/>
            </w:rPr>
            <w:instrText xml:space="preserve"> PAGEREF _Toc7271 \h </w:instrText>
          </w:r>
          <w:r>
            <w:rPr>
              <w:color w:val="auto"/>
              <w:highlight w:val="none"/>
            </w:rPr>
            <w:fldChar w:fldCharType="separate"/>
          </w:r>
          <w:r>
            <w:rPr>
              <w:color w:val="auto"/>
              <w:highlight w:val="none"/>
            </w:rPr>
            <w:t>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_Toc30379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3.货物和服务</w:t>
          </w:r>
          <w:r>
            <w:rPr>
              <w:color w:val="auto"/>
              <w:highlight w:val="none"/>
            </w:rPr>
            <w:tab/>
          </w:r>
          <w:r>
            <w:rPr>
              <w:color w:val="auto"/>
              <w:highlight w:val="none"/>
            </w:rPr>
            <w:fldChar w:fldCharType="begin"/>
          </w:r>
          <w:r>
            <w:rPr>
              <w:color w:val="auto"/>
              <w:highlight w:val="none"/>
            </w:rPr>
            <w:instrText xml:space="preserve"> PAGEREF _Toc30379 \h </w:instrText>
          </w:r>
          <w:r>
            <w:rPr>
              <w:color w:val="auto"/>
              <w:highlight w:val="none"/>
            </w:rPr>
            <w:fldChar w:fldCharType="separate"/>
          </w:r>
          <w:r>
            <w:rPr>
              <w:color w:val="auto"/>
              <w:highlight w:val="none"/>
            </w:rPr>
            <w:t>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_Toc18277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4.响应费用</w:t>
          </w:r>
          <w:r>
            <w:rPr>
              <w:color w:val="auto"/>
              <w:highlight w:val="none"/>
            </w:rPr>
            <w:tab/>
          </w:r>
          <w:r>
            <w:rPr>
              <w:color w:val="auto"/>
              <w:highlight w:val="none"/>
            </w:rPr>
            <w:fldChar w:fldCharType="begin"/>
          </w:r>
          <w:r>
            <w:rPr>
              <w:color w:val="auto"/>
              <w:highlight w:val="none"/>
            </w:rPr>
            <w:instrText xml:space="preserve"> PAGEREF _Toc18277 \h </w:instrText>
          </w:r>
          <w:r>
            <w:rPr>
              <w:color w:val="auto"/>
              <w:highlight w:val="none"/>
            </w:rPr>
            <w:fldChar w:fldCharType="separate"/>
          </w:r>
          <w:r>
            <w:rPr>
              <w:color w:val="auto"/>
              <w:highlight w:val="none"/>
            </w:rPr>
            <w:t>9</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_Toc24793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5.知识产权</w:t>
          </w:r>
          <w:r>
            <w:rPr>
              <w:color w:val="auto"/>
              <w:highlight w:val="none"/>
            </w:rPr>
            <w:tab/>
          </w:r>
          <w:r>
            <w:rPr>
              <w:color w:val="auto"/>
              <w:highlight w:val="none"/>
            </w:rPr>
            <w:fldChar w:fldCharType="begin"/>
          </w:r>
          <w:r>
            <w:rPr>
              <w:color w:val="auto"/>
              <w:highlight w:val="none"/>
            </w:rPr>
            <w:instrText xml:space="preserve"> PAGEREF _Toc24793 \h </w:instrText>
          </w:r>
          <w:r>
            <w:rPr>
              <w:color w:val="auto"/>
              <w:highlight w:val="none"/>
            </w:rPr>
            <w:fldChar w:fldCharType="separate"/>
          </w:r>
          <w:r>
            <w:rPr>
              <w:color w:val="auto"/>
              <w:highlight w:val="none"/>
            </w:rPr>
            <w:t>9</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_Toc13064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6.关于联合体</w:t>
          </w:r>
          <w:r>
            <w:rPr>
              <w:color w:val="auto"/>
              <w:highlight w:val="none"/>
            </w:rPr>
            <w:tab/>
          </w:r>
          <w:r>
            <w:rPr>
              <w:color w:val="auto"/>
              <w:highlight w:val="none"/>
            </w:rPr>
            <w:fldChar w:fldCharType="begin"/>
          </w:r>
          <w:r>
            <w:rPr>
              <w:color w:val="auto"/>
              <w:highlight w:val="none"/>
            </w:rPr>
            <w:instrText xml:space="preserve"> PAGEREF _Toc13064 \h </w:instrText>
          </w:r>
          <w:r>
            <w:rPr>
              <w:color w:val="auto"/>
              <w:highlight w:val="none"/>
            </w:rPr>
            <w:fldChar w:fldCharType="separate"/>
          </w:r>
          <w:r>
            <w:rPr>
              <w:color w:val="auto"/>
              <w:highlight w:val="none"/>
            </w:rPr>
            <w:t>9</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_Toc23688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7.关于分支机构响应</w:t>
          </w:r>
          <w:r>
            <w:rPr>
              <w:color w:val="auto"/>
              <w:highlight w:val="none"/>
            </w:rPr>
            <w:tab/>
          </w:r>
          <w:r>
            <w:rPr>
              <w:color w:val="auto"/>
              <w:highlight w:val="none"/>
            </w:rPr>
            <w:fldChar w:fldCharType="begin"/>
          </w:r>
          <w:r>
            <w:rPr>
              <w:color w:val="auto"/>
              <w:highlight w:val="none"/>
            </w:rPr>
            <w:instrText xml:space="preserve"> PAGEREF _Toc23688 \h </w:instrText>
          </w:r>
          <w:r>
            <w:rPr>
              <w:color w:val="auto"/>
              <w:highlight w:val="none"/>
            </w:rPr>
            <w:fldChar w:fldCharType="separate"/>
          </w:r>
          <w:r>
            <w:rPr>
              <w:color w:val="auto"/>
              <w:highlight w:val="none"/>
            </w:rPr>
            <w:t>10</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_Toc19660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8.磋商文件的组成</w:t>
          </w:r>
          <w:r>
            <w:rPr>
              <w:color w:val="auto"/>
              <w:highlight w:val="none"/>
            </w:rPr>
            <w:tab/>
          </w:r>
          <w:r>
            <w:rPr>
              <w:color w:val="auto"/>
              <w:highlight w:val="none"/>
            </w:rPr>
            <w:fldChar w:fldCharType="begin"/>
          </w:r>
          <w:r>
            <w:rPr>
              <w:color w:val="auto"/>
              <w:highlight w:val="none"/>
            </w:rPr>
            <w:instrText xml:space="preserve"> PAGEREF _Toc19660 \h </w:instrText>
          </w:r>
          <w:r>
            <w:rPr>
              <w:color w:val="auto"/>
              <w:highlight w:val="none"/>
            </w:rPr>
            <w:fldChar w:fldCharType="separate"/>
          </w:r>
          <w:r>
            <w:rPr>
              <w:color w:val="auto"/>
              <w:highlight w:val="none"/>
            </w:rPr>
            <w:t>10</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_Toc3812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9.磋商文件的澄清或修改</w:t>
          </w:r>
          <w:r>
            <w:rPr>
              <w:color w:val="auto"/>
              <w:highlight w:val="none"/>
            </w:rPr>
            <w:tab/>
          </w:r>
          <w:r>
            <w:rPr>
              <w:color w:val="auto"/>
              <w:highlight w:val="none"/>
            </w:rPr>
            <w:fldChar w:fldCharType="begin"/>
          </w:r>
          <w:r>
            <w:rPr>
              <w:color w:val="auto"/>
              <w:highlight w:val="none"/>
            </w:rPr>
            <w:instrText xml:space="preserve"> PAGEREF _Toc3812 \h </w:instrText>
          </w:r>
          <w:r>
            <w:rPr>
              <w:color w:val="auto"/>
              <w:highlight w:val="none"/>
            </w:rPr>
            <w:fldChar w:fldCharType="separate"/>
          </w:r>
          <w:r>
            <w:rPr>
              <w:color w:val="auto"/>
              <w:highlight w:val="none"/>
            </w:rPr>
            <w:t>11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_Toc17507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10.响应文件的语言及度量衡单位</w:t>
          </w:r>
          <w:r>
            <w:rPr>
              <w:color w:val="auto"/>
              <w:highlight w:val="none"/>
            </w:rPr>
            <w:tab/>
          </w:r>
          <w:r>
            <w:rPr>
              <w:color w:val="auto"/>
              <w:highlight w:val="none"/>
            </w:rPr>
            <w:fldChar w:fldCharType="begin"/>
          </w:r>
          <w:r>
            <w:rPr>
              <w:color w:val="auto"/>
              <w:highlight w:val="none"/>
            </w:rPr>
            <w:instrText xml:space="preserve"> PAGEREF _Toc17507 \h </w:instrText>
          </w:r>
          <w:r>
            <w:rPr>
              <w:color w:val="auto"/>
              <w:highlight w:val="none"/>
            </w:rPr>
            <w:fldChar w:fldCharType="separate"/>
          </w:r>
          <w:r>
            <w:rPr>
              <w:color w:val="auto"/>
              <w:highlight w:val="none"/>
            </w:rPr>
            <w:t>11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_Toc21308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11.响应文件的组成</w:t>
          </w:r>
          <w:r>
            <w:rPr>
              <w:color w:val="auto"/>
              <w:highlight w:val="none"/>
            </w:rPr>
            <w:tab/>
          </w:r>
          <w:r>
            <w:rPr>
              <w:color w:val="auto"/>
              <w:highlight w:val="none"/>
            </w:rPr>
            <w:fldChar w:fldCharType="begin"/>
          </w:r>
          <w:r>
            <w:rPr>
              <w:color w:val="auto"/>
              <w:highlight w:val="none"/>
            </w:rPr>
            <w:instrText xml:space="preserve"> PAGEREF _Toc21308 \h </w:instrText>
          </w:r>
          <w:r>
            <w:rPr>
              <w:color w:val="auto"/>
              <w:highlight w:val="none"/>
            </w:rPr>
            <w:fldChar w:fldCharType="separate"/>
          </w:r>
          <w:r>
            <w:rPr>
              <w:color w:val="auto"/>
              <w:highlight w:val="none"/>
            </w:rPr>
            <w:t>11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_Toc28835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12.响应文件编制</w:t>
          </w:r>
          <w:r>
            <w:rPr>
              <w:color w:val="auto"/>
              <w:highlight w:val="none"/>
            </w:rPr>
            <w:tab/>
          </w:r>
          <w:r>
            <w:rPr>
              <w:color w:val="auto"/>
              <w:highlight w:val="none"/>
            </w:rPr>
            <w:fldChar w:fldCharType="begin"/>
          </w:r>
          <w:r>
            <w:rPr>
              <w:color w:val="auto"/>
              <w:highlight w:val="none"/>
            </w:rPr>
            <w:instrText xml:space="preserve"> PAGEREF _Toc28835 \h </w:instrText>
          </w:r>
          <w:r>
            <w:rPr>
              <w:color w:val="auto"/>
              <w:highlight w:val="none"/>
            </w:rPr>
            <w:fldChar w:fldCharType="separate"/>
          </w:r>
          <w:r>
            <w:rPr>
              <w:color w:val="auto"/>
              <w:highlight w:val="none"/>
            </w:rPr>
            <w:t>11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_Toc29388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13.响应报价说明</w:t>
          </w:r>
          <w:r>
            <w:rPr>
              <w:color w:val="auto"/>
              <w:highlight w:val="none"/>
            </w:rPr>
            <w:tab/>
          </w:r>
          <w:r>
            <w:rPr>
              <w:color w:val="auto"/>
              <w:highlight w:val="none"/>
            </w:rPr>
            <w:fldChar w:fldCharType="begin"/>
          </w:r>
          <w:r>
            <w:rPr>
              <w:color w:val="auto"/>
              <w:highlight w:val="none"/>
            </w:rPr>
            <w:instrText xml:space="preserve"> PAGEREF _Toc29388 \h </w:instrText>
          </w:r>
          <w:r>
            <w:rPr>
              <w:color w:val="auto"/>
              <w:highlight w:val="none"/>
            </w:rPr>
            <w:fldChar w:fldCharType="separate"/>
          </w:r>
          <w:r>
            <w:rPr>
              <w:color w:val="auto"/>
              <w:highlight w:val="none"/>
            </w:rPr>
            <w:t>12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_Toc29860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14.供应商所提供的服务或货物的证明文件</w:t>
          </w:r>
          <w:r>
            <w:rPr>
              <w:color w:val="auto"/>
              <w:highlight w:val="none"/>
            </w:rPr>
            <w:tab/>
          </w:r>
          <w:r>
            <w:rPr>
              <w:color w:val="auto"/>
              <w:highlight w:val="none"/>
            </w:rPr>
            <w:fldChar w:fldCharType="begin"/>
          </w:r>
          <w:r>
            <w:rPr>
              <w:color w:val="auto"/>
              <w:highlight w:val="none"/>
            </w:rPr>
            <w:instrText xml:space="preserve"> PAGEREF _Toc29860 \h </w:instrText>
          </w:r>
          <w:r>
            <w:rPr>
              <w:color w:val="auto"/>
              <w:highlight w:val="none"/>
            </w:rPr>
            <w:fldChar w:fldCharType="separate"/>
          </w:r>
          <w:r>
            <w:rPr>
              <w:color w:val="auto"/>
              <w:highlight w:val="none"/>
            </w:rPr>
            <w:t>12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_Toc20435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15.★响应有效期</w:t>
          </w:r>
          <w:r>
            <w:rPr>
              <w:color w:val="auto"/>
              <w:highlight w:val="none"/>
            </w:rPr>
            <w:tab/>
          </w:r>
          <w:r>
            <w:rPr>
              <w:color w:val="auto"/>
              <w:highlight w:val="none"/>
            </w:rPr>
            <w:fldChar w:fldCharType="begin"/>
          </w:r>
          <w:r>
            <w:rPr>
              <w:color w:val="auto"/>
              <w:highlight w:val="none"/>
            </w:rPr>
            <w:instrText xml:space="preserve"> PAGEREF _Toc20435 \h </w:instrText>
          </w:r>
          <w:r>
            <w:rPr>
              <w:color w:val="auto"/>
              <w:highlight w:val="none"/>
            </w:rPr>
            <w:fldChar w:fldCharType="separate"/>
          </w:r>
          <w:r>
            <w:rPr>
              <w:color w:val="auto"/>
              <w:highlight w:val="none"/>
            </w:rPr>
            <w:t>13</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_Toc28431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16.★</w:t>
          </w:r>
          <w:r>
            <w:rPr>
              <w:rFonts w:hint="eastAsia"/>
              <w:color w:val="auto"/>
              <w:highlight w:val="none"/>
              <w:lang w:val="en-US" w:eastAsia="zh-CN"/>
            </w:rPr>
            <w:t>响应保证金</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本项目不需要</w:t>
          </w:r>
          <w:r>
            <w:rPr>
              <w:rFonts w:hint="eastAsia" w:ascii="宋体" w:hAnsi="宋体" w:cs="宋体"/>
              <w:color w:val="auto"/>
              <w:sz w:val="21"/>
              <w:szCs w:val="21"/>
              <w:highlight w:val="none"/>
              <w:lang w:eastAsia="zh-CN"/>
            </w:rPr>
            <w:t>）</w:t>
          </w:r>
          <w:r>
            <w:rPr>
              <w:color w:val="auto"/>
              <w:highlight w:val="none"/>
            </w:rPr>
            <w:tab/>
          </w:r>
          <w:r>
            <w:rPr>
              <w:color w:val="auto"/>
              <w:highlight w:val="none"/>
            </w:rPr>
            <w:fldChar w:fldCharType="begin"/>
          </w:r>
          <w:r>
            <w:rPr>
              <w:color w:val="auto"/>
              <w:highlight w:val="none"/>
            </w:rPr>
            <w:instrText xml:space="preserve"> PAGEREF _Toc28431 \h </w:instrText>
          </w:r>
          <w:r>
            <w:rPr>
              <w:color w:val="auto"/>
              <w:highlight w:val="none"/>
            </w:rPr>
            <w:fldChar w:fldCharType="separate"/>
          </w:r>
          <w:r>
            <w:rPr>
              <w:color w:val="auto"/>
              <w:highlight w:val="none"/>
            </w:rPr>
            <w:t>13</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_Toc17970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17.响应文件的装订，签署，密封和标记</w:t>
          </w:r>
          <w:r>
            <w:rPr>
              <w:color w:val="auto"/>
              <w:highlight w:val="none"/>
            </w:rPr>
            <w:tab/>
          </w:r>
          <w:r>
            <w:rPr>
              <w:color w:val="auto"/>
              <w:highlight w:val="none"/>
            </w:rPr>
            <w:fldChar w:fldCharType="begin"/>
          </w:r>
          <w:r>
            <w:rPr>
              <w:color w:val="auto"/>
              <w:highlight w:val="none"/>
            </w:rPr>
            <w:instrText xml:space="preserve"> PAGEREF _Toc17970 \h </w:instrText>
          </w:r>
          <w:r>
            <w:rPr>
              <w:color w:val="auto"/>
              <w:highlight w:val="none"/>
            </w:rPr>
            <w:fldChar w:fldCharType="separate"/>
          </w:r>
          <w:r>
            <w:rPr>
              <w:color w:val="auto"/>
              <w:highlight w:val="none"/>
            </w:rPr>
            <w:t>13</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_Toc3249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18.迟交的响应文件</w:t>
          </w:r>
          <w:r>
            <w:rPr>
              <w:color w:val="auto"/>
              <w:highlight w:val="none"/>
            </w:rPr>
            <w:tab/>
          </w:r>
          <w:r>
            <w:rPr>
              <w:color w:val="auto"/>
              <w:highlight w:val="none"/>
            </w:rPr>
            <w:fldChar w:fldCharType="begin"/>
          </w:r>
          <w:r>
            <w:rPr>
              <w:color w:val="auto"/>
              <w:highlight w:val="none"/>
            </w:rPr>
            <w:instrText xml:space="preserve"> PAGEREF _Toc3249 \h </w:instrText>
          </w:r>
          <w:r>
            <w:rPr>
              <w:color w:val="auto"/>
              <w:highlight w:val="none"/>
            </w:rPr>
            <w:fldChar w:fldCharType="separate"/>
          </w:r>
          <w:r>
            <w:rPr>
              <w:color w:val="auto"/>
              <w:highlight w:val="none"/>
            </w:rPr>
            <w:t>15</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_Toc22059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19.磋商样品、磋商演示（如有要求）</w:t>
          </w:r>
          <w:r>
            <w:rPr>
              <w:color w:val="auto"/>
              <w:highlight w:val="none"/>
            </w:rPr>
            <w:tab/>
          </w:r>
          <w:r>
            <w:rPr>
              <w:color w:val="auto"/>
              <w:highlight w:val="none"/>
            </w:rPr>
            <w:fldChar w:fldCharType="begin"/>
          </w:r>
          <w:r>
            <w:rPr>
              <w:color w:val="auto"/>
              <w:highlight w:val="none"/>
            </w:rPr>
            <w:instrText xml:space="preserve"> PAGEREF _Toc22059 \h </w:instrText>
          </w:r>
          <w:r>
            <w:rPr>
              <w:color w:val="auto"/>
              <w:highlight w:val="none"/>
            </w:rPr>
            <w:fldChar w:fldCharType="separate"/>
          </w:r>
          <w:r>
            <w:rPr>
              <w:color w:val="auto"/>
              <w:highlight w:val="none"/>
            </w:rPr>
            <w:t>15</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_Toc24777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20.响应截止期</w:t>
          </w:r>
          <w:r>
            <w:rPr>
              <w:color w:val="auto"/>
              <w:highlight w:val="none"/>
            </w:rPr>
            <w:tab/>
          </w:r>
          <w:r>
            <w:rPr>
              <w:color w:val="auto"/>
              <w:highlight w:val="none"/>
            </w:rPr>
            <w:fldChar w:fldCharType="begin"/>
          </w:r>
          <w:r>
            <w:rPr>
              <w:color w:val="auto"/>
              <w:highlight w:val="none"/>
            </w:rPr>
            <w:instrText xml:space="preserve"> PAGEREF _Toc24777 \h </w:instrText>
          </w:r>
          <w:r>
            <w:rPr>
              <w:color w:val="auto"/>
              <w:highlight w:val="none"/>
            </w:rPr>
            <w:fldChar w:fldCharType="separate"/>
          </w:r>
          <w:r>
            <w:rPr>
              <w:color w:val="auto"/>
              <w:highlight w:val="none"/>
            </w:rPr>
            <w:t>15</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_Toc4603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21.响应文件的补充、修改与撤回</w:t>
          </w:r>
          <w:r>
            <w:rPr>
              <w:color w:val="auto"/>
              <w:highlight w:val="none"/>
            </w:rPr>
            <w:tab/>
          </w:r>
          <w:r>
            <w:rPr>
              <w:color w:val="auto"/>
              <w:highlight w:val="none"/>
            </w:rPr>
            <w:fldChar w:fldCharType="begin"/>
          </w:r>
          <w:r>
            <w:rPr>
              <w:color w:val="auto"/>
              <w:highlight w:val="none"/>
            </w:rPr>
            <w:instrText xml:space="preserve"> PAGEREF _Toc4603 \h </w:instrText>
          </w:r>
          <w:r>
            <w:rPr>
              <w:color w:val="auto"/>
              <w:highlight w:val="none"/>
            </w:rPr>
            <w:fldChar w:fldCharType="separate"/>
          </w:r>
          <w:r>
            <w:rPr>
              <w:color w:val="auto"/>
              <w:highlight w:val="none"/>
            </w:rPr>
            <w:t>15</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_Toc14512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22.磋商</w:t>
          </w:r>
          <w:r>
            <w:rPr>
              <w:color w:val="auto"/>
              <w:highlight w:val="none"/>
            </w:rPr>
            <w:tab/>
          </w:r>
          <w:r>
            <w:rPr>
              <w:color w:val="auto"/>
              <w:highlight w:val="none"/>
            </w:rPr>
            <w:fldChar w:fldCharType="begin"/>
          </w:r>
          <w:r>
            <w:rPr>
              <w:color w:val="auto"/>
              <w:highlight w:val="none"/>
            </w:rPr>
            <w:instrText xml:space="preserve"> PAGEREF _Toc14512 \h </w:instrText>
          </w:r>
          <w:r>
            <w:rPr>
              <w:color w:val="auto"/>
              <w:highlight w:val="none"/>
            </w:rPr>
            <w:fldChar w:fldCharType="separate"/>
          </w:r>
          <w:r>
            <w:rPr>
              <w:color w:val="auto"/>
              <w:highlight w:val="none"/>
            </w:rPr>
            <w:t>16</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_Toc19811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23.磋商小组及评审方法</w:t>
          </w:r>
          <w:r>
            <w:rPr>
              <w:color w:val="auto"/>
              <w:highlight w:val="none"/>
            </w:rPr>
            <w:tab/>
          </w:r>
          <w:r>
            <w:rPr>
              <w:color w:val="auto"/>
              <w:highlight w:val="none"/>
            </w:rPr>
            <w:fldChar w:fldCharType="begin"/>
          </w:r>
          <w:r>
            <w:rPr>
              <w:color w:val="auto"/>
              <w:highlight w:val="none"/>
            </w:rPr>
            <w:instrText xml:space="preserve"> PAGEREF _Toc19811 \h </w:instrText>
          </w:r>
          <w:r>
            <w:rPr>
              <w:color w:val="auto"/>
              <w:highlight w:val="none"/>
            </w:rPr>
            <w:fldChar w:fldCharType="separate"/>
          </w:r>
          <w:r>
            <w:rPr>
              <w:color w:val="auto"/>
              <w:highlight w:val="none"/>
            </w:rPr>
            <w:t>16</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_Toc3525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24.评审原则及评审过程的保密</w:t>
          </w:r>
          <w:r>
            <w:rPr>
              <w:color w:val="auto"/>
              <w:highlight w:val="none"/>
            </w:rPr>
            <w:tab/>
          </w:r>
          <w:r>
            <w:rPr>
              <w:color w:val="auto"/>
              <w:highlight w:val="none"/>
            </w:rPr>
            <w:fldChar w:fldCharType="begin"/>
          </w:r>
          <w:r>
            <w:rPr>
              <w:color w:val="auto"/>
              <w:highlight w:val="none"/>
            </w:rPr>
            <w:instrText xml:space="preserve"> PAGEREF _Toc3525 \h </w:instrText>
          </w:r>
          <w:r>
            <w:rPr>
              <w:color w:val="auto"/>
              <w:highlight w:val="none"/>
            </w:rPr>
            <w:fldChar w:fldCharType="separate"/>
          </w:r>
          <w:r>
            <w:rPr>
              <w:color w:val="auto"/>
              <w:highlight w:val="none"/>
            </w:rPr>
            <w:t>17</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_Toc18014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25.响应文件的初审</w:t>
          </w:r>
          <w:r>
            <w:rPr>
              <w:color w:val="auto"/>
              <w:highlight w:val="none"/>
            </w:rPr>
            <w:tab/>
          </w:r>
          <w:r>
            <w:rPr>
              <w:color w:val="auto"/>
              <w:highlight w:val="none"/>
            </w:rPr>
            <w:fldChar w:fldCharType="begin"/>
          </w:r>
          <w:r>
            <w:rPr>
              <w:color w:val="auto"/>
              <w:highlight w:val="none"/>
            </w:rPr>
            <w:instrText xml:space="preserve"> PAGEREF _Toc18014 \h </w:instrText>
          </w:r>
          <w:r>
            <w:rPr>
              <w:color w:val="auto"/>
              <w:highlight w:val="none"/>
            </w:rPr>
            <w:fldChar w:fldCharType="separate"/>
          </w:r>
          <w:r>
            <w:rPr>
              <w:color w:val="auto"/>
              <w:highlight w:val="none"/>
            </w:rPr>
            <w:t>17</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_Toc4041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26.商务、技术、价格评审</w:t>
          </w:r>
          <w:r>
            <w:rPr>
              <w:color w:val="auto"/>
              <w:highlight w:val="none"/>
            </w:rPr>
            <w:tab/>
          </w:r>
          <w:r>
            <w:rPr>
              <w:color w:val="auto"/>
              <w:highlight w:val="none"/>
            </w:rPr>
            <w:fldChar w:fldCharType="begin"/>
          </w:r>
          <w:r>
            <w:rPr>
              <w:color w:val="auto"/>
              <w:highlight w:val="none"/>
            </w:rPr>
            <w:instrText xml:space="preserve"> PAGEREF _Toc4041 \h </w:instrText>
          </w:r>
          <w:r>
            <w:rPr>
              <w:color w:val="auto"/>
              <w:highlight w:val="none"/>
            </w:rPr>
            <w:fldChar w:fldCharType="separate"/>
          </w:r>
          <w:r>
            <w:rPr>
              <w:color w:val="auto"/>
              <w:highlight w:val="none"/>
            </w:rPr>
            <w:t>18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_Toc30865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27.纪律和保密事项</w:t>
          </w:r>
          <w:r>
            <w:rPr>
              <w:color w:val="auto"/>
              <w:highlight w:val="none"/>
            </w:rPr>
            <w:tab/>
          </w:r>
          <w:r>
            <w:rPr>
              <w:color w:val="auto"/>
              <w:highlight w:val="none"/>
            </w:rPr>
            <w:fldChar w:fldCharType="begin"/>
          </w:r>
          <w:r>
            <w:rPr>
              <w:color w:val="auto"/>
              <w:highlight w:val="none"/>
            </w:rPr>
            <w:instrText xml:space="preserve"> PAGEREF _Toc30865 \h </w:instrText>
          </w:r>
          <w:r>
            <w:rPr>
              <w:color w:val="auto"/>
              <w:highlight w:val="none"/>
            </w:rPr>
            <w:fldChar w:fldCharType="separate"/>
          </w:r>
          <w:r>
            <w:rPr>
              <w:color w:val="auto"/>
              <w:highlight w:val="none"/>
            </w:rPr>
            <w:t>20</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_Toc21265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28.确定成交</w:t>
          </w:r>
          <w:r>
            <w:rPr>
              <w:color w:val="auto"/>
              <w:highlight w:val="none"/>
            </w:rPr>
            <w:tab/>
          </w:r>
          <w:r>
            <w:rPr>
              <w:color w:val="auto"/>
              <w:highlight w:val="none"/>
            </w:rPr>
            <w:fldChar w:fldCharType="begin"/>
          </w:r>
          <w:r>
            <w:rPr>
              <w:color w:val="auto"/>
              <w:highlight w:val="none"/>
            </w:rPr>
            <w:instrText xml:space="preserve"> PAGEREF _Toc21265 \h </w:instrText>
          </w:r>
          <w:r>
            <w:rPr>
              <w:color w:val="auto"/>
              <w:highlight w:val="none"/>
            </w:rPr>
            <w:fldChar w:fldCharType="separate"/>
          </w:r>
          <w:r>
            <w:rPr>
              <w:color w:val="auto"/>
              <w:highlight w:val="none"/>
            </w:rPr>
            <w:t>21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_Toc6459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29.发布采购结果</w:t>
          </w:r>
          <w:r>
            <w:rPr>
              <w:color w:val="auto"/>
              <w:highlight w:val="none"/>
            </w:rPr>
            <w:tab/>
          </w:r>
          <w:r>
            <w:rPr>
              <w:color w:val="auto"/>
              <w:highlight w:val="none"/>
            </w:rPr>
            <w:fldChar w:fldCharType="begin"/>
          </w:r>
          <w:r>
            <w:rPr>
              <w:color w:val="auto"/>
              <w:highlight w:val="none"/>
            </w:rPr>
            <w:instrText xml:space="preserve"> PAGEREF _Toc6459 \h </w:instrText>
          </w:r>
          <w:r>
            <w:rPr>
              <w:color w:val="auto"/>
              <w:highlight w:val="none"/>
            </w:rPr>
            <w:fldChar w:fldCharType="separate"/>
          </w:r>
          <w:r>
            <w:rPr>
              <w:color w:val="auto"/>
              <w:highlight w:val="none"/>
            </w:rPr>
            <w:t>21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_Toc18733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30.合同的签订与履行</w:t>
          </w:r>
          <w:r>
            <w:rPr>
              <w:color w:val="auto"/>
              <w:highlight w:val="none"/>
            </w:rPr>
            <w:tab/>
          </w:r>
          <w:r>
            <w:rPr>
              <w:color w:val="auto"/>
              <w:highlight w:val="none"/>
            </w:rPr>
            <w:fldChar w:fldCharType="begin"/>
          </w:r>
          <w:r>
            <w:rPr>
              <w:color w:val="auto"/>
              <w:highlight w:val="none"/>
            </w:rPr>
            <w:instrText xml:space="preserve"> PAGEREF _Toc18733 \h </w:instrText>
          </w:r>
          <w:r>
            <w:rPr>
              <w:color w:val="auto"/>
              <w:highlight w:val="none"/>
            </w:rPr>
            <w:fldChar w:fldCharType="separate"/>
          </w:r>
          <w:r>
            <w:rPr>
              <w:color w:val="auto"/>
              <w:highlight w:val="none"/>
            </w:rPr>
            <w:t>22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_Toc26547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31.履约保证金</w:t>
          </w:r>
          <w:r>
            <w:rPr>
              <w:color w:val="auto"/>
              <w:highlight w:val="none"/>
            </w:rPr>
            <w:tab/>
          </w:r>
          <w:r>
            <w:rPr>
              <w:color w:val="auto"/>
              <w:highlight w:val="none"/>
            </w:rPr>
            <w:fldChar w:fldCharType="begin"/>
          </w:r>
          <w:r>
            <w:rPr>
              <w:color w:val="auto"/>
              <w:highlight w:val="none"/>
            </w:rPr>
            <w:instrText xml:space="preserve"> PAGEREF _Toc26547 \h </w:instrText>
          </w:r>
          <w:r>
            <w:rPr>
              <w:color w:val="auto"/>
              <w:highlight w:val="none"/>
            </w:rPr>
            <w:fldChar w:fldCharType="separate"/>
          </w:r>
          <w:r>
            <w:rPr>
              <w:color w:val="auto"/>
              <w:highlight w:val="none"/>
            </w:rPr>
            <w:t>22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3"/>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_Toc8191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第三篇 用户需求书</w:t>
          </w:r>
          <w:r>
            <w:rPr>
              <w:color w:val="auto"/>
              <w:highlight w:val="none"/>
            </w:rPr>
            <w:tab/>
          </w:r>
          <w:r>
            <w:rPr>
              <w:color w:val="auto"/>
              <w:highlight w:val="none"/>
            </w:rPr>
            <w:fldChar w:fldCharType="begin"/>
          </w:r>
          <w:r>
            <w:rPr>
              <w:color w:val="auto"/>
              <w:highlight w:val="none"/>
            </w:rPr>
            <w:instrText xml:space="preserve"> PAGEREF _Toc8191 \h </w:instrText>
          </w:r>
          <w:r>
            <w:rPr>
              <w:color w:val="auto"/>
              <w:highlight w:val="none"/>
            </w:rPr>
            <w:fldChar w:fldCharType="separate"/>
          </w:r>
          <w:r>
            <w:rPr>
              <w:color w:val="auto"/>
              <w:highlight w:val="none"/>
            </w:rPr>
            <w:t>24</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3"/>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_Toc29929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第四篇 详细评审</w:t>
          </w:r>
          <w:r>
            <w:rPr>
              <w:color w:val="auto"/>
              <w:highlight w:val="none"/>
            </w:rPr>
            <w:tab/>
          </w:r>
          <w:r>
            <w:rPr>
              <w:color w:val="auto"/>
              <w:highlight w:val="none"/>
            </w:rPr>
            <w:fldChar w:fldCharType="begin"/>
          </w:r>
          <w:r>
            <w:rPr>
              <w:color w:val="auto"/>
              <w:highlight w:val="none"/>
            </w:rPr>
            <w:instrText xml:space="preserve"> PAGEREF _Toc29929 \h </w:instrText>
          </w:r>
          <w:r>
            <w:rPr>
              <w:color w:val="auto"/>
              <w:highlight w:val="none"/>
            </w:rPr>
            <w:fldChar w:fldCharType="separate"/>
          </w:r>
          <w:r>
            <w:rPr>
              <w:color w:val="auto"/>
              <w:highlight w:val="none"/>
            </w:rPr>
            <w:t>28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3"/>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_Toc20102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第五篇 合同文本参考格式</w:t>
          </w:r>
          <w:r>
            <w:rPr>
              <w:color w:val="auto"/>
              <w:highlight w:val="none"/>
            </w:rPr>
            <w:tab/>
          </w:r>
          <w:r>
            <w:rPr>
              <w:color w:val="auto"/>
              <w:highlight w:val="none"/>
            </w:rPr>
            <w:fldChar w:fldCharType="begin"/>
          </w:r>
          <w:r>
            <w:rPr>
              <w:color w:val="auto"/>
              <w:highlight w:val="none"/>
            </w:rPr>
            <w:instrText xml:space="preserve"> PAGEREF _Toc20102 \h </w:instrText>
          </w:r>
          <w:r>
            <w:rPr>
              <w:color w:val="auto"/>
              <w:highlight w:val="none"/>
            </w:rPr>
            <w:fldChar w:fldCharType="separate"/>
          </w:r>
          <w:r>
            <w:rPr>
              <w:color w:val="auto"/>
              <w:highlight w:val="none"/>
            </w:rPr>
            <w:t>30</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3"/>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_Toc2896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第六篇 响应文件格式</w:t>
          </w:r>
          <w:r>
            <w:rPr>
              <w:color w:val="auto"/>
              <w:highlight w:val="none"/>
            </w:rPr>
            <w:tab/>
          </w:r>
          <w:r>
            <w:rPr>
              <w:color w:val="auto"/>
              <w:highlight w:val="none"/>
            </w:rPr>
            <w:fldChar w:fldCharType="begin"/>
          </w:r>
          <w:r>
            <w:rPr>
              <w:color w:val="auto"/>
              <w:highlight w:val="none"/>
            </w:rPr>
            <w:instrText xml:space="preserve"> PAGEREF _Toc2896 \h </w:instrText>
          </w:r>
          <w:r>
            <w:rPr>
              <w:color w:val="auto"/>
              <w:highlight w:val="none"/>
            </w:rPr>
            <w:fldChar w:fldCharType="separate"/>
          </w:r>
          <w:r>
            <w:rPr>
              <w:color w:val="auto"/>
              <w:highlight w:val="none"/>
            </w:rPr>
            <w:t>33</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3"/>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_Toc12503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eastAsia="zh-CN"/>
            </w:rPr>
            <w:t>第七篇</w:t>
          </w:r>
          <w:r>
            <w:rPr>
              <w:rFonts w:hint="eastAsia"/>
              <w:color w:val="auto"/>
              <w:highlight w:val="none"/>
              <w:lang w:val="en-US" w:eastAsia="zh-CN"/>
            </w:rPr>
            <w:t xml:space="preserve"> 报价文件格式</w:t>
          </w:r>
          <w:r>
            <w:rPr>
              <w:color w:val="auto"/>
              <w:highlight w:val="none"/>
            </w:rPr>
            <w:tab/>
          </w:r>
          <w:r>
            <w:rPr>
              <w:color w:val="auto"/>
              <w:highlight w:val="none"/>
            </w:rPr>
            <w:fldChar w:fldCharType="begin"/>
          </w:r>
          <w:r>
            <w:rPr>
              <w:color w:val="auto"/>
              <w:highlight w:val="none"/>
            </w:rPr>
            <w:instrText xml:space="preserve"> PAGEREF _Toc12503 \h </w:instrText>
          </w:r>
          <w:r>
            <w:rPr>
              <w:color w:val="auto"/>
              <w:highlight w:val="none"/>
            </w:rPr>
            <w:fldChar w:fldCharType="separate"/>
          </w:r>
          <w:r>
            <w:rPr>
              <w:color w:val="auto"/>
              <w:highlight w:val="none"/>
            </w:rPr>
            <w:t>55</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3"/>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_Toc30888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第八篇 其它文件格式（如有需要）</w:t>
          </w:r>
          <w:r>
            <w:rPr>
              <w:color w:val="auto"/>
              <w:highlight w:val="none"/>
            </w:rPr>
            <w:tab/>
          </w:r>
          <w:r>
            <w:rPr>
              <w:color w:val="auto"/>
              <w:highlight w:val="none"/>
            </w:rPr>
            <w:fldChar w:fldCharType="begin"/>
          </w:r>
          <w:r>
            <w:rPr>
              <w:color w:val="auto"/>
              <w:highlight w:val="none"/>
            </w:rPr>
            <w:instrText xml:space="preserve"> PAGEREF _Toc30888 \h </w:instrText>
          </w:r>
          <w:r>
            <w:rPr>
              <w:color w:val="auto"/>
              <w:highlight w:val="none"/>
            </w:rPr>
            <w:fldChar w:fldCharType="separate"/>
          </w:r>
          <w:r>
            <w:rPr>
              <w:color w:val="auto"/>
              <w:highlight w:val="none"/>
            </w:rPr>
            <w:t>57</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Cs w:val="30"/>
              <w:highlight w:val="none"/>
              <w:lang w:val="en-US" w:eastAsia="zh-CN"/>
            </w:rPr>
            <w:fldChar w:fldCharType="end"/>
          </w:r>
        </w:p>
      </w:sdtContent>
    </w:sdt>
    <w:p>
      <w:pPr>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br w:type="page"/>
      </w:r>
    </w:p>
    <w:p>
      <w:pPr>
        <w:pStyle w:val="3"/>
        <w:numPr>
          <w:ilvl w:val="0"/>
          <w:numId w:val="1"/>
        </w:numPr>
        <w:bidi w:val="0"/>
        <w:rPr>
          <w:rFonts w:hint="eastAsia"/>
          <w:color w:val="auto"/>
          <w:highlight w:val="none"/>
          <w:lang w:val="en-US" w:eastAsia="zh-CN"/>
        </w:rPr>
      </w:pPr>
      <w:bookmarkStart w:id="12" w:name="_Toc27497"/>
      <w:r>
        <w:rPr>
          <w:rFonts w:hint="eastAsia"/>
          <w:color w:val="auto"/>
          <w:highlight w:val="none"/>
          <w:lang w:val="en-US" w:eastAsia="zh-CN"/>
        </w:rPr>
        <w:t>磋商邀请</w:t>
      </w:r>
      <w:bookmarkEnd w:id="12"/>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cs="宋体"/>
          <w:b/>
          <w:bCs/>
          <w:color w:val="auto"/>
          <w:sz w:val="21"/>
          <w:szCs w:val="21"/>
          <w:highlight w:val="none"/>
          <w:u w:val="single"/>
          <w:lang w:val="en-US" w:eastAsia="zh-CN"/>
        </w:rPr>
        <w:t>东莞市德懋机电有限公司增资扩产监理项目</w:t>
      </w:r>
      <w:r>
        <w:rPr>
          <w:rFonts w:hint="eastAsia" w:ascii="宋体" w:hAnsi="宋体" w:eastAsia="宋体" w:cs="宋体"/>
          <w:b/>
          <w:bCs/>
          <w:color w:val="auto"/>
          <w:sz w:val="21"/>
          <w:szCs w:val="21"/>
          <w:highlight w:val="none"/>
          <w:u w:val="single"/>
          <w:lang w:eastAsia="zh-CN"/>
        </w:rPr>
        <w:t xml:space="preserve"> </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项目的潜在</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应在</w:t>
      </w:r>
      <w:r>
        <w:rPr>
          <w:rFonts w:hint="eastAsia" w:ascii="宋体" w:hAnsi="宋体" w:eastAsia="宋体" w:cs="宋体"/>
          <w:b/>
          <w:bCs/>
          <w:color w:val="auto"/>
          <w:sz w:val="21"/>
          <w:szCs w:val="21"/>
          <w:highlight w:val="none"/>
          <w:u w:val="single"/>
          <w:lang w:eastAsia="zh-CN"/>
        </w:rPr>
        <w:t>东莞市南城街道鸿福西路81号国际商会大厦</w:t>
      </w:r>
      <w:r>
        <w:rPr>
          <w:rFonts w:hint="eastAsia" w:ascii="宋体" w:hAnsi="宋体" w:cs="宋体"/>
          <w:b/>
          <w:bCs/>
          <w:color w:val="auto"/>
          <w:sz w:val="21"/>
          <w:szCs w:val="21"/>
          <w:highlight w:val="none"/>
          <w:u w:val="single"/>
          <w:lang w:val="en-US" w:eastAsia="zh-CN"/>
        </w:rPr>
        <w:t>13A层01</w:t>
      </w:r>
      <w:r>
        <w:rPr>
          <w:rFonts w:hint="eastAsia" w:ascii="宋体" w:hAnsi="宋体" w:eastAsia="宋体" w:cs="宋体"/>
          <w:b/>
          <w:bCs/>
          <w:color w:val="auto"/>
          <w:sz w:val="21"/>
          <w:szCs w:val="21"/>
          <w:highlight w:val="none"/>
          <w:u w:val="single"/>
          <w:lang w:eastAsia="zh-CN"/>
        </w:rPr>
        <w:t>室</w:t>
      </w:r>
      <w:r>
        <w:rPr>
          <w:rFonts w:hint="eastAsia" w:ascii="宋体" w:hAnsi="宋体" w:eastAsia="宋体" w:cs="宋体"/>
          <w:color w:val="auto"/>
          <w:sz w:val="21"/>
          <w:szCs w:val="21"/>
          <w:highlight w:val="none"/>
        </w:rPr>
        <w:t>获取</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，并于</w:t>
      </w:r>
      <w:r>
        <w:rPr>
          <w:rFonts w:hint="eastAsia" w:ascii="宋体" w:hAnsi="宋体" w:cs="宋体"/>
          <w:b/>
          <w:bCs/>
          <w:color w:val="auto"/>
          <w:sz w:val="21"/>
          <w:szCs w:val="21"/>
          <w:highlight w:val="none"/>
          <w:u w:val="single"/>
          <w:lang w:val="en-US" w:eastAsia="zh-CN"/>
        </w:rPr>
        <w:t>2023</w:t>
      </w:r>
      <w:r>
        <w:rPr>
          <w:rFonts w:hint="eastAsia" w:ascii="宋体" w:hAnsi="宋体" w:eastAsia="宋体" w:cs="宋体"/>
          <w:b/>
          <w:bCs/>
          <w:color w:val="auto"/>
          <w:sz w:val="21"/>
          <w:szCs w:val="21"/>
          <w:highlight w:val="none"/>
          <w:u w:val="single"/>
        </w:rPr>
        <w:t>年</w:t>
      </w:r>
      <w:r>
        <w:rPr>
          <w:rFonts w:hint="default" w:ascii="宋体" w:hAnsi="宋体" w:cs="宋体"/>
          <w:b/>
          <w:bCs/>
          <w:color w:val="auto"/>
          <w:sz w:val="21"/>
          <w:szCs w:val="21"/>
          <w:highlight w:val="none"/>
          <w:u w:val="single"/>
          <w:lang w:val="en-US"/>
        </w:rPr>
        <w:t>4</w:t>
      </w:r>
      <w:r>
        <w:rPr>
          <w:rFonts w:hint="eastAsia" w:ascii="宋体" w:hAnsi="宋体" w:eastAsia="宋体" w:cs="宋体"/>
          <w:b/>
          <w:bCs/>
          <w:color w:val="auto"/>
          <w:sz w:val="21"/>
          <w:szCs w:val="21"/>
          <w:highlight w:val="none"/>
          <w:u w:val="single"/>
        </w:rPr>
        <w:t>月</w:t>
      </w:r>
      <w:r>
        <w:rPr>
          <w:rFonts w:hint="default" w:ascii="宋体" w:hAnsi="宋体" w:cs="宋体"/>
          <w:b/>
          <w:bCs/>
          <w:color w:val="auto"/>
          <w:sz w:val="21"/>
          <w:szCs w:val="21"/>
          <w:highlight w:val="none"/>
          <w:u w:val="single"/>
          <w:lang w:val="en-US" w:eastAsia="zh-CN"/>
        </w:rPr>
        <w:t>28</w:t>
      </w:r>
      <w:r>
        <w:rPr>
          <w:rFonts w:hint="eastAsia" w:ascii="宋体" w:hAnsi="宋体" w:eastAsia="宋体" w:cs="宋体"/>
          <w:b/>
          <w:bCs/>
          <w:color w:val="auto"/>
          <w:sz w:val="21"/>
          <w:szCs w:val="21"/>
          <w:highlight w:val="none"/>
          <w:u w:val="single"/>
        </w:rPr>
        <w:t>日</w:t>
      </w:r>
      <w:r>
        <w:rPr>
          <w:rFonts w:hint="default" w:ascii="宋体" w:hAnsi="宋体" w:cs="宋体"/>
          <w:b/>
          <w:bCs/>
          <w:color w:val="auto"/>
          <w:sz w:val="21"/>
          <w:szCs w:val="21"/>
          <w:highlight w:val="none"/>
          <w:u w:val="single"/>
          <w:lang w:val="en-US" w:eastAsia="zh-CN"/>
        </w:rPr>
        <w:t>14</w:t>
      </w:r>
      <w:r>
        <w:rPr>
          <w:rFonts w:hint="eastAsia" w:ascii="宋体" w:hAnsi="宋体" w:eastAsia="宋体" w:cs="宋体"/>
          <w:b/>
          <w:bCs/>
          <w:color w:val="auto"/>
          <w:sz w:val="21"/>
          <w:szCs w:val="21"/>
          <w:highlight w:val="none"/>
          <w:u w:val="single"/>
        </w:rPr>
        <w:t>点</w:t>
      </w:r>
      <w:r>
        <w:rPr>
          <w:rFonts w:hint="default" w:ascii="宋体" w:hAnsi="宋体" w:cs="宋体"/>
          <w:b/>
          <w:bCs/>
          <w:color w:val="auto"/>
          <w:sz w:val="21"/>
          <w:szCs w:val="21"/>
          <w:highlight w:val="none"/>
          <w:u w:val="single"/>
          <w:lang w:val="en-US" w:eastAsia="zh-CN"/>
        </w:rPr>
        <w:t>30</w:t>
      </w:r>
      <w:r>
        <w:rPr>
          <w:rFonts w:hint="eastAsia" w:ascii="宋体" w:hAnsi="宋体" w:eastAsia="宋体" w:cs="宋体"/>
          <w:b/>
          <w:bCs/>
          <w:color w:val="auto"/>
          <w:sz w:val="21"/>
          <w:szCs w:val="21"/>
          <w:highlight w:val="none"/>
          <w:u w:val="single"/>
        </w:rPr>
        <w:t>分</w:t>
      </w: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rPr>
        <w:t>北京时间）前递交</w:t>
      </w:r>
      <w:r>
        <w:rPr>
          <w:rFonts w:hint="eastAsia" w:ascii="宋体" w:hAnsi="宋体" w:cs="宋体"/>
          <w:bCs/>
          <w:color w:val="auto"/>
          <w:sz w:val="21"/>
          <w:szCs w:val="21"/>
          <w:highlight w:val="none"/>
          <w:lang w:eastAsia="zh-CN"/>
        </w:rPr>
        <w:t>响应文件</w:t>
      </w:r>
      <w:r>
        <w:rPr>
          <w:rFonts w:hint="eastAsia" w:ascii="宋体" w:hAnsi="宋体" w:eastAsia="宋体" w:cs="宋体"/>
          <w:color w:val="auto"/>
          <w:sz w:val="21"/>
          <w:szCs w:val="21"/>
          <w:highlight w:val="none"/>
        </w:rPr>
        <w:t>。</w:t>
      </w:r>
    </w:p>
    <w:p>
      <w:pPr>
        <w:pStyle w:val="4"/>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13" w:name="_Toc31624"/>
      <w:bookmarkStart w:id="14" w:name="_Toc13782"/>
      <w:bookmarkStart w:id="15" w:name="_Toc28359079"/>
      <w:bookmarkStart w:id="16" w:name="_Toc2169"/>
      <w:bookmarkStart w:id="17" w:name="_Toc35393621"/>
      <w:bookmarkStart w:id="18" w:name="_Toc28359002"/>
      <w:bookmarkStart w:id="19" w:name="_Toc35393790"/>
      <w:bookmarkStart w:id="20" w:name="_Toc26796"/>
      <w:bookmarkStart w:id="21" w:name="_Hlk24379207"/>
      <w:r>
        <w:rPr>
          <w:rFonts w:hint="eastAsia" w:ascii="宋体" w:hAnsi="宋体" w:eastAsia="宋体" w:cs="宋体"/>
          <w:b/>
          <w:bCs/>
          <w:color w:val="auto"/>
          <w:sz w:val="21"/>
          <w:szCs w:val="21"/>
          <w:highlight w:val="none"/>
        </w:rPr>
        <w:t>一、项目基本情况</w:t>
      </w:r>
      <w:bookmarkEnd w:id="13"/>
      <w:bookmarkEnd w:id="14"/>
      <w:bookmarkEnd w:id="15"/>
      <w:bookmarkEnd w:id="16"/>
      <w:bookmarkEnd w:id="17"/>
      <w:bookmarkEnd w:id="18"/>
      <w:bookmarkEnd w:id="19"/>
      <w:bookmarkEnd w:id="20"/>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GSDG2023-009B</w:t>
      </w:r>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val="en-US" w:eastAsia="zh-CN"/>
        </w:rPr>
        <w:t>东莞市德懋机电有限公司增资扩产监理项目</w:t>
      </w:r>
    </w:p>
    <w:bookmarkEnd w:id="21"/>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预算金额：</w:t>
      </w:r>
      <w:r>
        <w:rPr>
          <w:rFonts w:hint="eastAsia" w:ascii="宋体" w:hAnsi="宋体" w:cs="宋体"/>
          <w:b/>
          <w:bCs/>
          <w:color w:val="auto"/>
          <w:sz w:val="21"/>
          <w:szCs w:val="21"/>
          <w:highlight w:val="none"/>
          <w:lang w:val="en-US" w:eastAsia="zh-CN"/>
        </w:rPr>
        <w:t>¥700,000.00元</w:t>
      </w:r>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采购需求：</w:t>
      </w:r>
    </w:p>
    <w:p>
      <w:pPr>
        <w:pageBreakBefore w:val="0"/>
        <w:numPr>
          <w:ilvl w:val="0"/>
          <w:numId w:val="2"/>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标的内容：</w:t>
      </w:r>
    </w:p>
    <w:tbl>
      <w:tblPr>
        <w:tblStyle w:val="1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6"/>
        <w:gridCol w:w="6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66" w:type="pct"/>
            <w:noWrap w:val="0"/>
            <w:vAlign w:val="center"/>
          </w:tcPr>
          <w:p>
            <w:pPr>
              <w:spacing w:line="360" w:lineRule="auto"/>
              <w:jc w:val="center"/>
              <w:rPr>
                <w:rFonts w:hAnsi="宋体"/>
                <w:color w:val="auto"/>
                <w:sz w:val="21"/>
                <w:szCs w:val="21"/>
                <w:highlight w:val="none"/>
              </w:rPr>
            </w:pPr>
            <w:r>
              <w:rPr>
                <w:rFonts w:hint="eastAsia" w:hAnsi="宋体"/>
                <w:color w:val="auto"/>
                <w:sz w:val="21"/>
                <w:szCs w:val="21"/>
                <w:highlight w:val="none"/>
              </w:rPr>
              <w:t>包号</w:t>
            </w:r>
          </w:p>
        </w:tc>
        <w:tc>
          <w:tcPr>
            <w:tcW w:w="4033" w:type="pct"/>
            <w:noWrap w:val="0"/>
            <w:vAlign w:val="center"/>
          </w:tcPr>
          <w:p>
            <w:pPr>
              <w:spacing w:line="360" w:lineRule="auto"/>
              <w:jc w:val="center"/>
              <w:rPr>
                <w:rFonts w:hAnsi="宋体"/>
                <w:color w:val="auto"/>
                <w:sz w:val="21"/>
                <w:szCs w:val="21"/>
                <w:highlight w:val="none"/>
              </w:rPr>
            </w:pPr>
            <w:r>
              <w:rPr>
                <w:rFonts w:hint="eastAsia" w:hAnsi="宋体"/>
                <w:b/>
                <w:color w:val="auto"/>
                <w:sz w:val="21"/>
                <w:szCs w:val="21"/>
                <w:highlight w:val="none"/>
              </w:rPr>
              <w:t>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66" w:type="pct"/>
            <w:noWrap w:val="0"/>
            <w:vAlign w:val="center"/>
          </w:tcPr>
          <w:p>
            <w:pPr>
              <w:spacing w:line="360" w:lineRule="auto"/>
              <w:jc w:val="center"/>
              <w:rPr>
                <w:rFonts w:hAnsi="宋体"/>
                <w:color w:val="auto"/>
                <w:sz w:val="21"/>
                <w:szCs w:val="21"/>
                <w:highlight w:val="none"/>
              </w:rPr>
            </w:pPr>
            <w:r>
              <w:rPr>
                <w:rFonts w:hint="eastAsia" w:hAnsi="宋体"/>
                <w:color w:val="auto"/>
                <w:sz w:val="21"/>
                <w:szCs w:val="21"/>
                <w:highlight w:val="none"/>
              </w:rPr>
              <w:t>包A</w:t>
            </w:r>
          </w:p>
        </w:tc>
        <w:tc>
          <w:tcPr>
            <w:tcW w:w="4033" w:type="pct"/>
            <w:noWrap w:val="0"/>
            <w:vAlign w:val="center"/>
          </w:tcPr>
          <w:p>
            <w:pPr>
              <w:spacing w:line="360" w:lineRule="auto"/>
              <w:jc w:val="center"/>
              <w:rPr>
                <w:rFonts w:hint="eastAsia" w:hAnsi="宋体" w:eastAsia="宋体"/>
                <w:color w:val="auto"/>
                <w:sz w:val="21"/>
                <w:szCs w:val="21"/>
                <w:highlight w:val="none"/>
                <w:lang w:val="en-US" w:eastAsia="zh-CN"/>
              </w:rPr>
            </w:pPr>
            <w:r>
              <w:rPr>
                <w:rFonts w:hint="eastAsia" w:hAnsi="宋体"/>
                <w:color w:val="auto"/>
                <w:sz w:val="21"/>
                <w:szCs w:val="21"/>
                <w:highlight w:val="none"/>
                <w:lang w:val="en-US" w:eastAsia="zh-CN"/>
              </w:rPr>
              <w:t>东莞市德懋机电有限公司增资扩产监理项目采购一项</w:t>
            </w:r>
          </w:p>
        </w:tc>
      </w:tr>
    </w:tbl>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olor w:val="auto"/>
          <w:sz w:val="21"/>
          <w:szCs w:val="21"/>
          <w:highlight w:val="none"/>
        </w:rPr>
        <w:t>简要技术要求或</w:t>
      </w:r>
      <w:r>
        <w:rPr>
          <w:rFonts w:hint="eastAsia" w:ascii="宋体" w:hAnsi="宋体"/>
          <w:color w:val="auto"/>
          <w:sz w:val="21"/>
          <w:szCs w:val="21"/>
          <w:highlight w:val="none"/>
          <w:lang w:val="en-US" w:eastAsia="zh-CN"/>
        </w:rPr>
        <w:t>采购</w:t>
      </w:r>
      <w:r>
        <w:rPr>
          <w:rFonts w:hint="eastAsia" w:ascii="宋体" w:hAnsi="宋体" w:eastAsia="宋体"/>
          <w:color w:val="auto"/>
          <w:sz w:val="21"/>
          <w:szCs w:val="21"/>
          <w:highlight w:val="none"/>
        </w:rPr>
        <w:t>项目的性质：详细内容请参阅竞争性磋商文件第三</w:t>
      </w:r>
      <w:r>
        <w:rPr>
          <w:rFonts w:hint="eastAsia" w:ascii="宋体" w:hAnsi="宋体"/>
          <w:color w:val="auto"/>
          <w:sz w:val="21"/>
          <w:szCs w:val="21"/>
          <w:highlight w:val="none"/>
          <w:lang w:eastAsia="zh-CN"/>
        </w:rPr>
        <w:t>篇</w:t>
      </w:r>
      <w:r>
        <w:rPr>
          <w:rFonts w:hint="eastAsia" w:ascii="宋体" w:hAnsi="宋体" w:eastAsia="宋体"/>
          <w:color w:val="auto"/>
          <w:sz w:val="21"/>
          <w:szCs w:val="21"/>
          <w:highlight w:val="none"/>
        </w:rPr>
        <w:t>《用户需求书》</w:t>
      </w:r>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cs="宋体"/>
          <w:color w:val="auto"/>
          <w:sz w:val="21"/>
          <w:szCs w:val="21"/>
          <w:highlight w:val="none"/>
          <w:lang w:val="en-US" w:eastAsia="zh-CN"/>
        </w:rPr>
        <w:t>不</w:t>
      </w:r>
      <w:r>
        <w:rPr>
          <w:rFonts w:hint="eastAsia" w:ascii="宋体" w:hAnsi="宋体" w:eastAsia="宋体" w:cs="宋体"/>
          <w:color w:val="auto"/>
          <w:sz w:val="21"/>
          <w:szCs w:val="21"/>
          <w:highlight w:val="none"/>
        </w:rPr>
        <w:t>接受联合体</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w:t>
      </w:r>
    </w:p>
    <w:p>
      <w:pPr>
        <w:pStyle w:val="4"/>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val="0"/>
          <w:color w:val="auto"/>
          <w:sz w:val="21"/>
          <w:szCs w:val="21"/>
          <w:highlight w:val="none"/>
        </w:rPr>
      </w:pPr>
      <w:bookmarkStart w:id="22" w:name="_Toc35393622"/>
      <w:bookmarkStart w:id="23" w:name="_Toc31691"/>
      <w:bookmarkStart w:id="24" w:name="_Toc35393791"/>
      <w:bookmarkStart w:id="25" w:name="_Toc28625"/>
      <w:bookmarkStart w:id="26" w:name="_Toc28359080"/>
      <w:bookmarkStart w:id="27" w:name="_Toc25198"/>
      <w:bookmarkStart w:id="28" w:name="_Toc13371"/>
      <w:bookmarkStart w:id="29" w:name="_Toc28359003"/>
      <w:r>
        <w:rPr>
          <w:rFonts w:hint="eastAsia" w:ascii="宋体" w:hAnsi="宋体" w:eastAsia="宋体" w:cs="宋体"/>
          <w:b/>
          <w:bCs/>
          <w:color w:val="auto"/>
          <w:sz w:val="21"/>
          <w:szCs w:val="21"/>
          <w:highlight w:val="none"/>
        </w:rPr>
        <w:t>二、申请人的资格要求：</w:t>
      </w:r>
      <w:bookmarkEnd w:id="22"/>
      <w:bookmarkEnd w:id="23"/>
      <w:bookmarkEnd w:id="24"/>
      <w:bookmarkEnd w:id="25"/>
      <w:bookmarkEnd w:id="26"/>
      <w:bookmarkEnd w:id="27"/>
      <w:bookmarkEnd w:id="28"/>
      <w:bookmarkEnd w:id="29"/>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2"/>
        <w:rPr>
          <w:rFonts w:hint="eastAsia" w:ascii="宋体" w:hAnsi="宋体" w:eastAsia="宋体"/>
          <w:color w:val="auto"/>
          <w:sz w:val="21"/>
          <w:szCs w:val="21"/>
          <w:highlight w:val="none"/>
        </w:rPr>
      </w:pPr>
      <w:bookmarkStart w:id="30" w:name="_Toc29919"/>
      <w:bookmarkStart w:id="31" w:name="_Toc8265"/>
      <w:bookmarkStart w:id="32" w:name="_Toc16211"/>
      <w:bookmarkStart w:id="33" w:name="_Toc7315"/>
      <w:bookmarkStart w:id="34" w:name="_Toc28359004"/>
      <w:bookmarkStart w:id="35" w:name="_Toc28359081"/>
      <w:r>
        <w:rPr>
          <w:rFonts w:hint="eastAsia" w:ascii="宋体" w:hAnsi="宋体" w:eastAsia="宋体"/>
          <w:color w:val="auto"/>
          <w:sz w:val="21"/>
          <w:szCs w:val="21"/>
          <w:highlight w:val="none"/>
        </w:rPr>
        <w:t>1.供应商应具备《政府采购法》第二十二条规定的条件，提供下列材料：</w:t>
      </w:r>
      <w:bookmarkEnd w:id="30"/>
      <w:bookmarkEnd w:id="31"/>
      <w:bookmarkEnd w:id="32"/>
      <w:bookmarkEnd w:id="33"/>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1）具有独立承担民事责任的能力：在中华人民共和国境内注册的法人或其他组织或自然人，投标</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响应</w:t>
      </w: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时提交有效的营业执照（或事业法人登记证或身份证等相关证明）副本复印件。分支机构投标的，须提供总公司和分公司营业执照副本复印件，总公司出具给分支机构的授权书。</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color w:val="auto"/>
          <w:sz w:val="20"/>
          <w:szCs w:val="24"/>
          <w:highlight w:val="none"/>
          <w:lang w:eastAsia="zh-CN"/>
        </w:rPr>
      </w:pPr>
      <w:r>
        <w:rPr>
          <w:rFonts w:hint="eastAsia" w:ascii="宋体" w:hAnsi="宋体" w:eastAsia="宋体"/>
          <w:color w:val="auto"/>
          <w:sz w:val="21"/>
          <w:szCs w:val="21"/>
          <w:highlight w:val="none"/>
        </w:rPr>
        <w:t>2）有依法缴纳税收和社会保障资金的良好记录：提供投标截止日前6个月内任意1个月依法缴纳税收和社会保障资金的相关材料。如依法免税或不需要缴纳社会保障资金的</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提供相应证明材料。</w:t>
      </w:r>
      <w:r>
        <w:rPr>
          <w:rFonts w:hint="eastAsia" w:ascii="宋体" w:hAnsi="宋体" w:eastAsia="宋体"/>
          <w:color w:val="auto"/>
          <w:sz w:val="21"/>
          <w:szCs w:val="21"/>
          <w:highlight w:val="none"/>
          <w:lang w:eastAsia="zh-CN"/>
        </w:rPr>
        <w:t>（或提供相关承诺函）</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3）具有良好的商业信誉和健全的财务会计制度</w:t>
      </w:r>
      <w:r>
        <w:rPr>
          <w:rFonts w:hint="eastAsia" w:ascii="宋体" w:hAnsi="宋体" w:eastAsia="宋体"/>
          <w:color w:val="auto"/>
          <w:sz w:val="21"/>
          <w:szCs w:val="21"/>
          <w:highlight w:val="none"/>
          <w:lang w:eastAsia="zh-CN"/>
        </w:rPr>
        <w:t>：供应商必须具有良好的商业信誉和健全的财务会计制度</w:t>
      </w:r>
      <w:r>
        <w:rPr>
          <w:rFonts w:hint="eastAsia" w:ascii="宋体" w:hAnsi="宋体" w:eastAsia="宋体"/>
          <w:color w:val="auto"/>
          <w:sz w:val="21"/>
          <w:szCs w:val="21"/>
          <w:highlight w:val="none"/>
        </w:rPr>
        <w:t>（提供</w:t>
      </w:r>
      <w:r>
        <w:rPr>
          <w:rFonts w:hint="eastAsia" w:ascii="宋体" w:hAnsi="宋体" w:eastAsia="宋体"/>
          <w:color w:val="auto"/>
          <w:sz w:val="21"/>
          <w:szCs w:val="21"/>
          <w:highlight w:val="none"/>
          <w:lang w:val="en-US" w:eastAsia="zh-CN"/>
        </w:rPr>
        <w:t>2021年度</w:t>
      </w:r>
      <w:r>
        <w:rPr>
          <w:rFonts w:hint="eastAsia" w:ascii="宋体" w:hAnsi="宋体" w:eastAsia="宋体"/>
          <w:color w:val="auto"/>
          <w:sz w:val="21"/>
          <w:szCs w:val="21"/>
          <w:highlight w:val="none"/>
        </w:rPr>
        <w:t>财务状况报告或基本开户行出具的资信证明）。</w:t>
      </w:r>
      <w:r>
        <w:rPr>
          <w:rFonts w:hint="eastAsia" w:ascii="宋体" w:hAnsi="宋体" w:eastAsia="宋体"/>
          <w:color w:val="auto"/>
          <w:sz w:val="21"/>
          <w:szCs w:val="21"/>
          <w:highlight w:val="none"/>
          <w:lang w:eastAsia="zh-CN"/>
        </w:rPr>
        <w:t>（或提供相关承诺函）</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4）履行合同所必须的设备和专业技术能力：填报设备及专业技术能力情况</w:t>
      </w:r>
      <w:r>
        <w:rPr>
          <w:rFonts w:hint="eastAsia" w:ascii="宋体" w:hAnsi="宋体" w:eastAsia="宋体"/>
          <w:color w:val="auto"/>
          <w:sz w:val="21"/>
          <w:szCs w:val="21"/>
          <w:highlight w:val="none"/>
          <w:lang w:eastAsia="zh-CN"/>
        </w:rPr>
        <w:t>，格式自拟</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（或提供相关承诺函）</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5）</w:t>
      </w:r>
      <w:r>
        <w:rPr>
          <w:rFonts w:hint="eastAsia" w:ascii="宋体" w:hAnsi="宋体" w:eastAsia="宋体" w:cs="宋体"/>
          <w:color w:val="auto"/>
          <w:sz w:val="21"/>
          <w:szCs w:val="21"/>
          <w:highlight w:val="none"/>
          <w:lang w:val="en-US" w:eastAsia="zh-CN"/>
        </w:rPr>
        <w:t>参加采购活动前3年内，在经营活动中没有重大违法记录。重大违法记录，是指供应商因违法经营受到刑事处罚或者责令停产停业、吊销许可证或者执照、较大数额罚款等行政处罚。（根据财库〔</w:t>
      </w:r>
      <w:r>
        <w:rPr>
          <w:rFonts w:hint="eastAsia" w:ascii="宋体" w:hAnsi="宋体" w:cs="宋体"/>
          <w:color w:val="auto"/>
          <w:sz w:val="21"/>
          <w:szCs w:val="21"/>
          <w:highlight w:val="none"/>
          <w:lang w:val="en-US" w:eastAsia="zh-CN"/>
        </w:rPr>
        <w:t>2023</w:t>
      </w:r>
      <w:r>
        <w:rPr>
          <w:rFonts w:hint="eastAsia" w:ascii="宋体" w:hAnsi="宋体" w:eastAsia="宋体" w:cs="宋体"/>
          <w:color w:val="auto"/>
          <w:sz w:val="21"/>
          <w:szCs w:val="21"/>
          <w:highlight w:val="none"/>
          <w:lang w:val="en-US" w:eastAsia="zh-CN"/>
        </w:rPr>
        <w:t>〕3号文，“较大数额罚款”认定为200万元以上的罚款，法律、行政法规以及国务院有关部门明确规定相关领域“较大数额罚款”标准高于200万元的，从其规定）</w:t>
      </w:r>
      <w:r>
        <w:rPr>
          <w:rFonts w:hint="eastAsia" w:ascii="宋体" w:hAnsi="宋体" w:eastAsia="宋体"/>
          <w:color w:val="auto"/>
          <w:sz w:val="21"/>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6</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信用记录：</w:t>
      </w:r>
      <w:r>
        <w:rPr>
          <w:rFonts w:hint="eastAsia" w:ascii="宋体" w:hAnsi="宋体" w:eastAsia="宋体"/>
          <w:color w:val="auto"/>
          <w:sz w:val="21"/>
          <w:szCs w:val="21"/>
          <w:highlight w:val="none"/>
        </w:rPr>
        <w:t>供应商未被列入“信用中国”网站(www.creditchina.gov.cn)“记录失信被执行人或</w:t>
      </w:r>
      <w:r>
        <w:rPr>
          <w:rFonts w:hint="eastAsia" w:ascii="宋体" w:hAnsi="宋体"/>
          <w:color w:val="auto"/>
          <w:sz w:val="21"/>
          <w:szCs w:val="21"/>
          <w:highlight w:val="none"/>
          <w:lang w:eastAsia="zh-CN"/>
        </w:rPr>
        <w:t>税收违法黑名单</w:t>
      </w:r>
      <w:r>
        <w:rPr>
          <w:rFonts w:hint="eastAsia" w:ascii="宋体" w:hAnsi="宋体" w:eastAsia="宋体"/>
          <w:color w:val="auto"/>
          <w:sz w:val="21"/>
          <w:szCs w:val="21"/>
          <w:highlight w:val="none"/>
        </w:rPr>
        <w:t>”记录名单；不处于中国政府采购网(www.ccgp.gov.cn)“政府采购严重违法失信行为信息记录”中的禁止参加政府采购活动期间。（以</w:t>
      </w:r>
      <w:r>
        <w:rPr>
          <w:rFonts w:hint="eastAsia" w:ascii="宋体" w:hAnsi="宋体"/>
          <w:color w:val="auto"/>
          <w:sz w:val="21"/>
          <w:szCs w:val="21"/>
          <w:highlight w:val="none"/>
          <w:lang w:eastAsia="zh-CN"/>
        </w:rPr>
        <w:t>采购代理机构</w:t>
      </w:r>
      <w:r>
        <w:rPr>
          <w:rFonts w:hint="eastAsia" w:ascii="宋体" w:hAnsi="宋体" w:eastAsia="宋体"/>
          <w:color w:val="auto"/>
          <w:sz w:val="21"/>
          <w:szCs w:val="21"/>
          <w:highlight w:val="none"/>
        </w:rPr>
        <w:t>于投标截止时间当天在“信用中国”网站（www.creditchina.gov.cn）及中国政府采购网（http://www.ccgp.gov.cn/）查询结果为准，如相关失信记录已失效，供应商需提供相关证明资料）。</w:t>
      </w:r>
      <w:r>
        <w:rPr>
          <w:rFonts w:hint="eastAsia" w:ascii="宋体" w:hAnsi="宋体" w:eastAsia="宋体"/>
          <w:color w:val="auto"/>
          <w:sz w:val="21"/>
          <w:szCs w:val="21"/>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7</w:t>
      </w:r>
      <w:r>
        <w:rPr>
          <w:rFonts w:hint="eastAsia" w:ascii="宋体" w:hAnsi="宋体" w:eastAsia="宋体"/>
          <w:color w:val="auto"/>
          <w:sz w:val="21"/>
          <w:szCs w:val="21"/>
          <w:highlight w:val="none"/>
        </w:rPr>
        <w:t>）供应商必须符合法律、行政法规规定的其他条件：单位负责人为同一人或者存在直接控股、管理关系的不同供应商，不得同时参加本采购项目投标</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响应</w:t>
      </w: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。为本项目提供整体设计、规范编制或者项目管理、监理、检测等服务的供应商，不得再参与本项目投标</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响应</w:t>
      </w: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2"/>
        <w:rPr>
          <w:rFonts w:hint="eastAsia" w:ascii="宋体" w:hAnsi="宋体" w:eastAsia="宋体"/>
          <w:color w:val="auto"/>
          <w:sz w:val="21"/>
          <w:szCs w:val="21"/>
          <w:highlight w:val="none"/>
          <w:lang w:eastAsia="zh-CN"/>
        </w:rPr>
      </w:pPr>
      <w:bookmarkStart w:id="36" w:name="_Toc18344"/>
      <w:bookmarkStart w:id="37" w:name="_Toc4071"/>
      <w:bookmarkStart w:id="38" w:name="_Toc16617"/>
      <w:bookmarkStart w:id="39" w:name="_Toc26119"/>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lang w:eastAsia="zh-CN"/>
        </w:rPr>
        <w:t>本项目的特定资格要求：</w:t>
      </w:r>
      <w:bookmarkEnd w:id="36"/>
      <w:bookmarkEnd w:id="37"/>
      <w:bookmarkEnd w:id="38"/>
      <w:bookmarkEnd w:id="39"/>
    </w:p>
    <w:p>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（1）供应商必须具备工程监理综合资质或具有建筑工程乙级或以上监理资质（或更换资质证书前有效期内房屋建筑工程乙级或以上监理资质）。</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i/>
          <w:iCs/>
          <w:color w:val="auto"/>
          <w:sz w:val="21"/>
          <w:szCs w:val="21"/>
          <w:highlight w:val="none"/>
          <w:u w:val="single"/>
        </w:rPr>
      </w:pPr>
      <w:r>
        <w:rPr>
          <w:rFonts w:hint="eastAsia" w:ascii="宋体" w:hAnsi="宋体" w:eastAsia="宋体"/>
          <w:color w:val="auto"/>
          <w:sz w:val="21"/>
          <w:szCs w:val="21"/>
          <w:highlight w:val="none"/>
        </w:rPr>
        <w:t>注：上述资质要求，依据住房和城乡建设部2020年11月30日关于印发《建设工程企业资质管理制度改革方案》的通知，在更换资质证书前有效期内适用于本项目资质证书的均为有效资格条件。</w:t>
      </w:r>
    </w:p>
    <w:p>
      <w:pPr>
        <w:pStyle w:val="4"/>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lang w:eastAsia="zh-CN"/>
        </w:rPr>
      </w:pPr>
      <w:bookmarkStart w:id="40" w:name="_Toc35393623"/>
      <w:bookmarkStart w:id="41" w:name="_Toc173"/>
      <w:bookmarkStart w:id="42" w:name="_Toc35393792"/>
      <w:bookmarkStart w:id="43" w:name="_Toc27443"/>
      <w:bookmarkStart w:id="44" w:name="_Toc2137"/>
      <w:bookmarkStart w:id="45" w:name="_Toc18578"/>
      <w:r>
        <w:rPr>
          <w:rFonts w:hint="eastAsia" w:ascii="宋体" w:hAnsi="宋体" w:eastAsia="宋体" w:cs="宋体"/>
          <w:b/>
          <w:bCs/>
          <w:color w:val="auto"/>
          <w:sz w:val="21"/>
          <w:szCs w:val="21"/>
          <w:highlight w:val="none"/>
        </w:rPr>
        <w:t>三、获取</w:t>
      </w:r>
      <w:bookmarkEnd w:id="34"/>
      <w:bookmarkEnd w:id="35"/>
      <w:bookmarkEnd w:id="40"/>
      <w:bookmarkEnd w:id="41"/>
      <w:bookmarkEnd w:id="42"/>
      <w:r>
        <w:rPr>
          <w:rFonts w:hint="eastAsia" w:ascii="宋体" w:hAnsi="宋体" w:cs="宋体"/>
          <w:b/>
          <w:bCs/>
          <w:color w:val="auto"/>
          <w:sz w:val="21"/>
          <w:szCs w:val="21"/>
          <w:highlight w:val="none"/>
          <w:lang w:val="en-US" w:eastAsia="zh-CN"/>
        </w:rPr>
        <w:t>竞争性磋商</w:t>
      </w:r>
      <w:r>
        <w:rPr>
          <w:rFonts w:hint="eastAsia" w:ascii="宋体" w:hAnsi="宋体" w:cs="宋体"/>
          <w:b/>
          <w:bCs/>
          <w:color w:val="auto"/>
          <w:sz w:val="21"/>
          <w:szCs w:val="21"/>
          <w:highlight w:val="none"/>
          <w:lang w:eastAsia="zh-CN"/>
        </w:rPr>
        <w:t>文件</w:t>
      </w:r>
      <w:bookmarkEnd w:id="43"/>
      <w:bookmarkEnd w:id="44"/>
      <w:bookmarkEnd w:id="45"/>
    </w:p>
    <w:p>
      <w:pPr>
        <w:pStyle w:val="22"/>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项目公示时间：</w:t>
      </w:r>
      <w:r>
        <w:rPr>
          <w:rFonts w:hint="eastAsia" w:ascii="宋体" w:hAnsi="宋体" w:cs="宋体"/>
          <w:color w:val="auto"/>
          <w:sz w:val="21"/>
          <w:szCs w:val="21"/>
          <w:highlight w:val="none"/>
          <w:lang w:eastAsia="zh-CN"/>
        </w:rPr>
        <w:t>2023</w:t>
      </w:r>
      <w:r>
        <w:rPr>
          <w:rFonts w:hint="eastAsia" w:ascii="宋体" w:hAnsi="宋体" w:eastAsia="宋体" w:cs="宋体"/>
          <w:color w:val="auto"/>
          <w:sz w:val="21"/>
          <w:szCs w:val="21"/>
          <w:highlight w:val="none"/>
          <w:lang w:eastAsia="zh-CN"/>
        </w:rPr>
        <w:t>年</w:t>
      </w:r>
      <w:r>
        <w:rPr>
          <w:rFonts w:hint="default"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月</w:t>
      </w:r>
      <w:r>
        <w:rPr>
          <w:rFonts w:hint="default" w:ascii="宋体" w:hAnsi="宋体" w:cs="宋体"/>
          <w:color w:val="auto"/>
          <w:sz w:val="21"/>
          <w:szCs w:val="21"/>
          <w:highlight w:val="none"/>
          <w:lang w:val="en-US" w:eastAsia="zh-CN"/>
        </w:rPr>
        <w:t>17</w:t>
      </w:r>
      <w:r>
        <w:rPr>
          <w:rFonts w:hint="eastAsia" w:ascii="宋体" w:hAnsi="宋体" w:eastAsia="宋体" w:cs="宋体"/>
          <w:color w:val="auto"/>
          <w:sz w:val="21"/>
          <w:szCs w:val="21"/>
          <w:highlight w:val="none"/>
          <w:lang w:eastAsia="zh-CN"/>
        </w:rPr>
        <w:t>日起至</w:t>
      </w:r>
      <w:r>
        <w:rPr>
          <w:rFonts w:hint="eastAsia" w:ascii="宋体" w:hAnsi="宋体" w:cs="宋体"/>
          <w:color w:val="auto"/>
          <w:sz w:val="21"/>
          <w:szCs w:val="21"/>
          <w:highlight w:val="none"/>
          <w:lang w:eastAsia="zh-CN"/>
        </w:rPr>
        <w:t>2023</w:t>
      </w:r>
      <w:r>
        <w:rPr>
          <w:rFonts w:hint="eastAsia" w:ascii="宋体" w:hAnsi="宋体" w:eastAsia="宋体" w:cs="宋体"/>
          <w:color w:val="auto"/>
          <w:sz w:val="21"/>
          <w:szCs w:val="21"/>
          <w:highlight w:val="none"/>
          <w:lang w:eastAsia="zh-CN"/>
        </w:rPr>
        <w:t>年</w:t>
      </w:r>
      <w:r>
        <w:rPr>
          <w:rFonts w:hint="default"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月</w:t>
      </w:r>
      <w:r>
        <w:rPr>
          <w:rFonts w:hint="default"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lang w:eastAsia="zh-CN"/>
        </w:rPr>
        <w:t>日</w:t>
      </w:r>
    </w:p>
    <w:p>
      <w:pPr>
        <w:pStyle w:val="22"/>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获取</w:t>
      </w:r>
      <w:r>
        <w:rPr>
          <w:rFonts w:hint="eastAsia" w:ascii="宋体" w:hAnsi="宋体" w:cs="宋体"/>
          <w:color w:val="auto"/>
          <w:sz w:val="21"/>
          <w:szCs w:val="21"/>
          <w:highlight w:val="none"/>
          <w:lang w:val="en-US" w:eastAsia="zh-CN"/>
        </w:rPr>
        <w:t>竞争性磋商</w:t>
      </w:r>
      <w:r>
        <w:rPr>
          <w:rFonts w:hint="eastAsia" w:ascii="宋体" w:hAnsi="宋体" w:cs="宋体"/>
          <w:color w:val="auto"/>
          <w:sz w:val="21"/>
          <w:szCs w:val="21"/>
          <w:highlight w:val="none"/>
          <w:lang w:eastAsia="zh-CN"/>
        </w:rPr>
        <w:t>文件</w:t>
      </w: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eastAsia="zh-CN"/>
        </w:rPr>
        <w:t>2023</w:t>
      </w:r>
      <w:r>
        <w:rPr>
          <w:rFonts w:hint="eastAsia" w:ascii="宋体" w:hAnsi="宋体" w:eastAsia="宋体" w:cs="宋体"/>
          <w:color w:val="auto"/>
          <w:sz w:val="21"/>
          <w:szCs w:val="21"/>
          <w:highlight w:val="none"/>
          <w:lang w:eastAsia="zh-CN"/>
        </w:rPr>
        <w:t>年</w:t>
      </w:r>
      <w:r>
        <w:rPr>
          <w:rFonts w:hint="default"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月</w:t>
      </w:r>
      <w:r>
        <w:rPr>
          <w:rFonts w:hint="default" w:ascii="宋体" w:hAnsi="宋体" w:cs="宋体"/>
          <w:color w:val="auto"/>
          <w:sz w:val="21"/>
          <w:szCs w:val="21"/>
          <w:highlight w:val="none"/>
          <w:lang w:val="en-US" w:eastAsia="zh-CN"/>
        </w:rPr>
        <w:t>17</w:t>
      </w:r>
      <w:r>
        <w:rPr>
          <w:rFonts w:hint="eastAsia" w:ascii="宋体" w:hAnsi="宋体" w:eastAsia="宋体" w:cs="宋体"/>
          <w:color w:val="auto"/>
          <w:sz w:val="21"/>
          <w:szCs w:val="21"/>
          <w:highlight w:val="none"/>
          <w:lang w:eastAsia="zh-CN"/>
        </w:rPr>
        <w:t>日起至</w:t>
      </w:r>
      <w:r>
        <w:rPr>
          <w:rFonts w:hint="eastAsia" w:ascii="宋体" w:hAnsi="宋体" w:cs="宋体"/>
          <w:color w:val="auto"/>
          <w:sz w:val="21"/>
          <w:szCs w:val="21"/>
          <w:highlight w:val="none"/>
          <w:lang w:eastAsia="zh-CN"/>
        </w:rPr>
        <w:t>2023</w:t>
      </w:r>
      <w:r>
        <w:rPr>
          <w:rFonts w:hint="eastAsia" w:ascii="宋体" w:hAnsi="宋体" w:eastAsia="宋体" w:cs="宋体"/>
          <w:color w:val="auto"/>
          <w:sz w:val="21"/>
          <w:szCs w:val="21"/>
          <w:highlight w:val="none"/>
          <w:lang w:eastAsia="zh-CN"/>
        </w:rPr>
        <w:t>年</w:t>
      </w:r>
      <w:r>
        <w:rPr>
          <w:rFonts w:hint="default"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月</w:t>
      </w:r>
      <w:r>
        <w:rPr>
          <w:rFonts w:hint="default" w:ascii="宋体" w:hAnsi="宋体" w:cs="宋体"/>
          <w:color w:val="auto"/>
          <w:sz w:val="21"/>
          <w:szCs w:val="21"/>
          <w:highlight w:val="none"/>
          <w:lang w:val="en-US" w:eastAsia="zh-CN"/>
        </w:rPr>
        <w:t>23</w:t>
      </w:r>
      <w:r>
        <w:rPr>
          <w:rFonts w:hint="eastAsia" w:ascii="宋体" w:hAnsi="宋体" w:eastAsia="宋体" w:cs="宋体"/>
          <w:color w:val="auto"/>
          <w:sz w:val="21"/>
          <w:szCs w:val="21"/>
          <w:highlight w:val="none"/>
          <w:lang w:eastAsia="zh-CN"/>
        </w:rPr>
        <w:t>日（节假日除外），上午9：00～12：00，下午14：</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0～17：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 xml:space="preserve">0（北京时间）； </w:t>
      </w:r>
    </w:p>
    <w:p>
      <w:pPr>
        <w:pStyle w:val="22"/>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注：（1）现场支持现金支付、微信支付、支付宝支付等支付方式，现场填写“获取</w:t>
      </w:r>
      <w:r>
        <w:rPr>
          <w:rFonts w:hint="eastAsia" w:ascii="宋体" w:hAnsi="宋体"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登记表”并将相应表格交予我司简小姐。</w:t>
      </w:r>
    </w:p>
    <w:p>
      <w:pPr>
        <w:pStyle w:val="22"/>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lang w:val="en-US" w:eastAsia="zh-CN"/>
        </w:rPr>
        <w:t>电子版可</w:t>
      </w:r>
      <w:r>
        <w:rPr>
          <w:rFonts w:hint="eastAsia" w:ascii="宋体" w:hAnsi="宋体" w:cs="宋体"/>
          <w:color w:val="auto"/>
          <w:sz w:val="21"/>
          <w:szCs w:val="21"/>
          <w:highlight w:val="none"/>
          <w:lang w:val="en-US" w:eastAsia="zh-CN"/>
        </w:rPr>
        <w:t>在</w:t>
      </w:r>
      <w:r>
        <w:rPr>
          <w:rFonts w:hint="eastAsia" w:ascii="宋体" w:hAnsi="宋体" w:eastAsia="宋体" w:cs="宋体"/>
          <w:color w:val="auto"/>
          <w:sz w:val="21"/>
          <w:szCs w:val="21"/>
          <w:highlight w:val="none"/>
          <w:lang w:val="en-US" w:eastAsia="zh-CN"/>
        </w:rPr>
        <w:t>相关招标信息公告下自行下载。</w:t>
      </w:r>
    </w:p>
    <w:p>
      <w:pPr>
        <w:pStyle w:val="22"/>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3、获取</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lang w:eastAsia="zh-CN"/>
        </w:rPr>
        <w:t>地点：东莞市南城街道鸿福西路81号国际商会大厦</w:t>
      </w:r>
      <w:r>
        <w:rPr>
          <w:rFonts w:hint="eastAsia" w:ascii="宋体" w:hAnsi="宋体" w:cs="宋体"/>
          <w:color w:val="auto"/>
          <w:sz w:val="21"/>
          <w:szCs w:val="21"/>
          <w:highlight w:val="none"/>
          <w:lang w:val="en-US" w:eastAsia="zh-CN"/>
        </w:rPr>
        <w:t>13A层01</w:t>
      </w:r>
      <w:r>
        <w:rPr>
          <w:rFonts w:hint="eastAsia" w:ascii="宋体" w:hAnsi="宋体" w:eastAsia="宋体" w:cs="宋体"/>
          <w:color w:val="auto"/>
          <w:sz w:val="21"/>
          <w:szCs w:val="21"/>
          <w:highlight w:val="none"/>
          <w:lang w:eastAsia="zh-CN"/>
        </w:rPr>
        <w:t>室；</w:t>
      </w:r>
    </w:p>
    <w:p>
      <w:pPr>
        <w:pStyle w:val="22"/>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联系人：</w:t>
      </w:r>
      <w:r>
        <w:rPr>
          <w:rFonts w:hint="eastAsia" w:ascii="宋体" w:hAnsi="宋体" w:eastAsia="宋体" w:cs="宋体"/>
          <w:color w:val="auto"/>
          <w:sz w:val="21"/>
          <w:szCs w:val="21"/>
          <w:highlight w:val="none"/>
          <w:lang w:val="en-US" w:eastAsia="zh-CN"/>
        </w:rPr>
        <w:t>简海欣</w:t>
      </w:r>
    </w:p>
    <w:p>
      <w:pPr>
        <w:pStyle w:val="22"/>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联系电话：0769-</w:t>
      </w:r>
      <w:r>
        <w:rPr>
          <w:rFonts w:hint="eastAsia" w:ascii="宋体" w:hAnsi="宋体" w:eastAsia="宋体" w:cs="宋体"/>
          <w:color w:val="auto"/>
          <w:sz w:val="21"/>
          <w:szCs w:val="21"/>
          <w:highlight w:val="none"/>
          <w:lang w:val="en-US" w:eastAsia="zh-CN"/>
        </w:rPr>
        <w:t>22980090</w:t>
      </w:r>
    </w:p>
    <w:p>
      <w:pPr>
        <w:pStyle w:val="22"/>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4、</w:t>
      </w:r>
      <w:r>
        <w:rPr>
          <w:rFonts w:hint="eastAsia" w:ascii="宋体" w:hAnsi="宋体" w:eastAsia="宋体" w:cs="宋体"/>
          <w:color w:val="auto"/>
          <w:sz w:val="21"/>
          <w:szCs w:val="21"/>
          <w:highlight w:val="none"/>
          <w:lang w:eastAsia="zh-CN"/>
        </w:rPr>
        <w:t>获取方式：</w:t>
      </w:r>
      <w:r>
        <w:rPr>
          <w:rFonts w:hint="eastAsia" w:ascii="宋体" w:hAnsi="宋体"/>
          <w:color w:val="auto"/>
          <w:szCs w:val="21"/>
          <w:highlight w:val="none"/>
          <w:lang w:eastAsia="zh-CN"/>
        </w:rPr>
        <w:t>国顺招标网</w:t>
      </w:r>
      <w:r>
        <w:rPr>
          <w:rFonts w:hint="eastAsia" w:ascii="宋体" w:hAnsi="宋体" w:cs="宋体"/>
          <w:color w:val="auto"/>
          <w:szCs w:val="21"/>
          <w:highlight w:val="none"/>
          <w:lang w:val="en-US" w:eastAsia="zh-CN"/>
        </w:rPr>
        <w:t>上报名或现场领购</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在领购</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lang w:eastAsia="zh-CN"/>
        </w:rPr>
        <w:t>时须提供如下证明材料：《营业执照》复印件（加盖公章）或《事业单位法人证书》复印件（加盖公章）或其他主体证书复印件（加盖公章），自然人参加</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须提供自然人的身份证明材料（未按上述方式获取</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lang w:eastAsia="zh-CN"/>
        </w:rPr>
        <w:t>的供应商，其</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资格将被视为无效）。</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4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售价：</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00.00元</w:t>
      </w:r>
    </w:p>
    <w:p>
      <w:pPr>
        <w:pStyle w:val="4"/>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46" w:name="_Toc28359082"/>
      <w:bookmarkStart w:id="47" w:name="_Toc28359005"/>
      <w:bookmarkStart w:id="48" w:name="_Toc28585"/>
      <w:bookmarkStart w:id="49" w:name="_Toc35393793"/>
      <w:bookmarkStart w:id="50" w:name="_Toc27404"/>
      <w:bookmarkStart w:id="51" w:name="_Toc35393624"/>
      <w:bookmarkStart w:id="52" w:name="_Toc10322"/>
      <w:bookmarkStart w:id="53" w:name="_Toc28435"/>
      <w:r>
        <w:rPr>
          <w:rFonts w:hint="eastAsia" w:ascii="宋体" w:hAnsi="宋体" w:eastAsia="宋体" w:cs="宋体"/>
          <w:b/>
          <w:bCs/>
          <w:color w:val="auto"/>
          <w:sz w:val="21"/>
          <w:szCs w:val="21"/>
          <w:highlight w:val="none"/>
        </w:rPr>
        <w:t>四、提交</w:t>
      </w:r>
      <w:bookmarkEnd w:id="46"/>
      <w:bookmarkEnd w:id="47"/>
      <w:r>
        <w:rPr>
          <w:rFonts w:hint="eastAsia" w:ascii="宋体" w:hAnsi="宋体" w:cs="宋体"/>
          <w:b/>
          <w:bCs/>
          <w:color w:val="auto"/>
          <w:sz w:val="21"/>
          <w:szCs w:val="21"/>
          <w:highlight w:val="none"/>
          <w:lang w:eastAsia="zh-CN"/>
        </w:rPr>
        <w:t>响应文件</w:t>
      </w:r>
      <w:r>
        <w:rPr>
          <w:rFonts w:hint="eastAsia" w:ascii="宋体" w:hAnsi="宋体" w:eastAsia="宋体" w:cs="宋体"/>
          <w:b/>
          <w:bCs/>
          <w:color w:val="auto"/>
          <w:sz w:val="21"/>
          <w:szCs w:val="21"/>
          <w:highlight w:val="none"/>
        </w:rPr>
        <w:t>截止时间</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开启时间</w:t>
      </w:r>
      <w:r>
        <w:rPr>
          <w:rFonts w:hint="eastAsia" w:ascii="宋体" w:hAnsi="宋体" w:eastAsia="宋体" w:cs="宋体"/>
          <w:b/>
          <w:bCs/>
          <w:color w:val="auto"/>
          <w:sz w:val="21"/>
          <w:szCs w:val="21"/>
          <w:highlight w:val="none"/>
        </w:rPr>
        <w:t>和地点</w:t>
      </w:r>
      <w:bookmarkEnd w:id="48"/>
      <w:bookmarkEnd w:id="49"/>
      <w:bookmarkEnd w:id="50"/>
      <w:bookmarkEnd w:id="51"/>
      <w:bookmarkEnd w:id="52"/>
      <w:bookmarkEnd w:id="53"/>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none"/>
        </w:rPr>
        <w:t>截止时间：</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2023</w:t>
      </w:r>
      <w:r>
        <w:rPr>
          <w:rFonts w:hint="eastAsia" w:ascii="宋体" w:hAnsi="宋体" w:eastAsia="宋体" w:cs="宋体"/>
          <w:bCs/>
          <w:color w:val="auto"/>
          <w:sz w:val="21"/>
          <w:szCs w:val="21"/>
          <w:highlight w:val="none"/>
          <w:u w:val="single"/>
        </w:rPr>
        <w:t>年</w:t>
      </w:r>
      <w:r>
        <w:rPr>
          <w:rFonts w:hint="default" w:ascii="宋体" w:hAnsi="宋体" w:cs="宋体"/>
          <w:bCs/>
          <w:color w:val="auto"/>
          <w:sz w:val="21"/>
          <w:szCs w:val="21"/>
          <w:highlight w:val="none"/>
          <w:u w:val="single"/>
          <w:lang w:val="en-US" w:eastAsia="zh-CN"/>
        </w:rPr>
        <w:t>4</w:t>
      </w:r>
      <w:r>
        <w:rPr>
          <w:rFonts w:hint="eastAsia" w:ascii="宋体" w:hAnsi="宋体" w:eastAsia="宋体" w:cs="宋体"/>
          <w:bCs/>
          <w:color w:val="auto"/>
          <w:sz w:val="21"/>
          <w:szCs w:val="21"/>
          <w:highlight w:val="none"/>
          <w:u w:val="single"/>
        </w:rPr>
        <w:t>月</w:t>
      </w:r>
      <w:r>
        <w:rPr>
          <w:rFonts w:hint="default" w:ascii="宋体" w:hAnsi="宋体" w:cs="宋体"/>
          <w:bCs/>
          <w:color w:val="auto"/>
          <w:sz w:val="21"/>
          <w:szCs w:val="21"/>
          <w:highlight w:val="none"/>
          <w:u w:val="single"/>
          <w:lang w:val="en-US" w:eastAsia="zh-CN"/>
        </w:rPr>
        <w:t>28</w:t>
      </w:r>
      <w:r>
        <w:rPr>
          <w:rFonts w:hint="eastAsia" w:ascii="宋体" w:hAnsi="宋体" w:eastAsia="宋体" w:cs="宋体"/>
          <w:bCs/>
          <w:color w:val="auto"/>
          <w:sz w:val="21"/>
          <w:szCs w:val="21"/>
          <w:highlight w:val="none"/>
          <w:u w:val="single"/>
        </w:rPr>
        <w:t>日</w:t>
      </w:r>
      <w:r>
        <w:rPr>
          <w:rFonts w:hint="default" w:ascii="宋体" w:hAnsi="宋体" w:cs="宋体"/>
          <w:bCs/>
          <w:color w:val="auto"/>
          <w:sz w:val="21"/>
          <w:szCs w:val="21"/>
          <w:highlight w:val="none"/>
          <w:u w:val="single"/>
          <w:lang w:val="en-US" w:eastAsia="zh-CN"/>
        </w:rPr>
        <w:t>14</w:t>
      </w:r>
      <w:bookmarkStart w:id="381" w:name="_GoBack"/>
      <w:bookmarkEnd w:id="381"/>
      <w:r>
        <w:rPr>
          <w:rFonts w:hint="eastAsia" w:ascii="宋体" w:hAnsi="宋体" w:eastAsia="宋体" w:cs="宋体"/>
          <w:bCs/>
          <w:color w:val="auto"/>
          <w:sz w:val="21"/>
          <w:szCs w:val="21"/>
          <w:highlight w:val="none"/>
          <w:u w:val="single"/>
        </w:rPr>
        <w:t>点</w:t>
      </w:r>
      <w:r>
        <w:rPr>
          <w:rFonts w:hint="default" w:ascii="宋体" w:hAnsi="宋体" w:cs="宋体"/>
          <w:bCs/>
          <w:color w:val="auto"/>
          <w:sz w:val="21"/>
          <w:szCs w:val="21"/>
          <w:highlight w:val="none"/>
          <w:u w:val="single"/>
          <w:lang w:val="en-US" w:eastAsia="zh-CN"/>
        </w:rPr>
        <w:t>30</w:t>
      </w:r>
      <w:r>
        <w:rPr>
          <w:rFonts w:hint="eastAsia" w:ascii="宋体" w:hAnsi="宋体" w:eastAsia="宋体" w:cs="宋体"/>
          <w:bCs/>
          <w:color w:val="auto"/>
          <w:sz w:val="21"/>
          <w:szCs w:val="21"/>
          <w:highlight w:val="none"/>
          <w:u w:val="single"/>
        </w:rPr>
        <w:t>分</w:t>
      </w:r>
      <w:r>
        <w:rPr>
          <w:rFonts w:hint="eastAsia" w:ascii="宋体" w:hAnsi="宋体" w:eastAsia="宋体" w:cs="宋体"/>
          <w:bCs/>
          <w:color w:val="auto"/>
          <w:sz w:val="21"/>
          <w:szCs w:val="21"/>
          <w:highlight w:val="none"/>
        </w:rPr>
        <w:t>（北京时间）</w:t>
      </w:r>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东莞市南城街道鸿福西路81号国际商会大厦</w:t>
      </w:r>
      <w:r>
        <w:rPr>
          <w:rFonts w:hint="eastAsia" w:ascii="宋体" w:hAnsi="宋体" w:cs="宋体"/>
          <w:color w:val="auto"/>
          <w:sz w:val="21"/>
          <w:szCs w:val="21"/>
          <w:highlight w:val="none"/>
          <w:lang w:val="en-US" w:eastAsia="zh-CN"/>
        </w:rPr>
        <w:t>13A层01</w:t>
      </w:r>
      <w:r>
        <w:rPr>
          <w:rFonts w:hint="eastAsia" w:ascii="宋体" w:hAnsi="宋体" w:eastAsia="宋体" w:cs="宋体"/>
          <w:color w:val="auto"/>
          <w:sz w:val="21"/>
          <w:szCs w:val="21"/>
          <w:highlight w:val="none"/>
          <w:lang w:eastAsia="zh-CN"/>
        </w:rPr>
        <w:t>室</w:t>
      </w:r>
      <w:r>
        <w:rPr>
          <w:rFonts w:hint="eastAsia" w:ascii="宋体" w:hAnsi="宋体"/>
          <w:bCs/>
          <w:color w:val="auto"/>
          <w:sz w:val="21"/>
          <w:szCs w:val="21"/>
          <w:highlight w:val="none"/>
          <w:lang w:eastAsia="zh-CN"/>
        </w:rPr>
        <w:t>。</w:t>
      </w:r>
    </w:p>
    <w:p>
      <w:pPr>
        <w:pStyle w:val="4"/>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54" w:name="_Toc35393794"/>
      <w:bookmarkStart w:id="55" w:name="_Toc28359084"/>
      <w:bookmarkStart w:id="56" w:name="_Toc28359007"/>
      <w:bookmarkStart w:id="57" w:name="_Toc25695"/>
      <w:bookmarkStart w:id="58" w:name="_Toc35393625"/>
      <w:bookmarkStart w:id="59" w:name="_Toc1202"/>
      <w:bookmarkStart w:id="60" w:name="_Toc26299"/>
      <w:bookmarkStart w:id="61" w:name="_Toc17857"/>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、公告期限</w:t>
      </w:r>
      <w:bookmarkEnd w:id="54"/>
      <w:bookmarkEnd w:id="55"/>
      <w:bookmarkEnd w:id="56"/>
      <w:bookmarkEnd w:id="57"/>
      <w:bookmarkEnd w:id="58"/>
      <w:bookmarkEnd w:id="59"/>
      <w:bookmarkEnd w:id="60"/>
      <w:bookmarkEnd w:id="61"/>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个工作日。</w:t>
      </w:r>
    </w:p>
    <w:p>
      <w:pPr>
        <w:pStyle w:val="4"/>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62" w:name="_Toc9116"/>
      <w:bookmarkStart w:id="63" w:name="_Toc25010"/>
      <w:bookmarkStart w:id="64" w:name="_Toc35393626"/>
      <w:bookmarkStart w:id="65" w:name="_Toc1519"/>
      <w:bookmarkStart w:id="66" w:name="_Toc6612"/>
      <w:bookmarkStart w:id="67" w:name="_Toc35393795"/>
      <w:r>
        <w:rPr>
          <w:rFonts w:hint="eastAsia" w:ascii="宋体" w:hAnsi="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、其他补充事宜</w:t>
      </w:r>
      <w:bookmarkEnd w:id="62"/>
      <w:bookmarkEnd w:id="63"/>
      <w:bookmarkEnd w:id="64"/>
      <w:bookmarkEnd w:id="65"/>
      <w:bookmarkEnd w:id="66"/>
      <w:bookmarkEnd w:id="67"/>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bookmarkStart w:id="68" w:name="_Toc35393796"/>
      <w:bookmarkStart w:id="69" w:name="_Toc28359085"/>
      <w:bookmarkStart w:id="70" w:name="_Toc35393627"/>
      <w:bookmarkStart w:id="71" w:name="_Toc28359008"/>
      <w:r>
        <w:rPr>
          <w:rFonts w:hint="eastAsia" w:ascii="宋体" w:hAnsi="宋体" w:eastAsia="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竞争性磋商文件</w:t>
      </w:r>
      <w:r>
        <w:rPr>
          <w:rFonts w:hint="eastAsia" w:ascii="宋体" w:hAnsi="宋体" w:eastAsia="宋体"/>
          <w:color w:val="auto"/>
          <w:sz w:val="21"/>
          <w:szCs w:val="21"/>
          <w:highlight w:val="none"/>
        </w:rPr>
        <w:t>公示/下载媒体</w:t>
      </w:r>
    </w:p>
    <w:p>
      <w:pPr>
        <w:keepNext w:val="0"/>
        <w:keepLines w:val="0"/>
        <w:pageBreakBefore w:val="0"/>
        <w:widowControl/>
        <w:kinsoku/>
        <w:wordWrap w:val="0"/>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中国政府采购网(http://www.ccgp.gov.cn/)</w:t>
      </w:r>
      <w:r>
        <w:rPr>
          <w:rFonts w:hint="eastAsia" w:ascii="宋体" w:hAnsi="宋体" w:eastAsia="宋体"/>
          <w:color w:val="auto"/>
          <w:sz w:val="21"/>
          <w:szCs w:val="21"/>
          <w:highlight w:val="none"/>
          <w:lang w:val="en-US" w:eastAsia="zh-CN"/>
        </w:rPr>
        <w:t>以及</w:t>
      </w:r>
      <w:r>
        <w:rPr>
          <w:rFonts w:hint="eastAsia" w:ascii="宋体" w:hAnsi="宋体"/>
          <w:color w:val="auto"/>
          <w:szCs w:val="21"/>
          <w:highlight w:val="none"/>
          <w:lang w:eastAsia="zh-CN"/>
        </w:rPr>
        <w:t>国顺招标网</w:t>
      </w:r>
      <w:r>
        <w:rPr>
          <w:rFonts w:hint="eastAsia" w:ascii="宋体" w:hAnsi="宋体"/>
          <w:color w:val="auto"/>
          <w:szCs w:val="21"/>
          <w:highlight w:val="none"/>
        </w:rPr>
        <w:t>（</w:t>
      </w:r>
      <w:r>
        <w:rPr>
          <w:rFonts w:hint="eastAsia" w:ascii="宋体" w:hAnsi="宋体"/>
          <w:color w:val="auto"/>
          <w:szCs w:val="21"/>
          <w:highlight w:val="none"/>
          <w:lang w:eastAsia="zh-CN"/>
        </w:rPr>
        <w:t>http://www.guoshunzb.com/</w:t>
      </w:r>
      <w:r>
        <w:rPr>
          <w:rFonts w:hint="eastAsia" w:ascii="宋体" w:hAnsi="宋体"/>
          <w:color w:val="auto"/>
          <w:szCs w:val="21"/>
          <w:highlight w:val="none"/>
        </w:rPr>
        <w:t>）</w:t>
      </w:r>
      <w:r>
        <w:rPr>
          <w:rFonts w:hint="eastAsia" w:ascii="宋体" w:hAnsi="宋体" w:eastAsia="宋体"/>
          <w:color w:val="auto"/>
          <w:sz w:val="21"/>
          <w:szCs w:val="21"/>
          <w:highlight w:val="none"/>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rPr>
        <w:t>拟参加本项目的潜在</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须在规定时间内按要求获取</w:t>
      </w:r>
      <w:r>
        <w:rPr>
          <w:rFonts w:hint="eastAsia" w:ascii="宋体" w:hAnsi="宋体"/>
          <w:color w:val="auto"/>
          <w:sz w:val="21"/>
          <w:szCs w:val="21"/>
          <w:highlight w:val="none"/>
          <w:lang w:val="en-US" w:eastAsia="zh-CN"/>
        </w:rPr>
        <w:t>竞争性磋商</w:t>
      </w:r>
      <w:r>
        <w:rPr>
          <w:rFonts w:hint="eastAsia" w:ascii="宋体" w:hAnsi="宋体"/>
          <w:color w:val="auto"/>
          <w:sz w:val="21"/>
          <w:szCs w:val="21"/>
          <w:highlight w:val="none"/>
          <w:lang w:eastAsia="zh-CN"/>
        </w:rPr>
        <w:t>文件</w:t>
      </w:r>
      <w:r>
        <w:rPr>
          <w:rFonts w:hint="eastAsia" w:ascii="宋体" w:hAnsi="宋体" w:eastAsia="宋体"/>
          <w:color w:val="auto"/>
          <w:sz w:val="21"/>
          <w:szCs w:val="21"/>
          <w:highlight w:val="none"/>
        </w:rPr>
        <w:t>后方可参与本项目的</w:t>
      </w:r>
      <w:r>
        <w:rPr>
          <w:rFonts w:hint="eastAsia" w:ascii="宋体" w:hAnsi="宋体"/>
          <w:color w:val="auto"/>
          <w:sz w:val="21"/>
          <w:szCs w:val="21"/>
          <w:highlight w:val="none"/>
          <w:lang w:val="en-US" w:eastAsia="zh-CN"/>
        </w:rPr>
        <w:t>响应</w:t>
      </w:r>
      <w:r>
        <w:rPr>
          <w:rFonts w:hint="eastAsia" w:ascii="宋体" w:hAnsi="宋体" w:eastAsia="宋体"/>
          <w:color w:val="auto"/>
          <w:sz w:val="21"/>
          <w:szCs w:val="21"/>
          <w:highlight w:val="none"/>
        </w:rPr>
        <w:t>。获取</w:t>
      </w:r>
      <w:r>
        <w:rPr>
          <w:rFonts w:hint="eastAsia" w:ascii="宋体" w:hAnsi="宋体"/>
          <w:color w:val="auto"/>
          <w:sz w:val="21"/>
          <w:szCs w:val="21"/>
          <w:highlight w:val="none"/>
          <w:lang w:val="en-US" w:eastAsia="zh-CN"/>
        </w:rPr>
        <w:t>竞争性磋商</w:t>
      </w:r>
      <w:r>
        <w:rPr>
          <w:rFonts w:hint="eastAsia" w:ascii="宋体" w:hAnsi="宋体"/>
          <w:color w:val="auto"/>
          <w:sz w:val="21"/>
          <w:szCs w:val="21"/>
          <w:highlight w:val="none"/>
          <w:lang w:eastAsia="zh-CN"/>
        </w:rPr>
        <w:t>文件</w:t>
      </w:r>
      <w:r>
        <w:rPr>
          <w:rFonts w:hint="eastAsia" w:ascii="宋体" w:hAnsi="宋体" w:eastAsia="宋体"/>
          <w:color w:val="auto"/>
          <w:sz w:val="21"/>
          <w:szCs w:val="21"/>
          <w:highlight w:val="none"/>
        </w:rPr>
        <w:t>后而不参加投标</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响应</w:t>
      </w: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的潜在</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，请在</w:t>
      </w:r>
      <w:r>
        <w:rPr>
          <w:rFonts w:hint="eastAsia" w:ascii="宋体" w:hAnsi="宋体"/>
          <w:color w:val="auto"/>
          <w:sz w:val="21"/>
          <w:szCs w:val="21"/>
          <w:highlight w:val="none"/>
          <w:lang w:val="en-US" w:eastAsia="zh-CN"/>
        </w:rPr>
        <w:t>提交响应文件截止</w:t>
      </w:r>
      <w:r>
        <w:rPr>
          <w:rFonts w:hint="eastAsia" w:ascii="宋体" w:hAnsi="宋体" w:eastAsia="宋体"/>
          <w:color w:val="auto"/>
          <w:sz w:val="21"/>
          <w:szCs w:val="21"/>
          <w:highlight w:val="none"/>
        </w:rPr>
        <w:t>日期三日前以书面形式通知</w:t>
      </w:r>
      <w:r>
        <w:rPr>
          <w:rFonts w:hint="eastAsia" w:ascii="宋体" w:hAnsi="宋体"/>
          <w:color w:val="auto"/>
          <w:sz w:val="21"/>
          <w:szCs w:val="21"/>
          <w:highlight w:val="none"/>
          <w:lang w:eastAsia="zh-CN"/>
        </w:rPr>
        <w:t>采购代理机构</w:t>
      </w:r>
      <w:r>
        <w:rPr>
          <w:rFonts w:hint="eastAsia" w:ascii="宋体" w:hAnsi="宋体" w:eastAsia="宋体"/>
          <w:color w:val="auto"/>
          <w:sz w:val="21"/>
          <w:szCs w:val="21"/>
          <w:highlight w:val="none"/>
        </w:rPr>
        <w:t>。</w:t>
      </w:r>
    </w:p>
    <w:p>
      <w:pPr>
        <w:pStyle w:val="4"/>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72" w:name="_Toc12281"/>
      <w:bookmarkStart w:id="73" w:name="_Toc22586"/>
      <w:bookmarkStart w:id="74" w:name="_Toc5139"/>
      <w:bookmarkStart w:id="75" w:name="_Toc8358"/>
      <w:r>
        <w:rPr>
          <w:rFonts w:hint="eastAsia" w:ascii="宋体" w:hAnsi="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、对本次</w:t>
      </w:r>
      <w:r>
        <w:rPr>
          <w:rFonts w:hint="eastAsia" w:ascii="宋体" w:hAnsi="宋体" w:cs="宋体"/>
          <w:b/>
          <w:bCs/>
          <w:color w:val="auto"/>
          <w:sz w:val="21"/>
          <w:szCs w:val="21"/>
          <w:highlight w:val="none"/>
          <w:lang w:val="en-US" w:eastAsia="zh-CN"/>
        </w:rPr>
        <w:t>采购</w:t>
      </w:r>
      <w:r>
        <w:rPr>
          <w:rFonts w:hint="eastAsia" w:ascii="宋体" w:hAnsi="宋体" w:eastAsia="宋体" w:cs="宋体"/>
          <w:b/>
          <w:bCs/>
          <w:color w:val="auto"/>
          <w:sz w:val="21"/>
          <w:szCs w:val="21"/>
          <w:highlight w:val="none"/>
        </w:rPr>
        <w:t>提出询问，请按以下方式联系。</w:t>
      </w:r>
      <w:bookmarkEnd w:id="68"/>
      <w:bookmarkEnd w:id="69"/>
      <w:bookmarkEnd w:id="70"/>
      <w:bookmarkEnd w:id="71"/>
      <w:bookmarkEnd w:id="72"/>
      <w:bookmarkEnd w:id="73"/>
      <w:bookmarkEnd w:id="74"/>
      <w:bookmarkEnd w:id="75"/>
    </w:p>
    <w:p>
      <w:pPr>
        <w:pageBreakBefore w:val="0"/>
        <w:widowControl/>
        <w:kinsoku/>
        <w:wordWrap/>
        <w:overflowPunct/>
        <w:topLinePunct w:val="0"/>
        <w:autoSpaceDE/>
        <w:autoSpaceDN/>
        <w:bidi w:val="0"/>
        <w:adjustRightInd/>
        <w:snapToGrid/>
        <w:spacing w:line="360" w:lineRule="auto"/>
        <w:ind w:left="0" w:leftChars="0"/>
        <w:jc w:val="left"/>
        <w:textAlignment w:val="auto"/>
        <w:outlineLvl w:val="2"/>
        <w:rPr>
          <w:rFonts w:hint="eastAsia" w:ascii="宋体" w:hAnsi="宋体" w:eastAsia="宋体" w:cs="宋体"/>
          <w:b/>
          <w:bCs/>
          <w:color w:val="auto"/>
          <w:sz w:val="21"/>
          <w:szCs w:val="21"/>
          <w:highlight w:val="none"/>
        </w:rPr>
      </w:pPr>
      <w:bookmarkStart w:id="76" w:name="_Toc30277"/>
      <w:bookmarkStart w:id="77" w:name="_Toc30615"/>
      <w:bookmarkStart w:id="78" w:name="_Toc31577"/>
      <w:bookmarkStart w:id="79" w:name="_Toc7403"/>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采购人</w:t>
      </w:r>
      <w:r>
        <w:rPr>
          <w:rFonts w:hint="eastAsia" w:ascii="宋体" w:hAnsi="宋体" w:eastAsia="宋体" w:cs="宋体"/>
          <w:b/>
          <w:bCs/>
          <w:color w:val="auto"/>
          <w:sz w:val="21"/>
          <w:szCs w:val="21"/>
          <w:highlight w:val="none"/>
        </w:rPr>
        <w:t>信息</w:t>
      </w:r>
      <w:bookmarkEnd w:id="76"/>
      <w:bookmarkEnd w:id="77"/>
      <w:bookmarkEnd w:id="78"/>
      <w:bookmarkEnd w:id="79"/>
    </w:p>
    <w:p>
      <w:pPr>
        <w:pageBreakBefore w:val="0"/>
        <w:kinsoku/>
        <w:wordWrap/>
        <w:overflowPunct/>
        <w:topLinePunct w:val="0"/>
        <w:autoSpaceDE/>
        <w:autoSpaceDN/>
        <w:bidi w:val="0"/>
        <w:adjustRightInd/>
        <w:snapToGrid/>
        <w:spacing w:line="360" w:lineRule="auto"/>
        <w:ind w:left="262" w:leftChars="0" w:hanging="262" w:hangingChars="125"/>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名 </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称：</w:t>
      </w:r>
      <w:r>
        <w:rPr>
          <w:rFonts w:hint="eastAsia" w:ascii="宋体" w:hAnsi="宋体" w:cs="宋体"/>
          <w:color w:val="auto"/>
          <w:sz w:val="21"/>
          <w:szCs w:val="21"/>
          <w:highlight w:val="none"/>
          <w:u w:val="none"/>
          <w:lang w:val="en-US" w:eastAsia="zh-CN"/>
        </w:rPr>
        <w:t>东莞市石排镇下沙刘屋股份经济合作社</w:t>
      </w:r>
      <w:r>
        <w:rPr>
          <w:rFonts w:hint="eastAsia" w:ascii="宋体" w:hAnsi="宋体" w:eastAsia="宋体" w:cs="宋体"/>
          <w:color w:val="auto"/>
          <w:sz w:val="21"/>
          <w:szCs w:val="21"/>
          <w:highlight w:val="none"/>
          <w:u w:val="none"/>
        </w:rPr>
        <w:t>　　　　　　　　　　　　</w:t>
      </w:r>
    </w:p>
    <w:p>
      <w:pPr>
        <w:pageBreakBefore w:val="0"/>
        <w:kinsoku/>
        <w:wordWrap/>
        <w:overflowPunct/>
        <w:topLinePunct w:val="0"/>
        <w:autoSpaceDE/>
        <w:autoSpaceDN/>
        <w:bidi w:val="0"/>
        <w:adjustRightInd/>
        <w:snapToGrid/>
        <w:spacing w:line="360" w:lineRule="auto"/>
        <w:ind w:left="262" w:leftChars="0" w:hanging="262" w:hangingChars="125"/>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地</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址：</w:t>
      </w:r>
      <w:r>
        <w:rPr>
          <w:rFonts w:hint="eastAsia" w:ascii="宋体" w:hAnsi="宋体" w:eastAsia="宋体"/>
          <w:color w:val="auto"/>
          <w:sz w:val="21"/>
          <w:szCs w:val="21"/>
          <w:highlight w:val="none"/>
        </w:rPr>
        <w:t>东莞市石排镇下沙社区</w:t>
      </w:r>
      <w:r>
        <w:rPr>
          <w:rFonts w:hint="eastAsia" w:ascii="宋体" w:hAnsi="宋体" w:eastAsia="宋体" w:cs="宋体"/>
          <w:color w:val="auto"/>
          <w:sz w:val="21"/>
          <w:szCs w:val="21"/>
          <w:highlight w:val="none"/>
          <w:u w:val="none"/>
        </w:rPr>
        <w:t>　　</w:t>
      </w:r>
    </w:p>
    <w:p>
      <w:pPr>
        <w:pageBreakBefore w:val="0"/>
        <w:kinsoku/>
        <w:wordWrap/>
        <w:overflowPunct/>
        <w:topLinePunct w:val="0"/>
        <w:autoSpaceDE/>
        <w:autoSpaceDN/>
        <w:bidi w:val="0"/>
        <w:adjustRightInd/>
        <w:snapToGrid/>
        <w:spacing w:line="360" w:lineRule="auto"/>
        <w:ind w:left="262" w:leftChars="0" w:hanging="262" w:hangingChars="125"/>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联系人：</w:t>
      </w:r>
      <w:r>
        <w:rPr>
          <w:rFonts w:hint="eastAsia" w:ascii="宋体" w:hAnsi="宋体" w:eastAsia="宋体"/>
          <w:color w:val="auto"/>
          <w:sz w:val="21"/>
          <w:szCs w:val="21"/>
          <w:highlight w:val="none"/>
          <w:lang w:val="en-US" w:eastAsia="zh-CN"/>
        </w:rPr>
        <w:t>王</w:t>
      </w:r>
      <w:r>
        <w:rPr>
          <w:rFonts w:hint="eastAsia" w:ascii="宋体" w:hAnsi="宋体" w:eastAsia="宋体"/>
          <w:color w:val="auto"/>
          <w:sz w:val="21"/>
          <w:szCs w:val="21"/>
          <w:highlight w:val="none"/>
        </w:rPr>
        <w:t>小姐</w:t>
      </w:r>
    </w:p>
    <w:p>
      <w:pPr>
        <w:pageBreakBefore w:val="0"/>
        <w:kinsoku/>
        <w:wordWrap/>
        <w:overflowPunct/>
        <w:topLinePunct w:val="0"/>
        <w:autoSpaceDE/>
        <w:autoSpaceDN/>
        <w:bidi w:val="0"/>
        <w:adjustRightInd/>
        <w:snapToGrid/>
        <w:spacing w:line="360" w:lineRule="auto"/>
        <w:ind w:left="262" w:leftChars="0" w:hanging="262" w:hangingChars="125"/>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联系方式：</w:t>
      </w:r>
      <w:r>
        <w:rPr>
          <w:rFonts w:hint="eastAsia" w:ascii="宋体" w:hAnsi="宋体" w:eastAsia="宋体"/>
          <w:color w:val="auto"/>
          <w:sz w:val="21"/>
          <w:szCs w:val="21"/>
          <w:highlight w:val="none"/>
        </w:rPr>
        <w:t>0769-86521020</w:t>
      </w:r>
      <w:r>
        <w:rPr>
          <w:rFonts w:hint="eastAsia" w:ascii="宋体" w:hAnsi="宋体" w:eastAsia="宋体" w:cs="宋体"/>
          <w:color w:val="auto"/>
          <w:sz w:val="21"/>
          <w:szCs w:val="21"/>
          <w:highlight w:val="none"/>
          <w:u w:val="none"/>
        </w:rPr>
        <w:t xml:space="preserve">　　　　　　　　　　　 </w:t>
      </w:r>
      <w:bookmarkStart w:id="80" w:name="_Toc28359086"/>
      <w:bookmarkStart w:id="81" w:name="_Toc28359009"/>
    </w:p>
    <w:p>
      <w:pPr>
        <w:pageBreakBefore w:val="0"/>
        <w:kinsoku/>
        <w:wordWrap/>
        <w:overflowPunct/>
        <w:topLinePunct w:val="0"/>
        <w:autoSpaceDE/>
        <w:autoSpaceDN/>
        <w:bidi w:val="0"/>
        <w:adjustRightInd/>
        <w:snapToGrid/>
        <w:spacing w:line="360" w:lineRule="auto"/>
        <w:ind w:left="264" w:leftChars="0" w:hanging="264" w:hangingChars="125"/>
        <w:jc w:val="left"/>
        <w:textAlignment w:val="auto"/>
        <w:outlineLvl w:val="2"/>
        <w:rPr>
          <w:rFonts w:hint="eastAsia" w:ascii="宋体" w:hAnsi="宋体" w:eastAsia="宋体" w:cs="宋体"/>
          <w:b/>
          <w:bCs/>
          <w:color w:val="auto"/>
          <w:sz w:val="21"/>
          <w:szCs w:val="21"/>
          <w:highlight w:val="none"/>
          <w:u w:val="none"/>
        </w:rPr>
      </w:pPr>
      <w:bookmarkStart w:id="82" w:name="_Toc25259"/>
      <w:bookmarkStart w:id="83" w:name="_Toc10880"/>
      <w:bookmarkStart w:id="84" w:name="_Toc4580"/>
      <w:bookmarkStart w:id="85" w:name="_Toc11561"/>
      <w:r>
        <w:rPr>
          <w:rFonts w:hint="eastAsia" w:ascii="宋体" w:hAnsi="宋体" w:eastAsia="宋体" w:cs="宋体"/>
          <w:b/>
          <w:bCs/>
          <w:color w:val="auto"/>
          <w:sz w:val="21"/>
          <w:szCs w:val="21"/>
          <w:highlight w:val="none"/>
          <w:u w:val="none"/>
        </w:rPr>
        <w:t>2.</w:t>
      </w:r>
      <w:r>
        <w:rPr>
          <w:rFonts w:hint="eastAsia" w:ascii="宋体" w:hAnsi="宋体" w:cs="宋体"/>
          <w:b/>
          <w:bCs/>
          <w:color w:val="auto"/>
          <w:sz w:val="21"/>
          <w:szCs w:val="21"/>
          <w:highlight w:val="none"/>
          <w:u w:val="none"/>
          <w:lang w:val="en-US" w:eastAsia="zh-CN"/>
        </w:rPr>
        <w:t>采购代理机构</w:t>
      </w:r>
      <w:r>
        <w:rPr>
          <w:rFonts w:hint="eastAsia" w:ascii="宋体" w:hAnsi="宋体" w:eastAsia="宋体" w:cs="宋体"/>
          <w:b/>
          <w:bCs/>
          <w:color w:val="auto"/>
          <w:sz w:val="21"/>
          <w:szCs w:val="21"/>
          <w:highlight w:val="none"/>
          <w:u w:val="none"/>
        </w:rPr>
        <w:t>信息</w:t>
      </w:r>
      <w:bookmarkEnd w:id="80"/>
      <w:bookmarkEnd w:id="81"/>
      <w:bookmarkEnd w:id="82"/>
      <w:bookmarkEnd w:id="83"/>
      <w:bookmarkEnd w:id="84"/>
      <w:bookmarkEnd w:id="85"/>
    </w:p>
    <w:p>
      <w:pPr>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名 </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称：</w:t>
      </w:r>
      <w:r>
        <w:rPr>
          <w:rFonts w:hint="eastAsia" w:ascii="宋体" w:hAnsi="宋体" w:cs="宋体"/>
          <w:color w:val="auto"/>
          <w:sz w:val="21"/>
          <w:szCs w:val="21"/>
          <w:highlight w:val="none"/>
          <w:u w:val="none"/>
          <w:lang w:val="en-US" w:eastAsia="zh-CN"/>
        </w:rPr>
        <w:t>国顺招标有限公司</w:t>
      </w:r>
      <w:r>
        <w:rPr>
          <w:rFonts w:hint="eastAsia" w:ascii="宋体" w:hAnsi="宋体" w:eastAsia="宋体" w:cs="宋体"/>
          <w:color w:val="auto"/>
          <w:sz w:val="21"/>
          <w:szCs w:val="21"/>
          <w:highlight w:val="none"/>
          <w:u w:val="none"/>
        </w:rPr>
        <w:t>　　　　　　　　　　　　</w:t>
      </w:r>
    </w:p>
    <w:p>
      <w:pPr>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地　</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址：</w:t>
      </w:r>
      <w:r>
        <w:rPr>
          <w:rFonts w:hint="eastAsia" w:ascii="宋体" w:hAnsi="宋体" w:eastAsia="宋体" w:cs="宋体"/>
          <w:color w:val="auto"/>
          <w:sz w:val="21"/>
          <w:szCs w:val="21"/>
          <w:highlight w:val="none"/>
          <w:lang w:eastAsia="zh-CN"/>
        </w:rPr>
        <w:t>东莞市南城街道鸿福西路81号国际商会大厦</w:t>
      </w:r>
      <w:r>
        <w:rPr>
          <w:rFonts w:hint="eastAsia" w:ascii="宋体" w:hAnsi="宋体" w:cs="宋体"/>
          <w:color w:val="auto"/>
          <w:sz w:val="21"/>
          <w:szCs w:val="21"/>
          <w:highlight w:val="none"/>
          <w:lang w:val="en-US" w:eastAsia="zh-CN"/>
        </w:rPr>
        <w:t>13A层01</w:t>
      </w:r>
      <w:r>
        <w:rPr>
          <w:rFonts w:hint="eastAsia" w:ascii="宋体" w:hAnsi="宋体" w:eastAsia="宋体" w:cs="宋体"/>
          <w:color w:val="auto"/>
          <w:sz w:val="21"/>
          <w:szCs w:val="21"/>
          <w:highlight w:val="none"/>
          <w:lang w:eastAsia="zh-CN"/>
        </w:rPr>
        <w:t>室</w:t>
      </w:r>
      <w:r>
        <w:rPr>
          <w:rFonts w:hint="eastAsia" w:ascii="宋体" w:hAnsi="宋体" w:eastAsia="宋体" w:cs="宋体"/>
          <w:color w:val="auto"/>
          <w:sz w:val="21"/>
          <w:szCs w:val="21"/>
          <w:highlight w:val="none"/>
          <w:u w:val="none"/>
        </w:rPr>
        <w:t>　　　　　　　　　　　　</w:t>
      </w:r>
    </w:p>
    <w:p>
      <w:pPr>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联系方式：</w:t>
      </w:r>
      <w:bookmarkStart w:id="86" w:name="_Toc28359010"/>
      <w:bookmarkStart w:id="87" w:name="_Toc28359087"/>
      <w:r>
        <w:rPr>
          <w:rFonts w:hint="eastAsia" w:ascii="宋体" w:hAnsi="宋体" w:eastAsia="宋体" w:cs="宋体"/>
          <w:color w:val="auto"/>
          <w:sz w:val="21"/>
          <w:szCs w:val="21"/>
          <w:highlight w:val="none"/>
          <w:lang w:eastAsia="zh-CN"/>
        </w:rPr>
        <w:t>0769-</w:t>
      </w:r>
      <w:r>
        <w:rPr>
          <w:rFonts w:hint="eastAsia" w:ascii="宋体" w:hAnsi="宋体" w:eastAsia="宋体" w:cs="宋体"/>
          <w:color w:val="auto"/>
          <w:sz w:val="21"/>
          <w:szCs w:val="21"/>
          <w:highlight w:val="none"/>
          <w:lang w:val="en-US" w:eastAsia="zh-CN"/>
        </w:rPr>
        <w:t>22980090</w:t>
      </w:r>
      <w:r>
        <w:rPr>
          <w:rFonts w:hint="eastAsia" w:ascii="宋体" w:hAnsi="宋体" w:eastAsia="宋体" w:cs="宋体"/>
          <w:color w:val="auto"/>
          <w:sz w:val="21"/>
          <w:szCs w:val="21"/>
          <w:highlight w:val="none"/>
          <w:u w:val="none"/>
        </w:rPr>
        <w:t>　　　　　　　　　　　　</w:t>
      </w:r>
    </w:p>
    <w:p>
      <w:pPr>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2"/>
        <w:rPr>
          <w:rFonts w:hint="eastAsia" w:ascii="宋体" w:hAnsi="宋体" w:eastAsia="宋体" w:cs="宋体"/>
          <w:b/>
          <w:bCs/>
          <w:color w:val="auto"/>
          <w:sz w:val="21"/>
          <w:szCs w:val="21"/>
          <w:highlight w:val="none"/>
          <w:u w:val="none"/>
        </w:rPr>
      </w:pPr>
      <w:bookmarkStart w:id="88" w:name="_Toc28659"/>
      <w:bookmarkStart w:id="89" w:name="_Toc15543"/>
      <w:bookmarkStart w:id="90" w:name="_Toc18257"/>
      <w:bookmarkStart w:id="91" w:name="_Toc9440"/>
      <w:r>
        <w:rPr>
          <w:rFonts w:hint="eastAsia" w:ascii="宋体" w:hAnsi="宋体" w:eastAsia="宋体" w:cs="宋体"/>
          <w:b/>
          <w:bCs/>
          <w:color w:val="auto"/>
          <w:sz w:val="21"/>
          <w:szCs w:val="21"/>
          <w:highlight w:val="none"/>
          <w:u w:val="none"/>
        </w:rPr>
        <w:t>3.项目联系方式</w:t>
      </w:r>
      <w:bookmarkEnd w:id="86"/>
      <w:bookmarkEnd w:id="87"/>
      <w:bookmarkEnd w:id="88"/>
      <w:bookmarkEnd w:id="89"/>
      <w:bookmarkEnd w:id="90"/>
      <w:bookmarkEnd w:id="91"/>
    </w:p>
    <w:p>
      <w:pPr>
        <w:pStyle w:val="1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项目联系人：</w:t>
      </w:r>
      <w:r>
        <w:rPr>
          <w:rFonts w:hint="eastAsia" w:hAnsi="宋体" w:eastAsia="宋体" w:cs="宋体"/>
          <w:color w:val="auto"/>
          <w:sz w:val="21"/>
          <w:szCs w:val="21"/>
          <w:highlight w:val="none"/>
          <w:u w:val="none"/>
          <w:lang w:val="en-US" w:eastAsia="zh-CN"/>
        </w:rPr>
        <w:t>陈锦涛</w:t>
      </w:r>
    </w:p>
    <w:p>
      <w:pPr>
        <w:pStyle w:val="1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　</w:t>
      </w:r>
      <w:r>
        <w:rPr>
          <w:rFonts w:hint="eastAsia"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话：</w:t>
      </w:r>
      <w:r>
        <w:rPr>
          <w:rFonts w:hint="eastAsia" w:ascii="宋体" w:hAnsi="宋体" w:eastAsia="宋体" w:cs="宋体"/>
          <w:color w:val="auto"/>
          <w:sz w:val="21"/>
          <w:szCs w:val="21"/>
          <w:highlight w:val="none"/>
          <w:lang w:eastAsia="zh-CN"/>
        </w:rPr>
        <w:t>0769-</w:t>
      </w:r>
      <w:r>
        <w:rPr>
          <w:rFonts w:hint="eastAsia" w:ascii="宋体" w:hAnsi="宋体" w:eastAsia="宋体" w:cs="宋体"/>
          <w:color w:val="auto"/>
          <w:sz w:val="21"/>
          <w:szCs w:val="21"/>
          <w:highlight w:val="none"/>
          <w:lang w:val="en-US" w:eastAsia="zh-CN"/>
        </w:rPr>
        <w:t>22980090</w:t>
      </w:r>
    </w:p>
    <w:p>
      <w:pPr>
        <w:rPr>
          <w:rFonts w:hint="eastAsia"/>
          <w:color w:val="auto"/>
          <w:highlight w:val="none"/>
          <w:lang w:val="en-US" w:eastAsia="zh-CN"/>
        </w:rPr>
      </w:pPr>
      <w:bookmarkStart w:id="92" w:name="_Toc26573"/>
      <w:r>
        <w:rPr>
          <w:rFonts w:hint="eastAsia"/>
          <w:color w:val="auto"/>
          <w:highlight w:val="none"/>
          <w:lang w:val="en-US" w:eastAsia="zh-CN"/>
        </w:rPr>
        <w:br w:type="page"/>
      </w:r>
    </w:p>
    <w:p>
      <w:pPr>
        <w:pStyle w:val="3"/>
        <w:keepNext/>
        <w:keepLines/>
        <w:pageBreakBefore w:val="0"/>
        <w:widowControl w:val="0"/>
        <w:numPr>
          <w:ilvl w:val="0"/>
          <w:numId w:val="1"/>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color w:val="auto"/>
          <w:highlight w:val="none"/>
          <w:lang w:val="en-US" w:eastAsia="zh-CN"/>
        </w:rPr>
      </w:pPr>
      <w:r>
        <w:rPr>
          <w:rFonts w:hint="eastAsia"/>
          <w:color w:val="auto"/>
          <w:highlight w:val="none"/>
          <w:lang w:val="en-US" w:eastAsia="zh-CN"/>
        </w:rPr>
        <w:t>供应商须知</w:t>
      </w:r>
      <w:bookmarkEnd w:id="92"/>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color w:val="auto"/>
          <w:highlight w:val="none"/>
          <w:lang w:val="zh-CN"/>
        </w:rPr>
      </w:pPr>
      <w:bookmarkStart w:id="93" w:name="_Toc413402429"/>
      <w:bookmarkStart w:id="94" w:name="_Toc396137231"/>
      <w:bookmarkStart w:id="95" w:name="_Toc497983494"/>
      <w:bookmarkStart w:id="96" w:name="_Toc30510"/>
      <w:r>
        <w:rPr>
          <w:rFonts w:hint="eastAsia"/>
          <w:color w:val="auto"/>
          <w:highlight w:val="none"/>
          <w:lang w:val="zh-CN"/>
        </w:rPr>
        <w:t>一、</w:t>
      </w:r>
      <w:r>
        <w:rPr>
          <w:rFonts w:hint="eastAsia"/>
          <w:color w:val="auto"/>
          <w:highlight w:val="none"/>
          <w:lang w:val="en-US" w:eastAsia="zh-CN"/>
        </w:rPr>
        <w:t>响应</w:t>
      </w:r>
      <w:r>
        <w:rPr>
          <w:rFonts w:hint="eastAsia"/>
          <w:color w:val="auto"/>
          <w:highlight w:val="none"/>
          <w:lang w:val="zh-CN"/>
        </w:rPr>
        <w:t>须知前附表</w:t>
      </w:r>
      <w:bookmarkEnd w:id="93"/>
      <w:bookmarkEnd w:id="94"/>
      <w:bookmarkEnd w:id="95"/>
      <w:bookmarkEnd w:id="96"/>
    </w:p>
    <w:tbl>
      <w:tblPr>
        <w:tblStyle w:val="16"/>
        <w:tblW w:w="90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06"/>
        <w:gridCol w:w="710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655" w:type="dxa"/>
            <w:tcBorders>
              <w:top w:val="doub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1306"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w:t>
            </w:r>
          </w:p>
        </w:tc>
        <w:tc>
          <w:tcPr>
            <w:tcW w:w="7103" w:type="dxa"/>
            <w:tcBorders>
              <w:top w:val="double" w:color="auto" w:sz="4" w:space="0"/>
              <w:left w:val="single" w:color="auto" w:sz="4" w:space="0"/>
              <w:bottom w:val="single" w:color="auto" w:sz="4" w:space="0"/>
              <w:right w:val="doub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自筹资金</w:t>
            </w:r>
            <w:r>
              <w:rPr>
                <w:rFonts w:hint="eastAsia" w:ascii="宋体" w:hAnsi="宋体" w:eastAsia="宋体" w:cs="宋体"/>
                <w:color w:val="auto"/>
                <w:sz w:val="21"/>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踏勘现场</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不集中组织，由</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自行踏勘。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响应文件</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autoSpaceDE/>
              <w:autoSpaceDN/>
              <w:adjustRightInd/>
              <w:spacing w:line="360" w:lineRule="auto"/>
              <w:jc w:val="both"/>
              <w:rPr>
                <w:rFonts w:hint="eastAsia" w:ascii="宋体" w:hAnsi="宋体" w:eastAsia="宋体" w:cs="宋体"/>
                <w:color w:val="auto"/>
                <w:sz w:val="21"/>
                <w:szCs w:val="21"/>
                <w:highlight w:val="none"/>
              </w:rPr>
            </w:pPr>
            <w:r>
              <w:rPr>
                <w:rFonts w:hint="eastAsia"/>
                <w:color w:val="auto"/>
                <w:sz w:val="21"/>
                <w:szCs w:val="28"/>
                <w:highlight w:val="none"/>
                <w:lang w:eastAsia="zh-CN"/>
              </w:rPr>
              <w:t>供应商</w:t>
            </w:r>
            <w:r>
              <w:rPr>
                <w:rFonts w:hint="eastAsia"/>
                <w:color w:val="auto"/>
                <w:sz w:val="21"/>
                <w:szCs w:val="28"/>
                <w:highlight w:val="none"/>
              </w:rPr>
              <w:t>应准备一份“</w:t>
            </w:r>
            <w:r>
              <w:rPr>
                <w:rFonts w:hint="eastAsia"/>
                <w:color w:val="auto"/>
                <w:sz w:val="21"/>
                <w:szCs w:val="28"/>
                <w:highlight w:val="none"/>
                <w:lang w:eastAsia="zh-CN"/>
              </w:rPr>
              <w:t>报价文件</w:t>
            </w:r>
            <w:r>
              <w:rPr>
                <w:rFonts w:hint="eastAsia"/>
                <w:color w:val="auto"/>
                <w:sz w:val="21"/>
                <w:szCs w:val="28"/>
                <w:highlight w:val="none"/>
              </w:rPr>
              <w:t>”、一份“</w:t>
            </w:r>
            <w:r>
              <w:rPr>
                <w:rFonts w:hint="eastAsia"/>
                <w:color w:val="auto"/>
                <w:sz w:val="21"/>
                <w:szCs w:val="28"/>
                <w:highlight w:val="none"/>
                <w:lang w:eastAsia="zh-CN"/>
              </w:rPr>
              <w:t>响应文件</w:t>
            </w:r>
            <w:r>
              <w:rPr>
                <w:rFonts w:hint="eastAsia"/>
                <w:color w:val="auto"/>
                <w:sz w:val="21"/>
                <w:szCs w:val="28"/>
                <w:highlight w:val="none"/>
              </w:rPr>
              <w:t>电子文件”、一份正本和</w:t>
            </w:r>
            <w:r>
              <w:rPr>
                <w:rFonts w:hint="eastAsia"/>
                <w:color w:val="auto"/>
                <w:sz w:val="21"/>
                <w:szCs w:val="28"/>
                <w:highlight w:val="none"/>
                <w:lang w:val="en-US" w:eastAsia="zh-CN"/>
              </w:rPr>
              <w:t>三</w:t>
            </w:r>
            <w:r>
              <w:rPr>
                <w:rFonts w:hint="eastAsia"/>
                <w:color w:val="auto"/>
                <w:sz w:val="21"/>
                <w:szCs w:val="28"/>
                <w:highlight w:val="none"/>
              </w:rPr>
              <w:t>份副本“</w:t>
            </w:r>
            <w:r>
              <w:rPr>
                <w:rFonts w:hint="eastAsia"/>
                <w:color w:val="auto"/>
                <w:sz w:val="21"/>
                <w:szCs w:val="28"/>
                <w:highlight w:val="none"/>
                <w:lang w:eastAsia="zh-CN"/>
              </w:rPr>
              <w:t>响应文件</w:t>
            </w:r>
            <w:r>
              <w:rPr>
                <w:rFonts w:hint="eastAsia"/>
                <w:color w:val="auto"/>
                <w:sz w:val="21"/>
                <w:szCs w:val="28"/>
                <w:highlight w:val="none"/>
              </w:rPr>
              <w:t>”。在每一份</w:t>
            </w:r>
            <w:r>
              <w:rPr>
                <w:rFonts w:hint="eastAsia"/>
                <w:color w:val="auto"/>
                <w:sz w:val="21"/>
                <w:szCs w:val="28"/>
                <w:highlight w:val="none"/>
                <w:lang w:eastAsia="zh-CN"/>
              </w:rPr>
              <w:t>响应文件</w:t>
            </w:r>
            <w:r>
              <w:rPr>
                <w:rFonts w:hint="eastAsia"/>
                <w:color w:val="auto"/>
                <w:sz w:val="21"/>
                <w:szCs w:val="28"/>
                <w:highlight w:val="none"/>
              </w:rPr>
              <w:t>上编上目录（目录内的页码必须与实际内容对应）、页次，装订成册（不允许使用活页夹），并要明确注明“正本”或“副本”，一旦正本和副本发现差异，以正本为准。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zh-CN"/>
              </w:rPr>
              <w:t>★</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报价</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autoSpaceDE/>
              <w:autoSpaceDN/>
              <w:adjustRightInd/>
              <w:spacing w:line="360" w:lineRule="auto"/>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报价超出本项目采购预算金额/最高限价的为无效标。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zh-CN"/>
              </w:rPr>
              <w:t>★</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保证金</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本项目不需要</w:t>
            </w:r>
            <w:r>
              <w:rPr>
                <w:rFonts w:hint="eastAsia" w:ascii="宋体" w:hAnsi="宋体" w:cs="宋体"/>
                <w:color w:val="auto"/>
                <w:sz w:val="21"/>
                <w:szCs w:val="21"/>
                <w:highlight w:val="none"/>
                <w:lang w:eastAsia="zh-CN"/>
              </w:rPr>
              <w:t>）</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autoSpaceDE/>
              <w:autoSpaceDN/>
              <w:adjustRightInd/>
              <w:spacing w:line="360" w:lineRule="auto"/>
              <w:jc w:val="both"/>
              <w:rPr>
                <w:rFonts w:hint="eastAsia"/>
                <w:color w:val="auto"/>
                <w:highlight w:val="none"/>
              </w:rPr>
            </w:pPr>
            <w:r>
              <w:rPr>
                <w:rFonts w:hint="eastAsia" w:ascii="宋体" w:hAnsi="宋体" w:cs="宋体"/>
                <w:color w:val="auto"/>
                <w:sz w:val="21"/>
                <w:szCs w:val="21"/>
                <w:highlight w:val="none"/>
                <w:lang w:val="en-US" w:eastAsia="zh-CN"/>
              </w:rPr>
              <w:t>响应</w:t>
            </w:r>
            <w:r>
              <w:rPr>
                <w:rFonts w:hint="eastAsia"/>
                <w:color w:val="auto"/>
                <w:highlight w:val="none"/>
              </w:rPr>
              <w:t>保证金金额：</w:t>
            </w:r>
            <w:r>
              <w:rPr>
                <w:rFonts w:hint="eastAsia"/>
                <w:b/>
                <w:bCs/>
                <w:color w:val="auto"/>
                <w:highlight w:val="none"/>
                <w:lang w:val="en-US" w:eastAsia="zh-CN"/>
              </w:rPr>
              <w:t>/</w:t>
            </w:r>
            <w:r>
              <w:rPr>
                <w:rFonts w:hint="eastAsia"/>
                <w:color w:val="auto"/>
                <w:highlight w:val="none"/>
              </w:rPr>
              <w:t>。</w:t>
            </w:r>
          </w:p>
          <w:p>
            <w:pPr>
              <w:autoSpaceDE/>
              <w:autoSpaceDN/>
              <w:adjustRightInd/>
              <w:spacing w:line="360" w:lineRule="auto"/>
              <w:jc w:val="both"/>
              <w:rPr>
                <w:rFonts w:hint="eastAsia"/>
                <w:color w:val="auto"/>
                <w:highlight w:val="none"/>
              </w:rPr>
            </w:pPr>
            <w:r>
              <w:rPr>
                <w:rFonts w:hint="eastAsia" w:ascii="宋体" w:hAnsi="宋体" w:cs="宋体"/>
                <w:color w:val="auto"/>
                <w:sz w:val="21"/>
                <w:szCs w:val="21"/>
                <w:highlight w:val="none"/>
                <w:lang w:val="en-US" w:eastAsia="zh-CN"/>
              </w:rPr>
              <w:t>响应</w:t>
            </w:r>
            <w:r>
              <w:rPr>
                <w:rFonts w:hint="eastAsia"/>
                <w:color w:val="auto"/>
                <w:highlight w:val="none"/>
              </w:rPr>
              <w:t>保证金账户：</w:t>
            </w:r>
          </w:p>
          <w:p>
            <w:pPr>
              <w:autoSpaceDE/>
              <w:autoSpaceDN/>
              <w:adjustRightInd/>
              <w:spacing w:line="360" w:lineRule="auto"/>
              <w:jc w:val="both"/>
              <w:rPr>
                <w:rFonts w:hint="default"/>
                <w:color w:val="auto"/>
                <w:highlight w:val="none"/>
                <w:lang w:val="en-US" w:eastAsia="zh-CN"/>
              </w:rPr>
            </w:pPr>
            <w:r>
              <w:rPr>
                <w:rFonts w:hint="eastAsia"/>
                <w:color w:val="auto"/>
                <w:highlight w:val="none"/>
              </w:rPr>
              <w:t>开户名称：</w:t>
            </w:r>
            <w:r>
              <w:rPr>
                <w:rFonts w:hint="eastAsia"/>
                <w:color w:val="auto"/>
                <w:highlight w:val="none"/>
                <w:lang w:val="en-US" w:eastAsia="zh-CN"/>
              </w:rPr>
              <w:t>国顺招标有限公司</w:t>
            </w:r>
          </w:p>
          <w:p>
            <w:pPr>
              <w:autoSpaceDE/>
              <w:autoSpaceDN/>
              <w:adjustRightInd/>
              <w:spacing w:line="360" w:lineRule="auto"/>
              <w:jc w:val="both"/>
              <w:rPr>
                <w:rFonts w:hint="eastAsia"/>
                <w:color w:val="auto"/>
                <w:highlight w:val="none"/>
              </w:rPr>
            </w:pPr>
            <w:r>
              <w:rPr>
                <w:rFonts w:hint="eastAsia"/>
                <w:color w:val="auto"/>
                <w:highlight w:val="none"/>
              </w:rPr>
              <w:t>开户银行：广发银行股份有限公司东莞城区支行</w:t>
            </w:r>
          </w:p>
          <w:p>
            <w:pPr>
              <w:autoSpaceDE/>
              <w:autoSpaceDN/>
              <w:adjustRightInd/>
              <w:spacing w:line="360" w:lineRule="auto"/>
              <w:jc w:val="both"/>
              <w:rPr>
                <w:rFonts w:hint="eastAsia"/>
                <w:color w:val="auto"/>
                <w:highlight w:val="none"/>
              </w:rPr>
            </w:pPr>
            <w:r>
              <w:rPr>
                <w:rFonts w:hint="eastAsia"/>
                <w:color w:val="auto"/>
                <w:highlight w:val="none"/>
              </w:rPr>
              <w:t>账号</w:t>
            </w:r>
            <w:r>
              <w:rPr>
                <w:rFonts w:hint="eastAsia" w:ascii="宋体" w:hAnsi="宋体" w:eastAsia="宋体" w:cs="宋体"/>
                <w:color w:val="auto"/>
                <w:highlight w:val="none"/>
              </w:rPr>
              <w:t>：9550880226934600216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磋商小组</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磋商小组</w:t>
            </w:r>
            <w:r>
              <w:rPr>
                <w:rFonts w:hint="eastAsia" w:ascii="宋体" w:hAnsi="宋体" w:eastAsia="宋体" w:cs="宋体"/>
                <w:color w:val="auto"/>
                <w:sz w:val="21"/>
                <w:szCs w:val="21"/>
                <w:highlight w:val="none"/>
              </w:rPr>
              <w:t>成员共</w:t>
            </w:r>
            <w:r>
              <w:rPr>
                <w:rFonts w:hint="eastAsia" w:ascii="宋体" w:hAnsi="宋体" w:eastAsia="宋体" w:cs="宋体"/>
                <w:b/>
                <w:color w:val="auto"/>
                <w:sz w:val="21"/>
                <w:szCs w:val="21"/>
                <w:highlight w:val="none"/>
                <w:u w:val="single"/>
              </w:rPr>
              <w:t xml:space="preserve"> </w:t>
            </w:r>
            <w:r>
              <w:rPr>
                <w:rFonts w:hint="eastAsia" w:ascii="宋体" w:hAnsi="宋体" w:cs="宋体"/>
                <w:b/>
                <w:color w:val="auto"/>
                <w:sz w:val="21"/>
                <w:szCs w:val="21"/>
                <w:highlight w:val="none"/>
                <w:u w:val="single"/>
                <w:lang w:val="en-US" w:eastAsia="zh-CN"/>
              </w:rPr>
              <w:t>3</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人：</w:t>
            </w:r>
            <w:r>
              <w:rPr>
                <w:rFonts w:hint="eastAsia" w:ascii="宋体" w:hAnsi="宋体" w:eastAsia="宋体" w:cs="宋体"/>
                <w:color w:val="auto"/>
                <w:kern w:val="2"/>
                <w:sz w:val="21"/>
                <w:szCs w:val="21"/>
                <w:highlight w:val="none"/>
                <w:lang w:val="zh-CN"/>
              </w:rPr>
              <w:t>其中</w:t>
            </w:r>
            <w:r>
              <w:rPr>
                <w:rFonts w:hint="eastAsia" w:ascii="宋体" w:hAnsi="宋体" w:cs="宋体"/>
                <w:color w:val="auto"/>
                <w:kern w:val="2"/>
                <w:sz w:val="21"/>
                <w:szCs w:val="21"/>
                <w:highlight w:val="none"/>
                <w:lang w:val="zh-CN"/>
              </w:rPr>
              <w:t>采购人</w:t>
            </w:r>
            <w:r>
              <w:rPr>
                <w:rFonts w:hint="eastAsia" w:ascii="宋体" w:hAnsi="宋体" w:eastAsia="宋体" w:cs="宋体"/>
                <w:color w:val="auto"/>
                <w:kern w:val="2"/>
                <w:sz w:val="21"/>
                <w:szCs w:val="21"/>
                <w:highlight w:val="none"/>
                <w:lang w:val="zh-CN"/>
              </w:rPr>
              <w:t>代表1名；技术、经济等方面的专家</w:t>
            </w:r>
            <w:r>
              <w:rPr>
                <w:rFonts w:hint="eastAsia" w:ascii="宋体" w:hAnsi="宋体" w:cs="宋体"/>
                <w:b/>
                <w:color w:val="auto"/>
                <w:sz w:val="21"/>
                <w:szCs w:val="21"/>
                <w:highlight w:val="none"/>
                <w:u w:val="single"/>
                <w:lang w:val="en-US" w:eastAsia="zh-CN"/>
              </w:rPr>
              <w:t>2</w:t>
            </w:r>
            <w:r>
              <w:rPr>
                <w:rFonts w:hint="eastAsia" w:ascii="宋体" w:hAnsi="宋体" w:eastAsia="宋体" w:cs="宋体"/>
                <w:color w:val="auto"/>
                <w:sz w:val="21"/>
                <w:szCs w:val="21"/>
                <w:highlight w:val="none"/>
              </w:rPr>
              <w:t>人</w:t>
            </w:r>
            <w:r>
              <w:rPr>
                <w:rFonts w:hint="eastAsia" w:ascii="宋体" w:hAnsi="宋体" w:eastAsia="宋体" w:cs="宋体"/>
                <w:color w:val="auto"/>
                <w:kern w:val="2"/>
                <w:sz w:val="21"/>
                <w:szCs w:val="21"/>
                <w:highlight w:val="none"/>
                <w:lang w:val="zh-CN"/>
              </w:rPr>
              <w:t>由</w:t>
            </w:r>
            <w:r>
              <w:rPr>
                <w:rFonts w:hint="eastAsia" w:ascii="宋体" w:hAnsi="宋体" w:eastAsia="宋体" w:cs="宋体"/>
                <w:color w:val="auto"/>
                <w:sz w:val="21"/>
                <w:szCs w:val="21"/>
                <w:highlight w:val="none"/>
              </w:rPr>
              <w:t>专家库中随机抽取确定。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评标方法</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38" w:rightChars="-18"/>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采购信息公告媒体</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zh-CN"/>
              </w:rPr>
              <w:t>中国政府采购网</w:t>
            </w:r>
            <w:r>
              <w:rPr>
                <w:rFonts w:hint="eastAsia" w:ascii="宋体" w:hAnsi="宋体" w:cs="宋体"/>
                <w:color w:val="auto"/>
                <w:kern w:val="2"/>
                <w:sz w:val="21"/>
                <w:szCs w:val="21"/>
                <w:highlight w:val="none"/>
                <w:lang w:val="en-US" w:eastAsia="zh-CN"/>
              </w:rPr>
              <w:t>及</w:t>
            </w:r>
            <w:r>
              <w:rPr>
                <w:rFonts w:hint="eastAsia" w:ascii="宋体" w:hAnsi="宋体"/>
                <w:color w:val="auto"/>
                <w:szCs w:val="21"/>
                <w:highlight w:val="none"/>
                <w:lang w:eastAsia="zh-CN"/>
              </w:rPr>
              <w:t>国顺招标网</w:t>
            </w:r>
            <w:r>
              <w:rPr>
                <w:rFonts w:hint="eastAsia" w:ascii="宋体" w:hAnsi="宋体" w:eastAsia="宋体" w:cs="宋体"/>
                <w:color w:val="auto"/>
                <w:kern w:val="2"/>
                <w:sz w:val="21"/>
                <w:szCs w:val="21"/>
                <w:highlight w:val="none"/>
                <w:lang w:val="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9</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履约保证金</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如有需要</w:t>
            </w:r>
            <w:r>
              <w:rPr>
                <w:rFonts w:hint="eastAsia" w:ascii="宋体" w:hAnsi="宋体" w:cs="宋体"/>
                <w:bCs/>
                <w:color w:val="auto"/>
                <w:sz w:val="21"/>
                <w:szCs w:val="21"/>
                <w:highlight w:val="none"/>
                <w:lang w:eastAsia="zh-CN"/>
              </w:rPr>
              <w:t>）</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履约保证金金额</w:t>
            </w:r>
            <w:r>
              <w:rPr>
                <w:rFonts w:hint="eastAsia" w:ascii="宋体" w:hAnsi="宋体" w:eastAsia="宋体" w:cs="宋体"/>
                <w:b/>
                <w:bCs/>
                <w:color w:val="auto"/>
                <w:sz w:val="21"/>
                <w:szCs w:val="21"/>
                <w:highlight w:val="none"/>
              </w:rPr>
              <w:t>：</w:t>
            </w:r>
            <w:r>
              <w:rPr>
                <w:rFonts w:hint="eastAsia" w:ascii="宋体" w:hAnsi="宋体" w:eastAsia="宋体" w:cs="宋体"/>
                <w:bCs/>
                <w:color w:val="auto"/>
                <w:sz w:val="21"/>
                <w:szCs w:val="21"/>
                <w:highlight w:val="none"/>
              </w:rPr>
              <w:t>合同金额的5%。</w:t>
            </w:r>
          </w:p>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履约保证金账户：</w:t>
            </w:r>
            <w:r>
              <w:rPr>
                <w:rFonts w:hint="eastAsia" w:ascii="宋体" w:hAnsi="宋体" w:cs="宋体"/>
                <w:bCs/>
                <w:color w:val="auto"/>
                <w:sz w:val="21"/>
                <w:szCs w:val="21"/>
                <w:highlight w:val="none"/>
                <w:lang w:eastAsia="zh-CN"/>
              </w:rPr>
              <w:t>采购人</w:t>
            </w:r>
            <w:r>
              <w:rPr>
                <w:rFonts w:hint="eastAsia" w:ascii="宋体" w:hAnsi="宋体" w:eastAsia="宋体" w:cs="宋体"/>
                <w:bCs/>
                <w:color w:val="auto"/>
                <w:sz w:val="21"/>
                <w:szCs w:val="21"/>
                <w:highlight w:val="none"/>
              </w:rPr>
              <w:t>指定账户(单位基本账户) 。</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（特别提醒，本账户非</w:t>
            </w:r>
            <w:r>
              <w:rPr>
                <w:rFonts w:hint="eastAsia" w:ascii="宋体" w:hAnsi="宋体" w:cs="宋体"/>
                <w:b/>
                <w:bCs/>
                <w:color w:val="auto"/>
                <w:sz w:val="21"/>
                <w:szCs w:val="21"/>
                <w:highlight w:val="none"/>
                <w:lang w:eastAsia="zh-CN"/>
              </w:rPr>
              <w:t>响应保证金</w:t>
            </w:r>
            <w:r>
              <w:rPr>
                <w:rFonts w:hint="eastAsia" w:ascii="宋体" w:hAnsi="宋体" w:eastAsia="宋体" w:cs="宋体"/>
                <w:b/>
                <w:bCs/>
                <w:color w:val="auto"/>
                <w:sz w:val="21"/>
                <w:szCs w:val="21"/>
                <w:highlight w:val="none"/>
              </w:rPr>
              <w:t>账户）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1</w:t>
            </w:r>
            <w:r>
              <w:rPr>
                <w:rFonts w:hint="eastAsia" w:ascii="宋体" w:hAnsi="宋体" w:cs="宋体"/>
                <w:bCs/>
                <w:color w:val="auto"/>
                <w:sz w:val="21"/>
                <w:szCs w:val="21"/>
                <w:highlight w:val="none"/>
                <w:lang w:val="en-US" w:eastAsia="zh-CN"/>
              </w:rPr>
              <w:t>0</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成交</w:t>
            </w:r>
            <w:r>
              <w:rPr>
                <w:rFonts w:hint="eastAsia" w:ascii="宋体" w:hAnsi="宋体" w:eastAsia="宋体" w:cs="宋体"/>
                <w:bCs/>
                <w:color w:val="auto"/>
                <w:sz w:val="21"/>
                <w:szCs w:val="21"/>
                <w:highlight w:val="none"/>
              </w:rPr>
              <w:t>服务费</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numPr>
                <w:ilvl w:val="0"/>
                <w:numId w:val="3"/>
              </w:num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成交</w:t>
            </w:r>
            <w:r>
              <w:rPr>
                <w:rFonts w:hint="eastAsia" w:ascii="宋体" w:hAnsi="宋体" w:eastAsia="宋体" w:cs="宋体"/>
                <w:color w:val="auto"/>
                <w:highlight w:val="none"/>
              </w:rPr>
              <w:t>服务费</w:t>
            </w:r>
            <w:r>
              <w:rPr>
                <w:rFonts w:hint="eastAsia" w:ascii="宋体" w:hAnsi="宋体" w:eastAsia="宋体" w:cs="宋体"/>
                <w:color w:val="auto"/>
                <w:highlight w:val="none"/>
                <w:lang w:eastAsia="zh-CN"/>
              </w:rPr>
              <w:t>参照</w:t>
            </w:r>
            <w:r>
              <w:rPr>
                <w:rFonts w:hint="eastAsia" w:ascii="宋体" w:hAnsi="宋体" w:eastAsia="宋体" w:cs="宋体"/>
                <w:color w:val="auto"/>
                <w:highlight w:val="none"/>
              </w:rPr>
              <w:t>国家计委[计价格[2002]1980号]文和国家发改委[发改价格[2011]534号]文及相关规定向</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单位收取，按差额定率累进法计算，以</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通知书中确定的</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总金额作为收费的计算</w:t>
            </w:r>
            <w:r>
              <w:rPr>
                <w:rFonts w:hint="eastAsia" w:ascii="宋体" w:hAnsi="宋体" w:eastAsia="宋体" w:cs="宋体"/>
                <w:color w:val="auto"/>
                <w:highlight w:val="none"/>
                <w:lang w:eastAsia="zh-CN"/>
              </w:rPr>
              <w:t>参照</w:t>
            </w:r>
            <w:r>
              <w:rPr>
                <w:rFonts w:hint="eastAsia" w:ascii="宋体" w:hAnsi="宋体" w:eastAsia="宋体" w:cs="宋体"/>
                <w:color w:val="auto"/>
                <w:highlight w:val="none"/>
              </w:rPr>
              <w:t>；</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服务费最低收费标准为</w:t>
            </w:r>
            <w:r>
              <w:rPr>
                <w:rFonts w:hint="eastAsia" w:ascii="宋体" w:hAnsi="宋体" w:cs="宋体"/>
                <w:color w:val="auto"/>
                <w:highlight w:val="none"/>
                <w:lang w:val="en-US" w:eastAsia="zh-CN"/>
              </w:rPr>
              <w:t>陆</w:t>
            </w:r>
            <w:r>
              <w:rPr>
                <w:rFonts w:hint="eastAsia" w:ascii="宋体" w:hAnsi="宋体" w:eastAsia="宋体" w:cs="宋体"/>
                <w:color w:val="auto"/>
                <w:highlight w:val="none"/>
              </w:rPr>
              <w:t>仟元整。</w:t>
            </w:r>
          </w:p>
          <w:p>
            <w:pPr>
              <w:numPr>
                <w:ilvl w:val="0"/>
                <w:numId w:val="0"/>
              </w:numPr>
              <w:spacing w:line="360" w:lineRule="auto"/>
              <w:rPr>
                <w:rFonts w:hint="eastAsia" w:eastAsia="宋体"/>
                <w:color w:val="auto"/>
                <w:highlight w:val="none"/>
              </w:rPr>
            </w:pPr>
            <w:r>
              <w:rPr>
                <w:rFonts w:hint="eastAsia" w:eastAsia="宋体"/>
                <w:color w:val="auto"/>
                <w:highlight w:val="none"/>
              </w:rPr>
              <w:t>（2）</w:t>
            </w:r>
            <w:r>
              <w:rPr>
                <w:rFonts w:hint="eastAsia"/>
                <w:color w:val="auto"/>
                <w:highlight w:val="none"/>
                <w:lang w:val="en-US" w:eastAsia="zh-CN"/>
              </w:rPr>
              <w:t>成交</w:t>
            </w:r>
            <w:r>
              <w:rPr>
                <w:rFonts w:hint="eastAsia" w:eastAsia="宋体"/>
                <w:color w:val="auto"/>
                <w:highlight w:val="none"/>
              </w:rPr>
              <w:t>服务费以转账或现金的形式支付。</w:t>
            </w:r>
            <w:r>
              <w:rPr>
                <w:rFonts w:hint="eastAsia"/>
                <w:color w:val="auto"/>
                <w:highlight w:val="none"/>
                <w:lang w:val="en-US" w:eastAsia="zh-CN"/>
              </w:rPr>
              <w:t>采购代理机构</w:t>
            </w:r>
            <w:r>
              <w:rPr>
                <w:rFonts w:hint="eastAsia" w:eastAsia="宋体"/>
                <w:color w:val="auto"/>
                <w:highlight w:val="none"/>
              </w:rPr>
              <w:t>服务费汇入账号：</w:t>
            </w:r>
          </w:p>
          <w:p>
            <w:pPr>
              <w:numPr>
                <w:ilvl w:val="0"/>
                <w:numId w:val="0"/>
              </w:numPr>
              <w:spacing w:line="360" w:lineRule="auto"/>
              <w:rPr>
                <w:rFonts w:hint="eastAsia" w:eastAsia="宋体"/>
                <w:color w:val="auto"/>
                <w:highlight w:val="none"/>
              </w:rPr>
            </w:pPr>
            <w:r>
              <w:rPr>
                <w:rFonts w:hint="eastAsia" w:eastAsia="宋体"/>
                <w:color w:val="auto"/>
                <w:highlight w:val="none"/>
              </w:rPr>
              <w:t>收 款 人：</w:t>
            </w:r>
            <w:r>
              <w:rPr>
                <w:rFonts w:hint="eastAsia"/>
                <w:color w:val="auto"/>
                <w:highlight w:val="none"/>
                <w:lang w:val="en-US" w:eastAsia="zh-CN"/>
              </w:rPr>
              <w:t>国顺招标有限公司</w:t>
            </w:r>
          </w:p>
          <w:p>
            <w:pPr>
              <w:numPr>
                <w:ilvl w:val="0"/>
                <w:numId w:val="0"/>
              </w:numPr>
              <w:spacing w:line="360" w:lineRule="auto"/>
              <w:rPr>
                <w:rFonts w:hint="eastAsia" w:eastAsia="宋体"/>
                <w:color w:val="auto"/>
                <w:highlight w:val="none"/>
              </w:rPr>
            </w:pPr>
            <w:r>
              <w:rPr>
                <w:rFonts w:hint="eastAsia" w:eastAsia="宋体"/>
                <w:color w:val="auto"/>
                <w:highlight w:val="none"/>
              </w:rPr>
              <w:t>开户银行：广发银行股份有限公司东莞南城支行</w:t>
            </w:r>
          </w:p>
          <w:p>
            <w:pPr>
              <w:numPr>
                <w:ilvl w:val="0"/>
                <w:numId w:val="0"/>
              </w:numPr>
              <w:spacing w:line="360" w:lineRule="auto"/>
              <w:rPr>
                <w:rFonts w:hint="eastAsia"/>
                <w:color w:val="auto"/>
                <w:highlight w:val="none"/>
              </w:rPr>
            </w:pPr>
            <w:r>
              <w:rPr>
                <w:rFonts w:hint="eastAsia" w:eastAsia="宋体"/>
                <w:color w:val="auto"/>
                <w:highlight w:val="none"/>
              </w:rPr>
              <w:t>账　　</w:t>
            </w:r>
            <w:r>
              <w:rPr>
                <w:rFonts w:hint="eastAsia" w:ascii="宋体" w:hAnsi="宋体" w:eastAsia="宋体" w:cs="宋体"/>
                <w:color w:val="auto"/>
                <w:highlight w:val="none"/>
              </w:rPr>
              <w:t>号：9550882021051988873</w:t>
            </w:r>
          </w:p>
        </w:tc>
      </w:tr>
    </w:tbl>
    <w:p>
      <w:pPr>
        <w:rPr>
          <w:rFonts w:hint="default"/>
          <w:color w:val="auto"/>
          <w:highlight w:val="none"/>
          <w:lang w:val="en-US" w:eastAsia="zh-CN"/>
        </w:rPr>
      </w:pPr>
      <w:r>
        <w:rPr>
          <w:rFonts w:hint="default"/>
          <w:color w:val="auto"/>
          <w:highlight w:val="none"/>
          <w:lang w:val="en-US" w:eastAsia="zh-CN"/>
        </w:rPr>
        <w:br w:type="page"/>
      </w:r>
    </w:p>
    <w:p>
      <w:pPr>
        <w:pStyle w:val="4"/>
        <w:numPr>
          <w:ilvl w:val="0"/>
          <w:numId w:val="4"/>
        </w:numPr>
        <w:bidi w:val="0"/>
        <w:rPr>
          <w:rFonts w:hint="eastAsia"/>
          <w:color w:val="auto"/>
          <w:highlight w:val="none"/>
          <w:lang w:val="en-US" w:eastAsia="zh-CN"/>
        </w:rPr>
      </w:pPr>
      <w:bookmarkStart w:id="97" w:name="_Toc32123"/>
      <w:r>
        <w:rPr>
          <w:rFonts w:hint="eastAsia"/>
          <w:color w:val="auto"/>
          <w:highlight w:val="none"/>
          <w:lang w:val="en-US" w:eastAsia="zh-CN"/>
        </w:rPr>
        <w:t>供应商须知</w:t>
      </w:r>
      <w:bookmarkEnd w:id="97"/>
    </w:p>
    <w:p>
      <w:pPr>
        <w:pStyle w:val="5"/>
        <w:bidi w:val="0"/>
        <w:rPr>
          <w:color w:val="auto"/>
          <w:highlight w:val="none"/>
          <w:lang w:val="en-US" w:eastAsia="zh-CN"/>
        </w:rPr>
      </w:pPr>
      <w:bookmarkStart w:id="98" w:name="_Toc30834"/>
      <w:bookmarkStart w:id="99" w:name="_Toc10658"/>
      <w:bookmarkStart w:id="100" w:name="_Toc8083"/>
      <w:r>
        <w:rPr>
          <w:rFonts w:hint="eastAsia"/>
          <w:color w:val="auto"/>
          <w:highlight w:val="none"/>
          <w:lang w:val="en-US" w:eastAsia="zh-CN"/>
        </w:rPr>
        <w:t>1.适用范围</w:t>
      </w:r>
      <w:bookmarkEnd w:id="98"/>
      <w:bookmarkEnd w:id="99"/>
      <w:bookmarkEnd w:id="100"/>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本</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rPr>
        <w:t>磋商文件仅适用于本次采购邀请中所叙述的项目</w:t>
      </w:r>
    </w:p>
    <w:p>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01" w:name="_Toc25237"/>
      <w:bookmarkStart w:id="102" w:name="_Toc720"/>
      <w:bookmarkStart w:id="103" w:name="_Toc7271"/>
      <w:r>
        <w:rPr>
          <w:rFonts w:hint="eastAsia" w:eastAsia="宋体"/>
          <w:color w:val="auto"/>
          <w:highlight w:val="none"/>
          <w:lang w:val="en-US" w:eastAsia="zh-CN"/>
        </w:rPr>
        <w:t>2.</w:t>
      </w:r>
      <w:bookmarkStart w:id="104" w:name="_Toc298847174"/>
      <w:bookmarkStart w:id="105" w:name="_Toc303084246"/>
      <w:bookmarkStart w:id="106" w:name="_Toc382049092"/>
      <w:bookmarkStart w:id="107" w:name="_Toc1530"/>
      <w:r>
        <w:rPr>
          <w:rFonts w:hint="eastAsia" w:eastAsia="宋体"/>
          <w:color w:val="auto"/>
          <w:highlight w:val="none"/>
          <w:lang w:val="en-US" w:eastAsia="zh-CN"/>
        </w:rPr>
        <w:t>定义</w:t>
      </w:r>
      <w:bookmarkEnd w:id="101"/>
      <w:bookmarkEnd w:id="102"/>
      <w:bookmarkEnd w:id="103"/>
      <w:bookmarkEnd w:id="104"/>
      <w:bookmarkEnd w:id="105"/>
      <w:bookmarkEnd w:id="106"/>
      <w:bookmarkEnd w:id="107"/>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w:t>
      </w:r>
      <w:r>
        <w:rPr>
          <w:rFonts w:ascii="宋体" w:hAnsi="宋体" w:eastAsia="宋体"/>
          <w:color w:val="auto"/>
          <w:kern w:val="0"/>
          <w:sz w:val="21"/>
          <w:szCs w:val="21"/>
          <w:highlight w:val="none"/>
        </w:rPr>
        <w:t>是指依法进行政府采购的国家机关、事业单位</w:t>
      </w:r>
      <w:r>
        <w:rPr>
          <w:rFonts w:hint="eastAsia" w:ascii="宋体" w:hAnsi="宋体" w:eastAsia="宋体"/>
          <w:color w:val="auto"/>
          <w:kern w:val="0"/>
          <w:sz w:val="21"/>
          <w:szCs w:val="21"/>
          <w:highlight w:val="none"/>
        </w:rPr>
        <w:t>等</w:t>
      </w:r>
      <w:r>
        <w:rPr>
          <w:rFonts w:ascii="宋体" w:hAnsi="宋体" w:eastAsia="宋体"/>
          <w:color w:val="auto"/>
          <w:kern w:val="0"/>
          <w:sz w:val="21"/>
          <w:szCs w:val="21"/>
          <w:highlight w:val="none"/>
        </w:rPr>
        <w:t>团体组织</w:t>
      </w:r>
      <w:r>
        <w:rPr>
          <w:rFonts w:hint="eastAsia" w:ascii="宋体" w:hAnsi="宋体" w:eastAsia="宋体"/>
          <w:color w:val="auto"/>
          <w:kern w:val="0"/>
          <w:sz w:val="21"/>
          <w:szCs w:val="21"/>
          <w:highlight w:val="none"/>
        </w:rPr>
        <w:t>。</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：响应</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并且符合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规定资格条件和参加竞争的法人、其他组织或者自然人。</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法人：法人是依法在国内进行注册并具有民事权利能力和民事行为能力，依法独立享有民事权利和承担民事义务的组织。</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：指经</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评审推荐、采购人确认的获得本项目</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资格的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采购代理机构：</w:t>
      </w:r>
      <w:r>
        <w:rPr>
          <w:rFonts w:hint="eastAsia" w:ascii="宋体" w:hAnsi="宋体"/>
          <w:color w:val="auto"/>
          <w:kern w:val="0"/>
          <w:sz w:val="21"/>
          <w:szCs w:val="21"/>
          <w:highlight w:val="none"/>
          <w:lang w:eastAsia="zh-CN"/>
        </w:rPr>
        <w:t>国顺招标有限公司</w:t>
      </w:r>
      <w:r>
        <w:rPr>
          <w:rFonts w:hint="eastAsia" w:ascii="宋体" w:hAnsi="宋体" w:eastAsia="宋体"/>
          <w:color w:val="auto"/>
          <w:kern w:val="0"/>
          <w:sz w:val="21"/>
          <w:szCs w:val="21"/>
          <w:highlight w:val="none"/>
        </w:rPr>
        <w:t>。</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是依据《中华人民共和国政府采购法》及其实施条例、《政府采购货物和服务招标投标管理办法》等组建的专门负责本次</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其</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工作的临时性机构。</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合同：指由本次</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所产生的合同或合约文件。</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公章：</w:t>
      </w:r>
      <w:r>
        <w:rPr>
          <w:rFonts w:ascii="宋体" w:hAnsi="宋体" w:eastAsia="宋体"/>
          <w:color w:val="auto"/>
          <w:kern w:val="0"/>
          <w:sz w:val="21"/>
          <w:szCs w:val="21"/>
          <w:highlight w:val="none"/>
        </w:rPr>
        <w:t>公章是</w:t>
      </w:r>
      <w:r>
        <w:rPr>
          <w:rFonts w:ascii="宋体" w:hAnsi="宋体" w:eastAsia="宋体"/>
          <w:iCs/>
          <w:color w:val="auto"/>
          <w:kern w:val="0"/>
          <w:sz w:val="21"/>
          <w:szCs w:val="21"/>
          <w:highlight w:val="none"/>
        </w:rPr>
        <w:t>指</w:t>
      </w:r>
      <w:r>
        <w:rPr>
          <w:rFonts w:hint="eastAsia" w:ascii="宋体" w:hAnsi="宋体" w:eastAsia="宋体"/>
          <w:iCs/>
          <w:color w:val="auto"/>
          <w:kern w:val="0"/>
          <w:sz w:val="21"/>
          <w:szCs w:val="21"/>
          <w:highlight w:val="none"/>
        </w:rPr>
        <w:t>经过正规的法定程序并备案的法人公章与专用章。（</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如在</w:t>
      </w:r>
      <w:r>
        <w:rPr>
          <w:rFonts w:hint="eastAsia" w:ascii="宋体" w:hAnsi="宋体" w:eastAsia="宋体"/>
          <w:iCs/>
          <w:color w:val="auto"/>
          <w:kern w:val="0"/>
          <w:sz w:val="21"/>
          <w:szCs w:val="21"/>
          <w:highlight w:val="none"/>
          <w:lang w:eastAsia="zh-CN"/>
        </w:rPr>
        <w:t>响应文件</w:t>
      </w:r>
      <w:r>
        <w:rPr>
          <w:rFonts w:hint="eastAsia" w:ascii="宋体" w:hAnsi="宋体" w:eastAsia="宋体"/>
          <w:iCs/>
          <w:color w:val="auto"/>
          <w:kern w:val="0"/>
          <w:sz w:val="21"/>
          <w:szCs w:val="21"/>
          <w:highlight w:val="none"/>
        </w:rPr>
        <w:t>中使用“专用章”，应提供法定代表人签字或加盖公章说明该“专用章”与法人公章具备同等效力的证明文件，且</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当天应携带相关原件到现场，以供核查。因</w:t>
      </w:r>
      <w:r>
        <w:rPr>
          <w:rFonts w:hint="eastAsia" w:ascii="宋体" w:hAnsi="宋体" w:eastAsia="宋体"/>
          <w:iCs/>
          <w:color w:val="auto"/>
          <w:kern w:val="0"/>
          <w:sz w:val="21"/>
          <w:szCs w:val="21"/>
          <w:highlight w:val="none"/>
          <w:lang w:eastAsia="zh-CN"/>
        </w:rPr>
        <w:t>响应文件</w:t>
      </w:r>
      <w:r>
        <w:rPr>
          <w:rFonts w:hint="eastAsia" w:ascii="宋体" w:hAnsi="宋体" w:eastAsia="宋体"/>
          <w:iCs/>
          <w:color w:val="auto"/>
          <w:kern w:val="0"/>
          <w:sz w:val="21"/>
          <w:szCs w:val="21"/>
          <w:highlight w:val="none"/>
        </w:rPr>
        <w:t>未提供相关手续复印件和无法核查专用章的真实性而导致的后果由</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自行承担。</w:t>
      </w:r>
      <w:r>
        <w:rPr>
          <w:rFonts w:hint="eastAsia" w:ascii="宋体" w:hAnsi="宋体" w:eastAsia="宋体"/>
          <w:color w:val="auto"/>
          <w:kern w:val="0"/>
          <w:sz w:val="21"/>
          <w:szCs w:val="21"/>
          <w:highlight w:val="none"/>
        </w:rPr>
        <w:t>）</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时间</w:t>
      </w:r>
      <w:r>
        <w:rPr>
          <w:rFonts w:hint="eastAsia" w:ascii="宋体" w:hAnsi="宋体" w:eastAsia="宋体"/>
          <w:iCs/>
          <w:color w:val="auto"/>
          <w:kern w:val="0"/>
          <w:sz w:val="21"/>
          <w:szCs w:val="21"/>
          <w:highlight w:val="none"/>
        </w:rPr>
        <w:t>：本文件规定按日计算期间的，开始当天不计入，从次日开始计算。期限的最后一日是国家法定节假日的，顺延到节假日后的次日为期限的最后一日。</w:t>
      </w:r>
    </w:p>
    <w:p>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08" w:name="_Toc9030"/>
      <w:bookmarkStart w:id="109" w:name="_Toc30379"/>
      <w:bookmarkStart w:id="110" w:name="_Toc24019"/>
      <w:r>
        <w:rPr>
          <w:rFonts w:hint="eastAsia" w:eastAsia="宋体"/>
          <w:color w:val="auto"/>
          <w:highlight w:val="none"/>
          <w:lang w:val="en-US" w:eastAsia="zh-CN"/>
        </w:rPr>
        <w:t>3.货物和服务</w:t>
      </w:r>
      <w:bookmarkEnd w:id="108"/>
      <w:bookmarkEnd w:id="109"/>
      <w:bookmarkEnd w:id="110"/>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货物是指</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制造或组织符合</w:t>
      </w:r>
      <w:r>
        <w:rPr>
          <w:rFonts w:hint="eastAsia" w:ascii="宋体" w:hAnsi="宋体"/>
          <w:iCs/>
          <w:color w:val="auto"/>
          <w:kern w:val="0"/>
          <w:sz w:val="21"/>
          <w:szCs w:val="21"/>
          <w:highlight w:val="none"/>
          <w:lang w:val="en-US" w:eastAsia="zh-CN"/>
        </w:rPr>
        <w:t>竞争性</w:t>
      </w:r>
      <w:r>
        <w:rPr>
          <w:rFonts w:hint="eastAsia" w:ascii="宋体" w:hAnsi="宋体" w:eastAsia="宋体"/>
          <w:iCs/>
          <w:color w:val="auto"/>
          <w:kern w:val="0"/>
          <w:sz w:val="21"/>
          <w:szCs w:val="21"/>
          <w:highlight w:val="none"/>
          <w:lang w:eastAsia="zh-CN"/>
        </w:rPr>
        <w:t>磋商</w:t>
      </w:r>
      <w:r>
        <w:rPr>
          <w:rFonts w:hint="eastAsia" w:ascii="宋体" w:hAnsi="宋体" w:eastAsia="宋体"/>
          <w:iCs/>
          <w:color w:val="auto"/>
          <w:kern w:val="0"/>
          <w:sz w:val="21"/>
          <w:szCs w:val="21"/>
          <w:highlight w:val="none"/>
        </w:rPr>
        <w:t>文件要求的货物等。</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的货物必须是其合法生产、合法来源的符合国家有关标准要求的货物，并满足</w:t>
      </w:r>
      <w:r>
        <w:rPr>
          <w:rFonts w:hint="eastAsia" w:ascii="宋体" w:hAnsi="宋体"/>
          <w:iCs/>
          <w:color w:val="auto"/>
          <w:kern w:val="0"/>
          <w:sz w:val="21"/>
          <w:szCs w:val="21"/>
          <w:highlight w:val="none"/>
          <w:lang w:val="en-US" w:eastAsia="zh-CN"/>
        </w:rPr>
        <w:t>竞争性</w:t>
      </w:r>
      <w:r>
        <w:rPr>
          <w:rFonts w:hint="eastAsia" w:ascii="宋体" w:hAnsi="宋体" w:eastAsia="宋体"/>
          <w:iCs/>
          <w:color w:val="auto"/>
          <w:kern w:val="0"/>
          <w:sz w:val="21"/>
          <w:szCs w:val="21"/>
          <w:highlight w:val="none"/>
          <w:lang w:eastAsia="zh-CN"/>
        </w:rPr>
        <w:t>磋商</w:t>
      </w:r>
      <w:r>
        <w:rPr>
          <w:rFonts w:hint="eastAsia" w:ascii="宋体" w:hAnsi="宋体" w:eastAsia="宋体"/>
          <w:iCs/>
          <w:color w:val="auto"/>
          <w:kern w:val="0"/>
          <w:sz w:val="21"/>
          <w:szCs w:val="21"/>
          <w:highlight w:val="none"/>
        </w:rPr>
        <w:t>文件规定的规格、参数、质量、价格、有效期、售后服务等要求。</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服务是指除货物和工程以外的其他政府采购对象，且满足实质性采购需求。</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政府采购应当采购本国产品，确需采购进口产品（是指通过中国海关报关验放进入中国境内且产自关境外的产品）的，</w:t>
      </w:r>
      <w:bookmarkStart w:id="111" w:name="_Toc211763038"/>
      <w:r>
        <w:rPr>
          <w:rFonts w:hint="eastAsia" w:ascii="宋体" w:hAnsi="宋体" w:eastAsia="宋体"/>
          <w:iCs/>
          <w:color w:val="auto"/>
          <w:kern w:val="0"/>
          <w:sz w:val="21"/>
          <w:szCs w:val="21"/>
          <w:highlight w:val="none"/>
        </w:rPr>
        <w:t>应当获得财政部门核准。依据《政府采购进口产品管理办法</w:t>
      </w:r>
      <w:bookmarkEnd w:id="111"/>
      <w:r>
        <w:rPr>
          <w:rFonts w:hint="eastAsia" w:ascii="宋体" w:hAnsi="宋体" w:eastAsia="宋体"/>
          <w:iCs/>
          <w:color w:val="auto"/>
          <w:kern w:val="0"/>
          <w:sz w:val="21"/>
          <w:szCs w:val="21"/>
          <w:highlight w:val="none"/>
        </w:rPr>
        <w:t>》优先采购向我国企业转让技术、与我国企业签订消化吸收再创新方案的供应商的进口产品。</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若所投产品属于政府强制采购节能产品的，则</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必须提供该产品国家强制性节能产品进行响应，并提供有效的中国节能产品认证证书，否则视为无效</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提供的所有服务，其质量、技术等特征必须符合国家、行业现行法律、法规的相关标准和《中华人民共和国政府采购法》的有关规定及用户需求。</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采购人有权拒绝接受任何不合格的服务，由此产生的费用及相关后果均由</w:t>
      </w:r>
      <w:r>
        <w:rPr>
          <w:rFonts w:hint="eastAsia" w:ascii="宋体" w:hAnsi="宋体" w:eastAsia="宋体"/>
          <w:iCs/>
          <w:color w:val="auto"/>
          <w:kern w:val="0"/>
          <w:sz w:val="21"/>
          <w:szCs w:val="21"/>
          <w:highlight w:val="none"/>
          <w:lang w:eastAsia="zh-CN"/>
        </w:rPr>
        <w:t>成交单位</w:t>
      </w:r>
      <w:r>
        <w:rPr>
          <w:rFonts w:hint="eastAsia" w:ascii="宋体" w:hAnsi="宋体" w:eastAsia="宋体"/>
          <w:iCs/>
          <w:color w:val="auto"/>
          <w:kern w:val="0"/>
          <w:sz w:val="21"/>
          <w:szCs w:val="21"/>
          <w:highlight w:val="none"/>
        </w:rPr>
        <w:t>自行承担；</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应保证本项目的</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技术、服务或其任何一部分不会产生因第三方提出侵犯其专利权、商标权或其他知识产权而引起的法律和经济纠纷；如果</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不拥有相应的知识产权，则须在报价中包括合法获取该知识产权的相关费用，并在</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文件中附有相关证明文件。如因第三方提出其专利权、商标权或其他知识产权的侵权之诉，则一切法律责任由</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承担。</w:t>
      </w:r>
    </w:p>
    <w:p>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12" w:name="_Toc8119"/>
      <w:bookmarkStart w:id="113" w:name="_Toc14543"/>
      <w:bookmarkStart w:id="114" w:name="_Toc18277"/>
      <w:r>
        <w:rPr>
          <w:rFonts w:hint="eastAsia" w:eastAsia="宋体"/>
          <w:color w:val="auto"/>
          <w:highlight w:val="none"/>
          <w:lang w:val="en-US" w:eastAsia="zh-CN"/>
        </w:rPr>
        <w:t>4.响应费用</w:t>
      </w:r>
      <w:bookmarkEnd w:id="112"/>
      <w:bookmarkEnd w:id="113"/>
      <w:bookmarkEnd w:id="114"/>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应承担所有与编写</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和参加</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有关的自身的所有费用，不论</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的结果如何，采购代理机构和采购人在任何情况下均无义务和责任承担这些费用。</w:t>
      </w:r>
    </w:p>
    <w:p>
      <w:pPr>
        <w:pageBreakBefore w:val="0"/>
        <w:widowControl w:val="0"/>
        <w:kinsoku/>
        <w:wordWrap/>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p>
    <w:p>
      <w:pPr>
        <w:pStyle w:val="5"/>
        <w:bidi w:val="0"/>
        <w:rPr>
          <w:rFonts w:hint="eastAsia" w:eastAsia="宋体"/>
          <w:color w:val="auto"/>
          <w:highlight w:val="none"/>
          <w:lang w:val="en-US" w:eastAsia="zh-CN"/>
        </w:rPr>
      </w:pPr>
      <w:bookmarkStart w:id="115" w:name="_Toc32220"/>
      <w:bookmarkStart w:id="116" w:name="_Toc24793"/>
      <w:bookmarkStart w:id="117" w:name="_Toc25254"/>
      <w:r>
        <w:rPr>
          <w:rFonts w:hint="eastAsia" w:eastAsia="宋体"/>
          <w:color w:val="auto"/>
          <w:highlight w:val="none"/>
          <w:lang w:val="en-US" w:eastAsia="zh-CN"/>
        </w:rPr>
        <w:t>5.知识产权</w:t>
      </w:r>
      <w:bookmarkEnd w:id="115"/>
      <w:bookmarkEnd w:id="116"/>
      <w:bookmarkEnd w:id="117"/>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承担所有相关责任。</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采购人享有本项目实施过程中产生的知识成果及知识产权。</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如欲在项目实施过程中采用自有知识成果，需在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中声明，并提供相关知识产权证明文件。使用该知识成果后，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需提供开发接口和开发手册等技术文档。</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采购货物为计算机办公设备时，</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提供的产品必须是预装正版操作系统软件的计算机产品。</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供应商提供的服务、货物经认定存在侵权行为的，其响应无效，并上报相关监管部门。</w:t>
      </w:r>
    </w:p>
    <w:p>
      <w:pPr>
        <w:pageBreakBefore w:val="0"/>
        <w:widowControl w:val="0"/>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p>
    <w:p>
      <w:pPr>
        <w:pStyle w:val="5"/>
        <w:bidi w:val="0"/>
        <w:rPr>
          <w:rFonts w:hint="eastAsia" w:eastAsia="宋体"/>
          <w:color w:val="auto"/>
          <w:highlight w:val="none"/>
          <w:lang w:val="en-US" w:eastAsia="zh-CN"/>
        </w:rPr>
      </w:pPr>
      <w:bookmarkStart w:id="118" w:name="_Toc13064"/>
      <w:bookmarkStart w:id="119" w:name="_Toc31725"/>
      <w:bookmarkStart w:id="120" w:name="_Toc30779"/>
      <w:r>
        <w:rPr>
          <w:rFonts w:hint="eastAsia" w:eastAsia="宋体"/>
          <w:color w:val="auto"/>
          <w:highlight w:val="none"/>
          <w:lang w:val="en-US" w:eastAsia="zh-CN"/>
        </w:rPr>
        <w:t>6.关于联合体</w:t>
      </w:r>
      <w:bookmarkEnd w:id="118"/>
      <w:bookmarkEnd w:id="119"/>
      <w:bookmarkEnd w:id="120"/>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stheme="minorBidi"/>
          <w:b w:val="0"/>
          <w:bCs w:val="0"/>
          <w:color w:val="auto"/>
          <w:kern w:val="0"/>
          <w:sz w:val="21"/>
          <w:szCs w:val="21"/>
          <w:highlight w:val="none"/>
          <w:lang w:val="en-US" w:eastAsia="zh-CN" w:bidi="ar-SA"/>
        </w:rPr>
        <w:t>联合体必须满足以下条款。（除非磋商邀请中另有规定不接受联合体）</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对接受联合体的项目：两个以上的自然人、法人或者其他组织可以组成一个联合体，以一个</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的身份共同参加政府采购。</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以联合体形式参与项目的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在领购</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val="en-US" w:eastAsia="zh-CN"/>
        </w:rPr>
        <w:t>磋商文件</w:t>
      </w:r>
      <w:r>
        <w:rPr>
          <w:rFonts w:hint="eastAsia" w:ascii="宋体" w:hAnsi="宋体" w:eastAsia="宋体"/>
          <w:color w:val="auto"/>
          <w:kern w:val="0"/>
          <w:sz w:val="21"/>
          <w:szCs w:val="21"/>
          <w:highlight w:val="none"/>
        </w:rPr>
        <w:t>时，应提供所有联合体组成成员的营业执照复印件，并加盖各联合体组成成员的公章。</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联合体各方均应当符合《政府采购法》第二十二条规定的条件。</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采购人根据采购项目的特殊要求规定</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特定条件的，联合体各方中至少应当有一方符合采购人规定的特定条件。</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联合体各方之间应当签订协议</w:t>
      </w:r>
      <w:r>
        <w:rPr>
          <w:rFonts w:hint="eastAsia" w:ascii="宋体" w:hAnsi="宋体" w:eastAsia="宋体"/>
          <w:color w:val="auto"/>
          <w:kern w:val="0"/>
          <w:sz w:val="21"/>
          <w:szCs w:val="21"/>
          <w:highlight w:val="none"/>
          <w:lang w:eastAsia="zh-CN"/>
        </w:rPr>
        <w:t>书</w:t>
      </w:r>
      <w:r>
        <w:rPr>
          <w:rFonts w:hint="eastAsia" w:ascii="宋体" w:hAnsi="宋体" w:eastAsia="宋体"/>
          <w:color w:val="auto"/>
          <w:kern w:val="0"/>
          <w:sz w:val="21"/>
          <w:szCs w:val="21"/>
          <w:highlight w:val="none"/>
        </w:rPr>
        <w:t>并</w:t>
      </w:r>
      <w:r>
        <w:rPr>
          <w:rFonts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响应文件</w:t>
      </w:r>
      <w:r>
        <w:rPr>
          <w:rFonts w:ascii="宋体" w:hAnsi="宋体" w:eastAsia="宋体"/>
          <w:color w:val="auto"/>
          <w:kern w:val="0"/>
          <w:sz w:val="21"/>
          <w:szCs w:val="21"/>
          <w:highlight w:val="none"/>
        </w:rPr>
        <w:t>内提交</w:t>
      </w:r>
      <w:r>
        <w:rPr>
          <w:rFonts w:hint="eastAsia" w:ascii="宋体" w:hAnsi="宋体" w:eastAsia="宋体"/>
          <w:color w:val="auto"/>
          <w:kern w:val="0"/>
          <w:sz w:val="21"/>
          <w:szCs w:val="21"/>
          <w:highlight w:val="none"/>
        </w:rPr>
        <w:t>，明确约定联合体各方承担的工作和相应的责任。联合体各方签订协议</w:t>
      </w:r>
      <w:r>
        <w:rPr>
          <w:rFonts w:hint="eastAsia" w:ascii="宋体" w:hAnsi="宋体" w:eastAsia="宋体"/>
          <w:color w:val="auto"/>
          <w:kern w:val="0"/>
          <w:sz w:val="21"/>
          <w:szCs w:val="21"/>
          <w:highlight w:val="none"/>
          <w:lang w:eastAsia="zh-CN"/>
        </w:rPr>
        <w:t>书</w:t>
      </w:r>
      <w:r>
        <w:rPr>
          <w:rFonts w:hint="eastAsia" w:ascii="宋体" w:hAnsi="宋体" w:eastAsia="宋体"/>
          <w:color w:val="auto"/>
          <w:kern w:val="0"/>
          <w:sz w:val="21"/>
          <w:szCs w:val="21"/>
          <w:highlight w:val="none"/>
        </w:rPr>
        <w:t>后，不得再以自己名义单独在同一项目中</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，也不得组成新的联合体参加同一项目</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供应商为联合体的，可以由联合体中的任意一方交纳</w:t>
      </w:r>
      <w:r>
        <w:rPr>
          <w:rFonts w:hint="eastAsia" w:ascii="宋体" w:hAnsi="宋体"/>
          <w:color w:val="auto"/>
          <w:kern w:val="0"/>
          <w:sz w:val="21"/>
          <w:szCs w:val="21"/>
          <w:highlight w:val="none"/>
          <w:lang w:val="en-US" w:eastAsia="zh-CN"/>
        </w:rPr>
        <w:t>响应</w:t>
      </w:r>
      <w:r>
        <w:rPr>
          <w:rFonts w:hint="eastAsia" w:ascii="宋体" w:hAnsi="宋体" w:eastAsia="宋体"/>
          <w:color w:val="auto"/>
          <w:kern w:val="0"/>
          <w:sz w:val="21"/>
          <w:szCs w:val="21"/>
          <w:highlight w:val="none"/>
        </w:rPr>
        <w:t>保证金，其交纳的</w:t>
      </w:r>
      <w:r>
        <w:rPr>
          <w:rFonts w:hint="eastAsia" w:ascii="宋体" w:hAnsi="宋体"/>
          <w:color w:val="auto"/>
          <w:kern w:val="0"/>
          <w:sz w:val="21"/>
          <w:szCs w:val="21"/>
          <w:highlight w:val="none"/>
          <w:lang w:val="en-US" w:eastAsia="zh-CN"/>
        </w:rPr>
        <w:t>响应</w:t>
      </w:r>
      <w:r>
        <w:rPr>
          <w:rFonts w:hint="eastAsia" w:ascii="宋体" w:hAnsi="宋体" w:eastAsia="宋体"/>
          <w:color w:val="auto"/>
          <w:kern w:val="0"/>
          <w:sz w:val="21"/>
          <w:szCs w:val="21"/>
          <w:highlight w:val="none"/>
        </w:rPr>
        <w:t>保证金对联合体各方均具有约束力。</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联合体中有同类资质的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按照联合体分工承担相同工作的，应当按照资质等级较低的供应商确定资质等级。</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以</w:t>
      </w:r>
      <w:r>
        <w:rPr>
          <w:rFonts w:hint="eastAsia" w:ascii="宋体" w:hAnsi="宋体" w:eastAsia="宋体"/>
          <w:color w:val="auto"/>
          <w:kern w:val="0"/>
          <w:sz w:val="21"/>
          <w:szCs w:val="21"/>
          <w:highlight w:val="none"/>
        </w:rPr>
        <w:t>联合体形式参加政府采购活动，联合体各方均为中小企业的，联合体视同中小企业。其中，联合体各方均为小微企业的，联合体视同小微企业。</w:t>
      </w:r>
      <w:r>
        <w:rPr>
          <w:rFonts w:hint="eastAsia" w:ascii="宋体" w:hAnsi="宋体" w:eastAsia="宋体"/>
          <w:color w:val="auto"/>
          <w:kern w:val="0"/>
          <w:sz w:val="21"/>
          <w:szCs w:val="21"/>
          <w:highlight w:val="none"/>
          <w:lang w:eastAsia="zh-CN"/>
        </w:rPr>
        <w:t>双方均应提供《中小企业声明函》。</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除联合体协议</w:t>
      </w:r>
      <w:r>
        <w:rPr>
          <w:rFonts w:hint="eastAsia" w:ascii="宋体" w:hAnsi="宋体" w:eastAsia="宋体"/>
          <w:color w:val="auto"/>
          <w:kern w:val="0"/>
          <w:sz w:val="21"/>
          <w:szCs w:val="21"/>
          <w:highlight w:val="none"/>
          <w:lang w:eastAsia="zh-CN"/>
        </w:rPr>
        <w:t>书</w:t>
      </w:r>
      <w:r>
        <w:rPr>
          <w:rFonts w:hint="eastAsia" w:ascii="宋体" w:hAnsi="宋体" w:eastAsia="宋体"/>
          <w:color w:val="auto"/>
          <w:kern w:val="0"/>
          <w:sz w:val="21"/>
          <w:szCs w:val="21"/>
          <w:highlight w:val="none"/>
        </w:rPr>
        <w:t>明确授权盖章单位外，联合体</w:t>
      </w:r>
      <w:r>
        <w:rPr>
          <w:rFonts w:hint="eastAsia" w:ascii="宋体" w:hAnsi="宋体" w:eastAsia="宋体"/>
          <w:color w:val="auto"/>
          <w:kern w:val="0"/>
          <w:sz w:val="21"/>
          <w:szCs w:val="21"/>
          <w:highlight w:val="none"/>
          <w:lang w:eastAsia="zh-CN"/>
        </w:rPr>
        <w:t>响应磋商时响应文件</w:t>
      </w:r>
      <w:r>
        <w:rPr>
          <w:rFonts w:hint="eastAsia" w:ascii="宋体" w:hAnsi="宋体" w:eastAsia="宋体"/>
          <w:color w:val="auto"/>
          <w:kern w:val="0"/>
          <w:sz w:val="21"/>
          <w:szCs w:val="21"/>
          <w:highlight w:val="none"/>
        </w:rPr>
        <w:t>中所有要求盖章的地方均须加盖联合体所有组成成员的公章，否则该处盖章无效。</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联合体进行评分时，业绩、奖项等的认定和评分根据协议</w:t>
      </w:r>
      <w:r>
        <w:rPr>
          <w:rFonts w:hint="eastAsia" w:ascii="宋体" w:hAnsi="宋体" w:eastAsia="宋体"/>
          <w:color w:val="auto"/>
          <w:kern w:val="0"/>
          <w:sz w:val="21"/>
          <w:szCs w:val="21"/>
          <w:highlight w:val="none"/>
          <w:lang w:eastAsia="zh-CN"/>
        </w:rPr>
        <w:t>书</w:t>
      </w:r>
      <w:r>
        <w:rPr>
          <w:rFonts w:hint="eastAsia" w:ascii="宋体" w:hAnsi="宋体" w:eastAsia="宋体"/>
          <w:color w:val="auto"/>
          <w:kern w:val="0"/>
          <w:sz w:val="21"/>
          <w:szCs w:val="21"/>
          <w:highlight w:val="none"/>
        </w:rPr>
        <w:t>约定的各方承担的工作和相应责任，确定一方打分，不累加打分；评审标准不明确或难以明确以哪一方计算评分情况时，则按主体方情况评分。</w:t>
      </w:r>
    </w:p>
    <w:p>
      <w:pPr>
        <w:pageBreakBefore w:val="0"/>
        <w:widowControl w:val="0"/>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p>
    <w:p>
      <w:pPr>
        <w:pStyle w:val="5"/>
        <w:bidi w:val="0"/>
        <w:rPr>
          <w:rFonts w:hint="eastAsia" w:eastAsia="宋体"/>
          <w:color w:val="auto"/>
          <w:highlight w:val="none"/>
          <w:lang w:val="en-US" w:eastAsia="zh-CN"/>
        </w:rPr>
      </w:pPr>
      <w:bookmarkStart w:id="121" w:name="_Toc27755"/>
      <w:bookmarkStart w:id="122" w:name="_Toc23688"/>
      <w:bookmarkStart w:id="123" w:name="_Toc18142"/>
      <w:r>
        <w:rPr>
          <w:rFonts w:hint="eastAsia" w:eastAsia="宋体"/>
          <w:color w:val="auto"/>
          <w:highlight w:val="none"/>
          <w:lang w:val="en-US" w:eastAsia="zh-CN"/>
        </w:rPr>
        <w:t>7.关于分支机构响应</w:t>
      </w:r>
      <w:bookmarkEnd w:id="121"/>
      <w:bookmarkEnd w:id="122"/>
      <w:bookmarkEnd w:id="123"/>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bookmarkStart w:id="124" w:name="EB389f116341dd4693875bc7987e7327f3"/>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分支机构</w:t>
      </w:r>
      <w:r>
        <w:rPr>
          <w:rFonts w:hint="eastAsia" w:ascii="宋体" w:hAnsi="宋体" w:eastAsia="宋体"/>
          <w:color w:val="auto"/>
          <w:kern w:val="0"/>
          <w:sz w:val="21"/>
          <w:szCs w:val="21"/>
          <w:highlight w:val="none"/>
          <w:lang w:eastAsia="zh-CN"/>
        </w:rPr>
        <w:t>响应</w:t>
      </w:r>
      <w:r>
        <w:rPr>
          <w:rFonts w:ascii="宋体" w:hAnsi="宋体" w:eastAsia="宋体"/>
          <w:color w:val="auto"/>
          <w:kern w:val="0"/>
          <w:sz w:val="21"/>
          <w:szCs w:val="21"/>
          <w:highlight w:val="none"/>
        </w:rPr>
        <w:t>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124"/>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25" w:name="_Toc5596"/>
      <w:bookmarkStart w:id="126" w:name="_Toc29774"/>
      <w:bookmarkStart w:id="127" w:name="_Toc19660"/>
      <w:r>
        <w:rPr>
          <w:rFonts w:hint="eastAsia" w:eastAsia="宋体"/>
          <w:color w:val="auto"/>
          <w:highlight w:val="none"/>
          <w:lang w:val="en-US" w:eastAsia="zh-CN"/>
        </w:rPr>
        <w:t>8.磋商文件的组成</w:t>
      </w:r>
      <w:bookmarkEnd w:id="125"/>
      <w:bookmarkEnd w:id="126"/>
      <w:bookmarkEnd w:id="127"/>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（1）</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邀请；</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（2）供应商须知；</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（3）用户需求书；</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（4）详细评审；</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（5）合同文本</w:t>
      </w:r>
      <w:r>
        <w:rPr>
          <w:rFonts w:hint="eastAsia" w:ascii="宋体" w:hAnsi="宋体" w:eastAsia="宋体"/>
          <w:color w:val="auto"/>
          <w:kern w:val="0"/>
          <w:sz w:val="21"/>
          <w:szCs w:val="21"/>
          <w:highlight w:val="none"/>
          <w:lang w:eastAsia="zh-CN"/>
        </w:rPr>
        <w:t>参考格式</w:t>
      </w:r>
      <w:r>
        <w:rPr>
          <w:rFonts w:hint="eastAsia" w:ascii="宋体" w:hAnsi="宋体" w:eastAsia="宋体"/>
          <w:color w:val="auto"/>
          <w:kern w:val="0"/>
          <w:sz w:val="21"/>
          <w:szCs w:val="21"/>
          <w:highlight w:val="none"/>
        </w:rPr>
        <w:t>；</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（6）响应文件格式；</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（7）报价文件格式；</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lang w:val="en-US" w:eastAsia="zh-CN"/>
        </w:rPr>
        <w:t>8</w:t>
      </w:r>
      <w:r>
        <w:rPr>
          <w:rFonts w:hint="eastAsia" w:ascii="宋体" w:hAnsi="宋体"/>
          <w:color w:val="auto"/>
          <w:kern w:val="0"/>
          <w:sz w:val="21"/>
          <w:szCs w:val="21"/>
          <w:highlight w:val="none"/>
          <w:lang w:eastAsia="zh-CN"/>
        </w:rPr>
        <w:t>）其它文件格式（如有需要）</w:t>
      </w:r>
      <w:r>
        <w:rPr>
          <w:rFonts w:hint="eastAsia" w:ascii="宋体" w:hAnsi="宋体" w:eastAsia="宋体"/>
          <w:color w:val="auto"/>
          <w:kern w:val="0"/>
          <w:sz w:val="21"/>
          <w:szCs w:val="21"/>
          <w:highlight w:val="none"/>
        </w:rPr>
        <w:t>。</w:t>
      </w:r>
    </w:p>
    <w:p>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28" w:name="_Toc3812"/>
      <w:bookmarkStart w:id="129" w:name="_Toc28076"/>
      <w:bookmarkStart w:id="130" w:name="_Toc20046"/>
      <w:r>
        <w:rPr>
          <w:rFonts w:hint="eastAsia" w:eastAsia="宋体"/>
          <w:color w:val="auto"/>
          <w:highlight w:val="none"/>
          <w:lang w:val="en-US" w:eastAsia="zh-CN"/>
        </w:rPr>
        <w:t>9.磋商文件的澄清或修改</w:t>
      </w:r>
      <w:bookmarkEnd w:id="128"/>
      <w:bookmarkEnd w:id="129"/>
      <w:bookmarkEnd w:id="130"/>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采购人或者采购代理机构可以对已发出的</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、资格预审文件、</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邀请进行必要的澄清或者修改。澄清或者修改的内容为</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、资格预审文件、</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邀请的组成部分，</w:t>
      </w:r>
      <w:r>
        <w:rPr>
          <w:rFonts w:ascii="宋体" w:hAnsi="宋体" w:eastAsia="宋体"/>
          <w:color w:val="auto"/>
          <w:kern w:val="0"/>
          <w:sz w:val="21"/>
          <w:szCs w:val="21"/>
          <w:highlight w:val="none"/>
        </w:rPr>
        <w:t>具有约束作用</w:t>
      </w:r>
      <w:r>
        <w:rPr>
          <w:rFonts w:hint="eastAsia" w:ascii="宋体" w:hAnsi="宋体" w:eastAsia="宋体"/>
          <w:color w:val="auto"/>
          <w:kern w:val="0"/>
          <w:sz w:val="21"/>
          <w:szCs w:val="21"/>
          <w:highlight w:val="none"/>
        </w:rPr>
        <w:t>。</w:t>
      </w:r>
      <w:r>
        <w:rPr>
          <w:rFonts w:ascii="宋体" w:hAnsi="宋体" w:eastAsia="宋体"/>
          <w:color w:val="auto"/>
          <w:kern w:val="0"/>
          <w:sz w:val="21"/>
          <w:szCs w:val="21"/>
          <w:highlight w:val="none"/>
        </w:rPr>
        <w:t>当</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磋商文件</w:t>
      </w:r>
      <w:r>
        <w:rPr>
          <w:rFonts w:ascii="宋体" w:hAnsi="宋体" w:eastAsia="宋体"/>
          <w:color w:val="auto"/>
          <w:kern w:val="0"/>
          <w:sz w:val="21"/>
          <w:szCs w:val="21"/>
          <w:highlight w:val="none"/>
        </w:rPr>
        <w:t>的澄清</w:t>
      </w:r>
      <w:r>
        <w:rPr>
          <w:rFonts w:hint="eastAsia" w:ascii="宋体" w:hAnsi="宋体" w:eastAsia="宋体"/>
          <w:color w:val="auto"/>
          <w:kern w:val="0"/>
          <w:sz w:val="21"/>
          <w:szCs w:val="21"/>
          <w:highlight w:val="none"/>
        </w:rPr>
        <w:t>或</w:t>
      </w:r>
      <w:r>
        <w:rPr>
          <w:rFonts w:ascii="宋体" w:hAnsi="宋体" w:eastAsia="宋体"/>
          <w:color w:val="auto"/>
          <w:kern w:val="0"/>
          <w:sz w:val="21"/>
          <w:szCs w:val="21"/>
          <w:highlight w:val="none"/>
        </w:rPr>
        <w:t>修改等在同一内容的表述上不一致时，以最后发出的书面文件</w:t>
      </w:r>
      <w:r>
        <w:rPr>
          <w:rFonts w:hint="eastAsia" w:ascii="宋体" w:hAnsi="宋体" w:eastAsia="宋体"/>
          <w:color w:val="auto"/>
          <w:kern w:val="0"/>
          <w:sz w:val="21"/>
          <w:szCs w:val="21"/>
          <w:highlight w:val="none"/>
        </w:rPr>
        <w:t>及公告</w:t>
      </w:r>
      <w:r>
        <w:rPr>
          <w:rFonts w:ascii="宋体" w:hAnsi="宋体" w:eastAsia="宋体"/>
          <w:color w:val="auto"/>
          <w:kern w:val="0"/>
          <w:sz w:val="21"/>
          <w:szCs w:val="21"/>
          <w:highlight w:val="none"/>
        </w:rPr>
        <w:t>为准。</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采购人或者采购代理机构可以对已发出的</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文件进行必要的澄清或者修改。澄清或者修改的内容可能影响</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文件编制的，采购人或者采购代理机构应当在</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截止时间至少</w:t>
      </w:r>
      <w:r>
        <w:rPr>
          <w:rFonts w:hint="eastAsia" w:ascii="宋体" w:hAnsi="宋体" w:eastAsia="宋体"/>
          <w:color w:val="auto"/>
          <w:kern w:val="0"/>
          <w:sz w:val="21"/>
          <w:szCs w:val="21"/>
          <w:highlight w:val="none"/>
          <w:lang w:val="en-US" w:eastAsia="zh-CN"/>
        </w:rPr>
        <w:t>5</w:t>
      </w:r>
      <w:r>
        <w:rPr>
          <w:rFonts w:hint="eastAsia" w:ascii="宋体" w:hAnsi="宋体" w:eastAsia="宋体"/>
          <w:color w:val="auto"/>
          <w:kern w:val="0"/>
          <w:sz w:val="21"/>
          <w:szCs w:val="21"/>
          <w:highlight w:val="none"/>
        </w:rPr>
        <w:t>日</w:t>
      </w:r>
      <w:r>
        <w:rPr>
          <w:rFonts w:hint="eastAsia" w:ascii="宋体" w:hAnsi="宋体" w:eastAsia="宋体"/>
          <w:color w:val="auto"/>
          <w:kern w:val="0"/>
          <w:sz w:val="21"/>
          <w:szCs w:val="21"/>
          <w:highlight w:val="none"/>
          <w:lang w:eastAsia="zh-CN"/>
        </w:rPr>
        <w:t>或</w:t>
      </w:r>
      <w:r>
        <w:rPr>
          <w:rFonts w:hint="eastAsia" w:ascii="宋体" w:hAnsi="宋体" w:eastAsia="宋体"/>
          <w:color w:val="auto"/>
          <w:kern w:val="0"/>
          <w:sz w:val="21"/>
          <w:szCs w:val="21"/>
          <w:highlight w:val="none"/>
          <w:lang w:val="en-US" w:eastAsia="zh-CN"/>
        </w:rPr>
        <w:t>3个工作日</w:t>
      </w:r>
      <w:r>
        <w:rPr>
          <w:rFonts w:hint="eastAsia" w:ascii="宋体" w:hAnsi="宋体" w:eastAsia="宋体"/>
          <w:color w:val="auto"/>
          <w:kern w:val="0"/>
          <w:sz w:val="21"/>
          <w:szCs w:val="21"/>
          <w:highlight w:val="none"/>
        </w:rPr>
        <w:t>前，以书面形式通知所有获取</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文件的潜在</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；不足</w:t>
      </w:r>
      <w:r>
        <w:rPr>
          <w:rFonts w:hint="eastAsia" w:ascii="宋体" w:hAnsi="宋体" w:eastAsia="宋体"/>
          <w:color w:val="auto"/>
          <w:kern w:val="0"/>
          <w:sz w:val="21"/>
          <w:szCs w:val="21"/>
          <w:highlight w:val="none"/>
          <w:lang w:val="en-US" w:eastAsia="zh-CN"/>
        </w:rPr>
        <w:t>5</w:t>
      </w:r>
      <w:r>
        <w:rPr>
          <w:rFonts w:hint="eastAsia" w:ascii="宋体" w:hAnsi="宋体" w:eastAsia="宋体"/>
          <w:color w:val="auto"/>
          <w:kern w:val="0"/>
          <w:sz w:val="21"/>
          <w:szCs w:val="21"/>
          <w:highlight w:val="none"/>
        </w:rPr>
        <w:t>日</w:t>
      </w:r>
      <w:r>
        <w:rPr>
          <w:rFonts w:hint="eastAsia" w:ascii="宋体" w:hAnsi="宋体" w:eastAsia="宋体"/>
          <w:color w:val="auto"/>
          <w:kern w:val="0"/>
          <w:sz w:val="21"/>
          <w:szCs w:val="21"/>
          <w:highlight w:val="none"/>
          <w:lang w:eastAsia="zh-CN"/>
        </w:rPr>
        <w:t>或</w:t>
      </w:r>
      <w:r>
        <w:rPr>
          <w:rFonts w:hint="eastAsia" w:ascii="宋体" w:hAnsi="宋体" w:eastAsia="宋体"/>
          <w:color w:val="auto"/>
          <w:kern w:val="0"/>
          <w:sz w:val="21"/>
          <w:szCs w:val="21"/>
          <w:highlight w:val="none"/>
          <w:lang w:val="en-US" w:eastAsia="zh-CN"/>
        </w:rPr>
        <w:t>3个工作日</w:t>
      </w:r>
      <w:r>
        <w:rPr>
          <w:rFonts w:hint="eastAsia" w:ascii="宋体" w:hAnsi="宋体" w:eastAsia="宋体"/>
          <w:color w:val="auto"/>
          <w:kern w:val="0"/>
          <w:sz w:val="21"/>
          <w:szCs w:val="21"/>
          <w:highlight w:val="none"/>
        </w:rPr>
        <w:t>的，采购人或者采购代理机构应当顺延提交</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文件的截止时间。</w:t>
      </w:r>
    </w:p>
    <w:p>
      <w:pPr>
        <w:widowControl w:val="0"/>
        <w:adjustRightInd/>
        <w:snapToGrid/>
        <w:spacing w:after="0" w:line="360" w:lineRule="exact"/>
        <w:ind w:left="567"/>
        <w:jc w:val="both"/>
        <w:rPr>
          <w:rFonts w:ascii="宋体" w:hAnsi="宋体" w:eastAsia="宋体"/>
          <w:color w:val="auto"/>
          <w:kern w:val="0"/>
          <w:sz w:val="21"/>
          <w:szCs w:val="21"/>
          <w:highlight w:val="none"/>
        </w:rPr>
      </w:pPr>
    </w:p>
    <w:p>
      <w:pPr>
        <w:pStyle w:val="5"/>
        <w:bidi w:val="0"/>
        <w:rPr>
          <w:rFonts w:hint="eastAsia" w:eastAsia="宋体"/>
          <w:color w:val="auto"/>
          <w:highlight w:val="none"/>
          <w:lang w:val="en-US" w:eastAsia="zh-CN"/>
        </w:rPr>
      </w:pPr>
      <w:bookmarkStart w:id="131" w:name="_Toc17507"/>
      <w:bookmarkStart w:id="132" w:name="_Toc28595"/>
      <w:bookmarkStart w:id="133" w:name="_Toc5431"/>
      <w:r>
        <w:rPr>
          <w:rFonts w:hint="eastAsia" w:eastAsia="宋体"/>
          <w:color w:val="auto"/>
          <w:highlight w:val="none"/>
          <w:lang w:val="en-US" w:eastAsia="zh-CN"/>
        </w:rPr>
        <w:t>10.响应文件的语言及度量衡单位</w:t>
      </w:r>
      <w:bookmarkEnd w:id="131"/>
      <w:bookmarkEnd w:id="132"/>
      <w:bookmarkEnd w:id="133"/>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提交的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以及</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与采购代理机构就有关</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的所有来往函件均应使用简体中文书写。</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提交的支持资料和已印刷的文献可以用另一种语言，但相应内容应附有中文翻译本（中文译本应由翻译机构盖章或者翻译人员签名确认，否则按无效处理），在解释</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的修改内容时以中文翻译本为准。</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除非</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在技术规格中另有规定，</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中及其与采购代理机构和采购人所有往来文件中的所有</w:t>
      </w:r>
      <w:r>
        <w:rPr>
          <w:rFonts w:ascii="宋体" w:hAnsi="宋体" w:eastAsia="宋体"/>
          <w:color w:val="auto"/>
          <w:kern w:val="0"/>
          <w:sz w:val="21"/>
          <w:szCs w:val="21"/>
          <w:highlight w:val="none"/>
        </w:rPr>
        <w:t>计量单位</w:t>
      </w:r>
      <w:r>
        <w:rPr>
          <w:rFonts w:hint="eastAsia" w:ascii="宋体" w:hAnsi="宋体" w:eastAsia="宋体"/>
          <w:color w:val="auto"/>
          <w:kern w:val="0"/>
          <w:sz w:val="21"/>
          <w:szCs w:val="21"/>
          <w:highlight w:val="none"/>
        </w:rPr>
        <w:t>均应采用中华人民共和国法定计量单位</w:t>
      </w:r>
      <w:r>
        <w:rPr>
          <w:rFonts w:ascii="宋体" w:hAnsi="宋体" w:eastAsia="宋体"/>
          <w:color w:val="auto"/>
          <w:kern w:val="0"/>
          <w:sz w:val="21"/>
          <w:szCs w:val="21"/>
          <w:highlight w:val="none"/>
        </w:rPr>
        <w:t>。</w:t>
      </w:r>
    </w:p>
    <w:p>
      <w:pPr>
        <w:pageBreakBefore w:val="0"/>
        <w:widowControl w:val="0"/>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p>
    <w:p>
      <w:pPr>
        <w:pStyle w:val="5"/>
        <w:bidi w:val="0"/>
        <w:rPr>
          <w:rFonts w:hint="eastAsia" w:eastAsia="宋体"/>
          <w:color w:val="auto"/>
          <w:highlight w:val="none"/>
          <w:lang w:val="en-US" w:eastAsia="zh-CN"/>
        </w:rPr>
      </w:pPr>
      <w:bookmarkStart w:id="134" w:name="_Toc382049103"/>
      <w:bookmarkStart w:id="135" w:name="_Toc25080"/>
      <w:bookmarkStart w:id="136" w:name="_Toc303084256"/>
      <w:bookmarkStart w:id="137" w:name="_Toc21308"/>
      <w:bookmarkStart w:id="138" w:name="_Toc28866"/>
      <w:bookmarkStart w:id="139" w:name="_Toc17694"/>
      <w:bookmarkStart w:id="140" w:name="_Toc307934854"/>
      <w:r>
        <w:rPr>
          <w:rFonts w:hint="eastAsia" w:eastAsia="宋体"/>
          <w:color w:val="auto"/>
          <w:highlight w:val="none"/>
          <w:lang w:val="en-US" w:eastAsia="zh-CN"/>
        </w:rPr>
        <w:t>11.响应文件的组成</w:t>
      </w:r>
      <w:bookmarkEnd w:id="134"/>
      <w:bookmarkEnd w:id="135"/>
      <w:bookmarkEnd w:id="136"/>
      <w:bookmarkEnd w:id="137"/>
      <w:bookmarkEnd w:id="138"/>
      <w:bookmarkEnd w:id="139"/>
      <w:bookmarkEnd w:id="140"/>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包括但不限于</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附件格式中要求提供的表格。</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Tahoma" w:hAnsi="Tahoma" w:eastAsia="微软雅黑"/>
          <w:color w:val="auto"/>
          <w:kern w:val="0"/>
          <w:sz w:val="21"/>
          <w:szCs w:val="21"/>
          <w:highlight w:val="none"/>
        </w:rPr>
      </w:pPr>
      <w:r>
        <w:rPr>
          <w:rFonts w:hint="eastAsia" w:ascii="宋体" w:hAnsi="宋体" w:eastAsia="宋体"/>
          <w:color w:val="auto"/>
          <w:kern w:val="0"/>
          <w:sz w:val="21"/>
          <w:szCs w:val="21"/>
          <w:highlight w:val="none"/>
        </w:rPr>
        <w:t>上述文件须按顺序装订成册，并编制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目录。除上述文件资料外</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还须按</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须知的要求制作“</w:t>
      </w:r>
      <w:r>
        <w:rPr>
          <w:rFonts w:hint="eastAsia" w:ascii="宋体" w:hAnsi="宋体" w:eastAsia="宋体"/>
          <w:color w:val="auto"/>
          <w:kern w:val="0"/>
          <w:sz w:val="21"/>
          <w:szCs w:val="21"/>
          <w:highlight w:val="none"/>
          <w:lang w:eastAsia="zh-CN"/>
        </w:rPr>
        <w:t>报价文件</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报价文件</w:t>
      </w:r>
      <w:r>
        <w:rPr>
          <w:rFonts w:hint="eastAsia" w:ascii="宋体" w:hAnsi="宋体" w:eastAsia="宋体"/>
          <w:color w:val="auto"/>
          <w:kern w:val="0"/>
          <w:sz w:val="21"/>
          <w:szCs w:val="21"/>
          <w:highlight w:val="none"/>
        </w:rPr>
        <w:t>”作为</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的一部分，但须单独密封。</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41" w:name="_Toc28835"/>
      <w:bookmarkStart w:id="142" w:name="_Toc26322"/>
      <w:bookmarkStart w:id="143" w:name="_Toc23396"/>
      <w:r>
        <w:rPr>
          <w:rFonts w:hint="eastAsia" w:eastAsia="宋体"/>
          <w:color w:val="auto"/>
          <w:highlight w:val="none"/>
          <w:lang w:val="en-US" w:eastAsia="zh-CN"/>
        </w:rPr>
        <w:t>12.响应文件编制</w:t>
      </w:r>
      <w:bookmarkEnd w:id="141"/>
      <w:bookmarkEnd w:id="142"/>
      <w:bookmarkEnd w:id="143"/>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bookmarkStart w:id="144" w:name="_Toc303084258"/>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应按</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的规定以及附件要求的内容和格式完整地填写</w:t>
      </w:r>
      <w:r>
        <w:rPr>
          <w:rFonts w:ascii="宋体" w:hAnsi="宋体" w:eastAsia="宋体"/>
          <w:color w:val="auto"/>
          <w:kern w:val="0"/>
          <w:sz w:val="21"/>
          <w:szCs w:val="21"/>
          <w:highlight w:val="none"/>
        </w:rPr>
        <w:t>（表格可以按同样格式扩展）</w:t>
      </w:r>
      <w:r>
        <w:rPr>
          <w:rFonts w:hint="eastAsia" w:ascii="宋体" w:hAnsi="宋体" w:eastAsia="宋体"/>
          <w:color w:val="auto"/>
          <w:kern w:val="0"/>
          <w:sz w:val="21"/>
          <w:szCs w:val="21"/>
          <w:highlight w:val="none"/>
        </w:rPr>
        <w:t>和提供资料，</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必须对</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所提供的全部材料的真实性承担法律责任，并无条件接受采购人或采购代理机构及政府采购监督管理部门等对其中任何资料进行核实的要求。</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因</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编制存在歧义对</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产生负面影响的，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自行承担后果。</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单位名称与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公章不一致，若</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单位名称已进行变更，应在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中提供相应的证明材料并加盖公章，否则</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无效。</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若出现以下内容，经</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认定有可能间接影响评审秩序，</w:t>
      </w:r>
      <w:r>
        <w:rPr>
          <w:rFonts w:hint="eastAsia" w:ascii="宋体" w:hAnsi="宋体" w:eastAsia="宋体"/>
          <w:color w:val="auto"/>
          <w:kern w:val="0"/>
          <w:sz w:val="21"/>
          <w:szCs w:val="21"/>
          <w:highlight w:val="none"/>
          <w:lang w:eastAsia="zh-CN"/>
        </w:rPr>
        <w:t>其响应无效：</w:t>
      </w:r>
    </w:p>
    <w:p>
      <w:pPr>
        <w:pageBreakBefore w:val="0"/>
        <w:widowControl w:val="0"/>
        <w:numPr>
          <w:ilvl w:val="0"/>
          <w:numId w:val="0"/>
        </w:numPr>
        <w:kinsoku/>
        <w:wordWrap/>
        <w:topLinePunct w:val="0"/>
        <w:autoSpaceDE/>
        <w:autoSpaceDN/>
        <w:bidi w:val="0"/>
        <w:adjustRightInd/>
        <w:snapToGrid/>
        <w:spacing w:after="0" w:line="400" w:lineRule="exact"/>
        <w:ind w:left="399" w:leftChars="190" w:firstLine="0" w:firstLineChars="0"/>
        <w:jc w:val="both"/>
        <w:textAlignment w:val="auto"/>
        <w:rPr>
          <w:rFonts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（1）响应文件内出现无官方证明文件的行业地域排名或</w:t>
      </w:r>
      <w:r>
        <w:rPr>
          <w:rFonts w:ascii="宋体" w:hAnsi="宋体" w:eastAsia="宋体" w:cstheme="minorBidi"/>
          <w:color w:val="auto"/>
          <w:sz w:val="21"/>
          <w:szCs w:val="21"/>
          <w:highlight w:val="none"/>
          <w:lang w:val="en-US" w:eastAsia="zh-CN" w:bidi="ar-SA"/>
        </w:rPr>
        <w:t>使用“国家级”、“最高级”、“最佳”等用语</w:t>
      </w:r>
      <w:r>
        <w:rPr>
          <w:rFonts w:hint="eastAsia" w:ascii="宋体" w:hAnsi="宋体" w:eastAsia="宋体" w:cstheme="minorBidi"/>
          <w:color w:val="auto"/>
          <w:sz w:val="21"/>
          <w:szCs w:val="21"/>
          <w:highlight w:val="none"/>
          <w:lang w:val="en-US" w:eastAsia="zh-CN" w:bidi="ar-SA"/>
        </w:rPr>
        <w:t>字眼的。</w:t>
      </w:r>
    </w:p>
    <w:p>
      <w:pPr>
        <w:pageBreakBefore w:val="0"/>
        <w:widowControl w:val="0"/>
        <w:numPr>
          <w:ilvl w:val="0"/>
          <w:numId w:val="0"/>
        </w:numPr>
        <w:kinsoku/>
        <w:wordWrap/>
        <w:topLinePunct w:val="0"/>
        <w:autoSpaceDE/>
        <w:autoSpaceDN/>
        <w:bidi w:val="0"/>
        <w:adjustRightInd/>
        <w:snapToGrid/>
        <w:spacing w:after="0" w:line="400" w:lineRule="exact"/>
        <w:ind w:firstLine="420" w:firstLineChars="200"/>
        <w:jc w:val="both"/>
        <w:textAlignment w:val="auto"/>
        <w:rPr>
          <w:rFonts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（2）响应文件内出现恶意诋毁、</w:t>
      </w:r>
      <w:r>
        <w:rPr>
          <w:rFonts w:ascii="宋体" w:hAnsi="宋体" w:eastAsia="宋体" w:cstheme="minorBidi"/>
          <w:color w:val="auto"/>
          <w:sz w:val="21"/>
          <w:szCs w:val="21"/>
          <w:highlight w:val="none"/>
          <w:lang w:val="en-US" w:eastAsia="zh-CN" w:bidi="ar-SA"/>
        </w:rPr>
        <w:t>贬低其他生产经营者的商品或者服务</w:t>
      </w:r>
      <w:r>
        <w:rPr>
          <w:rFonts w:hint="eastAsia" w:ascii="宋体" w:hAnsi="宋体" w:eastAsia="宋体" w:cstheme="minorBidi"/>
          <w:color w:val="auto"/>
          <w:sz w:val="21"/>
          <w:szCs w:val="21"/>
          <w:highlight w:val="none"/>
          <w:lang w:val="en-US" w:eastAsia="zh-CN" w:bidi="ar-SA"/>
        </w:rPr>
        <w:t>的内容。</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有下列情形之一的，视为</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串通</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，其</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无效：</w:t>
      </w:r>
    </w:p>
    <w:bookmarkEnd w:id="144"/>
    <w:p>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（一）不同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由同一单位或者个人编制；</w:t>
      </w:r>
    </w:p>
    <w:p>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（二）不同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委托同一单位或者个人办理</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事宜；</w:t>
      </w:r>
    </w:p>
    <w:p>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（三）不同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载明的项目管理成员或者联系人员为同一人；</w:t>
      </w:r>
    </w:p>
    <w:p>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（四）不同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异常一致或者</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报价呈规律性差异；</w:t>
      </w:r>
    </w:p>
    <w:p>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（五）不同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相互混装；</w:t>
      </w:r>
    </w:p>
    <w:p>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（六）不同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从同一单位或者个人的账户转出。</w:t>
      </w:r>
    </w:p>
    <w:p>
      <w:pPr>
        <w:pageBreakBefore w:val="0"/>
        <w:widowControl w:val="0"/>
        <w:kinsoku/>
        <w:wordWrap/>
        <w:topLinePunct w:val="0"/>
        <w:autoSpaceDE/>
        <w:autoSpaceDN/>
        <w:bidi w:val="0"/>
        <w:adjustRightInd/>
        <w:snapToGrid/>
        <w:spacing w:after="0" w:line="400" w:lineRule="exact"/>
        <w:jc w:val="both"/>
        <w:textAlignment w:val="auto"/>
        <w:rPr>
          <w:rFonts w:hint="eastAsia"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45" w:name="_Toc10449"/>
      <w:bookmarkStart w:id="146" w:name="_Toc29388"/>
      <w:bookmarkStart w:id="147" w:name="_Toc11253"/>
      <w:r>
        <w:rPr>
          <w:rFonts w:hint="eastAsia" w:eastAsia="宋体"/>
          <w:color w:val="auto"/>
          <w:highlight w:val="none"/>
          <w:lang w:val="en-US" w:eastAsia="zh-CN"/>
        </w:rPr>
        <w:t>13.响应报价说明</w:t>
      </w:r>
      <w:bookmarkEnd w:id="145"/>
      <w:bookmarkEnd w:id="146"/>
      <w:bookmarkEnd w:id="147"/>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本次</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应按用户需求中的要求进行</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报价，少报无效。</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所提供的货物或服务均以人民币（或相关费率）报价。</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报价应包含完成本次</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所有服务内容的费用，包含各种税务费及合同实施过程中的全部费用和售后服务费等。</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认为</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的报价明显低于其他通过符合性审查</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的报价，有可能影响产品质量或者不能诚信履约的，应当要求其在</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现场合理的时间内提供书面说明，必要时提交相关证明材料；</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不能证明其报价合理性的，</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应当将其作为无效</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处理。</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后开出的所有发票必须与</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的名称一致。</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48" w:name="_Toc18749"/>
      <w:bookmarkStart w:id="149" w:name="_Toc28006"/>
      <w:bookmarkStart w:id="150" w:name="_Toc29860"/>
      <w:r>
        <w:rPr>
          <w:rFonts w:hint="eastAsia" w:eastAsia="宋体"/>
          <w:color w:val="auto"/>
          <w:highlight w:val="none"/>
          <w:lang w:val="en-US" w:eastAsia="zh-CN"/>
        </w:rPr>
        <w:t>14.供应商所提供的服务或货物的证明文件</w:t>
      </w:r>
      <w:bookmarkEnd w:id="148"/>
      <w:bookmarkEnd w:id="149"/>
      <w:bookmarkEnd w:id="150"/>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bookmarkStart w:id="151" w:name="_Hlt107925638"/>
      <w:bookmarkEnd w:id="151"/>
      <w:bookmarkStart w:id="152" w:name="_Hlt107925668"/>
      <w:bookmarkEnd w:id="152"/>
      <w:r>
        <w:rPr>
          <w:rFonts w:hint="eastAsia" w:ascii="宋体" w:hAnsi="宋体" w:eastAsia="宋体"/>
          <w:color w:val="auto"/>
          <w:kern w:val="0"/>
          <w:sz w:val="21"/>
          <w:szCs w:val="21"/>
          <w:highlight w:val="none"/>
        </w:rPr>
        <w:t>证明服务或货物的文件，它可以是文字资料、图纸和数据包括但不限于：服务主要内容、标准、质量、人员资质、计划安排、报告审核等的详细说明；对</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第三</w:t>
      </w:r>
      <w:r>
        <w:rPr>
          <w:rFonts w:hint="eastAsia" w:ascii="宋体" w:hAnsi="宋体"/>
          <w:color w:val="auto"/>
          <w:kern w:val="0"/>
          <w:sz w:val="21"/>
          <w:szCs w:val="21"/>
          <w:highlight w:val="none"/>
          <w:lang w:val="en-US" w:eastAsia="zh-CN"/>
        </w:rPr>
        <w:t>篇</w:t>
      </w:r>
      <w:r>
        <w:rPr>
          <w:rFonts w:hint="eastAsia" w:ascii="宋体" w:hAnsi="宋体" w:eastAsia="宋体"/>
          <w:color w:val="auto"/>
          <w:kern w:val="0"/>
          <w:sz w:val="21"/>
          <w:szCs w:val="21"/>
          <w:highlight w:val="none"/>
        </w:rPr>
        <w:t>《用户需求书》中规定的要求进行详细应答和说明。</w:t>
      </w:r>
    </w:p>
    <w:p>
      <w:pPr>
        <w:pageBreakBefore w:val="0"/>
        <w:widowControl w:val="0"/>
        <w:kinsoku/>
        <w:wordWrap/>
        <w:topLinePunct w:val="0"/>
        <w:autoSpaceDE/>
        <w:autoSpaceDN/>
        <w:bidi w:val="0"/>
        <w:adjustRightInd/>
        <w:snapToGrid/>
        <w:spacing w:after="0" w:line="400" w:lineRule="exact"/>
        <w:ind w:left="425" w:firstLine="0" w:firstLineChars="0"/>
        <w:jc w:val="both"/>
        <w:textAlignment w:val="auto"/>
        <w:rPr>
          <w:rFonts w:ascii="Tahoma" w:hAnsi="Tahoma" w:eastAsia="微软雅黑" w:cstheme="minorBidi"/>
          <w:color w:val="auto"/>
          <w:sz w:val="22"/>
          <w:szCs w:val="22"/>
          <w:highlight w:val="none"/>
          <w:lang w:val="en-US" w:eastAsia="zh-CN" w:bidi="ar-SA"/>
        </w:rPr>
      </w:pPr>
    </w:p>
    <w:p>
      <w:pPr>
        <w:pStyle w:val="5"/>
        <w:bidi w:val="0"/>
        <w:rPr>
          <w:rFonts w:hint="eastAsia" w:eastAsia="宋体"/>
          <w:color w:val="auto"/>
          <w:highlight w:val="none"/>
          <w:lang w:val="en-US" w:eastAsia="zh-CN"/>
        </w:rPr>
      </w:pPr>
      <w:bookmarkStart w:id="153" w:name="_Toc4792"/>
      <w:bookmarkStart w:id="154" w:name="_Toc20435"/>
      <w:bookmarkStart w:id="155" w:name="_Toc12457"/>
      <w:r>
        <w:rPr>
          <w:rFonts w:hint="eastAsia" w:eastAsia="宋体"/>
          <w:color w:val="auto"/>
          <w:highlight w:val="none"/>
          <w:lang w:val="en-US" w:eastAsia="zh-CN"/>
        </w:rPr>
        <w:t>15.★响应有效期</w:t>
      </w:r>
      <w:bookmarkEnd w:id="153"/>
      <w:bookmarkEnd w:id="154"/>
      <w:bookmarkEnd w:id="155"/>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应根据</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须知的规定在</w:t>
      </w:r>
      <w:r>
        <w:rPr>
          <w:rFonts w:hint="eastAsia" w:ascii="宋体" w:hAnsi="宋体" w:eastAsia="宋体"/>
          <w:color w:val="auto"/>
          <w:kern w:val="0"/>
          <w:sz w:val="21"/>
          <w:szCs w:val="21"/>
          <w:highlight w:val="none"/>
          <w:lang w:eastAsia="zh-CN"/>
        </w:rPr>
        <w:t>响应截止</w:t>
      </w:r>
      <w:r>
        <w:rPr>
          <w:rFonts w:hint="eastAsia" w:ascii="宋体" w:hAnsi="宋体" w:eastAsia="宋体"/>
          <w:color w:val="auto"/>
          <w:kern w:val="0"/>
          <w:sz w:val="21"/>
          <w:szCs w:val="21"/>
          <w:highlight w:val="none"/>
        </w:rPr>
        <w:t>日后的90天内保持有效。</w:t>
      </w:r>
    </w:p>
    <w:p>
      <w:pPr>
        <w:pageBreakBefore w:val="0"/>
        <w:widowControl w:val="0"/>
        <w:kinsoku/>
        <w:wordWrap/>
        <w:topLinePunct w:val="0"/>
        <w:autoSpaceDE/>
        <w:autoSpaceDN/>
        <w:bidi w:val="0"/>
        <w:adjustRightInd/>
        <w:snapToGrid/>
        <w:spacing w:after="0" w:line="400" w:lineRule="exact"/>
        <w:ind w:left="567"/>
        <w:jc w:val="both"/>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56" w:name="_Toc11339"/>
      <w:bookmarkStart w:id="157" w:name="_Toc28431"/>
      <w:bookmarkStart w:id="158" w:name="_Toc20804"/>
      <w:r>
        <w:rPr>
          <w:rFonts w:hint="eastAsia" w:eastAsia="宋体"/>
          <w:color w:val="auto"/>
          <w:highlight w:val="none"/>
          <w:lang w:val="en-US" w:eastAsia="zh-CN"/>
        </w:rPr>
        <w:t>16.★</w:t>
      </w:r>
      <w:bookmarkEnd w:id="156"/>
      <w:bookmarkEnd w:id="157"/>
      <w:bookmarkEnd w:id="158"/>
      <w:r>
        <w:rPr>
          <w:rFonts w:hint="eastAsia"/>
          <w:color w:val="auto"/>
          <w:highlight w:val="none"/>
          <w:lang w:val="en-US" w:eastAsia="zh-CN"/>
        </w:rPr>
        <w:t>响应保证金</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本项目不需要</w:t>
      </w:r>
      <w:r>
        <w:rPr>
          <w:rFonts w:hint="eastAsia" w:ascii="宋体" w:hAnsi="宋体" w:cs="宋体"/>
          <w:color w:val="auto"/>
          <w:sz w:val="21"/>
          <w:szCs w:val="21"/>
          <w:highlight w:val="none"/>
          <w:lang w:eastAsia="zh-CN"/>
        </w:rPr>
        <w:t>）</w:t>
      </w:r>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bookmarkStart w:id="159" w:name="_Ref179619405"/>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应按</w:t>
      </w:r>
      <w:r>
        <w:rPr>
          <w:rFonts w:hint="eastAsia" w:ascii="宋体" w:hAnsi="宋体" w:eastAsia="宋体"/>
          <w:color w:val="auto"/>
          <w:kern w:val="0"/>
          <w:sz w:val="21"/>
          <w:szCs w:val="21"/>
          <w:highlight w:val="none"/>
          <w:lang w:eastAsia="zh-CN"/>
        </w:rPr>
        <w:t>磋商</w:t>
      </w:r>
      <w:r>
        <w:rPr>
          <w:rFonts w:hint="eastAsia" w:ascii="宋体" w:hAnsi="宋体"/>
          <w:color w:val="auto"/>
          <w:kern w:val="0"/>
          <w:sz w:val="21"/>
          <w:szCs w:val="21"/>
          <w:highlight w:val="none"/>
          <w:lang w:val="en-US" w:eastAsia="zh-CN"/>
        </w:rPr>
        <w:t>文件</w:t>
      </w:r>
      <w:r>
        <w:rPr>
          <w:rFonts w:hint="eastAsia" w:ascii="宋体" w:hAnsi="宋体" w:eastAsia="宋体"/>
          <w:color w:val="auto"/>
          <w:kern w:val="0"/>
          <w:sz w:val="21"/>
          <w:szCs w:val="21"/>
          <w:highlight w:val="none"/>
        </w:rPr>
        <w:t>中规定数额及法律规定的时间按相应包号保证金金额要求一次性提交</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，以多次汇入达到</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要求金额的</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无效。</w:t>
      </w:r>
      <w:bookmarkEnd w:id="159"/>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金额与</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要求金额保持一致。</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有效期与</w:t>
      </w:r>
      <w:r>
        <w:rPr>
          <w:rFonts w:hint="eastAsia" w:ascii="宋体" w:hAnsi="宋体" w:eastAsia="宋体"/>
          <w:color w:val="auto"/>
          <w:kern w:val="0"/>
          <w:sz w:val="21"/>
          <w:szCs w:val="21"/>
          <w:highlight w:val="none"/>
          <w:lang w:eastAsia="zh-CN"/>
        </w:rPr>
        <w:t>响应有效期</w:t>
      </w:r>
      <w:r>
        <w:rPr>
          <w:rFonts w:hint="eastAsia" w:ascii="宋体" w:hAnsi="宋体" w:eastAsia="宋体"/>
          <w:color w:val="auto"/>
          <w:kern w:val="0"/>
          <w:sz w:val="21"/>
          <w:szCs w:val="21"/>
          <w:highlight w:val="none"/>
        </w:rPr>
        <w:t>保持一致。</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应一次性缴交</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规定数额的</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与交款人名称必须一致</w:t>
      </w:r>
      <w:r>
        <w:rPr>
          <w:rFonts w:hint="eastAsia" w:ascii="宋体" w:hAnsi="宋体" w:eastAsia="宋体"/>
          <w:color w:val="auto"/>
          <w:kern w:val="0"/>
          <w:sz w:val="21"/>
          <w:szCs w:val="21"/>
          <w:highlight w:val="none"/>
          <w:lang w:eastAsia="zh-CN"/>
        </w:rPr>
        <w:t>（分公司响应的，其保证金可由上级公司缴纳并提供加盖公章的相关证明）</w:t>
      </w:r>
      <w:r>
        <w:rPr>
          <w:rFonts w:hint="eastAsia" w:ascii="宋体" w:hAnsi="宋体" w:eastAsia="宋体"/>
          <w:color w:val="auto"/>
          <w:kern w:val="0"/>
          <w:sz w:val="21"/>
          <w:szCs w:val="21"/>
          <w:highlight w:val="none"/>
        </w:rPr>
        <w:t>，非</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缴纳的</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无效。</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采用银行转账、电汇方式提交的,付至采购代理机构指定账户上。</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担保。是指由担保机构为供应商交纳</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向采购人或者采购代理机构提供的保证担保。供应商在</w:t>
      </w:r>
      <w:r>
        <w:rPr>
          <w:rFonts w:hint="eastAsia" w:ascii="宋体" w:hAnsi="宋体" w:eastAsia="宋体"/>
          <w:color w:val="auto"/>
          <w:kern w:val="0"/>
          <w:sz w:val="21"/>
          <w:szCs w:val="21"/>
          <w:highlight w:val="none"/>
          <w:lang w:eastAsia="zh-CN"/>
        </w:rPr>
        <w:t>响应有效期</w:t>
      </w:r>
      <w:r>
        <w:rPr>
          <w:rFonts w:hint="eastAsia" w:ascii="宋体" w:hAnsi="宋体" w:eastAsia="宋体"/>
          <w:color w:val="auto"/>
          <w:kern w:val="0"/>
          <w:sz w:val="21"/>
          <w:szCs w:val="21"/>
          <w:highlight w:val="none"/>
        </w:rPr>
        <w:t>内撤回</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或</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后不签订采购合同的，由担保机构按照担保函的约定履行支付</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的责任。（担保</w:t>
      </w:r>
      <w:r>
        <w:rPr>
          <w:rFonts w:hint="eastAsia" w:ascii="宋体" w:hAnsi="宋体"/>
          <w:color w:val="auto"/>
          <w:kern w:val="0"/>
          <w:sz w:val="21"/>
          <w:szCs w:val="21"/>
          <w:highlight w:val="none"/>
          <w:lang w:val="en-US" w:eastAsia="zh-CN"/>
        </w:rPr>
        <w:t>函</w:t>
      </w:r>
      <w:r>
        <w:rPr>
          <w:rFonts w:hint="eastAsia" w:ascii="宋体" w:hAnsi="宋体" w:eastAsia="宋体"/>
          <w:color w:val="auto"/>
          <w:kern w:val="0"/>
          <w:sz w:val="21"/>
          <w:szCs w:val="21"/>
          <w:highlight w:val="none"/>
        </w:rPr>
        <w:t>格式详见附件）</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采用《</w:t>
      </w:r>
      <w:r>
        <w:rPr>
          <w:rFonts w:hint="eastAsia" w:ascii="宋体" w:hAnsi="宋体"/>
          <w:color w:val="auto"/>
          <w:kern w:val="0"/>
          <w:sz w:val="21"/>
          <w:szCs w:val="21"/>
          <w:highlight w:val="none"/>
          <w:lang w:eastAsia="zh-CN"/>
        </w:rPr>
        <w:t>响应担保函</w:t>
      </w:r>
      <w:r>
        <w:rPr>
          <w:rFonts w:hint="eastAsia" w:ascii="宋体" w:hAnsi="宋体" w:eastAsia="宋体"/>
          <w:color w:val="auto"/>
          <w:kern w:val="0"/>
          <w:sz w:val="21"/>
          <w:szCs w:val="21"/>
          <w:highlight w:val="none"/>
        </w:rPr>
        <w:t>》提交的，应符合下列规定：</w:t>
      </w:r>
    </w:p>
    <w:p>
      <w:pPr>
        <w:pageBreakBefore w:val="0"/>
        <w:widowControl/>
        <w:kinsoku/>
        <w:wordWrap/>
        <w:topLinePunct w:val="0"/>
        <w:autoSpaceDE/>
        <w:autoSpaceDN/>
        <w:bidi w:val="0"/>
        <w:adjustRightInd w:val="0"/>
        <w:snapToGrid w:val="0"/>
        <w:spacing w:after="0" w:line="400" w:lineRule="exact"/>
        <w:ind w:firstLine="422" w:firstLineChars="200"/>
        <w:jc w:val="left"/>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①担保函有效期应与</w:t>
      </w:r>
      <w:r>
        <w:rPr>
          <w:rFonts w:hint="eastAsia" w:ascii="宋体" w:hAnsi="宋体" w:eastAsia="宋体"/>
          <w:b/>
          <w:color w:val="auto"/>
          <w:kern w:val="0"/>
          <w:sz w:val="21"/>
          <w:szCs w:val="21"/>
          <w:highlight w:val="none"/>
          <w:lang w:eastAsia="zh-CN"/>
        </w:rPr>
        <w:t>响应有效期</w:t>
      </w:r>
      <w:r>
        <w:rPr>
          <w:rFonts w:hint="eastAsia" w:ascii="宋体" w:hAnsi="宋体" w:eastAsia="宋体"/>
          <w:b/>
          <w:color w:val="auto"/>
          <w:kern w:val="0"/>
          <w:sz w:val="21"/>
          <w:szCs w:val="21"/>
          <w:highlight w:val="none"/>
        </w:rPr>
        <w:t>一致；</w:t>
      </w:r>
    </w:p>
    <w:p>
      <w:pPr>
        <w:pageBreakBefore w:val="0"/>
        <w:widowControl/>
        <w:kinsoku/>
        <w:wordWrap/>
        <w:topLinePunct w:val="0"/>
        <w:autoSpaceDE/>
        <w:autoSpaceDN/>
        <w:bidi w:val="0"/>
        <w:adjustRightInd w:val="0"/>
        <w:snapToGrid w:val="0"/>
        <w:spacing w:after="0" w:line="400" w:lineRule="exact"/>
        <w:ind w:firstLine="422" w:firstLineChars="200"/>
        <w:jc w:val="left"/>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②担保金额应与本项目的</w:t>
      </w:r>
      <w:r>
        <w:rPr>
          <w:rFonts w:hint="eastAsia" w:ascii="宋体" w:hAnsi="宋体"/>
          <w:b/>
          <w:color w:val="auto"/>
          <w:kern w:val="0"/>
          <w:sz w:val="21"/>
          <w:szCs w:val="21"/>
          <w:highlight w:val="none"/>
          <w:lang w:eastAsia="zh-CN"/>
        </w:rPr>
        <w:t>响应保证金</w:t>
      </w:r>
      <w:r>
        <w:rPr>
          <w:rFonts w:hint="eastAsia" w:ascii="宋体" w:hAnsi="宋体"/>
          <w:b/>
          <w:color w:val="auto"/>
          <w:kern w:val="0"/>
          <w:sz w:val="21"/>
          <w:szCs w:val="21"/>
          <w:highlight w:val="none"/>
          <w:lang w:val="en-US" w:eastAsia="zh-CN"/>
        </w:rPr>
        <w:t>金额</w:t>
      </w:r>
      <w:r>
        <w:rPr>
          <w:rFonts w:hint="eastAsia" w:ascii="宋体" w:hAnsi="宋体" w:eastAsia="宋体"/>
          <w:b/>
          <w:color w:val="auto"/>
          <w:kern w:val="0"/>
          <w:sz w:val="21"/>
          <w:szCs w:val="21"/>
          <w:highlight w:val="none"/>
        </w:rPr>
        <w:t>一致；</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保证金不接受现金方式（包括以存现方式）提交，未按要求提交</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的将导致废标。</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未</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的保证金在采购结果公示发出后5个工作日内退还，</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的保证金在采购合同签订后5个工作日内退还。</w:t>
      </w:r>
    </w:p>
    <w:p>
      <w:pPr>
        <w:pageBreakBefore w:val="0"/>
        <w:widowControl w:val="0"/>
        <w:numPr>
          <w:ilvl w:val="1"/>
          <w:numId w:val="5"/>
        </w:numPr>
        <w:tabs>
          <w:tab w:val="left" w:pos="440"/>
          <w:tab w:val="left" w:pos="660"/>
          <w:tab w:val="clear" w:pos="56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为方便退还未</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的投保人的保证金，</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应制作《</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》随</w:t>
      </w:r>
      <w:r>
        <w:rPr>
          <w:rFonts w:hint="eastAsia" w:ascii="宋体" w:hAnsi="宋体" w:eastAsia="宋体"/>
          <w:color w:val="auto"/>
          <w:kern w:val="0"/>
          <w:sz w:val="21"/>
          <w:szCs w:val="21"/>
          <w:highlight w:val="none"/>
          <w:lang w:eastAsia="zh-CN"/>
        </w:rPr>
        <w:t>报价文件</w:t>
      </w:r>
      <w:r>
        <w:rPr>
          <w:rFonts w:hint="eastAsia" w:ascii="宋体" w:hAnsi="宋体" w:eastAsia="宋体"/>
          <w:color w:val="auto"/>
          <w:kern w:val="0"/>
          <w:sz w:val="21"/>
          <w:szCs w:val="21"/>
          <w:highlight w:val="none"/>
        </w:rPr>
        <w:t>一并递交。</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b/>
          <w:bCs/>
          <w:color w:val="auto"/>
          <w:kern w:val="0"/>
          <w:sz w:val="21"/>
          <w:szCs w:val="21"/>
          <w:highlight w:val="none"/>
        </w:rPr>
      </w:pPr>
      <w:r>
        <w:rPr>
          <w:rFonts w:hint="eastAsia" w:ascii="宋体" w:hAnsi="宋体" w:eastAsia="宋体"/>
          <w:b/>
          <w:bCs/>
          <w:color w:val="auto"/>
          <w:kern w:val="0"/>
          <w:sz w:val="21"/>
          <w:szCs w:val="21"/>
          <w:highlight w:val="none"/>
        </w:rPr>
        <w:t>有下列情形之一的，</w:t>
      </w:r>
      <w:r>
        <w:rPr>
          <w:rFonts w:hint="eastAsia" w:ascii="宋体" w:hAnsi="宋体" w:eastAsia="宋体"/>
          <w:b/>
          <w:bCs/>
          <w:color w:val="auto"/>
          <w:kern w:val="0"/>
          <w:sz w:val="21"/>
          <w:szCs w:val="21"/>
          <w:highlight w:val="none"/>
          <w:lang w:eastAsia="zh-CN"/>
        </w:rPr>
        <w:t>响应</w:t>
      </w:r>
      <w:r>
        <w:rPr>
          <w:rFonts w:hint="eastAsia" w:ascii="宋体" w:hAnsi="宋体" w:eastAsia="宋体"/>
          <w:b/>
          <w:bCs/>
          <w:color w:val="auto"/>
          <w:kern w:val="0"/>
          <w:sz w:val="21"/>
          <w:szCs w:val="21"/>
          <w:highlight w:val="none"/>
        </w:rPr>
        <w:t>保证金将不予退还：</w:t>
      </w:r>
    </w:p>
    <w:p>
      <w:pPr>
        <w:pageBreakBefore w:val="0"/>
        <w:widowControl/>
        <w:kinsoku/>
        <w:wordWrap/>
        <w:topLinePunct w:val="0"/>
        <w:autoSpaceDE/>
        <w:autoSpaceDN/>
        <w:bidi w:val="0"/>
        <w:adjustRightInd w:val="0"/>
        <w:snapToGrid w:val="0"/>
        <w:spacing w:after="0" w:line="400" w:lineRule="exact"/>
        <w:ind w:firstLine="422" w:firstLineChars="200"/>
        <w:jc w:val="left"/>
        <w:textAlignment w:val="auto"/>
        <w:rPr>
          <w:rFonts w:hint="eastAsia" w:ascii="宋体" w:hAnsi="宋体" w:eastAsia="宋体"/>
          <w:b/>
          <w:bCs/>
          <w:color w:val="auto"/>
          <w:kern w:val="0"/>
          <w:sz w:val="21"/>
          <w:szCs w:val="21"/>
          <w:highlight w:val="none"/>
        </w:rPr>
      </w:pPr>
      <w:r>
        <w:rPr>
          <w:rFonts w:hint="eastAsia" w:ascii="宋体" w:hAnsi="宋体" w:eastAsia="宋体"/>
          <w:b/>
          <w:bCs/>
          <w:color w:val="auto"/>
          <w:kern w:val="0"/>
          <w:sz w:val="21"/>
          <w:szCs w:val="21"/>
          <w:highlight w:val="none"/>
        </w:rPr>
        <w:t>①</w:t>
      </w:r>
      <w:r>
        <w:rPr>
          <w:rFonts w:hint="eastAsia" w:ascii="宋体" w:hAnsi="宋体" w:eastAsia="宋体"/>
          <w:b/>
          <w:bCs/>
          <w:color w:val="auto"/>
          <w:kern w:val="0"/>
          <w:sz w:val="21"/>
          <w:szCs w:val="21"/>
          <w:highlight w:val="none"/>
          <w:lang w:eastAsia="zh-CN"/>
        </w:rPr>
        <w:t>供应商</w:t>
      </w:r>
      <w:r>
        <w:rPr>
          <w:rFonts w:hint="eastAsia" w:ascii="宋体" w:hAnsi="宋体" w:eastAsia="宋体"/>
          <w:b/>
          <w:bCs/>
          <w:color w:val="auto"/>
          <w:kern w:val="0"/>
          <w:sz w:val="21"/>
          <w:szCs w:val="21"/>
          <w:highlight w:val="none"/>
        </w:rPr>
        <w:t>在招</w:t>
      </w:r>
      <w:r>
        <w:rPr>
          <w:rFonts w:hint="eastAsia" w:ascii="宋体" w:hAnsi="宋体" w:eastAsia="宋体"/>
          <w:b/>
          <w:bCs/>
          <w:color w:val="auto"/>
          <w:kern w:val="0"/>
          <w:sz w:val="21"/>
          <w:szCs w:val="21"/>
          <w:highlight w:val="none"/>
          <w:lang w:eastAsia="zh-CN"/>
        </w:rPr>
        <w:t>磋商</w:t>
      </w:r>
      <w:r>
        <w:rPr>
          <w:rFonts w:hint="eastAsia" w:ascii="宋体" w:hAnsi="宋体" w:eastAsia="宋体"/>
          <w:b/>
          <w:bCs/>
          <w:color w:val="auto"/>
          <w:kern w:val="0"/>
          <w:sz w:val="21"/>
          <w:szCs w:val="21"/>
          <w:highlight w:val="none"/>
        </w:rPr>
        <w:t>文件中规定的</w:t>
      </w:r>
      <w:r>
        <w:rPr>
          <w:rFonts w:hint="eastAsia" w:ascii="宋体" w:hAnsi="宋体" w:eastAsia="宋体"/>
          <w:b/>
          <w:bCs/>
          <w:color w:val="auto"/>
          <w:kern w:val="0"/>
          <w:sz w:val="21"/>
          <w:szCs w:val="21"/>
          <w:highlight w:val="none"/>
          <w:lang w:eastAsia="zh-CN"/>
        </w:rPr>
        <w:t>响应</w:t>
      </w:r>
      <w:r>
        <w:rPr>
          <w:rFonts w:hint="eastAsia" w:ascii="宋体" w:hAnsi="宋体" w:eastAsia="宋体"/>
          <w:b/>
          <w:bCs/>
          <w:color w:val="auto"/>
          <w:kern w:val="0"/>
          <w:sz w:val="21"/>
          <w:szCs w:val="21"/>
          <w:highlight w:val="none"/>
        </w:rPr>
        <w:t>有效期内撤销其</w:t>
      </w:r>
      <w:r>
        <w:rPr>
          <w:rFonts w:hint="eastAsia" w:ascii="宋体" w:hAnsi="宋体" w:eastAsia="宋体"/>
          <w:b/>
          <w:bCs/>
          <w:color w:val="auto"/>
          <w:kern w:val="0"/>
          <w:sz w:val="21"/>
          <w:szCs w:val="21"/>
          <w:highlight w:val="none"/>
          <w:lang w:eastAsia="zh-CN"/>
        </w:rPr>
        <w:t>响应</w:t>
      </w:r>
      <w:r>
        <w:rPr>
          <w:rFonts w:hint="eastAsia" w:ascii="宋体" w:hAnsi="宋体" w:eastAsia="宋体"/>
          <w:b/>
          <w:bCs/>
          <w:color w:val="auto"/>
          <w:kern w:val="0"/>
          <w:sz w:val="21"/>
          <w:szCs w:val="21"/>
          <w:highlight w:val="none"/>
        </w:rPr>
        <w:t>。</w:t>
      </w:r>
    </w:p>
    <w:p>
      <w:pPr>
        <w:pageBreakBefore w:val="0"/>
        <w:widowControl/>
        <w:kinsoku/>
        <w:wordWrap/>
        <w:topLinePunct w:val="0"/>
        <w:autoSpaceDE/>
        <w:autoSpaceDN/>
        <w:bidi w:val="0"/>
        <w:adjustRightInd w:val="0"/>
        <w:snapToGrid w:val="0"/>
        <w:spacing w:after="0" w:line="400" w:lineRule="exact"/>
        <w:ind w:firstLine="422" w:firstLineChars="200"/>
        <w:jc w:val="left"/>
        <w:textAlignment w:val="auto"/>
        <w:rPr>
          <w:rFonts w:hint="eastAsia" w:ascii="宋体" w:hAnsi="宋体" w:eastAsia="宋体"/>
          <w:b/>
          <w:bCs/>
          <w:color w:val="auto"/>
          <w:kern w:val="0"/>
          <w:sz w:val="21"/>
          <w:szCs w:val="21"/>
          <w:highlight w:val="none"/>
        </w:rPr>
      </w:pPr>
      <w:r>
        <w:rPr>
          <w:rFonts w:hint="eastAsia" w:ascii="宋体" w:hAnsi="宋体" w:eastAsia="宋体"/>
          <w:b/>
          <w:bCs/>
          <w:color w:val="auto"/>
          <w:kern w:val="0"/>
          <w:sz w:val="21"/>
          <w:szCs w:val="21"/>
          <w:highlight w:val="none"/>
        </w:rPr>
        <w:t>②法律法规规定不予退还</w:t>
      </w:r>
      <w:r>
        <w:rPr>
          <w:rFonts w:hint="eastAsia" w:ascii="宋体" w:hAnsi="宋体" w:eastAsia="宋体"/>
          <w:b/>
          <w:bCs/>
          <w:color w:val="auto"/>
          <w:kern w:val="0"/>
          <w:sz w:val="21"/>
          <w:szCs w:val="21"/>
          <w:highlight w:val="none"/>
          <w:lang w:eastAsia="zh-CN"/>
        </w:rPr>
        <w:t>响应</w:t>
      </w:r>
      <w:r>
        <w:rPr>
          <w:rFonts w:hint="eastAsia" w:ascii="宋体" w:hAnsi="宋体" w:eastAsia="宋体"/>
          <w:b/>
          <w:bCs/>
          <w:color w:val="auto"/>
          <w:kern w:val="0"/>
          <w:sz w:val="21"/>
          <w:szCs w:val="21"/>
          <w:highlight w:val="none"/>
        </w:rPr>
        <w:t>保证金的其它情形。</w:t>
      </w:r>
    </w:p>
    <w:p>
      <w:pPr>
        <w:widowControl/>
        <w:adjustRightInd w:val="0"/>
        <w:snapToGrid w:val="0"/>
        <w:spacing w:after="200"/>
        <w:jc w:val="left"/>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60" w:name="_Toc5055"/>
      <w:bookmarkStart w:id="161" w:name="_Toc303084264"/>
      <w:bookmarkStart w:id="162" w:name="_Toc382049111"/>
      <w:bookmarkStart w:id="163" w:name="_Toc17970"/>
      <w:bookmarkStart w:id="164" w:name="_Toc24997"/>
      <w:bookmarkStart w:id="165" w:name="_Toc21699"/>
      <w:r>
        <w:rPr>
          <w:rFonts w:hint="eastAsia" w:eastAsia="宋体"/>
          <w:color w:val="auto"/>
          <w:highlight w:val="none"/>
          <w:lang w:val="en-US" w:eastAsia="zh-CN"/>
        </w:rPr>
        <w:t>17.响应文件的装订，签署，密封和标记</w:t>
      </w:r>
      <w:bookmarkEnd w:id="160"/>
      <w:bookmarkEnd w:id="161"/>
      <w:bookmarkEnd w:id="162"/>
      <w:bookmarkEnd w:id="163"/>
      <w:bookmarkEnd w:id="164"/>
      <w:bookmarkEnd w:id="165"/>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为方便磋商小组对响应文件进行评审</w:t>
      </w:r>
      <w:r>
        <w:rPr>
          <w:rFonts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建议供应商对响应文件进行装订，</w:t>
      </w:r>
      <w:r>
        <w:rPr>
          <w:rFonts w:ascii="宋体" w:hAnsi="宋体" w:eastAsia="宋体"/>
          <w:color w:val="auto"/>
          <w:kern w:val="0"/>
          <w:sz w:val="21"/>
          <w:szCs w:val="21"/>
          <w:highlight w:val="none"/>
        </w:rPr>
        <w:t>对未经装订的</w:t>
      </w:r>
      <w:r>
        <w:rPr>
          <w:rFonts w:hint="eastAsia" w:ascii="宋体" w:hAnsi="宋体" w:eastAsia="宋体"/>
          <w:color w:val="auto"/>
          <w:kern w:val="0"/>
          <w:sz w:val="21"/>
          <w:szCs w:val="21"/>
          <w:highlight w:val="none"/>
          <w:lang w:eastAsia="zh-CN"/>
        </w:rPr>
        <w:t>响应文件</w:t>
      </w:r>
      <w:r>
        <w:rPr>
          <w:rFonts w:ascii="宋体" w:hAnsi="宋体" w:eastAsia="宋体"/>
          <w:color w:val="auto"/>
          <w:kern w:val="0"/>
          <w:sz w:val="21"/>
          <w:szCs w:val="21"/>
          <w:highlight w:val="none"/>
        </w:rPr>
        <w:t>可能发生的文件缺</w:t>
      </w:r>
      <w:r>
        <w:rPr>
          <w:rFonts w:hint="eastAsia" w:ascii="宋体" w:hAnsi="宋体" w:eastAsia="宋体"/>
          <w:color w:val="auto"/>
          <w:kern w:val="0"/>
          <w:sz w:val="21"/>
          <w:szCs w:val="21"/>
          <w:highlight w:val="none"/>
        </w:rPr>
        <w:t>损</w:t>
      </w:r>
      <w:r>
        <w:rPr>
          <w:rFonts w:ascii="宋体" w:hAnsi="宋体" w:eastAsia="宋体"/>
          <w:color w:val="auto"/>
          <w:kern w:val="0"/>
          <w:sz w:val="21"/>
          <w:szCs w:val="21"/>
          <w:highlight w:val="none"/>
        </w:rPr>
        <w:t>，由此产生的后果由</w:t>
      </w:r>
      <w:r>
        <w:rPr>
          <w:rFonts w:hint="eastAsia" w:ascii="宋体" w:hAnsi="宋体" w:eastAsia="宋体"/>
          <w:color w:val="auto"/>
          <w:kern w:val="0"/>
          <w:sz w:val="21"/>
          <w:szCs w:val="21"/>
          <w:highlight w:val="none"/>
          <w:lang w:eastAsia="zh-CN"/>
        </w:rPr>
        <w:t>供应商</w:t>
      </w:r>
      <w:r>
        <w:rPr>
          <w:rFonts w:ascii="宋体" w:hAnsi="宋体" w:eastAsia="宋体"/>
          <w:color w:val="auto"/>
          <w:kern w:val="0"/>
          <w:sz w:val="21"/>
          <w:szCs w:val="21"/>
          <w:highlight w:val="none"/>
        </w:rPr>
        <w:t>承担。</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正本均须用不褪色墨水书写或打印。</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的副本可采用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的正本复印件，每套</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应当标</w:t>
      </w:r>
      <w:r>
        <w:rPr>
          <w:rFonts w:ascii="宋体" w:hAnsi="宋体" w:eastAsia="宋体"/>
          <w:color w:val="auto"/>
          <w:kern w:val="0"/>
          <w:sz w:val="21"/>
          <w:szCs w:val="21"/>
          <w:highlight w:val="none"/>
        </w:rPr>
        <w:t>明“正本”</w:t>
      </w:r>
      <w:r>
        <w:rPr>
          <w:rFonts w:hint="eastAsia" w:ascii="宋体" w:hAnsi="宋体" w:eastAsia="宋体"/>
          <w:color w:val="auto"/>
          <w:kern w:val="0"/>
          <w:sz w:val="21"/>
          <w:szCs w:val="21"/>
          <w:highlight w:val="none"/>
        </w:rPr>
        <w:t>、</w:t>
      </w:r>
      <w:r>
        <w:rPr>
          <w:rFonts w:ascii="宋体" w:hAnsi="宋体" w:eastAsia="宋体"/>
          <w:color w:val="auto"/>
          <w:kern w:val="0"/>
          <w:sz w:val="21"/>
          <w:szCs w:val="21"/>
          <w:highlight w:val="none"/>
        </w:rPr>
        <w:t>“副本”</w:t>
      </w:r>
      <w:r>
        <w:rPr>
          <w:rFonts w:hint="eastAsia" w:ascii="宋体" w:hAnsi="宋体" w:eastAsia="宋体"/>
          <w:color w:val="auto"/>
          <w:kern w:val="0"/>
          <w:sz w:val="21"/>
          <w:szCs w:val="21"/>
          <w:highlight w:val="none"/>
        </w:rPr>
        <w:t>的字样</w:t>
      </w:r>
      <w:r>
        <w:rPr>
          <w:rFonts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的【正本】及所有【副本】的封面及骑缝均须加盖</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公章（文件每页盖章等同于盖骑缝章）。若</w:t>
      </w:r>
      <w:r>
        <w:rPr>
          <w:rFonts w:ascii="宋体" w:hAnsi="宋体" w:eastAsia="宋体"/>
          <w:color w:val="auto"/>
          <w:kern w:val="0"/>
          <w:sz w:val="21"/>
          <w:szCs w:val="21"/>
          <w:highlight w:val="none"/>
        </w:rPr>
        <w:t>正本</w:t>
      </w:r>
      <w:r>
        <w:rPr>
          <w:rFonts w:hint="eastAsia" w:ascii="宋体" w:hAnsi="宋体" w:eastAsia="宋体"/>
          <w:color w:val="auto"/>
          <w:kern w:val="0"/>
          <w:sz w:val="21"/>
          <w:szCs w:val="21"/>
          <w:highlight w:val="none"/>
        </w:rPr>
        <w:t>与</w:t>
      </w:r>
      <w:r>
        <w:rPr>
          <w:rFonts w:ascii="宋体" w:hAnsi="宋体" w:eastAsia="宋体"/>
          <w:color w:val="auto"/>
          <w:kern w:val="0"/>
          <w:sz w:val="21"/>
          <w:szCs w:val="21"/>
          <w:highlight w:val="none"/>
        </w:rPr>
        <w:t>副本</w:t>
      </w:r>
      <w:r>
        <w:rPr>
          <w:rFonts w:hint="eastAsia" w:ascii="宋体" w:hAnsi="宋体" w:eastAsia="宋体"/>
          <w:color w:val="auto"/>
          <w:kern w:val="0"/>
          <w:sz w:val="21"/>
          <w:szCs w:val="21"/>
          <w:highlight w:val="none"/>
        </w:rPr>
        <w:t>不符，以</w:t>
      </w:r>
      <w:r>
        <w:rPr>
          <w:rFonts w:ascii="宋体" w:hAnsi="宋体" w:eastAsia="宋体"/>
          <w:color w:val="auto"/>
          <w:kern w:val="0"/>
          <w:sz w:val="21"/>
          <w:szCs w:val="21"/>
          <w:highlight w:val="none"/>
        </w:rPr>
        <w:t>正本为准。</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的【正本】及【副本】的封面及骑缝均须加盖所有联合体组成成员的公章。（文件每页盖章等同于盖骑缝章）如联合体协议中有明确分工说明除外</w:t>
      </w:r>
      <w:r>
        <w:rPr>
          <w:rFonts w:hint="eastAsia" w:ascii="宋体" w:hAnsi="宋体" w:eastAsia="宋体"/>
          <w:color w:val="auto"/>
          <w:kern w:val="0"/>
          <w:sz w:val="21"/>
          <w:szCs w:val="21"/>
          <w:highlight w:val="none"/>
          <w:lang w:eastAsia="zh-CN"/>
        </w:rPr>
        <w:t>。</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建议供应商</w:t>
      </w:r>
      <w:r>
        <w:rPr>
          <w:rFonts w:hint="eastAsia" w:ascii="宋体" w:hAnsi="宋体" w:eastAsia="宋体"/>
          <w:color w:val="auto"/>
          <w:kern w:val="0"/>
          <w:sz w:val="21"/>
          <w:szCs w:val="21"/>
          <w:highlight w:val="none"/>
        </w:rPr>
        <w:t>将</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正本和所有的副本分开密封装在单独的信封中，且在信封上标明“正本”“副本”字样。然后再将所有信封封装在一个外层信封中</w:t>
      </w:r>
      <w:r>
        <w:rPr>
          <w:rFonts w:hint="eastAsia" w:ascii="宋体" w:hAnsi="宋体" w:eastAsia="宋体"/>
          <w:color w:val="auto"/>
          <w:kern w:val="0"/>
          <w:sz w:val="21"/>
          <w:szCs w:val="21"/>
          <w:highlight w:val="none"/>
          <w:lang w:eastAsia="zh-CN"/>
        </w:rPr>
        <w:t>（“报价文件”除外）</w:t>
      </w:r>
      <w:r>
        <w:rPr>
          <w:rFonts w:hint="eastAsia" w:ascii="宋体" w:hAnsi="宋体" w:eastAsia="宋体"/>
          <w:color w:val="auto"/>
          <w:kern w:val="0"/>
          <w:sz w:val="21"/>
          <w:szCs w:val="21"/>
          <w:highlight w:val="none"/>
        </w:rPr>
        <w:t>。电子文件与正本密封包装，随正本提交。</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ascii="宋体" w:hAnsi="宋体" w:eastAsia="宋体"/>
          <w:color w:val="auto"/>
          <w:kern w:val="0"/>
          <w:sz w:val="21"/>
          <w:szCs w:val="21"/>
          <w:highlight w:val="none"/>
        </w:rPr>
        <w:t>电子文件内容包括：由</w:t>
      </w:r>
      <w:r>
        <w:rPr>
          <w:rFonts w:hint="eastAsia" w:ascii="宋体" w:hAnsi="宋体" w:eastAsia="宋体"/>
          <w:color w:val="auto"/>
          <w:kern w:val="0"/>
          <w:sz w:val="21"/>
          <w:szCs w:val="21"/>
          <w:highlight w:val="none"/>
          <w:lang w:eastAsia="zh-CN"/>
        </w:rPr>
        <w:t>供应商</w:t>
      </w:r>
      <w:r>
        <w:rPr>
          <w:rFonts w:ascii="宋体" w:hAnsi="宋体" w:eastAsia="宋体"/>
          <w:color w:val="auto"/>
          <w:kern w:val="0"/>
          <w:sz w:val="21"/>
          <w:szCs w:val="21"/>
          <w:highlight w:val="none"/>
        </w:rPr>
        <w:t>自行制作的与正本文件一致的所有文件。电子文件</w:t>
      </w:r>
      <w:r>
        <w:rPr>
          <w:rFonts w:hint="eastAsia" w:ascii="宋体" w:hAnsi="宋体" w:eastAsia="宋体"/>
          <w:color w:val="auto"/>
          <w:kern w:val="0"/>
          <w:sz w:val="21"/>
          <w:szCs w:val="21"/>
          <w:highlight w:val="none"/>
        </w:rPr>
        <w:t>由</w:t>
      </w:r>
      <w:r>
        <w:rPr>
          <w:rFonts w:ascii="宋体" w:hAnsi="宋体" w:eastAsia="宋体"/>
          <w:color w:val="auto"/>
          <w:kern w:val="0"/>
          <w:sz w:val="21"/>
          <w:szCs w:val="21"/>
          <w:highlight w:val="none"/>
        </w:rPr>
        <w:t>光盘</w:t>
      </w:r>
      <w:r>
        <w:rPr>
          <w:rFonts w:hint="eastAsia" w:ascii="宋体" w:hAnsi="宋体" w:eastAsia="宋体"/>
          <w:color w:val="auto"/>
          <w:kern w:val="0"/>
          <w:sz w:val="21"/>
          <w:szCs w:val="21"/>
          <w:highlight w:val="none"/>
        </w:rPr>
        <w:t>或U盘</w:t>
      </w:r>
      <w:r>
        <w:rPr>
          <w:rFonts w:ascii="宋体" w:hAnsi="宋体" w:eastAsia="宋体"/>
          <w:color w:val="auto"/>
          <w:kern w:val="0"/>
          <w:sz w:val="21"/>
          <w:szCs w:val="21"/>
          <w:highlight w:val="none"/>
        </w:rPr>
        <w:t>储存</w:t>
      </w:r>
      <w:r>
        <w:rPr>
          <w:rFonts w:hint="eastAsia" w:ascii="宋体" w:hAnsi="宋体" w:eastAsia="宋体"/>
          <w:color w:val="auto"/>
          <w:kern w:val="0"/>
          <w:sz w:val="21"/>
          <w:szCs w:val="21"/>
          <w:highlight w:val="none"/>
          <w:lang w:eastAsia="zh-CN"/>
        </w:rPr>
        <w:t>（须含盖章版PDF响应文件和WORD版响应文件各一版，文字采用WORD文档，计算表格采用 EXCEL文档）</w:t>
      </w:r>
      <w:r>
        <w:rPr>
          <w:rFonts w:hint="eastAsia" w:ascii="宋体" w:hAnsi="宋体" w:eastAsia="宋体"/>
          <w:color w:val="auto"/>
          <w:kern w:val="0"/>
          <w:sz w:val="21"/>
          <w:szCs w:val="21"/>
          <w:highlight w:val="none"/>
        </w:rPr>
        <w:t>，并注明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名称及项目名称、</w:t>
      </w:r>
      <w:r>
        <w:rPr>
          <w:rFonts w:hint="eastAsia" w:ascii="宋体" w:hAnsi="宋体" w:eastAsia="宋体"/>
          <w:color w:val="auto"/>
          <w:kern w:val="0"/>
          <w:sz w:val="21"/>
          <w:szCs w:val="21"/>
          <w:highlight w:val="none"/>
          <w:lang w:eastAsia="zh-CN"/>
        </w:rPr>
        <w:t>项目编号</w:t>
      </w:r>
      <w:r>
        <w:rPr>
          <w:rFonts w:hint="eastAsia" w:ascii="宋体" w:hAnsi="宋体" w:eastAsia="宋体"/>
          <w:color w:val="auto"/>
          <w:kern w:val="0"/>
          <w:sz w:val="21"/>
          <w:szCs w:val="21"/>
          <w:highlight w:val="none"/>
        </w:rPr>
        <w:t>，随</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一同密封提交。</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ascii="宋体" w:hAnsi="宋体" w:eastAsia="宋体"/>
          <w:color w:val="auto"/>
          <w:kern w:val="0"/>
          <w:sz w:val="21"/>
          <w:szCs w:val="21"/>
          <w:highlight w:val="none"/>
        </w:rPr>
        <w:t>除</w:t>
      </w:r>
      <w:r>
        <w:rPr>
          <w:rFonts w:hint="eastAsia" w:ascii="宋体" w:hAnsi="宋体" w:eastAsia="宋体"/>
          <w:color w:val="auto"/>
          <w:kern w:val="0"/>
          <w:sz w:val="21"/>
          <w:szCs w:val="21"/>
          <w:highlight w:val="none"/>
          <w:lang w:eastAsia="zh-CN"/>
        </w:rPr>
        <w:t>供应商</w:t>
      </w:r>
      <w:r>
        <w:rPr>
          <w:rFonts w:ascii="宋体" w:hAnsi="宋体" w:eastAsia="宋体"/>
          <w:color w:val="auto"/>
          <w:kern w:val="0"/>
          <w:sz w:val="21"/>
          <w:szCs w:val="21"/>
          <w:highlight w:val="none"/>
        </w:rPr>
        <w:t>对错误处修改外，全套</w:t>
      </w:r>
      <w:r>
        <w:rPr>
          <w:rFonts w:hint="eastAsia" w:ascii="宋体" w:hAnsi="宋体" w:eastAsia="宋体"/>
          <w:color w:val="auto"/>
          <w:kern w:val="0"/>
          <w:sz w:val="21"/>
          <w:szCs w:val="21"/>
          <w:highlight w:val="none"/>
          <w:lang w:eastAsia="zh-CN"/>
        </w:rPr>
        <w:t>响应文件</w:t>
      </w:r>
      <w:r>
        <w:rPr>
          <w:rFonts w:ascii="宋体" w:hAnsi="宋体" w:eastAsia="宋体"/>
          <w:color w:val="auto"/>
          <w:kern w:val="0"/>
          <w:sz w:val="21"/>
          <w:szCs w:val="21"/>
          <w:highlight w:val="none"/>
        </w:rPr>
        <w:t>应无涂改或行间插字和增删。如有修改，修改处</w:t>
      </w:r>
      <w:r>
        <w:rPr>
          <w:rFonts w:hint="eastAsia" w:ascii="宋体" w:hAnsi="宋体" w:eastAsia="宋体"/>
          <w:color w:val="auto"/>
          <w:kern w:val="0"/>
          <w:sz w:val="21"/>
          <w:szCs w:val="21"/>
          <w:highlight w:val="none"/>
        </w:rPr>
        <w:t>须由法定代表人或其正式授权代表在旁边签字及盖章</w:t>
      </w:r>
      <w:r>
        <w:rPr>
          <w:rFonts w:ascii="宋体" w:hAnsi="宋体" w:eastAsia="宋体"/>
          <w:color w:val="auto"/>
          <w:kern w:val="0"/>
          <w:sz w:val="21"/>
          <w:szCs w:val="21"/>
          <w:highlight w:val="none"/>
        </w:rPr>
        <w:t>。</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供应商应将报价一览表、法人代表证明书、法定代表人授权书（法人响应无需提交授权书）、</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lang w:eastAsia="zh-CN"/>
        </w:rPr>
        <w:t>（加盖公章）和</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lang w:eastAsia="zh-CN"/>
        </w:rPr>
        <w:t>支付凭证银行汇款底单（复印件加盖公章）单独密封提交，并在信封上标明“报价文件”字样。“报价文件”份数及签章等要求与响应文件正本相同（1份）。若供应商采用担保函形式的，则无需密封在“报价文件”内，供应商需在接收响应文件截止时间前将原件提交至代理机构</w:t>
      </w:r>
      <w:r>
        <w:rPr>
          <w:rFonts w:hint="eastAsia" w:ascii="宋体" w:hAnsi="宋体" w:eastAsia="宋体"/>
          <w:color w:val="auto"/>
          <w:kern w:val="0"/>
          <w:sz w:val="21"/>
          <w:szCs w:val="21"/>
          <w:highlight w:val="none"/>
        </w:rPr>
        <w:t>。</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供应商未提交</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报价</w:t>
      </w:r>
      <w:r>
        <w:rPr>
          <w:rFonts w:hint="eastAsia" w:ascii="宋体" w:hAnsi="宋体" w:eastAsia="宋体"/>
          <w:color w:val="auto"/>
          <w:kern w:val="0"/>
          <w:sz w:val="21"/>
          <w:szCs w:val="21"/>
          <w:highlight w:val="none"/>
        </w:rPr>
        <w:t>文件”</w:t>
      </w:r>
      <w:r>
        <w:rPr>
          <w:rFonts w:hint="eastAsia" w:ascii="宋体" w:hAnsi="宋体" w:eastAsia="宋体"/>
          <w:color w:val="auto"/>
          <w:kern w:val="0"/>
          <w:sz w:val="21"/>
          <w:szCs w:val="21"/>
          <w:highlight w:val="none"/>
          <w:lang w:eastAsia="zh-CN"/>
        </w:rPr>
        <w:t>或</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报价</w:t>
      </w:r>
      <w:r>
        <w:rPr>
          <w:rFonts w:hint="eastAsia" w:ascii="宋体" w:hAnsi="宋体" w:eastAsia="宋体"/>
          <w:color w:val="auto"/>
          <w:kern w:val="0"/>
          <w:sz w:val="21"/>
          <w:szCs w:val="21"/>
          <w:highlight w:val="none"/>
        </w:rPr>
        <w:t>文件”</w:t>
      </w:r>
      <w:r>
        <w:rPr>
          <w:rFonts w:hint="eastAsia" w:ascii="宋体" w:hAnsi="宋体" w:eastAsia="宋体"/>
          <w:color w:val="auto"/>
          <w:kern w:val="0"/>
          <w:sz w:val="21"/>
          <w:szCs w:val="21"/>
          <w:highlight w:val="none"/>
          <w:lang w:eastAsia="zh-CN"/>
        </w:rPr>
        <w:t>中无“报价一览表”的，报价以响应文件正本为准。</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 xml:space="preserve">所有的信封均应注明： </w:t>
      </w:r>
    </w:p>
    <w:p>
      <w:pPr>
        <w:pageBreakBefore w:val="0"/>
        <w:widowControl w:val="0"/>
        <w:numPr>
          <w:ilvl w:val="0"/>
          <w:numId w:val="6"/>
        </w:numPr>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收件人：</w:t>
      </w:r>
      <w:r>
        <w:rPr>
          <w:rFonts w:hint="eastAsia" w:ascii="宋体" w:hAnsi="宋体"/>
          <w:color w:val="auto"/>
          <w:kern w:val="0"/>
          <w:sz w:val="21"/>
          <w:szCs w:val="21"/>
          <w:highlight w:val="none"/>
          <w:lang w:eastAsia="zh-CN"/>
        </w:rPr>
        <w:t>国顺招标有限公司</w:t>
      </w:r>
    </w:p>
    <w:p>
      <w:pPr>
        <w:pageBreakBefore w:val="0"/>
        <w:widowControl w:val="0"/>
        <w:numPr>
          <w:ilvl w:val="0"/>
          <w:numId w:val="6"/>
        </w:numPr>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单位名称：</w:t>
      </w:r>
    </w:p>
    <w:p>
      <w:pPr>
        <w:pageBreakBefore w:val="0"/>
        <w:widowControl w:val="0"/>
        <w:numPr>
          <w:ilvl w:val="0"/>
          <w:numId w:val="6"/>
        </w:numPr>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项目名称：</w:t>
      </w:r>
    </w:p>
    <w:p>
      <w:pPr>
        <w:pageBreakBefore w:val="0"/>
        <w:widowControl w:val="0"/>
        <w:numPr>
          <w:ilvl w:val="0"/>
          <w:numId w:val="6"/>
        </w:numPr>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项目编号</w:t>
      </w:r>
      <w:r>
        <w:rPr>
          <w:rFonts w:hint="eastAsia" w:ascii="宋体" w:hAnsi="宋体" w:eastAsia="宋体"/>
          <w:color w:val="auto"/>
          <w:kern w:val="0"/>
          <w:sz w:val="21"/>
          <w:szCs w:val="21"/>
          <w:highlight w:val="none"/>
        </w:rPr>
        <w:t>：</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采购代理机构将拒绝接收出现以下情况的响应文件：</w:t>
      </w:r>
    </w:p>
    <w:p>
      <w:pPr>
        <w:pageBreakBefore w:val="0"/>
        <w:widowControl w:val="0"/>
        <w:numPr>
          <w:ilvl w:val="0"/>
          <w:numId w:val="7"/>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采用透明包装进行密封或未进行密封的响应文件；</w:t>
      </w:r>
    </w:p>
    <w:p>
      <w:pPr>
        <w:pageBreakBefore w:val="0"/>
        <w:widowControl w:val="0"/>
        <w:numPr>
          <w:ilvl w:val="0"/>
          <w:numId w:val="7"/>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密封破损导致响应文件内容直接或间接泄露的响应文件；</w:t>
      </w:r>
    </w:p>
    <w:p>
      <w:pPr>
        <w:pageBreakBefore w:val="0"/>
        <w:widowControl w:val="0"/>
        <w:numPr>
          <w:ilvl w:val="0"/>
          <w:numId w:val="7"/>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密封信封上项目编号错误的响应文件；</w:t>
      </w:r>
    </w:p>
    <w:p>
      <w:pPr>
        <w:pageBreakBefore w:val="0"/>
        <w:widowControl w:val="0"/>
        <w:numPr>
          <w:ilvl w:val="0"/>
          <w:numId w:val="7"/>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val="en-US" w:eastAsia="zh-CN"/>
        </w:rPr>
        <w:t>未在规定时间内领购文件的供应商的响应文件；</w:t>
      </w:r>
    </w:p>
    <w:p>
      <w:pPr>
        <w:pageBreakBefore w:val="0"/>
        <w:widowControl w:val="0"/>
        <w:numPr>
          <w:ilvl w:val="0"/>
          <w:numId w:val="7"/>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项目名称出现严重歧义或未标注所投项目信息导致无法分辨所投项目为本项目的响应文件；</w:t>
      </w:r>
    </w:p>
    <w:p>
      <w:pPr>
        <w:pageBreakBefore w:val="0"/>
        <w:widowControl w:val="0"/>
        <w:numPr>
          <w:ilvl w:val="0"/>
          <w:numId w:val="7"/>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采用传真、电传的响应文件；</w:t>
      </w:r>
    </w:p>
    <w:p>
      <w:pPr>
        <w:pageBreakBefore w:val="0"/>
        <w:widowControl w:val="0"/>
        <w:numPr>
          <w:ilvl w:val="0"/>
          <w:numId w:val="7"/>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磋商文件规定的其他情形。</w:t>
      </w:r>
    </w:p>
    <w:p>
      <w:pPr>
        <w:pageBreakBefore w:val="0"/>
        <w:widowControl w:val="0"/>
        <w:numPr>
          <w:ilvl w:val="1"/>
          <w:numId w:val="5"/>
        </w:numPr>
        <w:tabs>
          <w:tab w:val="left" w:pos="440"/>
          <w:tab w:val="left" w:pos="660"/>
          <w:tab w:val="clear" w:pos="56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采购代理机构对所有</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的误投或提前启封概不负责。</w:t>
      </w:r>
    </w:p>
    <w:p>
      <w:pPr>
        <w:pageBreakBefore w:val="0"/>
        <w:widowControl w:val="0"/>
        <w:numPr>
          <w:ilvl w:val="1"/>
          <w:numId w:val="5"/>
        </w:numPr>
        <w:tabs>
          <w:tab w:val="left" w:pos="660"/>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同时参加几个包</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时必须按</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要求按包号分别制作</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，分别密封递交。</w:t>
      </w:r>
    </w:p>
    <w:p>
      <w:pPr>
        <w:pageBreakBefore w:val="0"/>
        <w:widowControl w:val="0"/>
        <w:numPr>
          <w:ilvl w:val="1"/>
          <w:numId w:val="5"/>
        </w:numPr>
        <w:tabs>
          <w:tab w:val="left" w:pos="440"/>
          <w:tab w:val="left" w:pos="660"/>
          <w:tab w:val="clear" w:pos="56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递交的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中所提供的通讯方式应保持联络畅通，因联系不上而导致的所有后果由</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自行承担。</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66" w:name="_Toc1911"/>
      <w:bookmarkStart w:id="167" w:name="_Toc14913"/>
      <w:bookmarkStart w:id="168" w:name="_Toc3249"/>
      <w:r>
        <w:rPr>
          <w:rFonts w:hint="eastAsia" w:eastAsia="宋体"/>
          <w:color w:val="auto"/>
          <w:highlight w:val="none"/>
          <w:lang w:val="en-US" w:eastAsia="zh-CN"/>
        </w:rPr>
        <w:t>18.迟交的响应文件</w:t>
      </w:r>
      <w:bookmarkEnd w:id="166"/>
      <w:bookmarkEnd w:id="167"/>
      <w:bookmarkEnd w:id="168"/>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响应截止</w:t>
      </w:r>
      <w:r>
        <w:rPr>
          <w:rFonts w:hint="eastAsia" w:ascii="宋体" w:hAnsi="宋体" w:eastAsia="宋体"/>
          <w:color w:val="auto"/>
          <w:kern w:val="0"/>
          <w:sz w:val="21"/>
          <w:szCs w:val="21"/>
          <w:highlight w:val="none"/>
        </w:rPr>
        <w:t>时间之后提交的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，采购代理机构将拒绝接收</w:t>
      </w:r>
      <w:r>
        <w:rPr>
          <w:rFonts w:ascii="宋体" w:hAnsi="宋体" w:eastAsia="宋体"/>
          <w:color w:val="auto"/>
          <w:kern w:val="0"/>
          <w:sz w:val="21"/>
          <w:szCs w:val="21"/>
          <w:highlight w:val="none"/>
        </w:rPr>
        <w:t>。</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有违反其他法律规定情形的，采购代理机构将拒绝接收。</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69" w:name="_Toc8387"/>
      <w:bookmarkStart w:id="170" w:name="_Toc22059"/>
      <w:bookmarkStart w:id="171" w:name="_Toc13946"/>
      <w:r>
        <w:rPr>
          <w:rFonts w:hint="eastAsia" w:eastAsia="宋体"/>
          <w:color w:val="auto"/>
          <w:highlight w:val="none"/>
          <w:lang w:val="en-US" w:eastAsia="zh-CN"/>
        </w:rPr>
        <w:t>19.磋商样品、磋商演示（如有要求）</w:t>
      </w:r>
      <w:bookmarkEnd w:id="169"/>
      <w:bookmarkEnd w:id="170"/>
      <w:bookmarkEnd w:id="171"/>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如有必要，采购代理机构可以要求</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提供本服务项目涉及的部分设备或产品样品，</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时应提交《样品清单》。</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为方便</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在提供样品时，应在所提供的样品表面显著位置标注</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的名称、包号、样品名称、</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规定的服务或货物编号。</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样品作为</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的一部分，除非另有说明，</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单位的样品将作为履约验收标准的参考不再退还，未</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单位须在</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公告发布后五个工作日内，前往采购代理机构领取</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样品，逾期不领，采购代理机构将不承担样品的保管责任，由此引发的样品丢失、毁损，采购代理机构不予负责。</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hint="default"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如有要求供应商视频演示环节，供应商将需要演示的内容以视频录制展示的形式完成，视频用U盘储存，并作为响应文件的组成部分，标注供应商的名称、项目名称、项目编号、项目包号加以盖章并密封提交。演示全程由采购人或采购单位操作完成。</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如有要求供应商现场演示环节，演示现场提供投影仪及电脑，所需的网络环境及设备全部由供应商自行解决，且供应商不得超过2名工作人员进场演示。演示过程不设置问答环节。</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72" w:name="_Toc382049112"/>
      <w:bookmarkStart w:id="173" w:name="_Toc9777"/>
      <w:bookmarkStart w:id="174" w:name="_Toc303084265"/>
      <w:bookmarkStart w:id="175" w:name="_Toc24777"/>
      <w:bookmarkStart w:id="176" w:name="_Toc518"/>
      <w:bookmarkStart w:id="177" w:name="_Toc1364"/>
      <w:r>
        <w:rPr>
          <w:rFonts w:hint="eastAsia" w:eastAsia="宋体"/>
          <w:color w:val="auto"/>
          <w:highlight w:val="none"/>
          <w:lang w:val="en-US" w:eastAsia="zh-CN"/>
        </w:rPr>
        <w:t>20.响应截止期</w:t>
      </w:r>
      <w:bookmarkEnd w:id="172"/>
      <w:bookmarkEnd w:id="173"/>
      <w:bookmarkEnd w:id="174"/>
      <w:bookmarkEnd w:id="175"/>
      <w:bookmarkEnd w:id="176"/>
      <w:bookmarkEnd w:id="177"/>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应在</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规定的截止日期和时间内，将</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送达到指定地点。</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78" w:name="_Toc28776"/>
      <w:bookmarkStart w:id="179" w:name="_Toc14390"/>
      <w:bookmarkStart w:id="180" w:name="_Toc4603"/>
      <w:r>
        <w:rPr>
          <w:rFonts w:hint="eastAsia" w:eastAsia="宋体"/>
          <w:color w:val="auto"/>
          <w:highlight w:val="none"/>
          <w:lang w:val="en-US" w:eastAsia="zh-CN"/>
        </w:rPr>
        <w:t>21.响应文件的补充、修改与撤回</w:t>
      </w:r>
      <w:bookmarkEnd w:id="178"/>
      <w:bookmarkEnd w:id="179"/>
      <w:bookmarkEnd w:id="180"/>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在提交</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截止时间前，可以对所提交的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进行补充、修改或撤回，并以纸质版形式通知采购代理机构。在提交</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截止时间之后，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不得对其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做出任何的补充和修改。</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对</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的补充、修改的内容应当按</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要求的签署、盖章、密封后，作为</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的组成部分。并按照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规定密封和标记的要求提交，并在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密封袋上标明“补充、修改”字样。</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一经递交不予退还。</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在提交</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截止时间至</w:t>
      </w:r>
      <w:r>
        <w:rPr>
          <w:rFonts w:hint="eastAsia" w:ascii="宋体" w:hAnsi="宋体" w:eastAsia="宋体"/>
          <w:color w:val="auto"/>
          <w:kern w:val="0"/>
          <w:sz w:val="21"/>
          <w:szCs w:val="21"/>
          <w:highlight w:val="none"/>
          <w:lang w:eastAsia="zh-CN"/>
        </w:rPr>
        <w:t>响应有效期</w:t>
      </w:r>
      <w:r>
        <w:rPr>
          <w:rFonts w:hint="eastAsia" w:ascii="宋体" w:hAnsi="宋体" w:eastAsia="宋体"/>
          <w:color w:val="auto"/>
          <w:kern w:val="0"/>
          <w:sz w:val="21"/>
          <w:szCs w:val="21"/>
          <w:highlight w:val="none"/>
        </w:rPr>
        <w:t>满之前，</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不得撤回其</w:t>
      </w:r>
      <w:r>
        <w:rPr>
          <w:rFonts w:hint="eastAsia" w:ascii="宋体" w:hAnsi="宋体" w:eastAsia="宋体"/>
          <w:color w:val="auto"/>
          <w:kern w:val="0"/>
          <w:sz w:val="21"/>
          <w:szCs w:val="21"/>
          <w:highlight w:val="none"/>
          <w:lang w:val="en-US" w:eastAsia="zh-CN"/>
        </w:rPr>
        <w:t>响应文件</w:t>
      </w:r>
      <w:r>
        <w:rPr>
          <w:rFonts w:hint="eastAsia" w:ascii="宋体" w:hAnsi="宋体" w:eastAsia="宋体"/>
          <w:color w:val="auto"/>
          <w:kern w:val="0"/>
          <w:sz w:val="21"/>
          <w:szCs w:val="21"/>
          <w:highlight w:val="none"/>
        </w:rPr>
        <w:t>，否则其</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将不予退还。</w:t>
      </w:r>
    </w:p>
    <w:p>
      <w:pPr>
        <w:keepNext w:val="0"/>
        <w:keepLines w:val="0"/>
        <w:pageBreakBefore w:val="0"/>
        <w:widowControl/>
        <w:kinsoku/>
        <w:wordWrap/>
        <w:overflowPunct/>
        <w:topLinePunct w:val="0"/>
        <w:autoSpaceDE/>
        <w:autoSpaceDN/>
        <w:bidi w:val="0"/>
        <w:adjustRightInd w:val="0"/>
        <w:snapToGrid w:val="0"/>
        <w:spacing w:before="0" w:after="0"/>
        <w:ind w:left="119"/>
        <w:textAlignment w:val="auto"/>
        <w:rPr>
          <w:rFonts w:ascii="宋体" w:hAnsi="宋体" w:eastAsia="宋体" w:cs="宋体"/>
          <w:color w:val="auto"/>
          <w:sz w:val="24"/>
          <w:szCs w:val="22"/>
          <w:highlight w:val="none"/>
          <w:lang w:val="zh-CN" w:eastAsia="zh-CN" w:bidi="zh-CN"/>
        </w:rPr>
      </w:pPr>
    </w:p>
    <w:p>
      <w:pPr>
        <w:pStyle w:val="5"/>
        <w:bidi w:val="0"/>
        <w:rPr>
          <w:rFonts w:hint="eastAsia" w:eastAsia="宋体"/>
          <w:color w:val="auto"/>
          <w:highlight w:val="none"/>
          <w:lang w:val="en-US" w:eastAsia="zh-CN"/>
        </w:rPr>
      </w:pPr>
      <w:bookmarkStart w:id="181" w:name="_Toc14512"/>
      <w:bookmarkStart w:id="182" w:name="_Toc11914"/>
      <w:bookmarkStart w:id="183" w:name="_Toc191"/>
      <w:r>
        <w:rPr>
          <w:rFonts w:hint="eastAsia" w:eastAsia="宋体"/>
          <w:color w:val="auto"/>
          <w:highlight w:val="none"/>
          <w:lang w:val="en-US" w:eastAsia="zh-CN"/>
        </w:rPr>
        <w:t>22.磋商</w:t>
      </w:r>
      <w:bookmarkEnd w:id="181"/>
      <w:bookmarkEnd w:id="182"/>
      <w:bookmarkEnd w:id="183"/>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供应商应在《</w:t>
      </w:r>
      <w:r>
        <w:rPr>
          <w:rFonts w:hint="eastAsia" w:ascii="宋体" w:hAnsi="宋体" w:eastAsia="宋体"/>
          <w:color w:val="auto"/>
          <w:kern w:val="0"/>
          <w:sz w:val="21"/>
          <w:szCs w:val="21"/>
          <w:highlight w:val="none"/>
          <w:lang w:val="en-US" w:eastAsia="zh-CN"/>
        </w:rPr>
        <w:t>磋商</w:t>
      </w:r>
      <w:r>
        <w:rPr>
          <w:rFonts w:hint="eastAsia" w:ascii="宋体" w:hAnsi="宋体" w:eastAsia="宋体"/>
          <w:color w:val="auto"/>
          <w:kern w:val="0"/>
          <w:sz w:val="21"/>
          <w:szCs w:val="21"/>
          <w:highlight w:val="none"/>
        </w:rPr>
        <w:t>邀请》规定的日期、时间和地点递交响应文件并进行现场签到</w:t>
      </w:r>
      <w:r>
        <w:rPr>
          <w:rFonts w:ascii="宋体" w:hAnsi="宋体" w:eastAsia="宋体"/>
          <w:color w:val="auto"/>
          <w:kern w:val="0"/>
          <w:sz w:val="21"/>
          <w:szCs w:val="21"/>
          <w:highlight w:val="none"/>
        </w:rPr>
        <w:t>。</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val="en-US" w:eastAsia="zh-CN"/>
        </w:rPr>
        <w:t>接收响应文件时间截止</w:t>
      </w:r>
      <w:r>
        <w:rPr>
          <w:rFonts w:hint="eastAsia" w:ascii="宋体" w:hAnsi="宋体" w:eastAsia="宋体"/>
          <w:color w:val="auto"/>
          <w:kern w:val="0"/>
          <w:sz w:val="21"/>
          <w:szCs w:val="21"/>
          <w:highlight w:val="none"/>
        </w:rPr>
        <w:t>，由</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或者其推选的代表检查</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的密封情况；经确认密封完好后的响应文件不当众予以拆封，不宣读第一次报价和响应文件的其它主要内容。</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leftChars="0" w:hanging="567" w:firstLineChars="0"/>
        <w:jc w:val="both"/>
        <w:textAlignment w:val="auto"/>
        <w:rPr>
          <w:rFonts w:hint="default" w:ascii="宋体" w:hAnsi="宋体" w:eastAsia="宋体"/>
          <w:color w:val="auto"/>
          <w:kern w:val="0"/>
          <w:sz w:val="21"/>
          <w:szCs w:val="21"/>
          <w:highlight w:val="none"/>
          <w:lang w:val="en-US"/>
        </w:rPr>
      </w:pPr>
      <w:r>
        <w:rPr>
          <w:rFonts w:hint="eastAsia" w:ascii="宋体" w:hAnsi="宋体" w:eastAsia="宋体"/>
          <w:color w:val="auto"/>
          <w:kern w:val="0"/>
          <w:sz w:val="21"/>
          <w:szCs w:val="21"/>
          <w:highlight w:val="none"/>
          <w:lang w:val="en-US" w:eastAsia="zh-CN"/>
        </w:rPr>
        <w:t>进入评审环节，通过资格性审查和符合性审查的有效供应商方有资格提交最终报价及进入综合评审。</w:t>
      </w:r>
    </w:p>
    <w:p>
      <w:pPr>
        <w:keepNext w:val="0"/>
        <w:keepLines w:val="0"/>
        <w:pageBreakBefore w:val="0"/>
        <w:widowControl/>
        <w:kinsoku/>
        <w:wordWrap/>
        <w:overflowPunct/>
        <w:topLinePunct w:val="0"/>
        <w:autoSpaceDE/>
        <w:autoSpaceDN/>
        <w:bidi w:val="0"/>
        <w:adjustRightInd w:val="0"/>
        <w:snapToGrid w:val="0"/>
        <w:spacing w:before="0" w:after="0" w:line="400" w:lineRule="exact"/>
        <w:ind w:left="630" w:leftChars="0" w:hanging="630" w:hangingChars="300"/>
        <w:textAlignment w:val="auto"/>
        <w:rPr>
          <w:rFonts w:hint="default" w:ascii="宋体" w:hAnsi="宋体" w:eastAsia="宋体" w:cs="宋体"/>
          <w:color w:val="auto"/>
          <w:sz w:val="24"/>
          <w:szCs w:val="22"/>
          <w:highlight w:val="none"/>
          <w:lang w:val="en-US" w:eastAsia="zh-CN" w:bidi="zh-CN"/>
        </w:rPr>
      </w:pPr>
      <w:r>
        <w:rPr>
          <w:rFonts w:hint="eastAsia" w:ascii="宋体" w:hAnsi="宋体" w:eastAsia="宋体" w:cs="宋体"/>
          <w:color w:val="auto"/>
          <w:sz w:val="21"/>
          <w:szCs w:val="21"/>
          <w:highlight w:val="none"/>
          <w:lang w:val="en-US" w:eastAsia="zh-CN" w:bidi="zh-CN"/>
        </w:rPr>
        <w:t>22.4. 根据财库〔2015〕124 号，在采购过程中符合要求的供应商只有 2 家的，竞争性磋商采购活动继续进行。</w:t>
      </w:r>
    </w:p>
    <w:p>
      <w:pPr>
        <w:pageBreakBefore w:val="0"/>
        <w:widowControl w:val="0"/>
        <w:kinsoku/>
        <w:wordWrap/>
        <w:topLinePunct w:val="0"/>
        <w:autoSpaceDE/>
        <w:autoSpaceDN/>
        <w:bidi w:val="0"/>
        <w:adjustRightInd/>
        <w:snapToGrid/>
        <w:spacing w:after="0" w:line="400" w:lineRule="exact"/>
        <w:ind w:left="567"/>
        <w:jc w:val="both"/>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84" w:name="_Toc31198"/>
      <w:bookmarkStart w:id="185" w:name="_Toc19811"/>
      <w:bookmarkStart w:id="186" w:name="_Toc13823"/>
      <w:r>
        <w:rPr>
          <w:rFonts w:hint="eastAsia" w:eastAsia="宋体"/>
          <w:color w:val="auto"/>
          <w:highlight w:val="none"/>
          <w:lang w:val="en-US" w:eastAsia="zh-CN"/>
        </w:rPr>
        <w:t>23.磋商小组及评审方法</w:t>
      </w:r>
      <w:bookmarkEnd w:id="184"/>
      <w:bookmarkEnd w:id="185"/>
      <w:bookmarkEnd w:id="186"/>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根据</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项目的特点进行组建，并负责</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工作。</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评审方法：本次</w:t>
      </w:r>
      <w:r>
        <w:rPr>
          <w:rFonts w:hint="eastAsia" w:ascii="宋体" w:hAnsi="宋体" w:eastAsia="宋体"/>
          <w:color w:val="auto"/>
          <w:kern w:val="0"/>
          <w:sz w:val="21"/>
          <w:szCs w:val="21"/>
          <w:highlight w:val="none"/>
          <w:lang w:val="en-US" w:eastAsia="zh-CN"/>
        </w:rPr>
        <w:t>磋商</w:t>
      </w:r>
      <w:r>
        <w:rPr>
          <w:rFonts w:hint="eastAsia" w:ascii="宋体" w:hAnsi="宋体" w:eastAsia="宋体"/>
          <w:color w:val="auto"/>
          <w:kern w:val="0"/>
          <w:sz w:val="21"/>
          <w:szCs w:val="21"/>
          <w:highlight w:val="none"/>
        </w:rPr>
        <w:t>的评审方法采用综合评分法。</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中要求</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提供的相关资质证书证明材料因国家政策变动导致新旧证书名称不一致，旧证书未取消且新旧证书具有同等效力的，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提供新证书与提供在有效期内的旧证书给予同等认可。</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定标原则：在</w:t>
      </w:r>
      <w:r>
        <w:rPr>
          <w:rFonts w:ascii="宋体" w:hAnsi="宋体" w:eastAsia="宋体"/>
          <w:color w:val="auto"/>
          <w:kern w:val="0"/>
          <w:sz w:val="21"/>
          <w:szCs w:val="21"/>
          <w:highlight w:val="none"/>
        </w:rPr>
        <w:t>满足</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实质性要求前提下，按照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规定的各项评价因素进行量化打分，以</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总得分最高的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作为</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候选人或</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对</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的评审内容，分为商务评议、技术评议和价格评议。评审流程包括符合性检查、澄清问题、比较与评价、推荐</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候选人或确定</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、编写</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报告等步骤。</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期间，</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可要求</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对其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进行澄清，但不得寻求、提供或允许对</w:t>
      </w:r>
      <w:r>
        <w:rPr>
          <w:rFonts w:hint="eastAsia" w:ascii="宋体" w:hAnsi="宋体" w:eastAsia="宋体"/>
          <w:color w:val="auto"/>
          <w:kern w:val="0"/>
          <w:sz w:val="21"/>
          <w:szCs w:val="21"/>
          <w:highlight w:val="none"/>
          <w:lang w:val="en-US" w:eastAsia="zh-CN"/>
        </w:rPr>
        <w:t>响应报价</w:t>
      </w:r>
      <w:r>
        <w:rPr>
          <w:rFonts w:hint="eastAsia" w:ascii="宋体" w:hAnsi="宋体" w:eastAsia="宋体"/>
          <w:color w:val="auto"/>
          <w:kern w:val="0"/>
          <w:sz w:val="21"/>
          <w:szCs w:val="21"/>
          <w:highlight w:val="none"/>
        </w:rPr>
        <w:t>等实质性内容做任何更改。有关澄清的要求和答复均应以纸质版形式提交，如</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拒绝</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要求对其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进行澄清的要求，所造成的后果由</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自行承担。</w:t>
      </w:r>
    </w:p>
    <w:p>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87" w:name="_Toc3525"/>
      <w:bookmarkStart w:id="188" w:name="_Toc9540"/>
      <w:bookmarkStart w:id="189" w:name="_Toc20823"/>
      <w:r>
        <w:rPr>
          <w:rFonts w:hint="eastAsia" w:eastAsia="宋体"/>
          <w:color w:val="auto"/>
          <w:highlight w:val="none"/>
          <w:lang w:val="en-US" w:eastAsia="zh-CN"/>
        </w:rPr>
        <w:t>24.评审原则及评审过程的保密</w:t>
      </w:r>
      <w:bookmarkEnd w:id="187"/>
      <w:bookmarkEnd w:id="188"/>
      <w:bookmarkEnd w:id="189"/>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评审的基本原则：</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将依据《中华人民共和国政府采购法》及国家和地方政府有关法规的规定，遵循“</w:t>
      </w:r>
      <w:r>
        <w:rPr>
          <w:rFonts w:hint="eastAsia" w:ascii="宋体" w:hAnsi="宋体" w:eastAsia="宋体"/>
          <w:color w:val="auto"/>
          <w:kern w:val="0"/>
          <w:sz w:val="21"/>
          <w:szCs w:val="21"/>
          <w:highlight w:val="none"/>
          <w:lang w:eastAsia="zh-CN"/>
        </w:rPr>
        <w:t>客观、公正、审慎</w:t>
      </w:r>
      <w:r>
        <w:rPr>
          <w:rFonts w:hint="eastAsia" w:ascii="宋体" w:hAnsi="宋体" w:eastAsia="宋体"/>
          <w:color w:val="auto"/>
          <w:kern w:val="0"/>
          <w:sz w:val="21"/>
          <w:szCs w:val="21"/>
          <w:highlight w:val="none"/>
        </w:rPr>
        <w:t>”的原则进行评审工作。</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从</w:t>
      </w:r>
      <w:r>
        <w:rPr>
          <w:rFonts w:hint="eastAsia" w:ascii="宋体" w:hAnsi="宋体" w:eastAsia="宋体"/>
          <w:color w:val="auto"/>
          <w:kern w:val="0"/>
          <w:sz w:val="21"/>
          <w:szCs w:val="21"/>
          <w:highlight w:val="none"/>
          <w:lang w:eastAsia="zh-CN"/>
        </w:rPr>
        <w:t>递交响应文件截止</w:t>
      </w:r>
      <w:r>
        <w:rPr>
          <w:rFonts w:hint="eastAsia" w:ascii="宋体" w:hAnsi="宋体" w:eastAsia="宋体"/>
          <w:color w:val="auto"/>
          <w:kern w:val="0"/>
          <w:sz w:val="21"/>
          <w:szCs w:val="21"/>
          <w:highlight w:val="none"/>
        </w:rPr>
        <w:t>到签订合同，凡与审查、澄清、评审和</w:t>
      </w:r>
      <w:r>
        <w:rPr>
          <w:rFonts w:hint="eastAsia" w:ascii="宋体" w:hAnsi="宋体" w:eastAsia="宋体"/>
          <w:color w:val="auto"/>
          <w:kern w:val="0"/>
          <w:sz w:val="21"/>
          <w:szCs w:val="21"/>
          <w:highlight w:val="none"/>
          <w:lang w:val="en-US" w:eastAsia="zh-CN"/>
        </w:rPr>
        <w:t>供应商响应文件</w:t>
      </w:r>
      <w:r>
        <w:rPr>
          <w:rFonts w:hint="eastAsia" w:ascii="宋体" w:hAnsi="宋体" w:eastAsia="宋体"/>
          <w:color w:val="auto"/>
          <w:kern w:val="0"/>
          <w:sz w:val="21"/>
          <w:szCs w:val="21"/>
          <w:highlight w:val="none"/>
        </w:rPr>
        <w:t>有关的资料以及定标意见相关的事项，均不得向</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及与</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无关的其他人透露。</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任何单位和个人不得非法干预、影响</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的过程和结果。</w:t>
      </w:r>
    </w:p>
    <w:p>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90" w:name="_Toc18014"/>
      <w:bookmarkStart w:id="191" w:name="_Toc15479"/>
      <w:bookmarkStart w:id="192" w:name="_Toc7072"/>
      <w:r>
        <w:rPr>
          <w:rFonts w:hint="eastAsia" w:eastAsia="宋体"/>
          <w:color w:val="auto"/>
          <w:highlight w:val="none"/>
          <w:lang w:val="en-US" w:eastAsia="zh-CN"/>
        </w:rPr>
        <w:t>25.响应文件的初审</w:t>
      </w:r>
      <w:bookmarkEnd w:id="190"/>
      <w:bookmarkEnd w:id="191"/>
      <w:bookmarkEnd w:id="192"/>
    </w:p>
    <w:p>
      <w:pPr>
        <w:pageBreakBefore w:val="0"/>
        <w:widowControl w:val="0"/>
        <w:numPr>
          <w:ilvl w:val="0"/>
          <w:numId w:val="5"/>
        </w:numPr>
        <w:tabs>
          <w:tab w:val="left" w:pos="907"/>
        </w:tabs>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b/>
          <w:color w:val="auto"/>
          <w:kern w:val="0"/>
          <w:sz w:val="21"/>
          <w:szCs w:val="21"/>
          <w:highlight w:val="none"/>
        </w:rPr>
      </w:pPr>
      <w:r>
        <w:rPr>
          <w:rFonts w:hint="eastAsia" w:ascii="宋体" w:hAnsi="宋体" w:eastAsia="宋体"/>
          <w:color w:val="auto"/>
          <w:kern w:val="0"/>
          <w:sz w:val="21"/>
          <w:szCs w:val="21"/>
          <w:highlight w:val="none"/>
          <w:lang w:val="en-US" w:eastAsia="zh-CN"/>
        </w:rPr>
        <w:t>进入评审环节，磋商小组</w:t>
      </w:r>
      <w:r>
        <w:rPr>
          <w:rFonts w:hint="eastAsia" w:ascii="宋体" w:hAnsi="宋体" w:eastAsia="宋体"/>
          <w:color w:val="auto"/>
          <w:kern w:val="0"/>
          <w:sz w:val="21"/>
          <w:szCs w:val="21"/>
          <w:highlight w:val="none"/>
        </w:rPr>
        <w:t>将依法对</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的进行</w:t>
      </w:r>
      <w:r>
        <w:rPr>
          <w:rFonts w:hint="eastAsia" w:ascii="宋体" w:hAnsi="宋体" w:eastAsia="宋体"/>
          <w:color w:val="auto"/>
          <w:kern w:val="0"/>
          <w:sz w:val="21"/>
          <w:szCs w:val="21"/>
          <w:highlight w:val="none"/>
          <w:lang w:val="en-US" w:eastAsia="zh-CN"/>
        </w:rPr>
        <w:t>资格性</w:t>
      </w:r>
      <w:r>
        <w:rPr>
          <w:rFonts w:hint="eastAsia" w:ascii="宋体" w:hAnsi="宋体" w:eastAsia="宋体"/>
          <w:color w:val="auto"/>
          <w:kern w:val="0"/>
          <w:sz w:val="21"/>
          <w:szCs w:val="21"/>
          <w:highlight w:val="none"/>
        </w:rPr>
        <w:t>审查。</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存在不符合资格性检查所要求事项情况的，</w:t>
      </w:r>
      <w:r>
        <w:rPr>
          <w:rFonts w:hint="eastAsia" w:ascii="宋体" w:hAnsi="宋体" w:eastAsia="宋体"/>
          <w:color w:val="auto"/>
          <w:kern w:val="0"/>
          <w:sz w:val="21"/>
          <w:szCs w:val="21"/>
          <w:highlight w:val="none"/>
          <w:lang w:val="en-US" w:eastAsia="zh-CN"/>
        </w:rPr>
        <w:t>其报价及响应文件作</w:t>
      </w:r>
      <w:r>
        <w:rPr>
          <w:rFonts w:hint="eastAsia" w:ascii="宋体" w:hAnsi="宋体" w:eastAsia="宋体"/>
          <w:color w:val="auto"/>
          <w:kern w:val="0"/>
          <w:sz w:val="21"/>
          <w:szCs w:val="21"/>
          <w:highlight w:val="none"/>
        </w:rPr>
        <w:t>无效</w:t>
      </w:r>
      <w:r>
        <w:rPr>
          <w:rFonts w:hint="eastAsia" w:ascii="宋体" w:hAnsi="宋体" w:eastAsia="宋体"/>
          <w:color w:val="auto"/>
          <w:kern w:val="0"/>
          <w:sz w:val="21"/>
          <w:szCs w:val="21"/>
          <w:highlight w:val="none"/>
          <w:lang w:val="en-US" w:eastAsia="zh-CN"/>
        </w:rPr>
        <w:t>处理</w:t>
      </w:r>
      <w:r>
        <w:rPr>
          <w:rFonts w:hint="eastAsia" w:ascii="宋体" w:hAnsi="宋体" w:eastAsia="宋体"/>
          <w:color w:val="auto"/>
          <w:kern w:val="0"/>
          <w:sz w:val="21"/>
          <w:szCs w:val="21"/>
          <w:highlight w:val="none"/>
        </w:rPr>
        <w:t>。未通过资格</w:t>
      </w:r>
      <w:r>
        <w:rPr>
          <w:rFonts w:hint="eastAsia" w:ascii="宋体" w:hAnsi="宋体" w:eastAsia="宋体"/>
          <w:color w:val="auto"/>
          <w:kern w:val="0"/>
          <w:sz w:val="21"/>
          <w:szCs w:val="21"/>
          <w:highlight w:val="none"/>
          <w:lang w:val="en-US" w:eastAsia="zh-CN"/>
        </w:rPr>
        <w:t>性</w:t>
      </w:r>
      <w:r>
        <w:rPr>
          <w:rFonts w:hint="eastAsia" w:ascii="宋体" w:hAnsi="宋体" w:eastAsia="宋体"/>
          <w:color w:val="auto"/>
          <w:kern w:val="0"/>
          <w:sz w:val="21"/>
          <w:szCs w:val="21"/>
          <w:highlight w:val="none"/>
        </w:rPr>
        <w:t>审查的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w:t>
      </w:r>
      <w:r>
        <w:rPr>
          <w:rFonts w:hint="eastAsia" w:ascii="宋体" w:hAnsi="宋体" w:eastAsia="宋体"/>
          <w:color w:val="auto"/>
          <w:kern w:val="0"/>
          <w:sz w:val="21"/>
          <w:szCs w:val="21"/>
          <w:highlight w:val="none"/>
          <w:lang w:val="en-US" w:eastAsia="zh-CN"/>
        </w:rPr>
        <w:t>进行</w:t>
      </w:r>
      <w:r>
        <w:rPr>
          <w:rFonts w:hint="eastAsia" w:ascii="宋体" w:hAnsi="宋体" w:eastAsia="宋体"/>
          <w:color w:val="auto"/>
          <w:kern w:val="0"/>
          <w:sz w:val="21"/>
          <w:szCs w:val="21"/>
          <w:highlight w:val="none"/>
          <w:lang w:eastAsia="zh-CN"/>
        </w:rPr>
        <w:t>符合性审查，</w:t>
      </w:r>
      <w:r>
        <w:rPr>
          <w:rFonts w:hint="eastAsia" w:ascii="宋体" w:hAnsi="宋体" w:eastAsia="宋体"/>
          <w:b/>
          <w:color w:val="auto"/>
          <w:kern w:val="0"/>
          <w:sz w:val="21"/>
          <w:szCs w:val="21"/>
          <w:highlight w:val="none"/>
        </w:rPr>
        <w:t>资格性检查</w:t>
      </w:r>
      <w:r>
        <w:rPr>
          <w:rFonts w:hint="eastAsia" w:ascii="宋体" w:hAnsi="宋体" w:eastAsia="宋体"/>
          <w:b/>
          <w:color w:val="auto"/>
          <w:kern w:val="0"/>
          <w:sz w:val="21"/>
          <w:szCs w:val="21"/>
          <w:highlight w:val="none"/>
          <w:lang w:eastAsia="zh-CN"/>
        </w:rPr>
        <w:t>中发现下列情形之一的，其</w:t>
      </w:r>
      <w:r>
        <w:rPr>
          <w:rFonts w:hint="eastAsia" w:ascii="宋体" w:hAnsi="宋体" w:eastAsia="宋体"/>
          <w:b/>
          <w:color w:val="auto"/>
          <w:kern w:val="0"/>
          <w:sz w:val="21"/>
          <w:szCs w:val="21"/>
          <w:highlight w:val="none"/>
          <w:lang w:val="en-US" w:eastAsia="zh-CN"/>
        </w:rPr>
        <w:t>报价及响应文件</w:t>
      </w:r>
      <w:r>
        <w:rPr>
          <w:rFonts w:hint="eastAsia" w:ascii="宋体" w:hAnsi="宋体" w:eastAsia="宋体"/>
          <w:b/>
          <w:color w:val="auto"/>
          <w:kern w:val="0"/>
          <w:sz w:val="21"/>
          <w:szCs w:val="21"/>
          <w:highlight w:val="none"/>
          <w:lang w:eastAsia="zh-CN"/>
        </w:rPr>
        <w:t>作</w:t>
      </w:r>
      <w:r>
        <w:rPr>
          <w:rFonts w:hint="eastAsia" w:ascii="宋体" w:hAnsi="宋体" w:eastAsia="宋体"/>
          <w:b/>
          <w:color w:val="auto"/>
          <w:kern w:val="0"/>
          <w:sz w:val="21"/>
          <w:szCs w:val="21"/>
          <w:highlight w:val="none"/>
          <w:lang w:val="en-US" w:eastAsia="zh-CN"/>
        </w:rPr>
        <w:t>无效</w:t>
      </w:r>
      <w:r>
        <w:rPr>
          <w:rFonts w:hint="eastAsia" w:ascii="宋体" w:hAnsi="宋体" w:eastAsia="宋体"/>
          <w:b/>
          <w:color w:val="auto"/>
          <w:kern w:val="0"/>
          <w:sz w:val="21"/>
          <w:szCs w:val="21"/>
          <w:highlight w:val="none"/>
          <w:lang w:eastAsia="zh-CN"/>
        </w:rPr>
        <w:t>处理：</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1) 资格瑕疵</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rPr>
        <w:t>包括但不限于：①资格证明文件未提供或不符合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要求的；②资格证明文件有效期过期的；③《营业执照》复印件（加盖公章）或《事业单位法人证书》复印件（加盖公章）或其他主体证书复印件（加盖公章）未提供或有效期过期的</w:t>
      </w:r>
      <w:r>
        <w:rPr>
          <w:rFonts w:hint="eastAsia" w:ascii="宋体" w:hAnsi="宋体" w:eastAsia="宋体"/>
          <w:color w:val="auto"/>
          <w:kern w:val="0"/>
          <w:sz w:val="21"/>
          <w:szCs w:val="21"/>
          <w:highlight w:val="none"/>
          <w:lang w:eastAsia="zh-CN"/>
        </w:rPr>
        <w:t>；④提供的资质材料模糊不清导致无法辨认的。⑤供应商名称与响应文件公章不一致的。</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 xml:space="preserve">2) </w:t>
      </w:r>
      <w:r>
        <w:rPr>
          <w:rFonts w:hint="eastAsia" w:ascii="宋体" w:hAnsi="宋体"/>
          <w:b/>
          <w:color w:val="auto"/>
          <w:kern w:val="0"/>
          <w:sz w:val="21"/>
          <w:szCs w:val="21"/>
          <w:highlight w:val="none"/>
          <w:lang w:eastAsia="zh-CN"/>
        </w:rPr>
        <w:t>响应保证金</w:t>
      </w:r>
      <w:r>
        <w:rPr>
          <w:rFonts w:hint="eastAsia" w:ascii="宋体" w:hAnsi="宋体" w:eastAsia="宋体"/>
          <w:b/>
          <w:color w:val="auto"/>
          <w:kern w:val="0"/>
          <w:sz w:val="21"/>
          <w:szCs w:val="21"/>
          <w:highlight w:val="none"/>
        </w:rPr>
        <w:t>瑕疵</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包括但不限于：①</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未按</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要求提交</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；②提交方式、提交时间、提交金额不符合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要求；③</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有效期不符合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将对</w:t>
      </w:r>
      <w:r>
        <w:rPr>
          <w:rFonts w:hint="eastAsia" w:ascii="宋体" w:hAnsi="宋体" w:eastAsia="宋体"/>
          <w:color w:val="auto"/>
          <w:kern w:val="0"/>
          <w:sz w:val="21"/>
          <w:szCs w:val="21"/>
          <w:highlight w:val="none"/>
          <w:lang w:val="en-US" w:eastAsia="zh-CN"/>
        </w:rPr>
        <w:t>通过资格性审查</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进行符合性审查，</w:t>
      </w:r>
      <w:r>
        <w:rPr>
          <w:rFonts w:hint="eastAsia" w:ascii="宋体" w:hAnsi="宋体" w:eastAsia="宋体"/>
          <w:color w:val="auto"/>
          <w:kern w:val="0"/>
          <w:sz w:val="21"/>
          <w:szCs w:val="21"/>
          <w:highlight w:val="none"/>
          <w:lang w:eastAsia="zh-CN"/>
        </w:rPr>
        <w:t>以确定是否对磋商文件的实质性要求作出响应，包括审查响应文件是否完整，有否计算错误，文件签署是否合格等</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符合性审查过程</w:t>
      </w:r>
      <w:r>
        <w:rPr>
          <w:rFonts w:hint="eastAsia" w:ascii="宋体" w:hAnsi="宋体" w:eastAsia="宋体"/>
          <w:color w:val="auto"/>
          <w:kern w:val="0"/>
          <w:sz w:val="21"/>
          <w:szCs w:val="21"/>
          <w:highlight w:val="none"/>
        </w:rPr>
        <w:t>中，</w:t>
      </w:r>
      <w:r>
        <w:rPr>
          <w:rFonts w:hint="eastAsia" w:ascii="宋体" w:hAnsi="宋体" w:eastAsia="宋体"/>
          <w:b/>
          <w:color w:val="auto"/>
          <w:kern w:val="0"/>
          <w:sz w:val="21"/>
          <w:szCs w:val="21"/>
          <w:highlight w:val="none"/>
        </w:rPr>
        <w:t>发现下列情况之一的，其</w:t>
      </w:r>
      <w:r>
        <w:rPr>
          <w:rFonts w:hint="eastAsia" w:ascii="宋体" w:hAnsi="宋体" w:eastAsia="宋体"/>
          <w:b/>
          <w:color w:val="auto"/>
          <w:kern w:val="0"/>
          <w:sz w:val="21"/>
          <w:szCs w:val="21"/>
          <w:highlight w:val="none"/>
          <w:lang w:val="en-US" w:eastAsia="zh-CN"/>
        </w:rPr>
        <w:t>报价及响应文件</w:t>
      </w:r>
      <w:r>
        <w:rPr>
          <w:rFonts w:hint="eastAsia" w:ascii="宋体" w:hAnsi="宋体" w:eastAsia="宋体"/>
          <w:b/>
          <w:color w:val="auto"/>
          <w:kern w:val="0"/>
          <w:sz w:val="21"/>
          <w:szCs w:val="21"/>
          <w:highlight w:val="none"/>
        </w:rPr>
        <w:t>将作</w:t>
      </w:r>
      <w:r>
        <w:rPr>
          <w:rFonts w:hint="eastAsia" w:ascii="宋体" w:hAnsi="宋体" w:eastAsia="宋体"/>
          <w:b/>
          <w:color w:val="auto"/>
          <w:kern w:val="0"/>
          <w:sz w:val="21"/>
          <w:szCs w:val="21"/>
          <w:highlight w:val="none"/>
          <w:lang w:val="en-US" w:eastAsia="zh-CN"/>
        </w:rPr>
        <w:t>无效</w:t>
      </w:r>
      <w:r>
        <w:rPr>
          <w:rFonts w:hint="eastAsia" w:ascii="宋体" w:hAnsi="宋体" w:eastAsia="宋体"/>
          <w:b/>
          <w:color w:val="auto"/>
          <w:kern w:val="0"/>
          <w:sz w:val="21"/>
          <w:szCs w:val="21"/>
          <w:highlight w:val="none"/>
        </w:rPr>
        <w:t>处理</w:t>
      </w:r>
      <w:r>
        <w:rPr>
          <w:rFonts w:hint="eastAsia" w:ascii="宋体" w:hAnsi="宋体" w:eastAsia="宋体"/>
          <w:color w:val="auto"/>
          <w:kern w:val="0"/>
          <w:sz w:val="21"/>
          <w:szCs w:val="21"/>
          <w:highlight w:val="none"/>
        </w:rPr>
        <w:t>：</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b/>
          <w:color w:val="auto"/>
          <w:kern w:val="0"/>
          <w:sz w:val="21"/>
          <w:szCs w:val="21"/>
          <w:highlight w:val="none"/>
        </w:rPr>
        <w:t xml:space="preserve">1) </w:t>
      </w:r>
      <w:r>
        <w:rPr>
          <w:rFonts w:hint="eastAsia" w:ascii="宋体" w:hAnsi="宋体" w:eastAsia="宋体"/>
          <w:b/>
          <w:color w:val="auto"/>
          <w:kern w:val="0"/>
          <w:sz w:val="21"/>
          <w:szCs w:val="21"/>
          <w:highlight w:val="none"/>
          <w:lang w:eastAsia="zh-CN"/>
        </w:rPr>
        <w:t>响应文件</w:t>
      </w:r>
      <w:r>
        <w:rPr>
          <w:rFonts w:hint="eastAsia" w:ascii="宋体" w:hAnsi="宋体" w:eastAsia="宋体"/>
          <w:b/>
          <w:color w:val="auto"/>
          <w:kern w:val="0"/>
          <w:sz w:val="21"/>
          <w:szCs w:val="21"/>
          <w:highlight w:val="none"/>
        </w:rPr>
        <w:t>的有效性、完整性瑕疵</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包括但不限于：①</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的数量、制作不符合要求</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内容与采购内容不符的</w:t>
      </w:r>
      <w:r>
        <w:rPr>
          <w:rFonts w:hint="eastAsia" w:ascii="宋体" w:hAnsi="宋体" w:eastAsia="宋体"/>
          <w:color w:val="auto"/>
          <w:kern w:val="0"/>
          <w:sz w:val="21"/>
          <w:szCs w:val="21"/>
          <w:highlight w:val="none"/>
          <w:lang w:eastAsia="zh-CN"/>
        </w:rPr>
        <w:t>（包括但不限于响应文件</w:t>
      </w:r>
      <w:r>
        <w:rPr>
          <w:rFonts w:hint="eastAsia" w:ascii="宋体" w:hAnsi="宋体" w:eastAsia="宋体"/>
          <w:color w:val="auto"/>
          <w:kern w:val="0"/>
          <w:sz w:val="21"/>
          <w:szCs w:val="21"/>
          <w:highlight w:val="none"/>
        </w:rPr>
        <w:t>项目</w:t>
      </w:r>
      <w:r>
        <w:rPr>
          <w:rFonts w:hint="eastAsia" w:ascii="宋体" w:hAnsi="宋体" w:eastAsia="宋体"/>
          <w:color w:val="auto"/>
          <w:kern w:val="0"/>
          <w:sz w:val="21"/>
          <w:szCs w:val="21"/>
          <w:highlight w:val="none"/>
          <w:lang w:eastAsia="zh-CN"/>
        </w:rPr>
        <w:t>项目编号</w:t>
      </w:r>
      <w:r>
        <w:rPr>
          <w:rFonts w:hint="eastAsia" w:ascii="宋体" w:hAnsi="宋体" w:eastAsia="宋体"/>
          <w:color w:val="auto"/>
          <w:kern w:val="0"/>
          <w:sz w:val="21"/>
          <w:szCs w:val="21"/>
          <w:highlight w:val="none"/>
        </w:rPr>
        <w:t>错误，</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项目名称错误导致无法</w:t>
      </w:r>
      <w:r>
        <w:rPr>
          <w:rFonts w:hint="eastAsia" w:ascii="宋体" w:hAnsi="宋体" w:eastAsia="宋体"/>
          <w:color w:val="auto"/>
          <w:kern w:val="0"/>
          <w:sz w:val="21"/>
          <w:szCs w:val="21"/>
          <w:highlight w:val="none"/>
          <w:lang w:val="en-US" w:eastAsia="zh-CN"/>
        </w:rPr>
        <w:t>分辨</w:t>
      </w:r>
      <w:r>
        <w:rPr>
          <w:rFonts w:hint="eastAsia" w:ascii="宋体" w:hAnsi="宋体" w:eastAsia="宋体"/>
          <w:color w:val="auto"/>
          <w:kern w:val="0"/>
          <w:sz w:val="21"/>
          <w:szCs w:val="21"/>
          <w:highlight w:val="none"/>
        </w:rPr>
        <w:t>所投项目为本项目</w:t>
      </w:r>
      <w:r>
        <w:rPr>
          <w:rFonts w:hint="eastAsia" w:ascii="宋体" w:hAnsi="宋体" w:eastAsia="宋体"/>
          <w:color w:val="auto"/>
          <w:kern w:val="0"/>
          <w:sz w:val="21"/>
          <w:szCs w:val="21"/>
          <w:highlight w:val="none"/>
          <w:lang w:eastAsia="zh-CN"/>
        </w:rPr>
        <w:t>，</w:t>
      </w:r>
      <w:r>
        <w:rPr>
          <w:rFonts w:hint="eastAsia" w:ascii="宋体" w:hAnsi="宋体" w:eastAsia="宋体"/>
          <w:color w:val="auto"/>
          <w:kern w:val="0"/>
          <w:sz w:val="21"/>
          <w:szCs w:val="21"/>
          <w:highlight w:val="none"/>
          <w:lang w:val="en-US" w:eastAsia="zh-CN"/>
        </w:rPr>
        <w:t>响应文件数量少于磋商文件要求的</w:t>
      </w:r>
      <w:r>
        <w:rPr>
          <w:rFonts w:hint="eastAsia" w:ascii="宋体" w:hAnsi="宋体" w:eastAsia="宋体"/>
          <w:color w:val="auto"/>
          <w:kern w:val="0"/>
          <w:sz w:val="21"/>
          <w:szCs w:val="21"/>
          <w:highlight w:val="none"/>
          <w:lang w:eastAsia="zh-CN"/>
        </w:rPr>
        <w:t>）</w:t>
      </w:r>
      <w:r>
        <w:rPr>
          <w:rFonts w:hint="eastAsia" w:ascii="宋体" w:hAnsi="宋体" w:eastAsia="宋体"/>
          <w:color w:val="auto"/>
          <w:kern w:val="0"/>
          <w:sz w:val="21"/>
          <w:szCs w:val="21"/>
          <w:highlight w:val="none"/>
        </w:rPr>
        <w:t>；②</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中要求签字的内容无法定代表人或其授权代表签字，或签字人无法定代表人有效授权的；③签字盖章不符合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要求的；④</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内容有严重缺漏项的；</w:t>
      </w:r>
      <w:r>
        <w:rPr>
          <w:rFonts w:hint="eastAsia" w:ascii="宋体" w:hAnsi="宋体" w:eastAsia="宋体"/>
          <w:color w:val="auto"/>
          <w:kern w:val="0"/>
          <w:sz w:val="21"/>
          <w:szCs w:val="21"/>
          <w:highlight w:val="none"/>
          <w:lang w:eastAsia="zh-CN"/>
        </w:rPr>
        <w:t>⑤响应文件</w:t>
      </w:r>
      <w:r>
        <w:rPr>
          <w:rFonts w:hint="eastAsia" w:ascii="宋体" w:hAnsi="宋体" w:eastAsia="宋体"/>
          <w:color w:val="auto"/>
          <w:kern w:val="0"/>
          <w:sz w:val="21"/>
          <w:szCs w:val="21"/>
          <w:highlight w:val="none"/>
        </w:rPr>
        <w:t>的关键内容字迹模糊、无法辨认的；</w:t>
      </w:r>
      <w:r>
        <w:rPr>
          <w:rFonts w:hint="eastAsia" w:ascii="宋体" w:hAnsi="宋体" w:eastAsia="宋体"/>
          <w:color w:val="auto"/>
          <w:kern w:val="0"/>
          <w:sz w:val="21"/>
          <w:szCs w:val="21"/>
          <w:highlight w:val="none"/>
          <w:lang w:eastAsia="zh-CN"/>
        </w:rPr>
        <w:t>⑥响应文件（报价）有效期不符合文件要求的。</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2) 技术响应瑕疵</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val="0"/>
          <w:bCs/>
          <w:color w:val="auto"/>
          <w:kern w:val="0"/>
          <w:sz w:val="21"/>
          <w:szCs w:val="21"/>
          <w:highlight w:val="none"/>
        </w:rPr>
        <w:t>包括但不限于：①响应文件不满足</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中加注星号（★）的主要参数要求或加注星号的主要参数无技术资料支持的；②一般参数超出允许偏离的最大范围或最高项数的；③响应文件技术响应与事实不符或虚假应标的；④《</w:t>
      </w:r>
      <w:r>
        <w:rPr>
          <w:rFonts w:hint="eastAsia" w:ascii="宋体" w:hAnsi="宋体" w:eastAsia="宋体"/>
          <w:b w:val="0"/>
          <w:bCs/>
          <w:color w:val="auto"/>
          <w:kern w:val="0"/>
          <w:sz w:val="21"/>
          <w:szCs w:val="21"/>
          <w:highlight w:val="none"/>
          <w:lang w:eastAsia="zh-CN"/>
        </w:rPr>
        <w:t>技术条款</w:t>
      </w:r>
      <w:r>
        <w:rPr>
          <w:rFonts w:hint="eastAsia" w:ascii="宋体" w:hAnsi="宋体" w:eastAsia="宋体"/>
          <w:b w:val="0"/>
          <w:bCs/>
          <w:color w:val="auto"/>
          <w:kern w:val="0"/>
          <w:sz w:val="21"/>
          <w:szCs w:val="21"/>
          <w:highlight w:val="none"/>
        </w:rPr>
        <w:t>偏离表》未提供的；⑤将一个包中的内容拆开响应的；⑥供应商对同一货物或服务报价时，方案不唯一；⑦明显不符合技术规格、技术标准要求的；⑧其他未实质性响应</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技术要求的。</w:t>
      </w:r>
      <w:r>
        <w:rPr>
          <w:rFonts w:hint="eastAsia" w:ascii="宋体" w:hAnsi="宋体" w:eastAsia="宋体"/>
          <w:b/>
          <w:color w:val="auto"/>
          <w:kern w:val="0"/>
          <w:sz w:val="21"/>
          <w:szCs w:val="21"/>
          <w:highlight w:val="none"/>
        </w:rPr>
        <w:t>3) 商务响应瑕疵</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b w:val="0"/>
          <w:bCs/>
          <w:color w:val="auto"/>
          <w:kern w:val="0"/>
          <w:sz w:val="21"/>
          <w:szCs w:val="21"/>
          <w:highlight w:val="none"/>
        </w:rPr>
      </w:pPr>
      <w:r>
        <w:rPr>
          <w:rFonts w:hint="eastAsia" w:ascii="宋体" w:hAnsi="宋体" w:eastAsia="宋体"/>
          <w:b w:val="0"/>
          <w:bCs/>
          <w:color w:val="auto"/>
          <w:kern w:val="0"/>
          <w:sz w:val="21"/>
          <w:szCs w:val="21"/>
          <w:highlight w:val="none"/>
        </w:rPr>
        <w:t>包括但不限于：①</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加注星号（★）的商务要求负偏离的；②完成期（包括但不限于：工期，服务期，交货期等）未满足</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要求的；③</w:t>
      </w:r>
      <w:r>
        <w:rPr>
          <w:rFonts w:hint="eastAsia" w:ascii="宋体" w:hAnsi="宋体" w:eastAsia="宋体"/>
          <w:b w:val="0"/>
          <w:bCs/>
          <w:color w:val="auto"/>
          <w:kern w:val="0"/>
          <w:sz w:val="21"/>
          <w:szCs w:val="21"/>
          <w:highlight w:val="none"/>
          <w:lang w:eastAsia="zh-CN"/>
        </w:rPr>
        <w:t>响应</w:t>
      </w:r>
      <w:r>
        <w:rPr>
          <w:rFonts w:hint="eastAsia" w:ascii="宋体" w:hAnsi="宋体" w:eastAsia="宋体"/>
          <w:b w:val="0"/>
          <w:bCs/>
          <w:color w:val="auto"/>
          <w:kern w:val="0"/>
          <w:sz w:val="21"/>
          <w:szCs w:val="21"/>
          <w:highlight w:val="none"/>
        </w:rPr>
        <w:t>文件载明的货物包装方式、检验标准和方法不符合</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要求</w:t>
      </w:r>
      <w:r>
        <w:rPr>
          <w:rFonts w:hint="eastAsia" w:ascii="宋体" w:hAnsi="宋体" w:eastAsia="宋体"/>
          <w:b w:val="0"/>
          <w:bCs/>
          <w:color w:val="auto"/>
          <w:kern w:val="0"/>
          <w:sz w:val="21"/>
          <w:szCs w:val="21"/>
          <w:highlight w:val="none"/>
          <w:lang w:eastAsia="zh-CN"/>
        </w:rPr>
        <w:t>，采购人无法接受的</w:t>
      </w:r>
      <w:r>
        <w:rPr>
          <w:rFonts w:hint="eastAsia" w:ascii="宋体" w:hAnsi="宋体" w:eastAsia="宋体"/>
          <w:b w:val="0"/>
          <w:bCs/>
          <w:color w:val="auto"/>
          <w:kern w:val="0"/>
          <w:sz w:val="21"/>
          <w:szCs w:val="21"/>
          <w:highlight w:val="none"/>
        </w:rPr>
        <w:t>；④《商务条款偏离表》未提供的；</w:t>
      </w:r>
      <w:r>
        <w:rPr>
          <w:rFonts w:hint="eastAsia" w:ascii="宋体" w:hAnsi="宋体" w:eastAsia="宋体"/>
          <w:b w:val="0"/>
          <w:bCs/>
          <w:color w:val="auto"/>
          <w:kern w:val="0"/>
          <w:sz w:val="21"/>
          <w:szCs w:val="21"/>
          <w:highlight w:val="none"/>
          <w:lang w:eastAsia="zh-CN"/>
        </w:rPr>
        <w:t>⑤</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附有采购人不能接受的条件的；</w:t>
      </w:r>
      <w:r>
        <w:rPr>
          <w:rFonts w:hint="eastAsia" w:ascii="宋体" w:hAnsi="宋体" w:eastAsia="宋体"/>
          <w:b w:val="0"/>
          <w:bCs/>
          <w:color w:val="auto"/>
          <w:kern w:val="0"/>
          <w:sz w:val="21"/>
          <w:szCs w:val="21"/>
          <w:highlight w:val="none"/>
          <w:lang w:eastAsia="zh-CN"/>
        </w:rPr>
        <w:t>⑥</w:t>
      </w:r>
      <w:r>
        <w:rPr>
          <w:rFonts w:hint="eastAsia" w:ascii="宋体" w:hAnsi="宋体" w:eastAsia="宋体"/>
          <w:b w:val="0"/>
          <w:bCs/>
          <w:color w:val="auto"/>
          <w:kern w:val="0"/>
          <w:sz w:val="21"/>
          <w:szCs w:val="21"/>
          <w:highlight w:val="none"/>
        </w:rPr>
        <w:t>其他未实质性响应</w:t>
      </w:r>
      <w:r>
        <w:rPr>
          <w:rFonts w:hint="eastAsia" w:ascii="宋体" w:hAnsi="宋体" w:eastAsia="宋体"/>
          <w:b w:val="0"/>
          <w:bCs/>
          <w:color w:val="auto"/>
          <w:kern w:val="0"/>
          <w:sz w:val="21"/>
          <w:szCs w:val="21"/>
          <w:highlight w:val="none"/>
          <w:lang w:val="en-US" w:eastAsia="zh-CN"/>
        </w:rPr>
        <w:t>磋商</w:t>
      </w:r>
      <w:r>
        <w:rPr>
          <w:rFonts w:hint="eastAsia" w:ascii="宋体" w:hAnsi="宋体" w:eastAsia="宋体"/>
          <w:b w:val="0"/>
          <w:bCs/>
          <w:color w:val="auto"/>
          <w:kern w:val="0"/>
          <w:sz w:val="21"/>
          <w:szCs w:val="21"/>
          <w:highlight w:val="none"/>
        </w:rPr>
        <w:t>文件商务要求的。</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4）报价瑕疵</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b w:val="0"/>
          <w:bCs/>
          <w:color w:val="auto"/>
          <w:kern w:val="0"/>
          <w:sz w:val="21"/>
          <w:szCs w:val="21"/>
          <w:highlight w:val="none"/>
        </w:rPr>
      </w:pPr>
      <w:r>
        <w:rPr>
          <w:rFonts w:hint="eastAsia" w:ascii="宋体" w:hAnsi="宋体" w:eastAsia="宋体"/>
          <w:b w:val="0"/>
          <w:bCs/>
          <w:color w:val="auto"/>
          <w:kern w:val="0"/>
          <w:sz w:val="21"/>
          <w:szCs w:val="21"/>
          <w:highlight w:val="none"/>
        </w:rPr>
        <w:t>包括但不限于：①一次报价或最终报价超过本</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明确的项目预算或文件明确的最高限价；②未按</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要求进行报价的；③报价内容或报价格式不符合</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要求的；④报价有严重缺漏项的。</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5）违规行为</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b w:val="0"/>
          <w:bCs/>
          <w:color w:val="auto"/>
          <w:kern w:val="0"/>
          <w:sz w:val="21"/>
          <w:szCs w:val="21"/>
          <w:highlight w:val="none"/>
          <w:lang w:eastAsia="zh-CN"/>
        </w:rPr>
      </w:pPr>
      <w:r>
        <w:rPr>
          <w:rFonts w:hint="eastAsia" w:ascii="宋体" w:hAnsi="宋体" w:eastAsia="宋体"/>
          <w:b w:val="0"/>
          <w:bCs/>
          <w:color w:val="auto"/>
          <w:kern w:val="0"/>
          <w:sz w:val="21"/>
          <w:szCs w:val="21"/>
          <w:highlight w:val="none"/>
          <w:lang w:eastAsia="zh-CN"/>
        </w:rPr>
        <w:t>包括但不限于：①以他人的名义</w:t>
      </w:r>
      <w:r>
        <w:rPr>
          <w:rFonts w:hint="eastAsia" w:ascii="宋体" w:hAnsi="宋体" w:eastAsia="宋体"/>
          <w:b w:val="0"/>
          <w:bCs/>
          <w:color w:val="auto"/>
          <w:kern w:val="0"/>
          <w:sz w:val="21"/>
          <w:szCs w:val="21"/>
          <w:highlight w:val="none"/>
          <w:lang w:val="en-US" w:eastAsia="zh-CN"/>
        </w:rPr>
        <w:t>报价</w:t>
      </w:r>
      <w:r>
        <w:rPr>
          <w:rFonts w:hint="eastAsia" w:ascii="宋体" w:hAnsi="宋体" w:eastAsia="宋体"/>
          <w:b w:val="0"/>
          <w:bCs/>
          <w:color w:val="auto"/>
          <w:kern w:val="0"/>
          <w:sz w:val="21"/>
          <w:szCs w:val="21"/>
          <w:highlight w:val="none"/>
          <w:lang w:eastAsia="zh-CN"/>
        </w:rPr>
        <w:t>、串通响应、以行贿手段谋取成交或者以其他弄虚作假方式</w:t>
      </w:r>
      <w:r>
        <w:rPr>
          <w:rFonts w:hint="eastAsia" w:ascii="宋体" w:hAnsi="宋体" w:eastAsia="宋体"/>
          <w:b w:val="0"/>
          <w:bCs/>
          <w:color w:val="auto"/>
          <w:kern w:val="0"/>
          <w:sz w:val="21"/>
          <w:szCs w:val="21"/>
          <w:highlight w:val="none"/>
          <w:lang w:val="en-US" w:eastAsia="zh-CN"/>
        </w:rPr>
        <w:t>响应磋商</w:t>
      </w:r>
      <w:r>
        <w:rPr>
          <w:rFonts w:hint="eastAsia" w:ascii="宋体" w:hAnsi="宋体" w:eastAsia="宋体"/>
          <w:b w:val="0"/>
          <w:bCs/>
          <w:color w:val="auto"/>
          <w:kern w:val="0"/>
          <w:sz w:val="21"/>
          <w:szCs w:val="21"/>
          <w:highlight w:val="none"/>
          <w:lang w:eastAsia="zh-CN"/>
        </w:rPr>
        <w:t>的；②扰乱</w:t>
      </w:r>
      <w:r>
        <w:rPr>
          <w:rFonts w:hint="eastAsia" w:ascii="宋体" w:hAnsi="宋体" w:eastAsia="宋体"/>
          <w:b w:val="0"/>
          <w:bCs/>
          <w:color w:val="auto"/>
          <w:kern w:val="0"/>
          <w:sz w:val="21"/>
          <w:szCs w:val="21"/>
          <w:highlight w:val="none"/>
          <w:lang w:val="en-US" w:eastAsia="zh-CN"/>
        </w:rPr>
        <w:t>磋商评审</w:t>
      </w:r>
      <w:r>
        <w:rPr>
          <w:rFonts w:hint="eastAsia" w:ascii="宋体" w:hAnsi="宋体" w:eastAsia="宋体"/>
          <w:b w:val="0"/>
          <w:bCs/>
          <w:color w:val="auto"/>
          <w:kern w:val="0"/>
          <w:sz w:val="21"/>
          <w:szCs w:val="21"/>
          <w:highlight w:val="none"/>
          <w:lang w:eastAsia="zh-CN"/>
        </w:rPr>
        <w:t>秩序，干扰采购工作正常进行的。③存在经磋商小组认定的其他违规违法行为。</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6)法律法规及</w:t>
      </w:r>
      <w:r>
        <w:rPr>
          <w:rFonts w:hint="eastAsia" w:ascii="宋体" w:hAnsi="宋体" w:eastAsia="宋体"/>
          <w:b/>
          <w:color w:val="auto"/>
          <w:kern w:val="0"/>
          <w:sz w:val="21"/>
          <w:szCs w:val="21"/>
          <w:highlight w:val="none"/>
          <w:lang w:eastAsia="zh-CN"/>
        </w:rPr>
        <w:t>磋商文件</w:t>
      </w:r>
      <w:r>
        <w:rPr>
          <w:rFonts w:hint="eastAsia" w:ascii="宋体" w:hAnsi="宋体" w:eastAsia="宋体"/>
          <w:b/>
          <w:color w:val="auto"/>
          <w:kern w:val="0"/>
          <w:sz w:val="21"/>
          <w:szCs w:val="21"/>
          <w:highlight w:val="none"/>
        </w:rPr>
        <w:t>中规定的其它情形。</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根据项目情况，</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有权决定</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中“可能导致废标”或“可能导致其</w:t>
      </w:r>
      <w:r>
        <w:rPr>
          <w:rFonts w:hint="eastAsia" w:ascii="宋体" w:hAnsi="宋体" w:eastAsia="宋体"/>
          <w:color w:val="auto"/>
          <w:kern w:val="0"/>
          <w:sz w:val="21"/>
          <w:szCs w:val="21"/>
          <w:highlight w:val="none"/>
          <w:lang w:val="en-US" w:eastAsia="zh-CN"/>
        </w:rPr>
        <w:t>响应文件</w:t>
      </w:r>
      <w:r>
        <w:rPr>
          <w:rFonts w:hint="eastAsia" w:ascii="宋体" w:hAnsi="宋体" w:eastAsia="宋体"/>
          <w:color w:val="auto"/>
          <w:kern w:val="0"/>
          <w:sz w:val="21"/>
          <w:szCs w:val="21"/>
          <w:highlight w:val="none"/>
        </w:rPr>
        <w:t>被拒绝”等具体条款是否实施“废标”或“</w:t>
      </w:r>
      <w:r>
        <w:rPr>
          <w:rFonts w:hint="eastAsia" w:ascii="宋体" w:hAnsi="宋体" w:eastAsia="宋体"/>
          <w:color w:val="auto"/>
          <w:kern w:val="0"/>
          <w:sz w:val="21"/>
          <w:szCs w:val="21"/>
          <w:highlight w:val="none"/>
          <w:lang w:val="en-US" w:eastAsia="zh-CN"/>
        </w:rPr>
        <w:t>响应文件</w:t>
      </w:r>
      <w:r>
        <w:rPr>
          <w:rFonts w:hint="eastAsia" w:ascii="宋体" w:hAnsi="宋体" w:eastAsia="宋体"/>
          <w:color w:val="auto"/>
          <w:kern w:val="0"/>
          <w:sz w:val="21"/>
          <w:szCs w:val="21"/>
          <w:highlight w:val="none"/>
        </w:rPr>
        <w:t>被拒绝”，但对同一条款的裁决应适用于每个</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Tahoma" w:hAnsi="Tahoma" w:eastAsia="微软雅黑"/>
          <w:color w:val="auto"/>
          <w:kern w:val="0"/>
          <w:sz w:val="21"/>
          <w:szCs w:val="21"/>
          <w:highlight w:val="none"/>
        </w:rPr>
      </w:pPr>
      <w:r>
        <w:rPr>
          <w:rFonts w:hint="eastAsia" w:ascii="宋体" w:hAnsi="宋体" w:eastAsia="宋体"/>
          <w:color w:val="auto"/>
          <w:kern w:val="0"/>
          <w:sz w:val="21"/>
          <w:szCs w:val="21"/>
          <w:highlight w:val="none"/>
        </w:rPr>
        <w:t>20.4.在磋商过程中，供应商提交的澄清文件和最终响应文件，由供应商法定代表人或授权代表签署后生效，供应商应受其约束。因此，该签字人参加磋商时需出示有效的身份证明文件，否则，其签字的澄清文件和最终响应（报价）文件无效。</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Tahoma" w:hAnsi="Tahoma" w:eastAsia="微软雅黑"/>
          <w:color w:val="auto"/>
          <w:kern w:val="0"/>
          <w:sz w:val="21"/>
          <w:szCs w:val="21"/>
          <w:highlight w:val="none"/>
        </w:rPr>
      </w:pPr>
      <w:r>
        <w:rPr>
          <w:rFonts w:hint="eastAsia" w:ascii="宋体" w:hAnsi="宋体" w:eastAsia="宋体"/>
          <w:color w:val="auto"/>
          <w:kern w:val="0"/>
          <w:sz w:val="21"/>
          <w:szCs w:val="21"/>
          <w:highlight w:val="none"/>
        </w:rPr>
        <w:t>在详细</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之前，</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要审查每份</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是否实质上响应了</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的要求。实质上</w:t>
      </w:r>
      <w:r>
        <w:rPr>
          <w:rFonts w:hint="eastAsia" w:ascii="宋体" w:hAnsi="宋体" w:eastAsia="宋体"/>
          <w:color w:val="auto"/>
          <w:kern w:val="0"/>
          <w:sz w:val="21"/>
          <w:szCs w:val="21"/>
          <w:highlight w:val="none"/>
          <w:lang w:eastAsia="zh-CN"/>
        </w:rPr>
        <w:t>的</w:t>
      </w:r>
      <w:r>
        <w:rPr>
          <w:rFonts w:hint="eastAsia" w:ascii="宋体" w:hAnsi="宋体" w:eastAsia="宋体"/>
          <w:color w:val="auto"/>
          <w:kern w:val="0"/>
          <w:sz w:val="21"/>
          <w:szCs w:val="21"/>
          <w:highlight w:val="none"/>
        </w:rPr>
        <w:t>响应应该是与</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要求的全部主要条款（加“★”号）、条件和规格相符，没有重大偏离的</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。对关键条文的偏离、保留或反对，例如关于</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、合同条款的重大偏离将被认为是实质上的偏离。</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决定</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的响应性只根据</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本身的内容，而不寻求外部的证据。</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实质上没有响应磋商文件要求的响应文件将被拒绝。供应商不得通过修正或撤销不合要求的偏离或保留从而使其响应成为实质上的响应。</w:t>
      </w:r>
    </w:p>
    <w:p>
      <w:pPr>
        <w:pageBreakBefore w:val="0"/>
        <w:widowControl w:val="0"/>
        <w:numPr>
          <w:ilvl w:val="0"/>
          <w:numId w:val="0"/>
        </w:numPr>
        <w:kinsoku/>
        <w:wordWrap/>
        <w:topLinePunct w:val="0"/>
        <w:autoSpaceDE/>
        <w:autoSpaceDN/>
        <w:bidi w:val="0"/>
        <w:adjustRightInd/>
        <w:snapToGrid/>
        <w:spacing w:after="0" w:line="400" w:lineRule="exact"/>
        <w:ind w:leftChars="0"/>
        <w:jc w:val="both"/>
        <w:textAlignment w:val="auto"/>
        <w:rPr>
          <w:rFonts w:hint="eastAsia" w:ascii="宋体" w:hAnsi="宋体" w:eastAsia="宋体"/>
          <w:color w:val="auto"/>
          <w:kern w:val="0"/>
          <w:sz w:val="21"/>
          <w:szCs w:val="21"/>
          <w:highlight w:val="none"/>
          <w:lang w:eastAsia="zh-CN"/>
        </w:rPr>
      </w:pPr>
    </w:p>
    <w:p>
      <w:pPr>
        <w:pStyle w:val="5"/>
        <w:bidi w:val="0"/>
        <w:rPr>
          <w:rFonts w:hint="eastAsia" w:eastAsia="宋体"/>
          <w:color w:val="auto"/>
          <w:highlight w:val="none"/>
          <w:lang w:val="en-US" w:eastAsia="zh-CN"/>
        </w:rPr>
      </w:pPr>
      <w:bookmarkStart w:id="193" w:name="_Toc9736"/>
      <w:bookmarkStart w:id="194" w:name="_Toc16157"/>
      <w:bookmarkStart w:id="195" w:name="_Toc4041"/>
      <w:r>
        <w:rPr>
          <w:rFonts w:hint="eastAsia" w:eastAsia="宋体"/>
          <w:color w:val="auto"/>
          <w:highlight w:val="none"/>
          <w:lang w:val="en-US" w:eastAsia="zh-CN"/>
        </w:rPr>
        <w:t>26.商务、技术、价格评审</w:t>
      </w:r>
      <w:bookmarkEnd w:id="193"/>
      <w:bookmarkEnd w:id="194"/>
      <w:bookmarkEnd w:id="195"/>
    </w:p>
    <w:p>
      <w:pPr>
        <w:pageBreakBefore w:val="0"/>
        <w:widowControl w:val="0"/>
        <w:numPr>
          <w:ilvl w:val="0"/>
          <w:numId w:val="5"/>
        </w:numPr>
        <w:tabs>
          <w:tab w:val="left" w:pos="907"/>
        </w:tabs>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val="en-US" w:eastAsia="zh-CN"/>
        </w:rPr>
        <w:t xml:space="preserve"> 磋商小组所有成员应当集中与单一供应商分别进行磋商，并给予所有参加磋商的供应商平等的磋商机会。其磋商顺序以供应商签到顺序为准</w:t>
      </w:r>
      <w:r>
        <w:rPr>
          <w:rFonts w:hint="eastAsia" w:ascii="宋体" w:hAnsi="宋体" w:eastAsia="宋体"/>
          <w:color w:val="auto"/>
          <w:kern w:val="0"/>
          <w:sz w:val="21"/>
          <w:szCs w:val="21"/>
          <w:highlight w:val="none"/>
        </w:rPr>
        <w:t xml:space="preserve">。 </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磋商小组将拒绝与出现以下情况的供应商授权代表进行磋商：</w:t>
      </w:r>
    </w:p>
    <w:p>
      <w:pPr>
        <w:pageBreakBefore w:val="0"/>
        <w:widowControl w:val="0"/>
        <w:numPr>
          <w:ilvl w:val="0"/>
          <w:numId w:val="0"/>
        </w:numPr>
        <w:tabs>
          <w:tab w:val="left" w:pos="907"/>
        </w:tabs>
        <w:kinsoku/>
        <w:wordWrap/>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（一）供应商授权代表无有效授权的；</w:t>
      </w:r>
    </w:p>
    <w:p>
      <w:pPr>
        <w:pageBreakBefore w:val="0"/>
        <w:widowControl w:val="0"/>
        <w:numPr>
          <w:ilvl w:val="0"/>
          <w:numId w:val="0"/>
        </w:numPr>
        <w:tabs>
          <w:tab w:val="left" w:pos="907"/>
        </w:tabs>
        <w:kinsoku/>
        <w:wordWrap/>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（二）供应商响应文件中的授权代表与现场进行磋商的授权代表不一致的；</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（三）法人参加磋商但无法定代表人证明书的；</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（四）授权代表现场不能出具可证明其身份信息的证件或文件的；</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（五）供应商一次报价超出</w:t>
      </w:r>
      <w:r>
        <w:rPr>
          <w:rFonts w:hint="eastAsia" w:ascii="宋体" w:hAnsi="宋体"/>
          <w:color w:val="auto"/>
          <w:kern w:val="0"/>
          <w:sz w:val="21"/>
          <w:szCs w:val="21"/>
          <w:highlight w:val="none"/>
          <w:lang w:eastAsia="zh-CN"/>
        </w:rPr>
        <w:t>磋商文件</w:t>
      </w:r>
      <w:r>
        <w:rPr>
          <w:rFonts w:hint="eastAsia" w:ascii="宋体" w:hAnsi="宋体" w:eastAsia="宋体"/>
          <w:color w:val="auto"/>
          <w:kern w:val="0"/>
          <w:sz w:val="21"/>
          <w:szCs w:val="21"/>
          <w:highlight w:val="none"/>
        </w:rPr>
        <w:t>所规定的预算或最高限价的；</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（六）扰乱磋商秩序，干扰采购工作正常进行的；</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（七）直接或间接影响其他供应商进行最终报价的；</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（八）磋商小组认定为违规的情况；</w:t>
      </w:r>
    </w:p>
    <w:p>
      <w:pPr>
        <w:pageBreakBefore w:val="0"/>
        <w:widowControl w:val="0"/>
        <w:numPr>
          <w:ilvl w:val="0"/>
          <w:numId w:val="0"/>
        </w:numPr>
        <w:tabs>
          <w:tab w:val="left" w:pos="907"/>
        </w:tabs>
        <w:kinsoku/>
        <w:wordWrap/>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（九）</w:t>
      </w:r>
      <w:r>
        <w:rPr>
          <w:rFonts w:hint="eastAsia" w:ascii="宋体" w:hAnsi="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规定的其他情况。</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磋商小组与供应商分别进行磋商（除特殊情况外，磋商小组仅对各供应商进行一轮磋商）。在磋商过程中，磋商小组应当严格遵循保密原则，未经供应商同意不得向任何人透露当事人技术、价格和其他重要信息。</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磋商文件的修正：磋商小组调整或修改采购需求内容时，应取得磋商小组的一致同意，并以书面形式通知所有参加磋商的供应商。但任何形式的决定须以符合公平、公正原则和有利于项目的顺利实施为前提。对磋商文件作出的实质性变动是磋商文件的有效组成部分。</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供应商应当按照磋商文件的变动情况和磋商小组的要求重新提交响应文件（或补充以书面材料），并由其法定代表人或授权代表签字或者加盖公章。由授权代表签字的，应当附法定代表人授权书。供应商为自然人的，应当由本人签字并附身份证明。补充文件是响应文件的组成部分。</w:t>
      </w:r>
    </w:p>
    <w:p>
      <w:pPr>
        <w:keepNext w:val="0"/>
        <w:keepLines w:val="0"/>
        <w:pageBreakBefore w:val="0"/>
        <w:widowControl w:val="0"/>
        <w:numPr>
          <w:ilvl w:val="1"/>
          <w:numId w:val="5"/>
        </w:numPr>
        <w:tabs>
          <w:tab w:val="left" w:pos="907"/>
        </w:tabs>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val="en-US" w:eastAsia="zh-CN"/>
        </w:rPr>
        <w:t>最终报价</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630" w:leftChars="0" w:hanging="630" w:hangingChars="300"/>
        <w:jc w:val="both"/>
        <w:textAlignment w:val="auto"/>
        <w:rPr>
          <w:rFonts w:hint="eastAsia"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26.6.1.磋商文件能够详细列明采购标的的技术、服务要求的，磋商结束后，磋商小组应当要求所有实质性响应的供应商在规定时间内提交最终报价（最终报价时间视磋商进程由磋商小组决定）。最后报价是供应商响应文件的有效组成部分。</w:t>
      </w:r>
    </w:p>
    <w:p>
      <w:pPr>
        <w:keepNext w:val="0"/>
        <w:keepLines w:val="0"/>
        <w:pageBreakBefore w:val="0"/>
        <w:kinsoku/>
        <w:wordWrap/>
        <w:overflowPunct/>
        <w:topLinePunct w:val="0"/>
        <w:autoSpaceDE/>
        <w:autoSpaceDN/>
        <w:bidi w:val="0"/>
        <w:adjustRightInd w:val="0"/>
        <w:snapToGrid w:val="0"/>
        <w:spacing w:before="0" w:after="0" w:line="400" w:lineRule="exact"/>
        <w:ind w:left="630" w:leftChars="0" w:hanging="630" w:hangingChars="30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26.6.2.通过初审，但未在规定时间内进行最终报价的供应商，其报价文件上的报价视为其最终报价。</w:t>
      </w:r>
    </w:p>
    <w:p>
      <w:pPr>
        <w:keepNext w:val="0"/>
        <w:keepLines w:val="0"/>
        <w:pageBreakBefore w:val="0"/>
        <w:kinsoku/>
        <w:wordWrap/>
        <w:overflowPunct/>
        <w:topLinePunct w:val="0"/>
        <w:autoSpaceDE/>
        <w:autoSpaceDN/>
        <w:bidi w:val="0"/>
        <w:adjustRightInd w:val="0"/>
        <w:snapToGrid w:val="0"/>
        <w:spacing w:before="0" w:after="0" w:line="400" w:lineRule="exact"/>
        <w:ind w:left="630" w:leftChars="0" w:hanging="630" w:hangingChars="30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26.6.3.已提交响应文件的供应商，在提交最后报价之前，可以根据磋商情况退出磋商。响应文件不予退还，</w:t>
      </w:r>
      <w:r>
        <w:rPr>
          <w:rFonts w:hint="eastAsia" w:ascii="宋体" w:hAnsi="宋体" w:cstheme="minorBidi"/>
          <w:color w:val="auto"/>
          <w:sz w:val="21"/>
          <w:szCs w:val="21"/>
          <w:highlight w:val="none"/>
          <w:lang w:val="en-US" w:eastAsia="zh-CN" w:bidi="ar-SA"/>
        </w:rPr>
        <w:t>响应保证金</w:t>
      </w:r>
      <w:r>
        <w:rPr>
          <w:rFonts w:hint="eastAsia" w:ascii="宋体" w:hAnsi="宋体" w:eastAsia="宋体" w:cstheme="minorBidi"/>
          <w:color w:val="auto"/>
          <w:sz w:val="21"/>
          <w:szCs w:val="21"/>
          <w:highlight w:val="none"/>
          <w:lang w:val="en-US" w:eastAsia="zh-CN" w:bidi="ar-SA"/>
        </w:rPr>
        <w:t>按</w:t>
      </w:r>
      <w:r>
        <w:rPr>
          <w:rFonts w:hint="eastAsia" w:ascii="宋体" w:hAnsi="宋体" w:cstheme="minorBidi"/>
          <w:color w:val="auto"/>
          <w:sz w:val="21"/>
          <w:szCs w:val="21"/>
          <w:highlight w:val="none"/>
          <w:lang w:val="en-US" w:eastAsia="zh-CN" w:bidi="ar-SA"/>
        </w:rPr>
        <w:t>磋商文件</w:t>
      </w:r>
      <w:r>
        <w:rPr>
          <w:rFonts w:hint="eastAsia" w:ascii="宋体" w:hAnsi="宋体" w:eastAsia="宋体" w:cstheme="minorBidi"/>
          <w:color w:val="auto"/>
          <w:sz w:val="21"/>
          <w:szCs w:val="21"/>
          <w:highlight w:val="none"/>
          <w:lang w:val="en-US" w:eastAsia="zh-CN" w:bidi="ar-SA"/>
        </w:rPr>
        <w:t>规定进行退还。退出磋商的供应商不进入综合评分环节。</w:t>
      </w:r>
    </w:p>
    <w:p>
      <w:pPr>
        <w:keepNext w:val="0"/>
        <w:keepLines w:val="0"/>
        <w:pageBreakBefore w:val="0"/>
        <w:widowControl w:val="0"/>
        <w:numPr>
          <w:ilvl w:val="1"/>
          <w:numId w:val="5"/>
        </w:numPr>
        <w:tabs>
          <w:tab w:val="left" w:pos="907"/>
        </w:tabs>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cstheme="minorBidi"/>
          <w:color w:val="auto"/>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综合评分法</w:t>
      </w:r>
    </w:p>
    <w:p>
      <w:pPr>
        <w:keepNext w:val="0"/>
        <w:keepLines w:val="0"/>
        <w:pageBreakBefore w:val="0"/>
        <w:widowControl/>
        <w:kinsoku/>
        <w:wordWrap/>
        <w:overflowPunct/>
        <w:topLinePunct w:val="0"/>
        <w:autoSpaceDE/>
        <w:autoSpaceDN/>
        <w:bidi w:val="0"/>
        <w:adjustRightInd w:val="0"/>
        <w:snapToGrid w:val="0"/>
        <w:spacing w:before="0" w:after="0" w:line="400" w:lineRule="exact"/>
        <w:ind w:left="630" w:leftChars="0" w:hanging="630" w:hangingChars="30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26.7.1经磋商确定最终采购需求和提交最后报价的供应商后，由磋商小组采用综合评分法对提交最后报价的供应商的响应文件和最后报价进行综合评分。</w:t>
      </w:r>
    </w:p>
    <w:p>
      <w:pPr>
        <w:keepNext w:val="0"/>
        <w:keepLines w:val="0"/>
        <w:pageBreakBefore w:val="0"/>
        <w:kinsoku/>
        <w:wordWrap/>
        <w:overflowPunct/>
        <w:topLinePunct w:val="0"/>
        <w:autoSpaceDE/>
        <w:autoSpaceDN/>
        <w:bidi w:val="0"/>
        <w:adjustRightInd w:val="0"/>
        <w:snapToGrid w:val="0"/>
        <w:spacing w:before="0" w:after="0" w:line="400" w:lineRule="exact"/>
        <w:ind w:left="0" w:leftChars="0" w:firstLine="0" w:firstLineChars="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26.7.2.价格评审：</w:t>
      </w:r>
    </w:p>
    <w:p>
      <w:pPr>
        <w:keepNext w:val="0"/>
        <w:keepLines w:val="0"/>
        <w:pageBreakBefore w:val="0"/>
        <w:widowControl/>
        <w:kinsoku/>
        <w:wordWrap/>
        <w:overflowPunct/>
        <w:topLinePunct w:val="0"/>
        <w:autoSpaceDE/>
        <w:autoSpaceDN/>
        <w:bidi w:val="0"/>
        <w:adjustRightInd w:val="0"/>
        <w:snapToGrid w:val="0"/>
        <w:spacing w:before="0" w:after="0" w:line="400" w:lineRule="exact"/>
        <w:ind w:left="0" w:leftChars="0" w:firstLine="879" w:firstLineChars="419"/>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（一）以各供应商最终报价进行评审；</w:t>
      </w:r>
    </w:p>
    <w:p>
      <w:pPr>
        <w:keepNext w:val="0"/>
        <w:keepLines w:val="0"/>
        <w:pageBreakBefore w:val="0"/>
        <w:widowControl/>
        <w:kinsoku/>
        <w:wordWrap/>
        <w:overflowPunct/>
        <w:topLinePunct w:val="0"/>
        <w:autoSpaceDE/>
        <w:autoSpaceDN/>
        <w:bidi w:val="0"/>
        <w:adjustRightInd w:val="0"/>
        <w:snapToGrid w:val="0"/>
        <w:spacing w:before="0" w:after="0" w:line="400" w:lineRule="exact"/>
        <w:ind w:left="840" w:leftChars="400" w:firstLine="0" w:firstLineChars="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二）报价错误修正原则：①大写金额与小写金额不一致的，以大写金额为准；总价金额与按单价汇总金额不一致的，以单价金额计算结果为准；单价金额小数点有明显错位的，应以总价为准，并修改单价；同时出现上述两种以上不一致的，按照前款规定的顺序修正。修正价后的价格作为核实价。②以上修正后的报价应当经报价供应商采用书面形式，并加盖公章，或者由法定代表人或其授权的代表签字确认，并对报价供应商产生约束力，报价供应商不确认的，其报价无效。③响应文件中报价一览表内容与响应文件中相应内容不一致的，以报价一览表为准。</w:t>
      </w:r>
    </w:p>
    <w:p>
      <w:pPr>
        <w:keepNext w:val="0"/>
        <w:keepLines w:val="0"/>
        <w:pageBreakBefore w:val="0"/>
        <w:widowControl/>
        <w:numPr>
          <w:ilvl w:val="0"/>
          <w:numId w:val="8"/>
        </w:numPr>
        <w:kinsoku/>
        <w:wordWrap/>
        <w:overflowPunct/>
        <w:topLinePunct w:val="0"/>
        <w:autoSpaceDE/>
        <w:autoSpaceDN/>
        <w:bidi w:val="0"/>
        <w:adjustRightInd w:val="0"/>
        <w:snapToGrid w:val="0"/>
        <w:spacing w:before="0" w:after="0" w:line="400" w:lineRule="exact"/>
        <w:ind w:left="120" w:leftChars="0" w:firstLine="758" w:firstLineChars="361"/>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对报价服务报价漏项的，作非实质性响应处理。</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00" w:lineRule="exact"/>
        <w:ind w:left="840" w:hanging="840" w:hangingChars="400"/>
        <w:jc w:val="left"/>
        <w:textAlignment w:val="auto"/>
        <w:rPr>
          <w:rFonts w:hint="eastAsia" w:ascii="宋体" w:hAnsi="宋体" w:eastAsia="宋体"/>
          <w:color w:val="auto"/>
          <w:kern w:val="0"/>
          <w:sz w:val="21"/>
          <w:szCs w:val="21"/>
          <w:highlight w:val="none"/>
          <w:lang w:val="en-US" w:eastAsia="zh-CN"/>
        </w:rPr>
      </w:pPr>
      <w:r>
        <w:rPr>
          <w:rFonts w:hint="eastAsia" w:ascii="宋体" w:hAnsi="宋体" w:eastAsia="宋体" w:cstheme="minorBidi"/>
          <w:color w:val="auto"/>
          <w:kern w:val="0"/>
          <w:sz w:val="21"/>
          <w:szCs w:val="21"/>
          <w:highlight w:val="none"/>
          <w:lang w:val="en-US" w:eastAsia="zh-CN" w:bidi="ar-SA"/>
        </w:rPr>
        <w:t xml:space="preserve">26.7.3. </w:t>
      </w:r>
      <w:r>
        <w:rPr>
          <w:rFonts w:hint="eastAsia" w:ascii="宋体" w:hAnsi="宋体" w:eastAsia="宋体"/>
          <w:color w:val="auto"/>
          <w:kern w:val="0"/>
          <w:sz w:val="21"/>
          <w:szCs w:val="21"/>
          <w:highlight w:val="none"/>
          <w:lang w:val="en-US" w:eastAsia="zh-CN"/>
        </w:rPr>
        <w:t>磋商小组对通过资格审查、符合性审查及进行最终报价的供应商的响应文件进行详细评审。磋商小组对每一响应文件进行详细的商务评审、技术评审。按照评审程序的规定和依据评分标准，对每个供应商响应文件的技术、商务状况及其对</w:t>
      </w:r>
      <w:r>
        <w:rPr>
          <w:rFonts w:hint="eastAsia" w:ascii="宋体" w:hAnsi="宋体"/>
          <w:color w:val="auto"/>
          <w:kern w:val="0"/>
          <w:sz w:val="21"/>
          <w:szCs w:val="21"/>
          <w:highlight w:val="none"/>
          <w:lang w:val="en-US" w:eastAsia="zh-CN"/>
        </w:rPr>
        <w:t>磋商文件</w:t>
      </w:r>
      <w:r>
        <w:rPr>
          <w:rFonts w:hint="eastAsia" w:ascii="宋体" w:hAnsi="宋体" w:eastAsia="宋体"/>
          <w:color w:val="auto"/>
          <w:kern w:val="0"/>
          <w:sz w:val="21"/>
          <w:szCs w:val="21"/>
          <w:highlight w:val="none"/>
          <w:lang w:val="en-US" w:eastAsia="zh-CN"/>
        </w:rPr>
        <w:t>要求的响应情况进行评议和比较，评出其技术评分和商务评分。根据</w:t>
      </w:r>
      <w:r>
        <w:rPr>
          <w:rFonts w:hint="eastAsia" w:ascii="宋体" w:hAnsi="宋体"/>
          <w:color w:val="auto"/>
          <w:kern w:val="0"/>
          <w:sz w:val="21"/>
          <w:szCs w:val="21"/>
          <w:highlight w:val="none"/>
          <w:lang w:val="en-US" w:eastAsia="zh-CN"/>
        </w:rPr>
        <w:t>磋商文件</w:t>
      </w:r>
      <w:r>
        <w:rPr>
          <w:rFonts w:hint="eastAsia" w:ascii="宋体" w:hAnsi="宋体" w:eastAsia="宋体"/>
          <w:color w:val="auto"/>
          <w:kern w:val="0"/>
          <w:sz w:val="21"/>
          <w:szCs w:val="21"/>
          <w:highlight w:val="none"/>
          <w:lang w:val="en-US" w:eastAsia="zh-CN"/>
        </w:rPr>
        <w:t>规定评出得分，将价格得分、商务得分、技术得分相加得出最终评审得分（最终评审得分分值按四舍五入原则精确到小数点后两位）。</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00" w:lineRule="exact"/>
        <w:ind w:left="840" w:hanging="840" w:hangingChars="400"/>
        <w:jc w:val="left"/>
        <w:textAlignment w:val="auto"/>
        <w:rPr>
          <w:rFonts w:hint="eastAsia"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26.7.4. 使用综合评分法的采购项目，核心产品提供相同品牌产品且通过资格审查、符合性审查的不同供应商参加同一合同项下报价的，按一家供应商计算，评审后得分最高的同品牌供应商获得成交供应商推荐资格。</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00" w:lineRule="exact"/>
        <w:ind w:left="840" w:hanging="840" w:hangingChars="400"/>
        <w:jc w:val="left"/>
        <w:textAlignment w:val="auto"/>
        <w:rPr>
          <w:rFonts w:hint="eastAsia"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26.7.5. 核心产品提供相同品牌产品且通过资格审查、符合性审查的不同供应商参加同一合同项下报价且评审得分相同的，按照评审因素的技术评审得分最高的供应商为排名第一的成交候选人，其他同品牌供应商不作为成交候选人。</w:t>
      </w:r>
    </w:p>
    <w:p>
      <w:pPr>
        <w:keepNext w:val="0"/>
        <w:keepLines w:val="0"/>
        <w:pageBreakBefore w:val="0"/>
        <w:widowControl/>
        <w:kinsoku/>
        <w:wordWrap/>
        <w:overflowPunct/>
        <w:topLinePunct w:val="0"/>
        <w:autoSpaceDE/>
        <w:autoSpaceDN/>
        <w:bidi w:val="0"/>
        <w:adjustRightInd w:val="0"/>
        <w:snapToGrid w:val="0"/>
        <w:spacing w:before="0" w:after="0" w:line="400" w:lineRule="exact"/>
        <w:ind w:left="840" w:leftChars="0" w:hanging="840" w:hangingChars="40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26.7.6. 采用综合评分法的，评审结果按评审后得分由高到低顺序排列。得分相同的，按最终报价由低到高顺序排列。</w:t>
      </w:r>
      <w:r>
        <w:rPr>
          <w:rFonts w:hint="eastAsia" w:ascii="宋体" w:hAnsi="宋体" w:eastAsia="宋体" w:cs="宋体"/>
          <w:color w:val="auto"/>
          <w:sz w:val="21"/>
          <w:szCs w:val="21"/>
          <w:highlight w:val="none"/>
          <w:lang w:val="zh-CN" w:eastAsia="zh-CN" w:bidi="zh-CN"/>
        </w:rPr>
        <w:t>评审得分及报价均相同时，以随机抽取方式决定。</w:t>
      </w:r>
      <w:r>
        <w:rPr>
          <w:rFonts w:hint="eastAsia" w:ascii="宋体" w:hAnsi="宋体" w:eastAsia="宋体" w:cstheme="minorBidi"/>
          <w:color w:val="auto"/>
          <w:sz w:val="21"/>
          <w:szCs w:val="21"/>
          <w:highlight w:val="none"/>
          <w:lang w:val="en-US" w:eastAsia="zh-CN" w:bidi="ar-SA"/>
        </w:rPr>
        <w:t>响应文件满足</w:t>
      </w:r>
      <w:r>
        <w:rPr>
          <w:rFonts w:hint="eastAsia" w:ascii="宋体" w:hAnsi="宋体" w:cstheme="minorBidi"/>
          <w:color w:val="auto"/>
          <w:sz w:val="21"/>
          <w:szCs w:val="21"/>
          <w:highlight w:val="none"/>
          <w:lang w:val="en-US" w:eastAsia="zh-CN" w:bidi="ar-SA"/>
        </w:rPr>
        <w:t>磋商文件</w:t>
      </w:r>
      <w:r>
        <w:rPr>
          <w:rFonts w:hint="eastAsia" w:ascii="宋体" w:hAnsi="宋体" w:eastAsia="宋体" w:cstheme="minorBidi"/>
          <w:color w:val="auto"/>
          <w:sz w:val="21"/>
          <w:szCs w:val="21"/>
          <w:highlight w:val="none"/>
          <w:lang w:val="en-US" w:eastAsia="zh-CN" w:bidi="ar-SA"/>
        </w:rPr>
        <w:t>全部实质性要求，且按照评审因素的量化指标评审得分最高的供应商为排名第一的成交候选人。</w:t>
      </w:r>
    </w:p>
    <w:p>
      <w:pPr>
        <w:pageBreakBefore w:val="0"/>
        <w:widowControl w:val="0"/>
        <w:numPr>
          <w:ilvl w:val="0"/>
          <w:numId w:val="0"/>
        </w:numPr>
        <w:kinsoku/>
        <w:wordWrap/>
        <w:topLinePunct w:val="0"/>
        <w:autoSpaceDE/>
        <w:autoSpaceDN/>
        <w:bidi w:val="0"/>
        <w:adjustRightInd/>
        <w:snapToGrid/>
        <w:spacing w:after="0" w:line="400" w:lineRule="exact"/>
        <w:ind w:leftChars="0"/>
        <w:jc w:val="both"/>
        <w:textAlignment w:val="auto"/>
        <w:rPr>
          <w:rFonts w:hint="eastAsia" w:ascii="Tahoma" w:hAnsi="Tahoma" w:eastAsia="微软雅黑"/>
          <w:color w:val="auto"/>
          <w:kern w:val="0"/>
          <w:sz w:val="22"/>
          <w:szCs w:val="22"/>
          <w:highlight w:val="none"/>
          <w:lang w:val="en-US" w:eastAsia="zh-CN"/>
        </w:rPr>
      </w:pPr>
    </w:p>
    <w:p>
      <w:pPr>
        <w:pStyle w:val="5"/>
        <w:bidi w:val="0"/>
        <w:rPr>
          <w:rFonts w:hint="eastAsia" w:eastAsia="宋体"/>
          <w:color w:val="auto"/>
          <w:highlight w:val="none"/>
          <w:lang w:val="en-US" w:eastAsia="zh-CN"/>
        </w:rPr>
      </w:pPr>
      <w:bookmarkStart w:id="196" w:name="_Toc316375620"/>
      <w:bookmarkStart w:id="197" w:name="_Toc30865"/>
      <w:bookmarkStart w:id="198" w:name="_Toc382049120"/>
      <w:bookmarkStart w:id="199" w:name="_Toc20328"/>
      <w:bookmarkStart w:id="200" w:name="_Toc25030"/>
      <w:bookmarkStart w:id="201" w:name="_Toc30573"/>
      <w:r>
        <w:rPr>
          <w:rFonts w:hint="eastAsia" w:eastAsia="宋体"/>
          <w:color w:val="auto"/>
          <w:highlight w:val="none"/>
          <w:lang w:val="en-US" w:eastAsia="zh-CN"/>
        </w:rPr>
        <w:t>27.纪律和保密</w:t>
      </w:r>
      <w:bookmarkEnd w:id="196"/>
      <w:r>
        <w:rPr>
          <w:rFonts w:hint="eastAsia" w:eastAsia="宋体"/>
          <w:color w:val="auto"/>
          <w:highlight w:val="none"/>
          <w:lang w:val="en-US" w:eastAsia="zh-CN"/>
        </w:rPr>
        <w:t>事项</w:t>
      </w:r>
      <w:bookmarkEnd w:id="197"/>
      <w:bookmarkEnd w:id="198"/>
      <w:bookmarkEnd w:id="199"/>
      <w:bookmarkEnd w:id="200"/>
      <w:bookmarkEnd w:id="201"/>
    </w:p>
    <w:p>
      <w:pPr>
        <w:pageBreakBefore w:val="0"/>
        <w:widowControl w:val="0"/>
        <w:numPr>
          <w:ilvl w:val="0"/>
          <w:numId w:val="5"/>
        </w:numPr>
        <w:tabs>
          <w:tab w:val="left" w:pos="907"/>
        </w:tabs>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采购全过程</w:t>
      </w:r>
      <w:r>
        <w:rPr>
          <w:rFonts w:hint="eastAsia" w:ascii="宋体" w:hAnsi="宋体" w:eastAsia="宋体"/>
          <w:color w:val="auto"/>
          <w:kern w:val="0"/>
          <w:sz w:val="21"/>
          <w:szCs w:val="21"/>
          <w:highlight w:val="none"/>
        </w:rPr>
        <w:t>期间，在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的审查、澄清、比较和评价阶段，</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试图对</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和采购代理机构施加任何影响或对采购人的比较及授予合同的决定产生影响，都可能导致其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被拒绝。</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不得串通作弊，以不正当的手段妨碍、排挤其他</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，扰乱市场，破坏公平竞争原则。否则将按相关法律规定严肃处理。</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获得本</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，应对文件进行保密，不得用作本次</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以外的任何用途。</w:t>
      </w:r>
      <w:r>
        <w:rPr>
          <w:rFonts w:hint="eastAsia" w:ascii="宋体" w:hAnsi="宋体" w:eastAsia="宋体"/>
          <w:color w:val="auto"/>
          <w:kern w:val="0"/>
          <w:sz w:val="21"/>
          <w:szCs w:val="21"/>
          <w:highlight w:val="none"/>
          <w:lang w:eastAsia="zh-CN"/>
        </w:rPr>
        <w:t>签到</w:t>
      </w:r>
      <w:r>
        <w:rPr>
          <w:rFonts w:hint="eastAsia" w:ascii="宋体" w:hAnsi="宋体" w:eastAsia="宋体"/>
          <w:color w:val="auto"/>
          <w:kern w:val="0"/>
          <w:sz w:val="21"/>
          <w:szCs w:val="21"/>
          <w:highlight w:val="none"/>
        </w:rPr>
        <w:t>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应归还</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中要求保密的文件和资料。</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default" w:eastAsia="宋体"/>
          <w:color w:val="auto"/>
          <w:highlight w:val="none"/>
          <w:lang w:val="en-US" w:eastAsia="zh-CN"/>
        </w:rPr>
      </w:pPr>
      <w:bookmarkStart w:id="202" w:name="_Toc508284011"/>
      <w:bookmarkStart w:id="203" w:name="_Toc21560"/>
      <w:bookmarkStart w:id="204" w:name="_Toc27383"/>
      <w:bookmarkStart w:id="205" w:name="_Toc21265"/>
      <w:r>
        <w:rPr>
          <w:rFonts w:hint="eastAsia" w:eastAsia="宋体"/>
          <w:color w:val="auto"/>
          <w:highlight w:val="none"/>
          <w:lang w:val="en-US" w:eastAsia="zh-CN"/>
        </w:rPr>
        <w:t>28.</w:t>
      </w:r>
      <w:bookmarkEnd w:id="202"/>
      <w:r>
        <w:rPr>
          <w:rFonts w:hint="eastAsia" w:eastAsia="宋体"/>
          <w:color w:val="auto"/>
          <w:highlight w:val="none"/>
          <w:lang w:val="en-US" w:eastAsia="zh-CN"/>
        </w:rPr>
        <w:t>确定成交</w:t>
      </w:r>
      <w:bookmarkEnd w:id="203"/>
      <w:bookmarkEnd w:id="204"/>
      <w:bookmarkEnd w:id="205"/>
    </w:p>
    <w:p>
      <w:pPr>
        <w:pageBreakBefore w:val="0"/>
        <w:widowControl w:val="0"/>
        <w:numPr>
          <w:ilvl w:val="0"/>
          <w:numId w:val="5"/>
        </w:numPr>
        <w:tabs>
          <w:tab w:val="left" w:pos="907"/>
        </w:tabs>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磋商小组完成评审工作后，出具评审报告，推荐3名以上成交候选供应商。符合法律法规允许的情况的，可以推荐2家成交候选供应商。</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采购人从成交候选供应商名单中按照综合得分排序确定1名成交供应商</w:t>
      </w:r>
      <w:r>
        <w:rPr>
          <w:rFonts w:ascii="宋体" w:hAnsi="宋体" w:eastAsia="宋体"/>
          <w:color w:val="auto"/>
          <w:kern w:val="0"/>
          <w:sz w:val="21"/>
          <w:szCs w:val="21"/>
          <w:highlight w:val="none"/>
        </w:rPr>
        <w:t>。</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206" w:name="_Toc508284013"/>
      <w:bookmarkStart w:id="207" w:name="_Toc6459"/>
      <w:bookmarkStart w:id="208" w:name="_Toc2468"/>
      <w:bookmarkStart w:id="209" w:name="_Toc24851"/>
      <w:r>
        <w:rPr>
          <w:rFonts w:hint="eastAsia" w:eastAsia="宋体"/>
          <w:color w:val="auto"/>
          <w:highlight w:val="none"/>
          <w:lang w:val="en-US" w:eastAsia="zh-CN"/>
        </w:rPr>
        <w:t>29.发布采购结果</w:t>
      </w:r>
      <w:bookmarkEnd w:id="206"/>
      <w:bookmarkEnd w:id="207"/>
      <w:bookmarkEnd w:id="208"/>
      <w:bookmarkEnd w:id="209"/>
    </w:p>
    <w:p>
      <w:pPr>
        <w:pageBreakBefore w:val="0"/>
        <w:widowControl w:val="0"/>
        <w:numPr>
          <w:ilvl w:val="0"/>
          <w:numId w:val="5"/>
        </w:numPr>
        <w:tabs>
          <w:tab w:val="left" w:pos="907"/>
        </w:tabs>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提出</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书面报告和推荐</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意见报采购人确认后，采购代理机构将在指定的信息发布媒体上发布公告。</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公告期限为1个工作日。</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结果公示发布后，成交单位应及时领取成交通知书。</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通知书》是合同的一个组成部分，《</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通知书》对采购人和</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均具有同等法律效力。</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无正当理由不得放弃</w:t>
      </w:r>
      <w:r>
        <w:rPr>
          <w:rFonts w:hint="eastAsia" w:ascii="宋体" w:hAnsi="宋体" w:eastAsia="宋体"/>
          <w:color w:val="auto"/>
          <w:kern w:val="0"/>
          <w:sz w:val="21"/>
          <w:szCs w:val="21"/>
          <w:highlight w:val="none"/>
          <w:lang w:eastAsia="zh-CN"/>
        </w:rPr>
        <w:t>成交，因成交供应商放弃成交而对采购人造成的损失由放弃成交的成交供应商承担。</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为残疾人福利性单位的，采购人或者其委托的采购代理机构应当随</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、成交结果同时公告其《残疾人福利性单位声明函》，接受社会监督。</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b/>
          <w:bCs/>
          <w:color w:val="auto"/>
          <w:kern w:val="0"/>
          <w:sz w:val="21"/>
          <w:szCs w:val="21"/>
          <w:highlight w:val="none"/>
          <w:lang w:eastAsia="zh-CN"/>
        </w:rPr>
      </w:pPr>
      <w:r>
        <w:rPr>
          <w:rFonts w:hint="eastAsia" w:ascii="宋体" w:hAnsi="宋体" w:eastAsia="宋体"/>
          <w:b/>
          <w:bCs/>
          <w:color w:val="auto"/>
          <w:kern w:val="0"/>
          <w:sz w:val="21"/>
          <w:szCs w:val="21"/>
          <w:highlight w:val="none"/>
          <w:lang w:eastAsia="zh-CN"/>
        </w:rPr>
        <w:t>原件核查</w:t>
      </w:r>
    </w:p>
    <w:p>
      <w:pPr>
        <w:pageBreakBefore w:val="0"/>
        <w:widowControl w:val="0"/>
        <w:numPr>
          <w:ilvl w:val="2"/>
          <w:numId w:val="5"/>
        </w:numPr>
        <w:tabs>
          <w:tab w:val="left" w:pos="567"/>
          <w:tab w:val="left" w:pos="907"/>
          <w:tab w:val="clear" w:pos="794"/>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采购结果发布后，采购代理机构</w:t>
      </w:r>
      <w:r>
        <w:rPr>
          <w:rFonts w:hint="eastAsia" w:ascii="宋体" w:hAnsi="宋体" w:eastAsia="宋体"/>
          <w:b w:val="0"/>
          <w:bCs w:val="0"/>
          <w:color w:val="auto"/>
          <w:kern w:val="0"/>
          <w:sz w:val="21"/>
          <w:szCs w:val="21"/>
          <w:highlight w:val="none"/>
          <w:lang w:val="en-US" w:eastAsia="zh-CN"/>
        </w:rPr>
        <w:t>或采购人有权对</w:t>
      </w:r>
      <w:r>
        <w:rPr>
          <w:rFonts w:hint="eastAsia" w:ascii="宋体" w:hAnsi="宋体" w:eastAsia="宋体"/>
          <w:b w:val="0"/>
          <w:bCs w:val="0"/>
          <w:color w:val="auto"/>
          <w:kern w:val="0"/>
          <w:sz w:val="21"/>
          <w:szCs w:val="21"/>
          <w:highlight w:val="none"/>
          <w:lang w:eastAsia="zh-CN"/>
        </w:rPr>
        <w:t>成交单位</w:t>
      </w:r>
      <w:r>
        <w:rPr>
          <w:rFonts w:hint="eastAsia" w:ascii="宋体" w:hAnsi="宋体" w:eastAsia="宋体"/>
          <w:b w:val="0"/>
          <w:bCs w:val="0"/>
          <w:color w:val="auto"/>
          <w:kern w:val="0"/>
          <w:sz w:val="21"/>
          <w:szCs w:val="21"/>
          <w:highlight w:val="none"/>
          <w:lang w:val="en-US" w:eastAsia="zh-CN"/>
        </w:rPr>
        <w:t>进行原件核查，成交单位应</w:t>
      </w:r>
      <w:r>
        <w:rPr>
          <w:rFonts w:hint="eastAsia" w:ascii="宋体" w:hAnsi="宋体" w:eastAsia="宋体"/>
          <w:b w:val="0"/>
          <w:bCs w:val="0"/>
          <w:color w:val="auto"/>
          <w:kern w:val="0"/>
          <w:sz w:val="21"/>
          <w:szCs w:val="21"/>
          <w:highlight w:val="none"/>
          <w:lang w:eastAsia="zh-CN"/>
        </w:rPr>
        <w:t>在五个工作日</w:t>
      </w:r>
      <w:r>
        <w:rPr>
          <w:rFonts w:hint="eastAsia" w:ascii="宋体" w:hAnsi="宋体" w:eastAsia="宋体"/>
          <w:b w:val="0"/>
          <w:bCs w:val="0"/>
          <w:color w:val="auto"/>
          <w:kern w:val="0"/>
          <w:sz w:val="21"/>
          <w:szCs w:val="21"/>
          <w:highlight w:val="none"/>
          <w:lang w:val="en-US" w:eastAsia="zh-CN"/>
        </w:rPr>
        <w:t>内把相关原件递交至采购代理机构</w:t>
      </w:r>
      <w:r>
        <w:rPr>
          <w:rFonts w:hint="eastAsia" w:ascii="宋体" w:hAnsi="宋体" w:eastAsia="宋体"/>
          <w:b w:val="0"/>
          <w:bCs w:val="0"/>
          <w:color w:val="auto"/>
          <w:kern w:val="0"/>
          <w:sz w:val="21"/>
          <w:szCs w:val="21"/>
          <w:highlight w:val="none"/>
          <w:lang w:eastAsia="zh-CN"/>
        </w:rPr>
        <w:t>办公地址或采购人指定地址进行核查。</w:t>
      </w:r>
    </w:p>
    <w:p>
      <w:pPr>
        <w:pageBreakBefore w:val="0"/>
        <w:widowControl w:val="0"/>
        <w:numPr>
          <w:ilvl w:val="2"/>
          <w:numId w:val="5"/>
        </w:numPr>
        <w:tabs>
          <w:tab w:val="left" w:pos="567"/>
          <w:tab w:val="left" w:pos="907"/>
          <w:tab w:val="clear" w:pos="794"/>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成交单位有下列情形之一的，取消成交资格：</w:t>
      </w:r>
    </w:p>
    <w:p>
      <w:pPr>
        <w:pageBreakBefore w:val="0"/>
        <w:widowControl w:val="0"/>
        <w:numPr>
          <w:ilvl w:val="0"/>
          <w:numId w:val="9"/>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拒绝采购人或采购代理机构原件核查要求的；</w:t>
      </w:r>
    </w:p>
    <w:p>
      <w:pPr>
        <w:pageBreakBefore w:val="0"/>
        <w:widowControl w:val="0"/>
        <w:numPr>
          <w:ilvl w:val="0"/>
          <w:numId w:val="9"/>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未在规定时间内将原件递交到到采购代理机构办公地址或采购人指定地址进行核查的；</w:t>
      </w:r>
    </w:p>
    <w:p>
      <w:pPr>
        <w:pageBreakBefore w:val="0"/>
        <w:widowControl w:val="0"/>
        <w:numPr>
          <w:ilvl w:val="0"/>
          <w:numId w:val="9"/>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在规定时间内递交的原件数量、内容与采购人、采购代理机构要求不一致的；</w:t>
      </w:r>
    </w:p>
    <w:p>
      <w:pPr>
        <w:pageBreakBefore w:val="0"/>
        <w:widowControl w:val="0"/>
        <w:numPr>
          <w:ilvl w:val="0"/>
          <w:numId w:val="9"/>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val="en-US" w:eastAsia="zh-CN"/>
        </w:rPr>
        <w:t>因原件续期、更改等原因不能按时递交原件且未能在规定时间内提供相应部门开具的变更、续期等证明的；</w:t>
      </w:r>
    </w:p>
    <w:p>
      <w:pPr>
        <w:pageBreakBefore w:val="0"/>
        <w:widowControl w:val="0"/>
        <w:numPr>
          <w:ilvl w:val="0"/>
          <w:numId w:val="9"/>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经查原件，响应文件内容有造假行为的。</w:t>
      </w:r>
    </w:p>
    <w:p>
      <w:pPr>
        <w:pageBreakBefore w:val="0"/>
        <w:widowControl w:val="0"/>
        <w:numPr>
          <w:ilvl w:val="2"/>
          <w:numId w:val="5"/>
        </w:numPr>
        <w:tabs>
          <w:tab w:val="left" w:pos="567"/>
          <w:tab w:val="left" w:pos="907"/>
          <w:tab w:val="clear" w:pos="794"/>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采购结果发布后，采购代理机构</w:t>
      </w:r>
      <w:r>
        <w:rPr>
          <w:rFonts w:hint="eastAsia" w:ascii="宋体" w:hAnsi="宋体" w:eastAsia="宋体"/>
          <w:b w:val="0"/>
          <w:bCs w:val="0"/>
          <w:color w:val="auto"/>
          <w:kern w:val="0"/>
          <w:sz w:val="21"/>
          <w:szCs w:val="21"/>
          <w:highlight w:val="none"/>
          <w:lang w:val="en-US" w:eastAsia="zh-CN"/>
        </w:rPr>
        <w:t>或</w:t>
      </w:r>
      <w:r>
        <w:rPr>
          <w:rFonts w:hint="eastAsia" w:ascii="宋体" w:hAnsi="宋体" w:eastAsia="宋体"/>
          <w:b w:val="0"/>
          <w:bCs w:val="0"/>
          <w:color w:val="auto"/>
          <w:kern w:val="0"/>
          <w:sz w:val="21"/>
          <w:szCs w:val="21"/>
          <w:highlight w:val="none"/>
          <w:lang w:eastAsia="zh-CN"/>
        </w:rPr>
        <w:t>采购人有权对递交了响应文件的未成交供应商进行原件核查。供应商应在采购代理机构或采购人发出纸质通知五个工作日内将原件递交到采购代理机构办公地址或采购人指定地址进行核查。</w:t>
      </w:r>
    </w:p>
    <w:p>
      <w:pPr>
        <w:pageBreakBefore w:val="0"/>
        <w:widowControl w:val="0"/>
        <w:numPr>
          <w:ilvl w:val="2"/>
          <w:numId w:val="5"/>
        </w:numPr>
        <w:tabs>
          <w:tab w:val="left" w:pos="567"/>
          <w:tab w:val="left" w:pos="907"/>
          <w:tab w:val="clear" w:pos="794"/>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供应商有下列情形之一的，响应文件作无效处理，其响应无效：</w:t>
      </w:r>
    </w:p>
    <w:p>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拒绝采购人或采购代理机构原件核查要求的；</w:t>
      </w:r>
    </w:p>
    <w:p>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未在规定时间内将原件递交到到采购代理机构办公地址或采购人指定地址进行核查的；</w:t>
      </w:r>
    </w:p>
    <w:p>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在规定时间内递交的原件数量、内容不符合采购人、采购代理机构要求的；</w:t>
      </w:r>
    </w:p>
    <w:p>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因原件续期、更改等原因不能按时递交原件且未能在规定时间内提供相应部门开具的变更、续期等证明的；</w:t>
      </w:r>
    </w:p>
    <w:p>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经查原件，响应文件内容有造假行为的。</w:t>
      </w:r>
    </w:p>
    <w:p>
      <w:pPr>
        <w:pageBreakBefore w:val="0"/>
        <w:widowControl w:val="0"/>
        <w:numPr>
          <w:ilvl w:val="2"/>
          <w:numId w:val="5"/>
        </w:numPr>
        <w:tabs>
          <w:tab w:val="left" w:pos="567"/>
          <w:tab w:val="left" w:pos="907"/>
          <w:tab w:val="clear" w:pos="794"/>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bCs/>
          <w:color w:val="auto"/>
          <w:kern w:val="0"/>
          <w:sz w:val="21"/>
          <w:szCs w:val="21"/>
          <w:highlight w:val="none"/>
          <w:lang w:eastAsia="zh-CN"/>
        </w:rPr>
      </w:pPr>
      <w:r>
        <w:rPr>
          <w:rFonts w:hint="eastAsia" w:ascii="宋体" w:hAnsi="宋体" w:eastAsia="宋体"/>
          <w:b/>
          <w:bCs/>
          <w:color w:val="auto"/>
          <w:kern w:val="0"/>
          <w:sz w:val="21"/>
          <w:szCs w:val="21"/>
          <w:highlight w:val="none"/>
          <w:lang w:eastAsia="zh-CN"/>
        </w:rPr>
        <w:t>若供应商出现虚假应标情况，响应文件作无效处理，其响应、成交无效。并根据相关法律上报相关监管部门。</w:t>
      </w:r>
    </w:p>
    <w:p>
      <w:pPr>
        <w:pageBreakBefore w:val="0"/>
        <w:widowControl w:val="0"/>
        <w:numPr>
          <w:ilvl w:val="2"/>
          <w:numId w:val="5"/>
        </w:numPr>
        <w:tabs>
          <w:tab w:val="left" w:pos="567"/>
          <w:tab w:val="left" w:pos="907"/>
          <w:tab w:val="clear" w:pos="794"/>
        </w:tabs>
        <w:kinsoku/>
        <w:wordWrap/>
        <w:topLinePunct w:val="0"/>
        <w:autoSpaceDE/>
        <w:autoSpaceDN/>
        <w:bidi w:val="0"/>
        <w:adjustRightInd/>
        <w:snapToGrid/>
        <w:spacing w:after="0" w:line="400" w:lineRule="exact"/>
        <w:ind w:left="794" w:leftChars="0" w:hanging="794" w:firstLineChars="0"/>
        <w:jc w:val="both"/>
        <w:textAlignment w:val="auto"/>
        <w:rPr>
          <w:rFonts w:hint="eastAsia" w:ascii="Tahoma" w:hAnsi="Tahoma" w:eastAsia="微软雅黑"/>
          <w:b w:val="0"/>
          <w:bCs w:val="0"/>
          <w:color w:val="auto"/>
          <w:kern w:val="0"/>
          <w:sz w:val="22"/>
          <w:szCs w:val="22"/>
          <w:highlight w:val="none"/>
          <w:lang w:eastAsia="zh-CN"/>
        </w:rPr>
      </w:pPr>
      <w:r>
        <w:rPr>
          <w:rFonts w:hint="eastAsia" w:ascii="宋体" w:hAnsi="宋体" w:eastAsia="宋体"/>
          <w:b w:val="0"/>
          <w:bCs w:val="0"/>
          <w:color w:val="auto"/>
          <w:kern w:val="0"/>
          <w:sz w:val="21"/>
          <w:szCs w:val="21"/>
          <w:highlight w:val="none"/>
          <w:lang w:eastAsia="zh-CN"/>
        </w:rPr>
        <w:t>属于建办市函[2016]462号通知内的证件可不提供原件，仅提供带二维码原件的复印件即可。</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210" w:name="_Toc1555"/>
      <w:bookmarkStart w:id="211" w:name="_Toc18733"/>
      <w:bookmarkStart w:id="212" w:name="_Toc7001"/>
      <w:r>
        <w:rPr>
          <w:rFonts w:hint="eastAsia" w:eastAsia="宋体"/>
          <w:color w:val="auto"/>
          <w:highlight w:val="none"/>
          <w:lang w:val="en-US" w:eastAsia="zh-CN"/>
        </w:rPr>
        <w:t>30.合同的签订与履行</w:t>
      </w:r>
      <w:bookmarkEnd w:id="210"/>
      <w:bookmarkEnd w:id="211"/>
      <w:bookmarkEnd w:id="212"/>
    </w:p>
    <w:p>
      <w:pPr>
        <w:pageBreakBefore w:val="0"/>
        <w:widowControl w:val="0"/>
        <w:numPr>
          <w:ilvl w:val="0"/>
          <w:numId w:val="5"/>
        </w:numPr>
        <w:tabs>
          <w:tab w:val="left" w:pos="907"/>
        </w:tabs>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采购人应当自采购结果公示发出之日起30日内，按照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和</w:t>
      </w:r>
      <w:r>
        <w:rPr>
          <w:rFonts w:hint="eastAsia" w:ascii="宋体" w:hAnsi="宋体" w:eastAsia="宋体"/>
          <w:color w:val="auto"/>
          <w:kern w:val="0"/>
          <w:sz w:val="21"/>
          <w:szCs w:val="21"/>
          <w:highlight w:val="none"/>
          <w:lang w:eastAsia="zh-CN"/>
        </w:rPr>
        <w:t>成交供应商响应文件</w:t>
      </w:r>
      <w:r>
        <w:rPr>
          <w:rFonts w:hint="eastAsia" w:ascii="宋体" w:hAnsi="宋体" w:eastAsia="宋体"/>
          <w:color w:val="auto"/>
          <w:kern w:val="0"/>
          <w:sz w:val="21"/>
          <w:szCs w:val="21"/>
          <w:highlight w:val="none"/>
        </w:rPr>
        <w:t>的规定，与</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签订书面合同。所签订的合同不得对</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确定的事项和</w:t>
      </w:r>
      <w:r>
        <w:rPr>
          <w:rFonts w:hint="eastAsia" w:ascii="宋体" w:hAnsi="宋体" w:eastAsia="宋体"/>
          <w:color w:val="auto"/>
          <w:kern w:val="0"/>
          <w:sz w:val="21"/>
          <w:szCs w:val="21"/>
          <w:highlight w:val="none"/>
          <w:lang w:eastAsia="zh-CN"/>
        </w:rPr>
        <w:t>成交供应商响应文件</w:t>
      </w:r>
      <w:r>
        <w:rPr>
          <w:rFonts w:hint="eastAsia" w:ascii="宋体" w:hAnsi="宋体" w:eastAsia="宋体"/>
          <w:color w:val="auto"/>
          <w:kern w:val="0"/>
          <w:sz w:val="21"/>
          <w:szCs w:val="21"/>
          <w:highlight w:val="none"/>
        </w:rPr>
        <w:t>作实质性修改。</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采购人与</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应当根据合同的约定依法履行合同义务。</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政府采购合同的履行、违约责任和解决争议的方法等适用《中华人民共和国</w:t>
      </w:r>
      <w:r>
        <w:rPr>
          <w:rFonts w:hint="eastAsia" w:ascii="宋体" w:hAnsi="宋体" w:eastAsia="宋体"/>
          <w:color w:val="auto"/>
          <w:kern w:val="0"/>
          <w:sz w:val="21"/>
          <w:szCs w:val="21"/>
          <w:highlight w:val="none"/>
          <w:lang w:eastAsia="zh-CN"/>
        </w:rPr>
        <w:t>民法典</w:t>
      </w:r>
      <w:r>
        <w:rPr>
          <w:rFonts w:hint="eastAsia" w:ascii="宋体" w:hAnsi="宋体" w:eastAsia="宋体"/>
          <w:color w:val="auto"/>
          <w:kern w:val="0"/>
          <w:sz w:val="21"/>
          <w:szCs w:val="21"/>
          <w:highlight w:val="none"/>
        </w:rPr>
        <w:t>》。</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合同签订之日起2个工作日内，</w:t>
      </w:r>
      <w:r>
        <w:rPr>
          <w:rFonts w:hint="eastAsia" w:ascii="宋体" w:hAnsi="宋体" w:eastAsia="宋体"/>
          <w:b/>
          <w:color w:val="auto"/>
          <w:kern w:val="0"/>
          <w:sz w:val="21"/>
          <w:szCs w:val="21"/>
          <w:highlight w:val="none"/>
          <w:lang w:eastAsia="zh-CN"/>
        </w:rPr>
        <w:t>成交供应商</w:t>
      </w:r>
      <w:r>
        <w:rPr>
          <w:rFonts w:hint="eastAsia" w:ascii="宋体" w:hAnsi="宋体" w:eastAsia="宋体"/>
          <w:b/>
          <w:color w:val="auto"/>
          <w:kern w:val="0"/>
          <w:sz w:val="21"/>
          <w:szCs w:val="21"/>
          <w:highlight w:val="none"/>
        </w:rPr>
        <w:t>应将所签订的合同副本（加盖公章）交至</w:t>
      </w:r>
      <w:r>
        <w:rPr>
          <w:rFonts w:hint="eastAsia" w:ascii="宋体" w:hAnsi="宋体"/>
          <w:b/>
          <w:color w:val="auto"/>
          <w:kern w:val="0"/>
          <w:sz w:val="21"/>
          <w:szCs w:val="21"/>
          <w:highlight w:val="none"/>
          <w:lang w:eastAsia="zh-CN"/>
        </w:rPr>
        <w:t>国顺招标有限公司</w:t>
      </w:r>
      <w:r>
        <w:rPr>
          <w:rFonts w:hint="eastAsia" w:ascii="宋体" w:hAnsi="宋体" w:eastAsia="宋体"/>
          <w:b/>
          <w:color w:val="auto"/>
          <w:kern w:val="0"/>
          <w:sz w:val="21"/>
          <w:szCs w:val="21"/>
          <w:highlight w:val="none"/>
        </w:rPr>
        <w:t>归档。</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根据</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的规定和采购项目的实际情况，拟在</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后将</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项目的非主体、非关键性工作分包的，应当在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中载明分包承担主体，分包承担主体应当具备相应资质条件且不得再次分包。</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在评审结束当天至合同履行结束，若因不可抗力的因素（如国家出台新法律法规等）造</w:t>
      </w:r>
      <w:r>
        <w:rPr>
          <w:rFonts w:hint="eastAsia" w:ascii="宋体" w:hAnsi="宋体" w:eastAsia="宋体"/>
          <w:color w:val="auto"/>
          <w:kern w:val="0"/>
          <w:sz w:val="21"/>
          <w:szCs w:val="21"/>
          <w:highlight w:val="none"/>
          <w:lang w:eastAsia="zh-CN"/>
        </w:rPr>
        <w:t>成供应商资质的变动，供应商应以纸质版形式通知采购人。若资质变动导致成交供应商不再具备履行合同资质要求，采购人有权中止合同。</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Tahoma" w:hAnsi="Tahoma" w:eastAsia="微软雅黑"/>
          <w:color w:val="auto"/>
          <w:kern w:val="0"/>
          <w:sz w:val="21"/>
          <w:szCs w:val="21"/>
          <w:highlight w:val="none"/>
        </w:rPr>
      </w:pPr>
      <w:r>
        <w:rPr>
          <w:rFonts w:hint="eastAsia" w:ascii="宋体" w:hAnsi="宋体" w:eastAsia="宋体"/>
          <w:color w:val="auto"/>
          <w:kern w:val="0"/>
          <w:sz w:val="21"/>
          <w:szCs w:val="21"/>
          <w:highlight w:val="none"/>
          <w:lang w:eastAsia="zh-CN"/>
        </w:rPr>
        <w:t>成交供应商拒绝与采购人签订合同的，采购人可以按照评审报告推荐的成交候选人名单排序，确定下一候选人为成交供应商，也可以重新开展政府采购活动。</w:t>
      </w:r>
    </w:p>
    <w:p>
      <w:pPr>
        <w:pageBreakBefore w:val="0"/>
        <w:kinsoku/>
        <w:wordWrap/>
        <w:topLinePunct w:val="0"/>
        <w:autoSpaceDE/>
        <w:autoSpaceDN/>
        <w:bidi w:val="0"/>
        <w:adjustRightInd w:val="0"/>
        <w:snapToGrid w:val="0"/>
        <w:spacing w:before="161" w:after="200" w:line="400" w:lineRule="exact"/>
        <w:ind w:left="120"/>
        <w:textAlignment w:val="auto"/>
        <w:rPr>
          <w:rFonts w:ascii="宋体" w:hAnsi="宋体" w:eastAsia="宋体" w:cs="宋体"/>
          <w:color w:val="auto"/>
          <w:sz w:val="24"/>
          <w:szCs w:val="22"/>
          <w:highlight w:val="none"/>
          <w:lang w:val="zh-CN" w:eastAsia="zh-CN" w:bidi="zh-CN"/>
        </w:rPr>
      </w:pPr>
    </w:p>
    <w:p>
      <w:pPr>
        <w:pStyle w:val="5"/>
        <w:bidi w:val="0"/>
        <w:rPr>
          <w:rFonts w:hint="eastAsia" w:eastAsia="宋体"/>
          <w:color w:val="auto"/>
          <w:highlight w:val="none"/>
          <w:lang w:val="en-US" w:eastAsia="zh-CN"/>
        </w:rPr>
      </w:pPr>
      <w:bookmarkStart w:id="213" w:name="_Toc9041"/>
      <w:bookmarkStart w:id="214" w:name="_Toc26547"/>
      <w:r>
        <w:rPr>
          <w:rFonts w:hint="eastAsia" w:eastAsia="宋体"/>
          <w:color w:val="auto"/>
          <w:highlight w:val="none"/>
          <w:lang w:val="en-US" w:eastAsia="zh-CN"/>
        </w:rPr>
        <w:t>31.履约保证金</w:t>
      </w:r>
      <w:bookmarkEnd w:id="213"/>
      <w:bookmarkEnd w:id="214"/>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630" w:hanging="630" w:hangingChars="30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val="en-US" w:eastAsia="zh-CN"/>
        </w:rPr>
        <w:t xml:space="preserve">32.1. </w:t>
      </w:r>
      <w:r>
        <w:rPr>
          <w:rFonts w:hint="eastAsia" w:ascii="宋体" w:hAnsi="宋体" w:eastAsia="宋体"/>
          <w:color w:val="auto"/>
          <w:kern w:val="0"/>
          <w:sz w:val="21"/>
          <w:szCs w:val="21"/>
          <w:highlight w:val="none"/>
          <w:lang w:eastAsia="zh-CN"/>
        </w:rPr>
        <w:t>成交单位应在领取成交通知书之后签订合同之前递交履约保证金（履约保函的提交与履约保证金的提交时间一致）。给采购人造成的损失超过采购担保数额的，还应当由其对超过部分予以赔偿，并依法追究其责任。成交单位应在汇入履约保证金时在汇款单备注中注明：成交项目名称及成交项目编号。</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657" w:leftChars="13" w:hanging="630" w:hangingChars="30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val="en-US" w:eastAsia="zh-CN"/>
        </w:rPr>
        <w:t xml:space="preserve">32.2. </w:t>
      </w:r>
      <w:r>
        <w:rPr>
          <w:rFonts w:hint="eastAsia" w:ascii="宋体" w:hAnsi="宋体" w:eastAsia="宋体"/>
          <w:color w:val="auto"/>
          <w:kern w:val="0"/>
          <w:sz w:val="21"/>
          <w:szCs w:val="21"/>
          <w:highlight w:val="none"/>
          <w:lang w:eastAsia="zh-CN"/>
        </w:rPr>
        <w:t>采用保证金（银行转账、电汇）方式：成交单位必须保证资金在签订合同前到账。履约保证金账户采购人另行通知，到期后无息退还。</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630" w:hanging="630" w:hangingChars="30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val="en-US" w:eastAsia="zh-CN"/>
        </w:rPr>
        <w:t xml:space="preserve">32.3. </w:t>
      </w:r>
      <w:r>
        <w:rPr>
          <w:rFonts w:hint="eastAsia" w:ascii="宋体" w:hAnsi="宋体" w:eastAsia="宋体"/>
          <w:color w:val="auto"/>
          <w:kern w:val="0"/>
          <w:sz w:val="21"/>
          <w:szCs w:val="21"/>
          <w:highlight w:val="none"/>
          <w:lang w:eastAsia="zh-CN"/>
        </w:rPr>
        <w:t>采用履约保函方式：履约担保。是指由担保机构为供应商交纳履约保证金向采购人或采购代理机构提供的保证担保。供应商未按政府采购合同履行约定义务的，由担保机构按照担保函约定履行支付履约保证金的责任。（担保格式详见附件《</w:t>
      </w:r>
      <w:r>
        <w:rPr>
          <w:rFonts w:hint="eastAsia" w:ascii="宋体" w:hAnsi="宋体"/>
          <w:color w:val="auto"/>
          <w:kern w:val="0"/>
          <w:sz w:val="21"/>
          <w:szCs w:val="21"/>
          <w:highlight w:val="none"/>
          <w:lang w:eastAsia="zh-CN"/>
        </w:rPr>
        <w:t>响应担保函</w:t>
      </w:r>
      <w:r>
        <w:rPr>
          <w:rFonts w:hint="eastAsia" w:ascii="宋体" w:hAnsi="宋体" w:eastAsia="宋体"/>
          <w:color w:val="auto"/>
          <w:kern w:val="0"/>
          <w:sz w:val="21"/>
          <w:szCs w:val="21"/>
          <w:highlight w:val="none"/>
          <w:lang w:eastAsia="zh-CN"/>
        </w:rPr>
        <w:t>》）</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630" w:hanging="630" w:hangingChars="30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val="en-US" w:eastAsia="zh-CN"/>
        </w:rPr>
        <w:t xml:space="preserve">32.4. </w:t>
      </w:r>
      <w:r>
        <w:rPr>
          <w:rFonts w:hint="eastAsia" w:ascii="宋体" w:hAnsi="宋体" w:eastAsia="宋体"/>
          <w:color w:val="auto"/>
          <w:kern w:val="0"/>
          <w:sz w:val="21"/>
          <w:szCs w:val="21"/>
          <w:highlight w:val="none"/>
          <w:lang w:eastAsia="zh-CN"/>
        </w:rPr>
        <w:t>成交单位须将履约保证金的汇款凭证 (注明成交通知书或项目编号)或履约保函（采购人注明原件已收到并盖章）用A4纸复印一式四份并加盖成交单位的公章送至采购代理机构。</w:t>
      </w:r>
    </w:p>
    <w:p>
      <w:pPr>
        <w:keepNext w:val="0"/>
        <w:keepLines w:val="0"/>
        <w:pageBreakBefore w:val="0"/>
        <w:widowControl w:val="0"/>
        <w:kinsoku/>
        <w:wordWrap/>
        <w:overflowPunct/>
        <w:topLinePunct w:val="0"/>
        <w:autoSpaceDE/>
        <w:autoSpaceDN/>
        <w:bidi w:val="0"/>
        <w:adjustRightInd/>
        <w:snapToGrid/>
        <w:spacing w:line="400" w:lineRule="exact"/>
        <w:ind w:left="630" w:hanging="630" w:hangingChars="300"/>
        <w:textAlignment w:val="auto"/>
        <w:rPr>
          <w:rFonts w:hint="eastAsia" w:ascii="宋体" w:hAnsi="宋体" w:eastAsia="宋体" w:cs="宋体"/>
          <w:color w:val="auto"/>
          <w:sz w:val="21"/>
          <w:szCs w:val="21"/>
          <w:highlight w:val="none"/>
          <w:lang w:val="en-US" w:eastAsia="zh-CN"/>
        </w:rPr>
      </w:pPr>
      <w:r>
        <w:rPr>
          <w:rFonts w:hint="eastAsia" w:ascii="宋体" w:hAnsi="宋体" w:eastAsia="宋体"/>
          <w:color w:val="auto"/>
          <w:kern w:val="0"/>
          <w:sz w:val="21"/>
          <w:szCs w:val="21"/>
          <w:highlight w:val="none"/>
          <w:lang w:val="en-US" w:eastAsia="zh-CN"/>
        </w:rPr>
        <w:t xml:space="preserve">32.5. </w:t>
      </w:r>
      <w:r>
        <w:rPr>
          <w:rFonts w:hint="eastAsia" w:ascii="宋体" w:hAnsi="宋体" w:eastAsia="宋体"/>
          <w:color w:val="auto"/>
          <w:kern w:val="0"/>
          <w:sz w:val="21"/>
          <w:szCs w:val="21"/>
          <w:highlight w:val="none"/>
          <w:lang w:eastAsia="zh-CN"/>
        </w:rPr>
        <w:t>履约保证金退回：履约保证金在项目验收合格后，成交单位向采购人提交退回履约保证金的申请（格式可在东莞市政府采购网下载）、履约保证金汇款凭证复印件、采购合同、采购项目验收报告原件、成交通知书复印件，前往采购人办理履约保证金退还手续。</w:t>
      </w:r>
      <w:r>
        <w:rPr>
          <w:rFonts w:hint="eastAsia" w:ascii="宋体" w:hAnsi="宋体" w:eastAsia="宋体" w:cs="宋体"/>
          <w:color w:val="auto"/>
          <w:sz w:val="21"/>
          <w:szCs w:val="21"/>
          <w:highlight w:val="none"/>
          <w:lang w:eastAsia="zh-CN"/>
        </w:rPr>
        <w:br w:type="page"/>
      </w:r>
    </w:p>
    <w:p>
      <w:pPr>
        <w:pStyle w:val="3"/>
        <w:numPr>
          <w:ilvl w:val="0"/>
          <w:numId w:val="1"/>
        </w:numPr>
        <w:bidi w:val="0"/>
        <w:ind w:left="0" w:leftChars="0" w:firstLine="0" w:firstLineChars="0"/>
        <w:rPr>
          <w:rFonts w:hint="eastAsia"/>
          <w:color w:val="auto"/>
          <w:highlight w:val="none"/>
          <w:lang w:val="en-US" w:eastAsia="zh-CN"/>
        </w:rPr>
      </w:pPr>
      <w:bookmarkStart w:id="215" w:name="_Toc8191"/>
      <w:r>
        <w:rPr>
          <w:rFonts w:hint="eastAsia"/>
          <w:color w:val="auto"/>
          <w:highlight w:val="none"/>
          <w:lang w:val="en-US" w:eastAsia="zh-CN"/>
        </w:rPr>
        <w:t>用户需求书</w:t>
      </w:r>
      <w:bookmarkEnd w:id="215"/>
    </w:p>
    <w:p>
      <w:pPr>
        <w:bidi w:val="0"/>
        <w:jc w:val="center"/>
        <w:outlineLvl w:val="1"/>
        <w:rPr>
          <w:rFonts w:hint="eastAsia"/>
          <w:b/>
          <w:bCs/>
          <w:color w:val="auto"/>
          <w:sz w:val="28"/>
          <w:szCs w:val="36"/>
          <w:highlight w:val="none"/>
          <w:lang w:eastAsia="zh-CN"/>
        </w:rPr>
      </w:pPr>
      <w:bookmarkStart w:id="216" w:name="_Toc27180"/>
      <w:bookmarkStart w:id="217" w:name="_Toc16006"/>
      <w:bookmarkStart w:id="218" w:name="_Toc18002"/>
      <w:bookmarkStart w:id="219" w:name="_Toc7855"/>
      <w:r>
        <w:rPr>
          <w:rFonts w:hint="eastAsia"/>
          <w:b/>
          <w:bCs/>
          <w:color w:val="auto"/>
          <w:sz w:val="28"/>
          <w:szCs w:val="36"/>
          <w:highlight w:val="none"/>
          <w:lang w:eastAsia="zh-CN"/>
        </w:rPr>
        <w:t>商务要求</w:t>
      </w:r>
      <w:bookmarkEnd w:id="216"/>
      <w:bookmarkEnd w:id="217"/>
      <w:bookmarkEnd w:id="218"/>
      <w:bookmarkEnd w:id="219"/>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00"/>
        <w:gridCol w:w="1294"/>
        <w:gridCol w:w="67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noWrap w:val="0"/>
            <w:vAlign w:val="center"/>
          </w:tcPr>
          <w:p>
            <w:pPr>
              <w:spacing w:line="420" w:lineRule="atLeast"/>
              <w:jc w:val="center"/>
              <w:rPr>
                <w:rFonts w:ascii="宋体" w:hAnsi="宋体"/>
                <w:color w:val="auto"/>
                <w:szCs w:val="21"/>
                <w:highlight w:val="none"/>
              </w:rPr>
            </w:pPr>
            <w:r>
              <w:rPr>
                <w:rFonts w:hint="eastAsia" w:ascii="宋体" w:hAnsi="宋体"/>
                <w:color w:val="auto"/>
                <w:szCs w:val="21"/>
                <w:highlight w:val="none"/>
              </w:rPr>
              <w:t>序号</w:t>
            </w:r>
          </w:p>
        </w:tc>
        <w:tc>
          <w:tcPr>
            <w:tcW w:w="1294" w:type="dxa"/>
            <w:noWrap w:val="0"/>
            <w:vAlign w:val="center"/>
          </w:tcPr>
          <w:p>
            <w:pPr>
              <w:spacing w:line="420" w:lineRule="atLeast"/>
              <w:jc w:val="center"/>
              <w:rPr>
                <w:rFonts w:ascii="宋体" w:hAnsi="宋体"/>
                <w:color w:val="auto"/>
                <w:szCs w:val="21"/>
                <w:highlight w:val="none"/>
              </w:rPr>
            </w:pPr>
            <w:r>
              <w:rPr>
                <w:rFonts w:hint="eastAsia" w:ascii="宋体" w:hAnsi="宋体"/>
                <w:color w:val="auto"/>
                <w:szCs w:val="21"/>
                <w:highlight w:val="none"/>
              </w:rPr>
              <w:t>条款名称</w:t>
            </w:r>
          </w:p>
        </w:tc>
        <w:tc>
          <w:tcPr>
            <w:tcW w:w="6728" w:type="dxa"/>
            <w:noWrap w:val="0"/>
            <w:vAlign w:val="center"/>
          </w:tcPr>
          <w:p>
            <w:pPr>
              <w:spacing w:line="420" w:lineRule="atLeast"/>
              <w:jc w:val="center"/>
              <w:rPr>
                <w:rFonts w:ascii="宋体" w:hAnsi="宋体"/>
                <w:color w:val="auto"/>
                <w:szCs w:val="21"/>
                <w:highlight w:val="none"/>
              </w:rPr>
            </w:pPr>
            <w:r>
              <w:rPr>
                <w:rFonts w:ascii="宋体" w:hAnsi="宋体"/>
                <w:color w:val="auto"/>
                <w:szCs w:val="21"/>
                <w:highlight w:val="none"/>
              </w:rPr>
              <w:t>说</w:t>
            </w:r>
            <w:r>
              <w:rPr>
                <w:rFonts w:hint="eastAsia" w:ascii="宋体" w:hAnsi="宋体"/>
                <w:color w:val="auto"/>
                <w:szCs w:val="21"/>
                <w:highlight w:val="none"/>
              </w:rPr>
              <w:t xml:space="preserve">  </w:t>
            </w:r>
            <w:r>
              <w:rPr>
                <w:rFonts w:ascii="宋体" w:hAnsi="宋体"/>
                <w:color w:val="auto"/>
                <w:szCs w:val="21"/>
                <w:highlight w:val="none"/>
              </w:rPr>
              <w:t>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0" w:type="auto"/>
            <w:noWrap w:val="0"/>
            <w:vAlign w:val="center"/>
          </w:tcPr>
          <w:p>
            <w:pPr>
              <w:spacing w:line="420" w:lineRule="atLeas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w:t>
            </w:r>
          </w:p>
        </w:tc>
        <w:tc>
          <w:tcPr>
            <w:tcW w:w="1294"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w:t>
            </w:r>
            <w:r>
              <w:rPr>
                <w:rFonts w:hint="eastAsia" w:ascii="宋体" w:hAnsi="宋体" w:eastAsia="宋体" w:cs="宋体"/>
                <w:color w:val="auto"/>
                <w:sz w:val="21"/>
                <w:szCs w:val="21"/>
                <w:highlight w:val="none"/>
                <w:lang w:val="en-US" w:eastAsia="zh-CN"/>
              </w:rPr>
              <w:t>服务期限</w:t>
            </w:r>
          </w:p>
        </w:tc>
        <w:tc>
          <w:tcPr>
            <w:tcW w:w="6728"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施工项目开始直至全部完工</w:t>
            </w:r>
            <w:r>
              <w:rPr>
                <w:rFonts w:hint="eastAsia" w:ascii="宋体" w:hAnsi="宋体" w:eastAsia="宋体" w:cs="宋体"/>
                <w:color w:val="auto"/>
                <w:sz w:val="21"/>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0" w:type="auto"/>
            <w:noWrap w:val="0"/>
            <w:vAlign w:val="center"/>
          </w:tcPr>
          <w:p>
            <w:pPr>
              <w:spacing w:line="420" w:lineRule="atLeas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2</w:t>
            </w:r>
          </w:p>
        </w:tc>
        <w:tc>
          <w:tcPr>
            <w:tcW w:w="1294"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报价要求</w:t>
            </w:r>
          </w:p>
        </w:tc>
        <w:tc>
          <w:tcPr>
            <w:tcW w:w="6728"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本项目报价采用包干制，包括但不限于人员工资、加班费、技术津贴、工具费、材料费、养老保险、医疗保险、失业保险、通胀风险、利润、管理费、税金等</w:t>
            </w:r>
            <w:r>
              <w:rPr>
                <w:rFonts w:hint="eastAsia" w:ascii="宋体" w:hAnsi="宋体" w:eastAsia="宋体" w:cs="宋体"/>
                <w:color w:val="auto"/>
                <w:sz w:val="21"/>
                <w:szCs w:val="21"/>
                <w:highlight w:val="none"/>
                <w:lang w:val="en-US" w:eastAsia="zh-CN"/>
              </w:rPr>
              <w:t>完成本项目的</w:t>
            </w:r>
            <w:r>
              <w:rPr>
                <w:rFonts w:hint="eastAsia" w:ascii="宋体" w:hAnsi="宋体" w:eastAsia="宋体" w:cs="宋体"/>
                <w:color w:val="auto"/>
                <w:sz w:val="21"/>
                <w:szCs w:val="21"/>
                <w:highlight w:val="none"/>
              </w:rPr>
              <w:t>一切费用。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0" w:type="auto"/>
            <w:noWrap w:val="0"/>
            <w:vAlign w:val="center"/>
          </w:tcPr>
          <w:p>
            <w:pPr>
              <w:spacing w:line="420" w:lineRule="atLeas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3</w:t>
            </w:r>
          </w:p>
        </w:tc>
        <w:tc>
          <w:tcPr>
            <w:tcW w:w="1294" w:type="dxa"/>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color w:val="auto"/>
                <w:szCs w:val="21"/>
                <w:highlight w:val="none"/>
              </w:rPr>
            </w:pP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地点</w:t>
            </w:r>
          </w:p>
        </w:tc>
        <w:tc>
          <w:tcPr>
            <w:tcW w:w="6728"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0" w:type="auto"/>
            <w:noWrap w:val="0"/>
            <w:vAlign w:val="center"/>
          </w:tcPr>
          <w:p>
            <w:pPr>
              <w:spacing w:line="420" w:lineRule="atLeast"/>
              <w:jc w:val="center"/>
              <w:rPr>
                <w:rFonts w:hint="eastAsia" w:ascii="宋体" w:hAnsi="宋体"/>
                <w:color w:val="auto"/>
                <w:szCs w:val="21"/>
                <w:highlight w:val="none"/>
              </w:rPr>
            </w:pPr>
            <w:r>
              <w:rPr>
                <w:rFonts w:hint="eastAsia" w:ascii="宋体" w:hAnsi="宋体"/>
                <w:color w:val="auto"/>
                <w:szCs w:val="21"/>
                <w:highlight w:val="none"/>
              </w:rPr>
              <w:t>4</w:t>
            </w:r>
          </w:p>
        </w:tc>
        <w:tc>
          <w:tcPr>
            <w:tcW w:w="1294" w:type="dxa"/>
            <w:noWrap w:val="0"/>
            <w:vAlign w:val="center"/>
          </w:tcPr>
          <w:p>
            <w:pPr>
              <w:jc w:val="center"/>
              <w:rPr>
                <w:rFonts w:hint="eastAsia" w:ascii="宋体" w:hAnsi="宋体"/>
                <w:color w:val="auto"/>
                <w:szCs w:val="21"/>
                <w:highlight w:val="none"/>
              </w:rPr>
            </w:pPr>
            <w:r>
              <w:rPr>
                <w:rFonts w:hint="eastAsia" w:hAnsi="宋体"/>
                <w:color w:val="auto"/>
                <w:szCs w:val="21"/>
                <w:highlight w:val="none"/>
              </w:rPr>
              <w:t>★</w:t>
            </w:r>
            <w:r>
              <w:rPr>
                <w:rFonts w:hint="eastAsia" w:hAnsi="宋体"/>
                <w:color w:val="auto"/>
                <w:szCs w:val="21"/>
                <w:highlight w:val="none"/>
                <w:lang w:val="en-US" w:eastAsia="zh-CN"/>
              </w:rPr>
              <w:t>付款</w:t>
            </w:r>
            <w:r>
              <w:rPr>
                <w:rFonts w:hint="eastAsia" w:hAnsi="宋体"/>
                <w:color w:val="auto"/>
                <w:szCs w:val="21"/>
                <w:highlight w:val="none"/>
              </w:rPr>
              <w:t>方式</w:t>
            </w:r>
          </w:p>
        </w:tc>
        <w:tc>
          <w:tcPr>
            <w:tcW w:w="6728"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1、基础完工后15日内，采购人支付合同金额的20%；</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2、主体工程封顶后15日内，采购人支付合同金额的30%；</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3、工程验收完成后15日内，采购人支付合同金额30%；</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4、工程结算后15日内，采购人支付合同金额20%的尾款。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6" w:hRule="atLeast"/>
          <w:jc w:val="center"/>
        </w:trPr>
        <w:tc>
          <w:tcPr>
            <w:tcW w:w="0" w:type="auto"/>
            <w:noWrap w:val="0"/>
            <w:vAlign w:val="center"/>
          </w:tcPr>
          <w:p>
            <w:pPr>
              <w:spacing w:line="420" w:lineRule="atLeas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5</w:t>
            </w:r>
          </w:p>
        </w:tc>
        <w:tc>
          <w:tcPr>
            <w:tcW w:w="1294" w:type="dxa"/>
            <w:noWrap w:val="0"/>
            <w:vAlign w:val="center"/>
          </w:tcPr>
          <w:p>
            <w:pPr>
              <w:jc w:val="center"/>
              <w:rPr>
                <w:rFonts w:hint="eastAsia" w:ascii="宋体" w:hAnsi="宋体"/>
                <w:color w:val="auto"/>
                <w:szCs w:val="21"/>
                <w:highlight w:val="none"/>
              </w:rPr>
            </w:pPr>
            <w:r>
              <w:rPr>
                <w:rFonts w:hint="eastAsia" w:ascii="宋体" w:hAnsi="宋体" w:eastAsia="宋体" w:cs="宋体"/>
                <w:color w:val="auto"/>
                <w:sz w:val="21"/>
                <w:szCs w:val="21"/>
                <w:highlight w:val="none"/>
              </w:rPr>
              <w:t>其它要求</w:t>
            </w:r>
          </w:p>
        </w:tc>
        <w:tc>
          <w:tcPr>
            <w:tcW w:w="6728"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成交供应商不得将项目非法分包或转包给任何单位和个人。否则采购人有权即刻终止合同，并由成交供应商赔偿相应损失。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0" w:type="auto"/>
            <w:noWrap w:val="0"/>
            <w:vAlign w:val="center"/>
          </w:tcPr>
          <w:p>
            <w:pPr>
              <w:spacing w:line="420" w:lineRule="atLeas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6</w:t>
            </w:r>
          </w:p>
        </w:tc>
        <w:tc>
          <w:tcPr>
            <w:tcW w:w="1294" w:type="dxa"/>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宋体" w:hAnsi="宋体"/>
                <w:color w:val="auto"/>
                <w:szCs w:val="21"/>
                <w:highlight w:val="none"/>
              </w:rPr>
            </w:pPr>
            <w:r>
              <w:rPr>
                <w:rFonts w:hint="eastAsia" w:ascii="宋体" w:hAnsi="宋体" w:eastAsia="宋体" w:cs="宋体"/>
                <w:color w:val="auto"/>
                <w:sz w:val="21"/>
                <w:szCs w:val="21"/>
                <w:highlight w:val="none"/>
              </w:rPr>
              <w:t>合同条款</w:t>
            </w:r>
          </w:p>
        </w:tc>
        <w:tc>
          <w:tcPr>
            <w:tcW w:w="6728" w:type="dxa"/>
            <w:noWrap w:val="0"/>
            <w:vAlign w:val="top"/>
          </w:tcPr>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ascii="宋体" w:hAnsi="宋体"/>
                <w:bCs/>
                <w:color w:val="auto"/>
                <w:szCs w:val="21"/>
                <w:highlight w:val="none"/>
              </w:rPr>
            </w:pPr>
            <w:r>
              <w:rPr>
                <w:rFonts w:hint="eastAsia" w:ascii="宋体" w:hAnsi="宋体" w:eastAsia="宋体" w:cs="宋体"/>
                <w:color w:val="auto"/>
                <w:sz w:val="21"/>
                <w:szCs w:val="21"/>
                <w:highlight w:val="none"/>
              </w:rPr>
              <w:t>供应商实质响应合同各条款。</w:t>
            </w:r>
          </w:p>
        </w:tc>
      </w:tr>
    </w:tbl>
    <w:p>
      <w:pPr>
        <w:rPr>
          <w:rFonts w:hint="default"/>
          <w:color w:val="auto"/>
          <w:highlight w:val="none"/>
          <w:lang w:val="en-US" w:eastAsia="zh-CN"/>
        </w:rPr>
      </w:pPr>
      <w:r>
        <w:rPr>
          <w:rFonts w:hint="default"/>
          <w:color w:val="auto"/>
          <w:highlight w:val="none"/>
          <w:lang w:val="en-US" w:eastAsia="zh-CN"/>
        </w:rPr>
        <w:br w:type="page"/>
      </w:r>
    </w:p>
    <w:p>
      <w:pPr>
        <w:bidi w:val="0"/>
        <w:jc w:val="center"/>
        <w:outlineLvl w:val="1"/>
        <w:rPr>
          <w:rFonts w:hint="eastAsia" w:eastAsia="宋体"/>
          <w:b/>
          <w:bCs/>
          <w:color w:val="auto"/>
          <w:sz w:val="28"/>
          <w:szCs w:val="36"/>
          <w:highlight w:val="none"/>
          <w:lang w:eastAsia="zh-CN"/>
        </w:rPr>
      </w:pPr>
      <w:bookmarkStart w:id="220" w:name="_Toc3714"/>
      <w:bookmarkStart w:id="221" w:name="_Toc4445"/>
      <w:bookmarkStart w:id="222" w:name="_Toc4572"/>
      <w:bookmarkStart w:id="223" w:name="_Toc16983"/>
      <w:r>
        <w:rPr>
          <w:rFonts w:hint="eastAsia" w:eastAsia="宋体"/>
          <w:b/>
          <w:bCs/>
          <w:color w:val="auto"/>
          <w:sz w:val="28"/>
          <w:szCs w:val="36"/>
          <w:highlight w:val="none"/>
          <w:lang w:eastAsia="zh-CN"/>
        </w:rPr>
        <w:t>技术要求</w:t>
      </w:r>
      <w:bookmarkEnd w:id="220"/>
      <w:bookmarkEnd w:id="221"/>
      <w:bookmarkEnd w:id="222"/>
      <w:bookmarkEnd w:id="223"/>
    </w:p>
    <w:p>
      <w:pPr>
        <w:pStyle w:val="38"/>
        <w:jc w:val="left"/>
        <w:outlineLvl w:val="0"/>
        <w:rPr>
          <w:rFonts w:ascii="宋体" w:hAnsi="宋体" w:eastAsia="宋体"/>
          <w:b/>
          <w:color w:val="auto"/>
          <w:sz w:val="21"/>
          <w:szCs w:val="21"/>
          <w:highlight w:val="none"/>
        </w:rPr>
      </w:pPr>
      <w:bookmarkStart w:id="224" w:name="_Toc476901034"/>
      <w:bookmarkStart w:id="225" w:name="_Toc42033153"/>
      <w:bookmarkStart w:id="226" w:name="_Toc17699252"/>
      <w:bookmarkStart w:id="227" w:name="_Toc485835248"/>
      <w:r>
        <w:rPr>
          <w:rFonts w:hint="eastAsia" w:ascii="宋体" w:hAnsi="宋体" w:eastAsia="宋体"/>
          <w:b/>
          <w:color w:val="auto"/>
          <w:sz w:val="21"/>
          <w:szCs w:val="21"/>
          <w:highlight w:val="none"/>
          <w:lang w:val="en-US" w:eastAsia="zh-CN"/>
        </w:rPr>
        <w:t>一</w:t>
      </w:r>
      <w:r>
        <w:rPr>
          <w:rFonts w:hint="eastAsia" w:ascii="宋体" w:hAnsi="宋体" w:eastAsia="宋体"/>
          <w:b/>
          <w:color w:val="auto"/>
          <w:sz w:val="21"/>
          <w:szCs w:val="21"/>
          <w:highlight w:val="none"/>
        </w:rPr>
        <w:t>、项目概况</w:t>
      </w:r>
      <w:bookmarkEnd w:id="224"/>
      <w:bookmarkEnd w:id="225"/>
    </w:p>
    <w:p>
      <w:pPr>
        <w:tabs>
          <w:tab w:val="left" w:pos="720"/>
        </w:tabs>
        <w:spacing w:line="400" w:lineRule="exact"/>
        <w:ind w:firstLine="420" w:firstLineChars="200"/>
        <w:rPr>
          <w:bCs/>
          <w:color w:val="auto"/>
          <w:szCs w:val="21"/>
          <w:highlight w:val="none"/>
        </w:rPr>
      </w:pPr>
      <w:r>
        <w:rPr>
          <w:rFonts w:hint="eastAsia"/>
          <w:bCs/>
          <w:color w:val="auto"/>
          <w:szCs w:val="21"/>
          <w:highlight w:val="none"/>
        </w:rPr>
        <w:t>1、项目名称：</w:t>
      </w:r>
      <w:r>
        <w:rPr>
          <w:rFonts w:hint="eastAsia"/>
          <w:bCs/>
          <w:color w:val="auto"/>
          <w:szCs w:val="21"/>
          <w:highlight w:val="none"/>
          <w:lang w:val="en-US" w:eastAsia="zh-CN"/>
        </w:rPr>
        <w:t>东莞市德懋机电有限公司增资扩产监理项目</w:t>
      </w:r>
    </w:p>
    <w:p>
      <w:pPr>
        <w:tabs>
          <w:tab w:val="left" w:pos="720"/>
        </w:tabs>
        <w:spacing w:line="400" w:lineRule="exact"/>
        <w:ind w:firstLine="420" w:firstLineChars="200"/>
        <w:rPr>
          <w:bCs/>
          <w:color w:val="auto"/>
          <w:szCs w:val="21"/>
          <w:highlight w:val="none"/>
        </w:rPr>
      </w:pPr>
      <w:r>
        <w:rPr>
          <w:rFonts w:hint="eastAsia"/>
          <w:bCs/>
          <w:color w:val="auto"/>
          <w:szCs w:val="21"/>
          <w:highlight w:val="none"/>
        </w:rPr>
        <w:t>2、项目位置：东莞市石排镇下沙村刘屋工业一路 59 号。</w:t>
      </w:r>
    </w:p>
    <w:p>
      <w:pPr>
        <w:tabs>
          <w:tab w:val="left" w:pos="720"/>
        </w:tabs>
        <w:spacing w:line="400" w:lineRule="exact"/>
        <w:ind w:firstLine="420" w:firstLineChars="200"/>
        <w:rPr>
          <w:rFonts w:hint="eastAsia"/>
          <w:bCs/>
          <w:color w:val="auto"/>
          <w:szCs w:val="21"/>
          <w:highlight w:val="none"/>
          <w:lang w:eastAsia="zh-CN"/>
        </w:rPr>
      </w:pPr>
      <w:r>
        <w:rPr>
          <w:rFonts w:hint="eastAsia"/>
          <w:bCs/>
          <w:color w:val="auto"/>
          <w:szCs w:val="21"/>
          <w:highlight w:val="none"/>
        </w:rPr>
        <w:t>3、建设规模：项目总用地面积约 4534.93 平方米，总建筑面积约 14065.68 平方米，新建 1 栋地上 8 层，地下 1 层，建筑高度 44.2 米，最大跨度为 10 米，结构类型为框架结构，投资金额约 3200 万元</w:t>
      </w:r>
      <w:r>
        <w:rPr>
          <w:rFonts w:hint="eastAsia"/>
          <w:bCs/>
          <w:color w:val="auto"/>
          <w:szCs w:val="21"/>
          <w:highlight w:val="none"/>
          <w:lang w:eastAsia="zh-CN"/>
        </w:rPr>
        <w:t>。</w:t>
      </w:r>
    </w:p>
    <w:p>
      <w:pPr>
        <w:tabs>
          <w:tab w:val="left" w:pos="720"/>
        </w:tabs>
        <w:spacing w:line="400" w:lineRule="exact"/>
        <w:ind w:firstLine="420" w:firstLineChars="200"/>
        <w:rPr>
          <w:rFonts w:hint="default" w:eastAsia="宋体"/>
          <w:bCs/>
          <w:color w:val="auto"/>
          <w:szCs w:val="21"/>
          <w:highlight w:val="none"/>
          <w:lang w:val="en-US" w:eastAsia="zh-CN"/>
        </w:rPr>
      </w:pPr>
      <w:r>
        <w:rPr>
          <w:rFonts w:hint="eastAsia"/>
          <w:bCs/>
          <w:color w:val="auto"/>
          <w:szCs w:val="21"/>
          <w:highlight w:val="none"/>
          <w:lang w:val="en-US" w:eastAsia="zh-CN"/>
        </w:rPr>
        <w:t>4、</w:t>
      </w:r>
      <w:r>
        <w:rPr>
          <w:rFonts w:hint="eastAsia" w:ascii="宋体" w:hAnsi="宋体" w:eastAsia="宋体" w:cs="宋体"/>
          <w:color w:val="auto"/>
          <w:sz w:val="21"/>
          <w:szCs w:val="21"/>
          <w:highlight w:val="none"/>
        </w:rPr>
        <w:t>本次采购项目的工程监理与相关服务工程内容和范围包括：施工准备阶段、施工阶段、竣工验收结算阶段及缺陷责任期的有关工作的监理。监理的范围亦包括对本标段项目内容施工的进度、质量、造价、安全、环保、合同、文明等的监理。</w:t>
      </w:r>
    </w:p>
    <w:p>
      <w:pPr>
        <w:pStyle w:val="38"/>
        <w:jc w:val="left"/>
        <w:outlineLvl w:val="0"/>
        <w:rPr>
          <w:rFonts w:hint="default"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二、</w:t>
      </w:r>
      <w:r>
        <w:rPr>
          <w:rFonts w:hint="eastAsia" w:ascii="宋体" w:hAnsi="宋体"/>
          <w:b/>
          <w:color w:val="auto"/>
          <w:sz w:val="21"/>
          <w:szCs w:val="21"/>
          <w:highlight w:val="none"/>
          <w:lang w:val="en-US" w:eastAsia="zh-CN"/>
        </w:rPr>
        <w:t>服务内容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监理工作内容包括如下：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协助采购人核实承包人的资质及签订维护工程承包合同。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核实承包人投入该项目技术装备和工作人员情况。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审查承包人的开工报告，核实委托人与承包人开工前所需的各种批准文件及手续，征得采购人同意后，发布开工令。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负责对房屋建筑质量及进度进行监管，并核实计量建筑工程量，组织工程验收。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负责总结房屋建筑项目半年度工作情况，并形成相关情况报告上报采购人。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程建设过程中涉及到原工程设计中的技术问题，按照安全和优化的原则，向采购人提出建议；当发现工程建设方案不符合国家颁布的建设工程质量标准或原设计的质量标准时，成交人应当书面报告采购人并要求承包人更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审批建设工程施工组织设计和技术方案，按照保质量、保工期的原则，向承包人提出建议，并向采购人提出书面报告。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制定现场工程监理工作制度，填写监理日记及大事记。定期召开监理例会，通报监理情况及工程的有关事宜。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检验工程上使用的材料和施工质量。对于不符合原设计要求和合同约定及国家质量标准的材料、构配件、设备，有权通知承包人停止使用；对于不符合规范和质量标准的工序、分部分项工程和不安全、不文明施工作业，有权通知承包人停工整改、返工。承包人得到监理机构复工令后才能复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工程维修进度的检查、监督，以及工程实际竣工日期提前或超过工程施工合同规定的竣工期限的签认。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工程承包合同约定的工程价格范围内，工程款支付的审核和签认，以及工程结算的复核。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监督检查工程的文明施工及安全防护措施；施工现场必须设置警示标志和工程告示牌，保证车辆和行人的安全。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协助处理工程出现的质量事故和安全事故，参与重大质量、安全事故分析和处理；对突然发生的事故，可决定作出紧急措施，并及时向采购人报告。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征得采购人同意，成交人下达工程暂停令、复工令，但应当事先向采购人报告。如在紧急情况下未能事先报告时，则应在24小时内向采购人作出书面报告。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办理采购人决定更改、增减工程内容、数量事宜，审理承包人申报的有关工程更改的请求，提出处理意见。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协调采购人与承包人及相关单位之间的关系，对建设工程承包合同出现的纠纷和索赔事项提出建议或意见。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督促承包人提交完整规范的工程竣工验收资料。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组织采购人、设计单位、承包人共同对工程进行预验收，并签署预验收意见。对预验收中提出的问题指令施工单位整改。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审查《工程竣工报告书》，提出整改意见，编写《工程质量评估报告》及整理监理资料，参加工程竣工验收，协助采购人办理竣工验收及备案手续。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工程保修阶段，成交人对保修阶段的工程质量状况进行检查，对工程质量缺陷进行鉴定，分清责任，督促施工单位进行工程质量缺陷的修复，并整理好保修期内发生质量缺陷的所有工程技术资料。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对涉及工程造价增加的变更、工程工期延长的签认确定事项，成交人须首先报告采购人代表并获得同意方可办理。对本条所涉及内容的事项，须有成交人、采购人共同签证方为有效。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其他事宜：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rPr>
        <w:t>负责对建设单位的监管工作。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负责组织建设单位、成交人和采购人三方进行现场签证和工程竣工验收工作。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负责建设工作全过程监控。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④</w:t>
      </w:r>
      <w:r>
        <w:rPr>
          <w:rFonts w:hint="eastAsia" w:ascii="宋体" w:hAnsi="宋体" w:eastAsia="宋体" w:cs="宋体"/>
          <w:color w:val="auto"/>
          <w:sz w:val="21"/>
          <w:szCs w:val="21"/>
          <w:highlight w:val="none"/>
        </w:rPr>
        <w:t>负责对建设单位实施每项工程情况评定打分。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p>
    <w:p>
      <w:pPr>
        <w:numPr>
          <w:ilvl w:val="0"/>
          <w:numId w:val="0"/>
        </w:numPr>
        <w:spacing w:after="0" w:line="360" w:lineRule="auto"/>
        <w:rPr>
          <w:rFonts w:hint="eastAsia" w:ascii="宋体" w:hAnsi="宋体" w:eastAsia="宋体" w:cs="Times New Roman"/>
          <w:b/>
          <w:bCs/>
          <w:color w:val="auto"/>
          <w:sz w:val="24"/>
          <w:szCs w:val="24"/>
          <w:highlight w:val="none"/>
          <w:lang w:val="en-US" w:eastAsia="zh-CN"/>
        </w:rPr>
      </w:pPr>
      <w:bookmarkStart w:id="228" w:name="_Toc17699255"/>
      <w:bookmarkStart w:id="229" w:name="_Toc485835251"/>
      <w:bookmarkStart w:id="230" w:name="_Toc42033157"/>
      <w:r>
        <w:rPr>
          <w:rFonts w:hint="eastAsia" w:ascii="宋体" w:hAnsi="宋体" w:eastAsia="宋体"/>
          <w:b/>
          <w:color w:val="auto"/>
          <w:sz w:val="21"/>
          <w:szCs w:val="21"/>
          <w:highlight w:val="none"/>
        </w:rPr>
        <w:t>三、</w:t>
      </w:r>
      <w:bookmarkEnd w:id="228"/>
      <w:bookmarkEnd w:id="229"/>
      <w:bookmarkEnd w:id="230"/>
      <w:r>
        <w:rPr>
          <w:rFonts w:hint="eastAsia" w:ascii="宋体" w:hAnsi="宋体" w:eastAsia="宋体" w:cs="Times New Roman"/>
          <w:b/>
          <w:bCs/>
          <w:color w:val="auto"/>
          <w:sz w:val="24"/>
          <w:szCs w:val="24"/>
          <w:highlight w:val="none"/>
          <w:lang w:val="en-US" w:eastAsia="zh-CN"/>
        </w:rPr>
        <w:t>监理依据</w:t>
      </w:r>
    </w:p>
    <w:p>
      <w:pPr>
        <w:spacing w:after="6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1、监理合同；</w:t>
      </w:r>
    </w:p>
    <w:p>
      <w:pPr>
        <w:spacing w:after="6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2、委托人与第三方签订的有关合同文件；</w:t>
      </w:r>
    </w:p>
    <w:p>
      <w:pPr>
        <w:spacing w:after="6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3、本工程监理实施方案，监理管理办法及有关文件；</w:t>
      </w:r>
    </w:p>
    <w:p>
      <w:pPr>
        <w:spacing w:after="6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4、合同指定使用的技术规范、工程质量检验评定标准、试验规程等；</w:t>
      </w:r>
    </w:p>
    <w:p>
      <w:pPr>
        <w:spacing w:after="6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5、国家、广东省、东莞市有关部门颁布的有关法律、法规等；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6、本工程实施过程中，委托人与监理人组织召开或参加的有关会议纪要函电及其文字记录，监理工程师批准的各种图纸、指令等。</w:t>
      </w:r>
    </w:p>
    <w:p>
      <w:pPr>
        <w:numPr>
          <w:ilvl w:val="0"/>
          <w:numId w:val="0"/>
        </w:numPr>
        <w:spacing w:after="0" w:line="360" w:lineRule="auto"/>
        <w:rPr>
          <w:rFonts w:hint="eastAsia" w:ascii="宋体" w:hAnsi="宋体"/>
          <w:b/>
          <w:color w:val="auto"/>
          <w:sz w:val="21"/>
          <w:szCs w:val="21"/>
          <w:highlight w:val="none"/>
          <w:lang w:val="en-US" w:eastAsia="zh-CN"/>
        </w:rPr>
      </w:pPr>
      <w:bookmarkStart w:id="231" w:name="_Toc309898035"/>
      <w:bookmarkStart w:id="232" w:name="_Toc372241593"/>
      <w:bookmarkStart w:id="233" w:name="_Toc317452086"/>
      <w:bookmarkStart w:id="234" w:name="_Toc42033159"/>
      <w:bookmarkStart w:id="235" w:name="_Toc238270225"/>
      <w:bookmarkStart w:id="236" w:name="_Toc309897959"/>
      <w:bookmarkStart w:id="237" w:name="_Toc354480987"/>
      <w:bookmarkStart w:id="238" w:name="_Toc351107060"/>
      <w:bookmarkStart w:id="239" w:name="_Toc310950801"/>
      <w:r>
        <w:rPr>
          <w:rFonts w:hint="eastAsia" w:ascii="宋体" w:hAnsi="宋体" w:eastAsia="宋体"/>
          <w:b/>
          <w:color w:val="auto"/>
          <w:sz w:val="21"/>
          <w:szCs w:val="21"/>
          <w:highlight w:val="none"/>
          <w:lang w:val="en-US" w:eastAsia="zh-CN"/>
        </w:rPr>
        <w:t>四</w:t>
      </w:r>
      <w:r>
        <w:rPr>
          <w:rFonts w:hint="eastAsia" w:ascii="宋体" w:hAnsi="宋体" w:eastAsia="宋体"/>
          <w:b/>
          <w:color w:val="auto"/>
          <w:sz w:val="21"/>
          <w:szCs w:val="21"/>
          <w:highlight w:val="none"/>
        </w:rPr>
        <w:t>、</w:t>
      </w:r>
      <w:bookmarkEnd w:id="226"/>
      <w:bookmarkEnd w:id="227"/>
      <w:bookmarkEnd w:id="231"/>
      <w:bookmarkEnd w:id="232"/>
      <w:bookmarkEnd w:id="233"/>
      <w:bookmarkEnd w:id="234"/>
      <w:bookmarkEnd w:id="235"/>
      <w:bookmarkEnd w:id="236"/>
      <w:bookmarkEnd w:id="237"/>
      <w:bookmarkEnd w:id="238"/>
      <w:bookmarkEnd w:id="239"/>
      <w:r>
        <w:rPr>
          <w:rFonts w:hint="eastAsia" w:ascii="宋体" w:hAnsi="宋体"/>
          <w:b/>
          <w:color w:val="auto"/>
          <w:sz w:val="21"/>
          <w:szCs w:val="21"/>
          <w:highlight w:val="none"/>
          <w:lang w:val="en-US" w:eastAsia="zh-CN"/>
        </w:rPr>
        <w:t>人员要求</w:t>
      </w:r>
    </w:p>
    <w:tbl>
      <w:tblPr>
        <w:tblStyle w:val="16"/>
        <w:tblW w:w="4998" w:type="pct"/>
        <w:tblInd w:w="0" w:type="dxa"/>
        <w:tblLayout w:type="autofit"/>
        <w:tblCellMar>
          <w:top w:w="0" w:type="dxa"/>
          <w:left w:w="0" w:type="dxa"/>
          <w:bottom w:w="0" w:type="dxa"/>
          <w:right w:w="0" w:type="dxa"/>
        </w:tblCellMar>
      </w:tblPr>
      <w:tblGrid>
        <w:gridCol w:w="753"/>
        <w:gridCol w:w="1253"/>
        <w:gridCol w:w="3981"/>
        <w:gridCol w:w="813"/>
        <w:gridCol w:w="1529"/>
      </w:tblGrid>
      <w:tr>
        <w:tblPrEx>
          <w:tblCellMar>
            <w:top w:w="0" w:type="dxa"/>
            <w:left w:w="0" w:type="dxa"/>
            <w:bottom w:w="0" w:type="dxa"/>
            <w:right w:w="0" w:type="dxa"/>
          </w:tblCellMar>
        </w:tblPrEx>
        <w:trPr>
          <w:trHeight w:val="23" w:hRule="atLeast"/>
        </w:trPr>
        <w:tc>
          <w:tcPr>
            <w:tcW w:w="452" w:type="pct"/>
            <w:tcBorders>
              <w:top w:val="single" w:color="000000" w:sz="10" w:space="0"/>
              <w:left w:val="single" w:color="000000" w:sz="10" w:space="0"/>
              <w:bottom w:val="single" w:color="000000" w:sz="4" w:space="0"/>
              <w:right w:val="single" w:color="000000" w:sz="4" w:space="0"/>
            </w:tcBorders>
          </w:tcPr>
          <w:p>
            <w:pPr>
              <w:pStyle w:val="24"/>
              <w:keepNext w:val="0"/>
              <w:keepLines w:val="0"/>
              <w:pageBreakBefore w:val="0"/>
              <w:widowControl w:val="0"/>
              <w:kinsoku w:val="0"/>
              <w:wordWrap/>
              <w:overflowPunct w:val="0"/>
              <w:topLinePunct w:val="0"/>
              <w:autoSpaceDE/>
              <w:autoSpaceDN/>
              <w:bidi w:val="0"/>
              <w:adjustRightInd/>
              <w:spacing w:line="240" w:lineRule="auto"/>
              <w:ind w:left="0" w:right="0"/>
              <w:jc w:val="center"/>
              <w:textAlignment w:val="auto"/>
              <w:rPr>
                <w:b/>
                <w:bCs/>
                <w:color w:val="auto"/>
                <w:sz w:val="20"/>
                <w:szCs w:val="20"/>
                <w:highlight w:val="none"/>
              </w:rPr>
            </w:pPr>
          </w:p>
          <w:p>
            <w:pPr>
              <w:pStyle w:val="24"/>
              <w:keepNext w:val="0"/>
              <w:keepLines w:val="0"/>
              <w:pageBreakBefore w:val="0"/>
              <w:widowControl w:val="0"/>
              <w:kinsoku w:val="0"/>
              <w:wordWrap/>
              <w:overflowPunct w:val="0"/>
              <w:topLinePunct w:val="0"/>
              <w:autoSpaceDE/>
              <w:autoSpaceDN/>
              <w:bidi w:val="0"/>
              <w:adjustRightInd/>
              <w:spacing w:line="240" w:lineRule="auto"/>
              <w:ind w:left="0" w:right="0"/>
              <w:jc w:val="center"/>
              <w:textAlignment w:val="auto"/>
              <w:rPr>
                <w:rFonts w:cs="Times New Roman"/>
                <w:color w:val="auto"/>
                <w:highlight w:val="none"/>
              </w:rPr>
            </w:pPr>
            <w:r>
              <w:rPr>
                <w:rFonts w:hint="eastAsia"/>
                <w:b/>
                <w:bCs/>
                <w:color w:val="auto"/>
                <w:sz w:val="21"/>
                <w:szCs w:val="21"/>
                <w:highlight w:val="none"/>
              </w:rPr>
              <w:t>序号</w:t>
            </w:r>
          </w:p>
        </w:tc>
        <w:tc>
          <w:tcPr>
            <w:tcW w:w="752" w:type="pct"/>
            <w:tcBorders>
              <w:top w:val="single" w:color="000000" w:sz="10" w:space="0"/>
              <w:left w:val="single" w:color="000000" w:sz="4" w:space="0"/>
              <w:bottom w:val="single" w:color="000000" w:sz="4" w:space="0"/>
              <w:right w:val="single" w:color="000000" w:sz="4" w:space="0"/>
            </w:tcBorders>
          </w:tcPr>
          <w:p>
            <w:pPr>
              <w:pStyle w:val="24"/>
              <w:keepNext w:val="0"/>
              <w:keepLines w:val="0"/>
              <w:pageBreakBefore w:val="0"/>
              <w:widowControl w:val="0"/>
              <w:kinsoku w:val="0"/>
              <w:wordWrap/>
              <w:overflowPunct w:val="0"/>
              <w:topLinePunct w:val="0"/>
              <w:autoSpaceDE/>
              <w:autoSpaceDN/>
              <w:bidi w:val="0"/>
              <w:adjustRightInd/>
              <w:spacing w:line="240" w:lineRule="auto"/>
              <w:ind w:left="0" w:right="0"/>
              <w:jc w:val="center"/>
              <w:textAlignment w:val="auto"/>
              <w:rPr>
                <w:b/>
                <w:bCs/>
                <w:color w:val="auto"/>
                <w:sz w:val="20"/>
                <w:szCs w:val="20"/>
                <w:highlight w:val="none"/>
              </w:rPr>
            </w:pPr>
          </w:p>
          <w:p>
            <w:pPr>
              <w:pStyle w:val="24"/>
              <w:keepNext w:val="0"/>
              <w:keepLines w:val="0"/>
              <w:pageBreakBefore w:val="0"/>
              <w:widowControl w:val="0"/>
              <w:kinsoku w:val="0"/>
              <w:wordWrap/>
              <w:overflowPunct w:val="0"/>
              <w:topLinePunct w:val="0"/>
              <w:autoSpaceDE/>
              <w:autoSpaceDN/>
              <w:bidi w:val="0"/>
              <w:adjustRightInd/>
              <w:spacing w:line="240" w:lineRule="auto"/>
              <w:ind w:left="0" w:right="0"/>
              <w:jc w:val="center"/>
              <w:textAlignment w:val="auto"/>
              <w:rPr>
                <w:rFonts w:cs="Times New Roman"/>
                <w:color w:val="auto"/>
                <w:highlight w:val="none"/>
              </w:rPr>
            </w:pPr>
            <w:r>
              <w:rPr>
                <w:rFonts w:hint="eastAsia"/>
                <w:b/>
                <w:bCs/>
                <w:color w:val="auto"/>
                <w:sz w:val="21"/>
                <w:szCs w:val="21"/>
                <w:highlight w:val="none"/>
              </w:rPr>
              <w:t>职务</w:t>
            </w:r>
            <w:r>
              <w:rPr>
                <w:b/>
                <w:bCs/>
                <w:color w:val="auto"/>
                <w:sz w:val="21"/>
                <w:szCs w:val="21"/>
                <w:highlight w:val="none"/>
              </w:rPr>
              <w:t>/</w:t>
            </w:r>
            <w:r>
              <w:rPr>
                <w:rFonts w:hint="eastAsia"/>
                <w:b/>
                <w:bCs/>
                <w:color w:val="auto"/>
                <w:sz w:val="21"/>
                <w:szCs w:val="21"/>
                <w:highlight w:val="none"/>
              </w:rPr>
              <w:t>专业</w:t>
            </w:r>
          </w:p>
        </w:tc>
        <w:tc>
          <w:tcPr>
            <w:tcW w:w="2389" w:type="pct"/>
            <w:tcBorders>
              <w:top w:val="single" w:color="000000" w:sz="10" w:space="0"/>
              <w:left w:val="single" w:color="000000" w:sz="4" w:space="0"/>
              <w:bottom w:val="single" w:color="000000" w:sz="4" w:space="0"/>
              <w:right w:val="single" w:color="000000" w:sz="4" w:space="0"/>
            </w:tcBorders>
          </w:tcPr>
          <w:p>
            <w:pPr>
              <w:pStyle w:val="24"/>
              <w:keepNext w:val="0"/>
              <w:keepLines w:val="0"/>
              <w:pageBreakBefore w:val="0"/>
              <w:widowControl w:val="0"/>
              <w:kinsoku w:val="0"/>
              <w:wordWrap/>
              <w:overflowPunct w:val="0"/>
              <w:topLinePunct w:val="0"/>
              <w:autoSpaceDE/>
              <w:autoSpaceDN/>
              <w:bidi w:val="0"/>
              <w:adjustRightInd/>
              <w:spacing w:line="240" w:lineRule="auto"/>
              <w:ind w:left="0" w:right="0"/>
              <w:jc w:val="center"/>
              <w:textAlignment w:val="auto"/>
              <w:rPr>
                <w:b/>
                <w:bCs/>
                <w:color w:val="auto"/>
                <w:sz w:val="20"/>
                <w:szCs w:val="20"/>
                <w:highlight w:val="none"/>
              </w:rPr>
            </w:pPr>
          </w:p>
          <w:p>
            <w:pPr>
              <w:pStyle w:val="24"/>
              <w:keepNext w:val="0"/>
              <w:keepLines w:val="0"/>
              <w:pageBreakBefore w:val="0"/>
              <w:widowControl w:val="0"/>
              <w:kinsoku w:val="0"/>
              <w:wordWrap/>
              <w:overflowPunct w:val="0"/>
              <w:topLinePunct w:val="0"/>
              <w:autoSpaceDE/>
              <w:autoSpaceDN/>
              <w:bidi w:val="0"/>
              <w:adjustRightInd/>
              <w:spacing w:line="240" w:lineRule="auto"/>
              <w:ind w:left="0" w:right="0"/>
              <w:jc w:val="center"/>
              <w:textAlignment w:val="auto"/>
              <w:rPr>
                <w:rFonts w:cs="Times New Roman"/>
                <w:color w:val="auto"/>
                <w:highlight w:val="none"/>
              </w:rPr>
            </w:pPr>
            <w:r>
              <w:rPr>
                <w:rFonts w:hint="eastAsia"/>
                <w:b/>
                <w:bCs/>
                <w:color w:val="auto"/>
                <w:sz w:val="21"/>
                <w:szCs w:val="21"/>
                <w:highlight w:val="none"/>
              </w:rPr>
              <w:t>职称和资格要求</w:t>
            </w:r>
          </w:p>
        </w:tc>
        <w:tc>
          <w:tcPr>
            <w:tcW w:w="488" w:type="pct"/>
            <w:tcBorders>
              <w:top w:val="single" w:color="000000" w:sz="10" w:space="0"/>
              <w:left w:val="single" w:color="000000" w:sz="4" w:space="0"/>
              <w:bottom w:val="single" w:color="000000" w:sz="4" w:space="0"/>
              <w:right w:val="single" w:color="000000" w:sz="4" w:space="0"/>
            </w:tcBorders>
          </w:tcPr>
          <w:p>
            <w:pPr>
              <w:pStyle w:val="24"/>
              <w:keepNext w:val="0"/>
              <w:keepLines w:val="0"/>
              <w:pageBreakBefore w:val="0"/>
              <w:widowControl w:val="0"/>
              <w:kinsoku w:val="0"/>
              <w:wordWrap/>
              <w:overflowPunct w:val="0"/>
              <w:topLinePunct w:val="0"/>
              <w:autoSpaceDE/>
              <w:autoSpaceDN/>
              <w:bidi w:val="0"/>
              <w:adjustRightInd/>
              <w:spacing w:line="240" w:lineRule="auto"/>
              <w:ind w:left="0" w:right="0"/>
              <w:jc w:val="center"/>
              <w:textAlignment w:val="auto"/>
              <w:rPr>
                <w:b/>
                <w:bCs/>
                <w:color w:val="auto"/>
                <w:sz w:val="20"/>
                <w:szCs w:val="20"/>
                <w:highlight w:val="none"/>
              </w:rPr>
            </w:pPr>
          </w:p>
          <w:p>
            <w:pPr>
              <w:pStyle w:val="24"/>
              <w:keepNext w:val="0"/>
              <w:keepLines w:val="0"/>
              <w:pageBreakBefore w:val="0"/>
              <w:widowControl w:val="0"/>
              <w:kinsoku w:val="0"/>
              <w:wordWrap/>
              <w:overflowPunct w:val="0"/>
              <w:topLinePunct w:val="0"/>
              <w:autoSpaceDE/>
              <w:autoSpaceDN/>
              <w:bidi w:val="0"/>
              <w:adjustRightInd/>
              <w:spacing w:line="240" w:lineRule="auto"/>
              <w:ind w:left="0" w:right="0"/>
              <w:jc w:val="center"/>
              <w:textAlignment w:val="auto"/>
              <w:rPr>
                <w:rFonts w:cs="Times New Roman"/>
                <w:color w:val="auto"/>
                <w:highlight w:val="none"/>
              </w:rPr>
            </w:pPr>
            <w:r>
              <w:rPr>
                <w:rFonts w:hint="eastAsia"/>
                <w:b/>
                <w:bCs/>
                <w:color w:val="auto"/>
                <w:sz w:val="21"/>
                <w:szCs w:val="21"/>
                <w:highlight w:val="none"/>
              </w:rPr>
              <w:t>人数</w:t>
            </w:r>
          </w:p>
        </w:tc>
        <w:tc>
          <w:tcPr>
            <w:tcW w:w="917" w:type="pct"/>
            <w:tcBorders>
              <w:top w:val="single" w:color="000000" w:sz="10" w:space="0"/>
              <w:left w:val="single" w:color="000000" w:sz="4" w:space="0"/>
              <w:bottom w:val="single" w:color="000000" w:sz="4" w:space="0"/>
              <w:right w:val="single" w:color="000000" w:sz="10" w:space="0"/>
            </w:tcBorders>
          </w:tcPr>
          <w:p>
            <w:pPr>
              <w:pStyle w:val="24"/>
              <w:keepNext w:val="0"/>
              <w:keepLines w:val="0"/>
              <w:pageBreakBefore w:val="0"/>
              <w:widowControl w:val="0"/>
              <w:kinsoku w:val="0"/>
              <w:wordWrap/>
              <w:overflowPunct w:val="0"/>
              <w:topLinePunct w:val="0"/>
              <w:autoSpaceDE/>
              <w:autoSpaceDN/>
              <w:bidi w:val="0"/>
              <w:adjustRightInd/>
              <w:spacing w:line="240" w:lineRule="auto"/>
              <w:ind w:left="0" w:right="0"/>
              <w:jc w:val="center"/>
              <w:textAlignment w:val="auto"/>
              <w:rPr>
                <w:rFonts w:cs="Times New Roman"/>
                <w:color w:val="auto"/>
                <w:highlight w:val="none"/>
              </w:rPr>
            </w:pPr>
            <w:r>
              <w:rPr>
                <w:rFonts w:hint="eastAsia"/>
                <w:b/>
                <w:bCs/>
                <w:color w:val="auto"/>
                <w:sz w:val="21"/>
                <w:szCs w:val="21"/>
                <w:highlight w:val="none"/>
              </w:rPr>
              <w:t>施工阶段驻场时间（含施工准备阶段驻场时间）</w:t>
            </w:r>
          </w:p>
        </w:tc>
      </w:tr>
      <w:tr>
        <w:tblPrEx>
          <w:tblCellMar>
            <w:top w:w="0" w:type="dxa"/>
            <w:left w:w="0" w:type="dxa"/>
            <w:bottom w:w="0" w:type="dxa"/>
            <w:right w:w="0" w:type="dxa"/>
          </w:tblCellMar>
        </w:tblPrEx>
        <w:trPr>
          <w:trHeight w:val="23" w:hRule="atLeast"/>
        </w:trPr>
        <w:tc>
          <w:tcPr>
            <w:tcW w:w="452" w:type="pct"/>
            <w:tcBorders>
              <w:top w:val="single" w:color="000000" w:sz="4" w:space="0"/>
              <w:left w:val="single" w:color="000000" w:sz="10" w:space="0"/>
              <w:bottom w:val="single" w:color="000000" w:sz="4" w:space="0"/>
              <w:right w:val="single" w:color="000000" w:sz="4" w:space="0"/>
            </w:tcBorders>
            <w:vAlign w:val="center"/>
          </w:tcPr>
          <w:p>
            <w:pPr>
              <w:keepNext w:val="0"/>
              <w:keepLines w:val="0"/>
              <w:pageBreakBefore w:val="0"/>
              <w:widowControl w:val="0"/>
              <w:wordWrap/>
              <w:topLinePunct w:val="0"/>
              <w:autoSpaceDE/>
              <w:autoSpaceDN/>
              <w:bidi w:val="0"/>
              <w:adjustRightInd/>
              <w:snapToGrid w:val="0"/>
              <w:spacing w:line="240" w:lineRule="auto"/>
              <w:ind w:left="0" w:right="0"/>
              <w:jc w:val="center"/>
              <w:textAlignment w:val="auto"/>
              <w:rPr>
                <w:color w:val="auto"/>
                <w:szCs w:val="21"/>
                <w:highlight w:val="none"/>
              </w:rPr>
            </w:pPr>
            <w:r>
              <w:rPr>
                <w:color w:val="auto"/>
                <w:szCs w:val="21"/>
                <w:highlight w:val="none"/>
              </w:rPr>
              <w:t>1.</w:t>
            </w:r>
          </w:p>
        </w:tc>
        <w:tc>
          <w:tcPr>
            <w:tcW w:w="75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wordWrap/>
              <w:topLinePunct w:val="0"/>
              <w:autoSpaceDE/>
              <w:autoSpaceDN/>
              <w:bidi w:val="0"/>
              <w:adjustRightInd/>
              <w:snapToGrid w:val="0"/>
              <w:spacing w:line="240" w:lineRule="auto"/>
              <w:ind w:left="0" w:right="0"/>
              <w:jc w:val="center"/>
              <w:textAlignment w:val="auto"/>
              <w:rPr>
                <w:color w:val="auto"/>
                <w:szCs w:val="21"/>
                <w:highlight w:val="none"/>
              </w:rPr>
            </w:pPr>
            <w:r>
              <w:rPr>
                <w:rFonts w:hint="eastAsia"/>
                <w:color w:val="auto"/>
                <w:szCs w:val="21"/>
                <w:highlight w:val="none"/>
              </w:rPr>
              <w:t>总监理工程师</w:t>
            </w:r>
          </w:p>
        </w:tc>
        <w:tc>
          <w:tcPr>
            <w:tcW w:w="238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snapToGrid w:val="0"/>
              <w:spacing w:line="240" w:lineRule="auto"/>
              <w:ind w:left="0" w:right="0"/>
              <w:jc w:val="both"/>
              <w:textAlignment w:val="auto"/>
              <w:rPr>
                <w:color w:val="auto"/>
                <w:szCs w:val="21"/>
                <w:highlight w:val="none"/>
              </w:rPr>
            </w:pPr>
            <w:r>
              <w:rPr>
                <w:rFonts w:hint="eastAsia"/>
                <w:color w:val="auto"/>
                <w:szCs w:val="21"/>
                <w:highlight w:val="none"/>
              </w:rPr>
              <w:t>①注册监理工程师（住房和城乡建设部核发），专业为</w:t>
            </w:r>
            <w:r>
              <w:rPr>
                <w:color w:val="auto"/>
                <w:szCs w:val="21"/>
                <w:highlight w:val="none"/>
                <w:u w:val="single"/>
              </w:rPr>
              <w:t xml:space="preserve"> </w:t>
            </w:r>
            <w:r>
              <w:rPr>
                <w:rFonts w:hint="eastAsia"/>
                <w:color w:val="auto"/>
                <w:szCs w:val="21"/>
                <w:highlight w:val="none"/>
                <w:u w:val="single"/>
              </w:rPr>
              <w:t>房屋建筑工程</w:t>
            </w:r>
            <w:r>
              <w:rPr>
                <w:rFonts w:hint="eastAsia"/>
                <w:color w:val="auto"/>
                <w:szCs w:val="21"/>
                <w:highlight w:val="none"/>
              </w:rPr>
              <w:t>。</w:t>
            </w:r>
          </w:p>
        </w:tc>
        <w:tc>
          <w:tcPr>
            <w:tcW w:w="48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wordWrap/>
              <w:topLinePunct w:val="0"/>
              <w:autoSpaceDE/>
              <w:autoSpaceDN/>
              <w:bidi w:val="0"/>
              <w:adjustRightInd/>
              <w:snapToGrid w:val="0"/>
              <w:spacing w:line="240" w:lineRule="auto"/>
              <w:ind w:left="0" w:right="0"/>
              <w:jc w:val="center"/>
              <w:textAlignment w:val="auto"/>
              <w:rPr>
                <w:color w:val="auto"/>
                <w:szCs w:val="21"/>
                <w:highlight w:val="none"/>
              </w:rPr>
            </w:pPr>
            <w:r>
              <w:rPr>
                <w:color w:val="auto"/>
                <w:szCs w:val="21"/>
                <w:highlight w:val="none"/>
              </w:rPr>
              <w:t>1</w:t>
            </w:r>
          </w:p>
        </w:tc>
        <w:tc>
          <w:tcPr>
            <w:tcW w:w="917" w:type="pct"/>
            <w:tcBorders>
              <w:top w:val="single" w:color="000000" w:sz="4" w:space="0"/>
              <w:left w:val="single" w:color="000000" w:sz="4" w:space="0"/>
              <w:bottom w:val="single" w:color="000000" w:sz="4" w:space="0"/>
              <w:right w:val="single" w:color="000000" w:sz="10" w:space="0"/>
            </w:tcBorders>
            <w:vAlign w:val="center"/>
          </w:tcPr>
          <w:p>
            <w:pPr>
              <w:keepNext w:val="0"/>
              <w:keepLines w:val="0"/>
              <w:pageBreakBefore w:val="0"/>
              <w:widowControl w:val="0"/>
              <w:wordWrap/>
              <w:topLinePunct w:val="0"/>
              <w:autoSpaceDE/>
              <w:autoSpaceDN/>
              <w:bidi w:val="0"/>
              <w:adjustRightInd/>
              <w:snapToGrid w:val="0"/>
              <w:spacing w:line="240" w:lineRule="auto"/>
              <w:ind w:left="0" w:right="0"/>
              <w:jc w:val="center"/>
              <w:textAlignment w:val="auto"/>
              <w:rPr>
                <w:color w:val="auto"/>
                <w:szCs w:val="21"/>
                <w:highlight w:val="none"/>
              </w:rPr>
            </w:pPr>
            <w:r>
              <w:rPr>
                <w:rFonts w:hint="eastAsia"/>
                <w:color w:val="auto"/>
                <w:szCs w:val="21"/>
                <w:highlight w:val="none"/>
              </w:rPr>
              <w:t>全过程驻场</w:t>
            </w:r>
          </w:p>
        </w:tc>
      </w:tr>
      <w:tr>
        <w:tblPrEx>
          <w:tblCellMar>
            <w:top w:w="0" w:type="dxa"/>
            <w:left w:w="0" w:type="dxa"/>
            <w:bottom w:w="0" w:type="dxa"/>
            <w:right w:w="0" w:type="dxa"/>
          </w:tblCellMar>
        </w:tblPrEx>
        <w:trPr>
          <w:trHeight w:val="23" w:hRule="atLeast"/>
        </w:trPr>
        <w:tc>
          <w:tcPr>
            <w:tcW w:w="452" w:type="pct"/>
            <w:tcBorders>
              <w:top w:val="single" w:color="000000" w:sz="4" w:space="0"/>
              <w:left w:val="single" w:color="000000" w:sz="10" w:space="0"/>
              <w:bottom w:val="single" w:color="000000" w:sz="4" w:space="0"/>
              <w:right w:val="single" w:color="000000" w:sz="4" w:space="0"/>
            </w:tcBorders>
            <w:vAlign w:val="center"/>
          </w:tcPr>
          <w:p>
            <w:pPr>
              <w:keepNext w:val="0"/>
              <w:keepLines w:val="0"/>
              <w:pageBreakBefore w:val="0"/>
              <w:widowControl w:val="0"/>
              <w:wordWrap/>
              <w:topLinePunct w:val="0"/>
              <w:autoSpaceDE/>
              <w:autoSpaceDN/>
              <w:bidi w:val="0"/>
              <w:adjustRightInd/>
              <w:snapToGrid w:val="0"/>
              <w:spacing w:line="240" w:lineRule="auto"/>
              <w:ind w:left="0" w:right="0"/>
              <w:jc w:val="center"/>
              <w:textAlignment w:val="auto"/>
              <w:rPr>
                <w:color w:val="auto"/>
                <w:szCs w:val="21"/>
                <w:highlight w:val="none"/>
              </w:rPr>
            </w:pPr>
            <w:r>
              <w:rPr>
                <w:color w:val="auto"/>
                <w:szCs w:val="21"/>
                <w:highlight w:val="none"/>
              </w:rPr>
              <w:t>2.</w:t>
            </w:r>
          </w:p>
        </w:tc>
        <w:tc>
          <w:tcPr>
            <w:tcW w:w="75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wordWrap/>
              <w:topLinePunct w:val="0"/>
              <w:autoSpaceDE/>
              <w:autoSpaceDN/>
              <w:bidi w:val="0"/>
              <w:adjustRightInd/>
              <w:snapToGrid w:val="0"/>
              <w:spacing w:line="240" w:lineRule="auto"/>
              <w:ind w:left="0" w:right="0"/>
              <w:jc w:val="center"/>
              <w:textAlignment w:val="auto"/>
              <w:rPr>
                <w:color w:val="auto"/>
                <w:szCs w:val="21"/>
                <w:highlight w:val="none"/>
              </w:rPr>
            </w:pPr>
            <w:r>
              <w:rPr>
                <w:rFonts w:hint="eastAsia"/>
                <w:color w:val="auto"/>
                <w:szCs w:val="21"/>
                <w:highlight w:val="none"/>
              </w:rPr>
              <w:t>土建专业监理工程师</w:t>
            </w:r>
          </w:p>
        </w:tc>
        <w:tc>
          <w:tcPr>
            <w:tcW w:w="238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snapToGrid w:val="0"/>
              <w:spacing w:line="240" w:lineRule="auto"/>
              <w:ind w:left="0" w:right="0"/>
              <w:jc w:val="both"/>
              <w:textAlignment w:val="auto"/>
              <w:rPr>
                <w:rFonts w:hint="eastAsia" w:eastAsia="宋体"/>
                <w:color w:val="auto"/>
                <w:szCs w:val="21"/>
                <w:highlight w:val="none"/>
                <w:lang w:eastAsia="zh-CN"/>
              </w:rPr>
            </w:pPr>
            <w:r>
              <w:rPr>
                <w:rFonts w:hint="eastAsia"/>
                <w:color w:val="auto"/>
                <w:szCs w:val="21"/>
                <w:highlight w:val="none"/>
              </w:rPr>
              <w:t>①注册监理工程师（住房和城乡建设部核发）、注册专业为</w:t>
            </w:r>
            <w:r>
              <w:rPr>
                <w:rFonts w:hint="eastAsia"/>
                <w:color w:val="auto"/>
                <w:szCs w:val="21"/>
                <w:highlight w:val="none"/>
                <w:u w:val="single"/>
              </w:rPr>
              <w:t>房屋建筑工程</w:t>
            </w:r>
            <w:r>
              <w:rPr>
                <w:rFonts w:hint="eastAsia"/>
                <w:color w:val="auto"/>
                <w:szCs w:val="21"/>
                <w:highlight w:val="none"/>
              </w:rPr>
              <w:t>，或持有专业监理工程师上岗证、上岗证专业为</w:t>
            </w:r>
            <w:r>
              <w:rPr>
                <w:rFonts w:hint="eastAsia"/>
                <w:color w:val="auto"/>
                <w:szCs w:val="21"/>
                <w:highlight w:val="none"/>
                <w:u w:val="single"/>
              </w:rPr>
              <w:t>房屋建筑工程</w:t>
            </w:r>
            <w:r>
              <w:rPr>
                <w:rFonts w:hint="eastAsia"/>
                <w:color w:val="auto"/>
                <w:szCs w:val="21"/>
                <w:highlight w:val="none"/>
                <w:lang w:eastAsia="zh-CN"/>
              </w:rPr>
              <w:t>。</w:t>
            </w:r>
          </w:p>
        </w:tc>
        <w:tc>
          <w:tcPr>
            <w:tcW w:w="48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wordWrap/>
              <w:topLinePunct w:val="0"/>
              <w:autoSpaceDE/>
              <w:autoSpaceDN/>
              <w:bidi w:val="0"/>
              <w:adjustRightInd/>
              <w:snapToGrid w:val="0"/>
              <w:spacing w:line="240" w:lineRule="auto"/>
              <w:ind w:left="0" w:right="0"/>
              <w:jc w:val="center"/>
              <w:textAlignment w:val="auto"/>
              <w:rPr>
                <w:rFonts w:hint="eastAsia" w:eastAsia="宋体"/>
                <w:color w:val="auto"/>
                <w:szCs w:val="21"/>
                <w:highlight w:val="none"/>
                <w:lang w:eastAsia="zh-CN"/>
              </w:rPr>
            </w:pPr>
            <w:r>
              <w:rPr>
                <w:rFonts w:hint="eastAsia"/>
                <w:color w:val="auto"/>
                <w:szCs w:val="21"/>
                <w:highlight w:val="none"/>
                <w:lang w:val="en-US" w:eastAsia="zh-CN"/>
              </w:rPr>
              <w:t>1</w:t>
            </w:r>
          </w:p>
        </w:tc>
        <w:tc>
          <w:tcPr>
            <w:tcW w:w="917" w:type="pct"/>
            <w:tcBorders>
              <w:top w:val="single" w:color="000000" w:sz="4" w:space="0"/>
              <w:left w:val="single" w:color="000000" w:sz="4" w:space="0"/>
              <w:bottom w:val="single" w:color="000000" w:sz="4" w:space="0"/>
              <w:right w:val="single" w:color="000000" w:sz="10" w:space="0"/>
            </w:tcBorders>
            <w:vAlign w:val="center"/>
          </w:tcPr>
          <w:p>
            <w:pPr>
              <w:keepNext w:val="0"/>
              <w:keepLines w:val="0"/>
              <w:pageBreakBefore w:val="0"/>
              <w:widowControl w:val="0"/>
              <w:wordWrap/>
              <w:topLinePunct w:val="0"/>
              <w:autoSpaceDE/>
              <w:autoSpaceDN/>
              <w:bidi w:val="0"/>
              <w:adjustRightInd/>
              <w:snapToGrid w:val="0"/>
              <w:spacing w:line="240" w:lineRule="auto"/>
              <w:ind w:left="0" w:right="0"/>
              <w:jc w:val="center"/>
              <w:textAlignment w:val="auto"/>
              <w:rPr>
                <w:color w:val="auto"/>
                <w:szCs w:val="21"/>
                <w:highlight w:val="none"/>
              </w:rPr>
            </w:pPr>
            <w:r>
              <w:rPr>
                <w:rFonts w:hint="eastAsia"/>
                <w:color w:val="auto"/>
                <w:szCs w:val="21"/>
                <w:highlight w:val="none"/>
              </w:rPr>
              <w:t>全过程驻场</w:t>
            </w:r>
          </w:p>
        </w:tc>
      </w:tr>
      <w:tr>
        <w:tblPrEx>
          <w:tblCellMar>
            <w:top w:w="0" w:type="dxa"/>
            <w:left w:w="0" w:type="dxa"/>
            <w:bottom w:w="0" w:type="dxa"/>
            <w:right w:w="0" w:type="dxa"/>
          </w:tblCellMar>
        </w:tblPrEx>
        <w:trPr>
          <w:trHeight w:val="23" w:hRule="atLeast"/>
        </w:trPr>
        <w:tc>
          <w:tcPr>
            <w:tcW w:w="452" w:type="pct"/>
            <w:tcBorders>
              <w:top w:val="single" w:color="000000" w:sz="4" w:space="0"/>
              <w:left w:val="single" w:color="000000" w:sz="10" w:space="0"/>
              <w:bottom w:val="single" w:color="000000" w:sz="4" w:space="0"/>
              <w:right w:val="single" w:color="000000" w:sz="4" w:space="0"/>
            </w:tcBorders>
            <w:vAlign w:val="center"/>
          </w:tcPr>
          <w:p>
            <w:pPr>
              <w:keepNext w:val="0"/>
              <w:keepLines w:val="0"/>
              <w:pageBreakBefore w:val="0"/>
              <w:widowControl w:val="0"/>
              <w:wordWrap/>
              <w:topLinePunct w:val="0"/>
              <w:autoSpaceDE/>
              <w:autoSpaceDN/>
              <w:bidi w:val="0"/>
              <w:adjustRightInd/>
              <w:snapToGrid w:val="0"/>
              <w:spacing w:line="240" w:lineRule="auto"/>
              <w:ind w:left="0" w:right="0"/>
              <w:jc w:val="center"/>
              <w:textAlignment w:val="auto"/>
              <w:rPr>
                <w:color w:val="auto"/>
                <w:szCs w:val="21"/>
                <w:highlight w:val="none"/>
              </w:rPr>
            </w:pPr>
            <w:r>
              <w:rPr>
                <w:color w:val="auto"/>
                <w:szCs w:val="21"/>
                <w:highlight w:val="none"/>
              </w:rPr>
              <w:t>3.</w:t>
            </w:r>
          </w:p>
        </w:tc>
        <w:tc>
          <w:tcPr>
            <w:tcW w:w="75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wordWrap/>
              <w:topLinePunct w:val="0"/>
              <w:autoSpaceDE/>
              <w:autoSpaceDN/>
              <w:bidi w:val="0"/>
              <w:adjustRightInd/>
              <w:snapToGrid w:val="0"/>
              <w:spacing w:line="240" w:lineRule="auto"/>
              <w:ind w:left="0" w:right="0"/>
              <w:jc w:val="center"/>
              <w:textAlignment w:val="auto"/>
              <w:rPr>
                <w:color w:val="auto"/>
                <w:szCs w:val="21"/>
                <w:highlight w:val="none"/>
              </w:rPr>
            </w:pPr>
            <w:r>
              <w:rPr>
                <w:rFonts w:hint="eastAsia"/>
                <w:color w:val="auto"/>
                <w:szCs w:val="21"/>
                <w:highlight w:val="none"/>
              </w:rPr>
              <w:t>给排水专业监理工程师</w:t>
            </w:r>
          </w:p>
        </w:tc>
        <w:tc>
          <w:tcPr>
            <w:tcW w:w="238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snapToGrid w:val="0"/>
              <w:spacing w:line="240" w:lineRule="auto"/>
              <w:ind w:left="0" w:right="0"/>
              <w:textAlignment w:val="auto"/>
              <w:rPr>
                <w:color w:val="auto"/>
                <w:szCs w:val="21"/>
                <w:highlight w:val="none"/>
              </w:rPr>
            </w:pPr>
            <w:r>
              <w:rPr>
                <w:rFonts w:hint="eastAsia"/>
                <w:color w:val="auto"/>
                <w:szCs w:val="21"/>
                <w:highlight w:val="none"/>
              </w:rPr>
              <w:t>①注册监理工程师（住房和城乡建设部核发）、注册专业为市政公用工程，或持有专业监理工程师上岗证、上岗证专业为市政公用工程；</w:t>
            </w:r>
            <w:r>
              <w:rPr>
                <w:color w:val="auto"/>
                <w:szCs w:val="21"/>
                <w:highlight w:val="none"/>
              </w:rPr>
              <w:t xml:space="preserve"> </w:t>
            </w:r>
          </w:p>
        </w:tc>
        <w:tc>
          <w:tcPr>
            <w:tcW w:w="48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wordWrap/>
              <w:topLinePunct w:val="0"/>
              <w:autoSpaceDE/>
              <w:autoSpaceDN/>
              <w:bidi w:val="0"/>
              <w:adjustRightInd/>
              <w:snapToGrid w:val="0"/>
              <w:spacing w:line="240" w:lineRule="auto"/>
              <w:ind w:left="0" w:right="0"/>
              <w:jc w:val="center"/>
              <w:textAlignment w:val="auto"/>
              <w:rPr>
                <w:color w:val="auto"/>
                <w:szCs w:val="21"/>
                <w:highlight w:val="none"/>
              </w:rPr>
            </w:pPr>
            <w:r>
              <w:rPr>
                <w:color w:val="auto"/>
                <w:szCs w:val="21"/>
                <w:highlight w:val="none"/>
              </w:rPr>
              <w:t>1</w:t>
            </w:r>
          </w:p>
        </w:tc>
        <w:tc>
          <w:tcPr>
            <w:tcW w:w="917" w:type="pct"/>
            <w:tcBorders>
              <w:top w:val="single" w:color="000000" w:sz="4" w:space="0"/>
              <w:left w:val="single" w:color="000000" w:sz="4" w:space="0"/>
              <w:bottom w:val="single" w:color="000000" w:sz="4" w:space="0"/>
              <w:right w:val="single" w:color="000000" w:sz="10" w:space="0"/>
            </w:tcBorders>
            <w:vAlign w:val="center"/>
          </w:tcPr>
          <w:p>
            <w:pPr>
              <w:keepNext w:val="0"/>
              <w:keepLines w:val="0"/>
              <w:pageBreakBefore w:val="0"/>
              <w:widowControl w:val="0"/>
              <w:wordWrap/>
              <w:topLinePunct w:val="0"/>
              <w:autoSpaceDE/>
              <w:autoSpaceDN/>
              <w:bidi w:val="0"/>
              <w:adjustRightInd/>
              <w:snapToGrid w:val="0"/>
              <w:spacing w:line="240" w:lineRule="auto"/>
              <w:ind w:left="0" w:right="0"/>
              <w:jc w:val="center"/>
              <w:textAlignment w:val="auto"/>
              <w:rPr>
                <w:color w:val="auto"/>
                <w:szCs w:val="21"/>
                <w:highlight w:val="none"/>
              </w:rPr>
            </w:pPr>
            <w:r>
              <w:rPr>
                <w:rFonts w:hint="eastAsia"/>
                <w:color w:val="auto"/>
                <w:szCs w:val="21"/>
                <w:highlight w:val="none"/>
              </w:rPr>
              <w:t>全过程驻场</w:t>
            </w:r>
          </w:p>
        </w:tc>
      </w:tr>
      <w:tr>
        <w:tblPrEx>
          <w:tblCellMar>
            <w:top w:w="0" w:type="dxa"/>
            <w:left w:w="0" w:type="dxa"/>
            <w:bottom w:w="0" w:type="dxa"/>
            <w:right w:w="0" w:type="dxa"/>
          </w:tblCellMar>
        </w:tblPrEx>
        <w:trPr>
          <w:trHeight w:val="23" w:hRule="atLeast"/>
        </w:trPr>
        <w:tc>
          <w:tcPr>
            <w:tcW w:w="452" w:type="pct"/>
            <w:tcBorders>
              <w:top w:val="single" w:color="000000" w:sz="4" w:space="0"/>
              <w:left w:val="single" w:color="000000" w:sz="10" w:space="0"/>
              <w:bottom w:val="single" w:color="000000" w:sz="4" w:space="0"/>
              <w:right w:val="single" w:color="000000" w:sz="4" w:space="0"/>
            </w:tcBorders>
            <w:vAlign w:val="center"/>
          </w:tcPr>
          <w:p>
            <w:pPr>
              <w:keepNext w:val="0"/>
              <w:keepLines w:val="0"/>
              <w:pageBreakBefore w:val="0"/>
              <w:widowControl w:val="0"/>
              <w:wordWrap/>
              <w:topLinePunct w:val="0"/>
              <w:autoSpaceDE/>
              <w:autoSpaceDN/>
              <w:bidi w:val="0"/>
              <w:adjustRightInd/>
              <w:snapToGrid w:val="0"/>
              <w:spacing w:line="240" w:lineRule="auto"/>
              <w:ind w:left="0" w:right="0"/>
              <w:jc w:val="center"/>
              <w:textAlignment w:val="auto"/>
              <w:rPr>
                <w:color w:val="auto"/>
                <w:szCs w:val="21"/>
                <w:highlight w:val="none"/>
              </w:rPr>
            </w:pPr>
            <w:r>
              <w:rPr>
                <w:color w:val="auto"/>
                <w:szCs w:val="21"/>
                <w:highlight w:val="none"/>
              </w:rPr>
              <w:t>4.</w:t>
            </w:r>
          </w:p>
        </w:tc>
        <w:tc>
          <w:tcPr>
            <w:tcW w:w="75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wordWrap/>
              <w:topLinePunct w:val="0"/>
              <w:autoSpaceDE/>
              <w:autoSpaceDN/>
              <w:bidi w:val="0"/>
              <w:adjustRightInd/>
              <w:snapToGrid w:val="0"/>
              <w:spacing w:line="240" w:lineRule="auto"/>
              <w:ind w:left="0" w:right="0"/>
              <w:jc w:val="center"/>
              <w:textAlignment w:val="auto"/>
              <w:rPr>
                <w:color w:val="auto"/>
                <w:szCs w:val="21"/>
                <w:highlight w:val="none"/>
              </w:rPr>
            </w:pPr>
            <w:r>
              <w:rPr>
                <w:rFonts w:hint="eastAsia"/>
                <w:color w:val="auto"/>
                <w:szCs w:val="21"/>
                <w:highlight w:val="none"/>
              </w:rPr>
              <w:t>专职安全工程师</w:t>
            </w:r>
          </w:p>
        </w:tc>
        <w:tc>
          <w:tcPr>
            <w:tcW w:w="238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wordWrap/>
              <w:topLinePunct w:val="0"/>
              <w:autoSpaceDE/>
              <w:autoSpaceDN/>
              <w:bidi w:val="0"/>
              <w:adjustRightInd/>
              <w:snapToGrid w:val="0"/>
              <w:spacing w:line="240" w:lineRule="auto"/>
              <w:ind w:left="0" w:right="0"/>
              <w:jc w:val="center"/>
              <w:textAlignment w:val="auto"/>
              <w:rPr>
                <w:color w:val="auto"/>
                <w:szCs w:val="21"/>
                <w:highlight w:val="none"/>
              </w:rPr>
            </w:pPr>
            <w:r>
              <w:rPr>
                <w:rFonts w:hint="eastAsia"/>
                <w:color w:val="auto"/>
                <w:szCs w:val="21"/>
                <w:highlight w:val="none"/>
              </w:rPr>
              <w:t>注册监理工程师或持有专业监理工程师上岗证</w:t>
            </w:r>
          </w:p>
        </w:tc>
        <w:tc>
          <w:tcPr>
            <w:tcW w:w="48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wordWrap/>
              <w:topLinePunct w:val="0"/>
              <w:autoSpaceDE/>
              <w:autoSpaceDN/>
              <w:bidi w:val="0"/>
              <w:adjustRightInd/>
              <w:snapToGrid w:val="0"/>
              <w:spacing w:line="240" w:lineRule="auto"/>
              <w:ind w:left="0" w:right="0"/>
              <w:jc w:val="center"/>
              <w:textAlignment w:val="auto"/>
              <w:rPr>
                <w:color w:val="auto"/>
                <w:szCs w:val="21"/>
                <w:highlight w:val="none"/>
              </w:rPr>
            </w:pPr>
            <w:r>
              <w:rPr>
                <w:color w:val="auto"/>
                <w:szCs w:val="21"/>
                <w:highlight w:val="none"/>
              </w:rPr>
              <w:t>1</w:t>
            </w:r>
          </w:p>
        </w:tc>
        <w:tc>
          <w:tcPr>
            <w:tcW w:w="917" w:type="pct"/>
            <w:tcBorders>
              <w:top w:val="single" w:color="000000" w:sz="4" w:space="0"/>
              <w:left w:val="single" w:color="000000" w:sz="4" w:space="0"/>
              <w:bottom w:val="single" w:color="000000" w:sz="4" w:space="0"/>
              <w:right w:val="single" w:color="000000" w:sz="10" w:space="0"/>
            </w:tcBorders>
            <w:vAlign w:val="center"/>
          </w:tcPr>
          <w:p>
            <w:pPr>
              <w:keepNext w:val="0"/>
              <w:keepLines w:val="0"/>
              <w:pageBreakBefore w:val="0"/>
              <w:widowControl w:val="0"/>
              <w:wordWrap/>
              <w:topLinePunct w:val="0"/>
              <w:autoSpaceDE/>
              <w:autoSpaceDN/>
              <w:bidi w:val="0"/>
              <w:adjustRightInd/>
              <w:snapToGrid w:val="0"/>
              <w:spacing w:line="240" w:lineRule="auto"/>
              <w:ind w:left="0" w:right="0"/>
              <w:jc w:val="center"/>
              <w:textAlignment w:val="auto"/>
              <w:rPr>
                <w:color w:val="auto"/>
                <w:szCs w:val="21"/>
                <w:highlight w:val="none"/>
              </w:rPr>
            </w:pPr>
            <w:r>
              <w:rPr>
                <w:rFonts w:hint="eastAsia"/>
                <w:color w:val="auto"/>
                <w:szCs w:val="21"/>
                <w:highlight w:val="none"/>
              </w:rPr>
              <w:t>全过程驻场</w:t>
            </w:r>
          </w:p>
        </w:tc>
      </w:tr>
      <w:tr>
        <w:tblPrEx>
          <w:tblCellMar>
            <w:top w:w="0" w:type="dxa"/>
            <w:left w:w="0" w:type="dxa"/>
            <w:bottom w:w="0" w:type="dxa"/>
            <w:right w:w="0" w:type="dxa"/>
          </w:tblCellMar>
        </w:tblPrEx>
        <w:trPr>
          <w:trHeight w:val="23" w:hRule="atLeast"/>
        </w:trPr>
        <w:tc>
          <w:tcPr>
            <w:tcW w:w="452" w:type="pct"/>
            <w:tcBorders>
              <w:top w:val="single" w:color="000000" w:sz="4" w:space="0"/>
              <w:left w:val="single" w:color="000000" w:sz="10" w:space="0"/>
              <w:bottom w:val="single" w:color="000000" w:sz="4" w:space="0"/>
              <w:right w:val="single" w:color="000000" w:sz="4" w:space="0"/>
            </w:tcBorders>
            <w:vAlign w:val="center"/>
          </w:tcPr>
          <w:p>
            <w:pPr>
              <w:keepNext w:val="0"/>
              <w:keepLines w:val="0"/>
              <w:pageBreakBefore w:val="0"/>
              <w:widowControl w:val="0"/>
              <w:wordWrap/>
              <w:topLinePunct w:val="0"/>
              <w:autoSpaceDE/>
              <w:autoSpaceDN/>
              <w:bidi w:val="0"/>
              <w:adjustRightInd/>
              <w:snapToGrid w:val="0"/>
              <w:spacing w:line="240" w:lineRule="auto"/>
              <w:ind w:left="0" w:right="0"/>
              <w:jc w:val="center"/>
              <w:textAlignment w:val="auto"/>
              <w:rPr>
                <w:color w:val="auto"/>
                <w:szCs w:val="21"/>
                <w:highlight w:val="none"/>
              </w:rPr>
            </w:pPr>
            <w:r>
              <w:rPr>
                <w:color w:val="auto"/>
                <w:szCs w:val="21"/>
                <w:highlight w:val="none"/>
              </w:rPr>
              <w:t>5.</w:t>
            </w:r>
          </w:p>
        </w:tc>
        <w:tc>
          <w:tcPr>
            <w:tcW w:w="75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wordWrap/>
              <w:topLinePunct w:val="0"/>
              <w:autoSpaceDE/>
              <w:autoSpaceDN/>
              <w:bidi w:val="0"/>
              <w:adjustRightInd/>
              <w:snapToGrid w:val="0"/>
              <w:spacing w:line="240" w:lineRule="auto"/>
              <w:ind w:left="0" w:right="0"/>
              <w:jc w:val="center"/>
              <w:textAlignment w:val="auto"/>
              <w:rPr>
                <w:color w:val="auto"/>
                <w:szCs w:val="21"/>
                <w:highlight w:val="none"/>
              </w:rPr>
            </w:pPr>
            <w:r>
              <w:rPr>
                <w:rFonts w:hint="eastAsia"/>
                <w:color w:val="auto"/>
                <w:szCs w:val="21"/>
                <w:highlight w:val="none"/>
              </w:rPr>
              <w:t>监理员</w:t>
            </w:r>
          </w:p>
        </w:tc>
        <w:tc>
          <w:tcPr>
            <w:tcW w:w="238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snapToGrid w:val="0"/>
              <w:spacing w:line="240" w:lineRule="auto"/>
              <w:ind w:left="0" w:right="0"/>
              <w:jc w:val="both"/>
              <w:textAlignment w:val="auto"/>
              <w:rPr>
                <w:color w:val="auto"/>
                <w:szCs w:val="21"/>
                <w:highlight w:val="none"/>
              </w:rPr>
            </w:pPr>
            <w:r>
              <w:rPr>
                <w:rFonts w:hint="eastAsia"/>
                <w:color w:val="auto"/>
                <w:szCs w:val="21"/>
                <w:highlight w:val="none"/>
              </w:rPr>
              <w:t>①注册监理工程师或持有专业监理工程师上岗证或持有监理员上岗证；</w:t>
            </w:r>
          </w:p>
        </w:tc>
        <w:tc>
          <w:tcPr>
            <w:tcW w:w="48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wordWrap/>
              <w:topLinePunct w:val="0"/>
              <w:autoSpaceDE/>
              <w:autoSpaceDN/>
              <w:bidi w:val="0"/>
              <w:adjustRightInd/>
              <w:snapToGrid w:val="0"/>
              <w:spacing w:line="240" w:lineRule="auto"/>
              <w:ind w:left="0" w:right="0"/>
              <w:jc w:val="center"/>
              <w:textAlignment w:val="auto"/>
              <w:rPr>
                <w:rFonts w:hint="eastAsia" w:eastAsia="宋体"/>
                <w:color w:val="auto"/>
                <w:szCs w:val="21"/>
                <w:highlight w:val="none"/>
                <w:lang w:eastAsia="zh-CN"/>
              </w:rPr>
            </w:pPr>
            <w:r>
              <w:rPr>
                <w:rFonts w:hint="eastAsia"/>
                <w:color w:val="auto"/>
                <w:szCs w:val="21"/>
                <w:highlight w:val="none"/>
                <w:lang w:val="en-US" w:eastAsia="zh-CN"/>
              </w:rPr>
              <w:t>2</w:t>
            </w:r>
          </w:p>
        </w:tc>
        <w:tc>
          <w:tcPr>
            <w:tcW w:w="917" w:type="pct"/>
            <w:tcBorders>
              <w:top w:val="single" w:color="000000" w:sz="4" w:space="0"/>
              <w:left w:val="single" w:color="000000" w:sz="4" w:space="0"/>
              <w:bottom w:val="single" w:color="000000" w:sz="4" w:space="0"/>
              <w:right w:val="single" w:color="000000" w:sz="10" w:space="0"/>
            </w:tcBorders>
            <w:vAlign w:val="center"/>
          </w:tcPr>
          <w:p>
            <w:pPr>
              <w:keepNext w:val="0"/>
              <w:keepLines w:val="0"/>
              <w:pageBreakBefore w:val="0"/>
              <w:widowControl w:val="0"/>
              <w:wordWrap/>
              <w:topLinePunct w:val="0"/>
              <w:autoSpaceDE/>
              <w:autoSpaceDN/>
              <w:bidi w:val="0"/>
              <w:adjustRightInd/>
              <w:snapToGrid w:val="0"/>
              <w:spacing w:line="240" w:lineRule="auto"/>
              <w:ind w:left="0" w:right="0"/>
              <w:jc w:val="center"/>
              <w:textAlignment w:val="auto"/>
              <w:rPr>
                <w:color w:val="auto"/>
                <w:szCs w:val="21"/>
                <w:highlight w:val="none"/>
              </w:rPr>
            </w:pPr>
            <w:r>
              <w:rPr>
                <w:rFonts w:hint="eastAsia"/>
                <w:color w:val="auto"/>
                <w:szCs w:val="21"/>
                <w:highlight w:val="none"/>
              </w:rPr>
              <w:t>全过程驻场</w:t>
            </w:r>
          </w:p>
        </w:tc>
      </w:tr>
    </w:tbl>
    <w:p>
      <w:pPr>
        <w:numPr>
          <w:ilvl w:val="0"/>
          <w:numId w:val="0"/>
        </w:numPr>
        <w:spacing w:after="0" w:line="360" w:lineRule="auto"/>
        <w:rPr>
          <w:rFonts w:hint="eastAsia" w:ascii="宋体" w:hAnsi="宋体" w:eastAsia="宋体" w:cs="Times New Roman"/>
          <w:b/>
          <w:bCs/>
          <w:color w:val="auto"/>
          <w:sz w:val="24"/>
          <w:szCs w:val="24"/>
          <w:highlight w:val="none"/>
          <w:lang w:val="en-US" w:eastAsia="zh-CN"/>
        </w:rPr>
      </w:pPr>
      <w:r>
        <w:rPr>
          <w:rFonts w:hint="eastAsia" w:ascii="宋体" w:hAnsi="宋体"/>
          <w:b/>
          <w:color w:val="auto"/>
          <w:sz w:val="21"/>
          <w:szCs w:val="21"/>
          <w:highlight w:val="none"/>
          <w:lang w:val="en-US" w:eastAsia="zh-CN"/>
        </w:rPr>
        <w:t>五、</w:t>
      </w:r>
      <w:r>
        <w:rPr>
          <w:rFonts w:hint="eastAsia" w:ascii="宋体" w:hAnsi="宋体" w:eastAsia="宋体" w:cs="Times New Roman"/>
          <w:b/>
          <w:bCs/>
          <w:color w:val="auto"/>
          <w:sz w:val="24"/>
          <w:szCs w:val="24"/>
          <w:highlight w:val="none"/>
          <w:lang w:val="en-US" w:eastAsia="zh-CN"/>
        </w:rPr>
        <w:t>其他要求</w:t>
      </w:r>
    </w:p>
    <w:p>
      <w:pPr>
        <w:spacing w:after="6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、用户需求仅为本项目的最低要求，</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应根据采购要求结合实际情况，在投标文件中提供更优的、切实可行的实施服务方案。</w:t>
      </w:r>
    </w:p>
    <w:p>
      <w:pPr>
        <w:spacing w:after="60"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、项目未尽事宜将在采购合同中另行约定，</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单位需无条件同意采购单位基于为顺利完成本项目所提出的各项合理要求。</w:t>
      </w:r>
    </w:p>
    <w:p>
      <w:pPr>
        <w:keepNext w:val="0"/>
        <w:keepLines w:val="0"/>
        <w:pageBreakBefore w:val="0"/>
        <w:widowControl w:val="0"/>
        <w:kinsoku/>
        <w:wordWrap/>
        <w:overflowPunct/>
        <w:topLinePunct w:val="0"/>
        <w:autoSpaceDE w:val="0"/>
        <w:autoSpaceDN w:val="0"/>
        <w:bidi w:val="0"/>
        <w:adjustRightInd/>
        <w:snapToGrid/>
        <w:spacing w:line="360" w:lineRule="auto"/>
        <w:ind w:left="632" w:right="565" w:rightChars="269" w:hanging="632" w:hangingChars="300"/>
        <w:jc w:val="left"/>
        <w:textAlignment w:val="auto"/>
        <w:rPr>
          <w:rFonts w:hint="eastAsia" w:ascii="宋体" w:hAnsi="宋体" w:eastAsia="宋体" w:cs="宋体"/>
          <w:b/>
          <w:bCs/>
          <w:color w:val="auto"/>
          <w:kern w:val="0"/>
          <w:sz w:val="21"/>
          <w:szCs w:val="21"/>
          <w:highlight w:val="none"/>
          <w:lang w:val="zh-CN" w:bidi="zh-CN"/>
        </w:rPr>
      </w:pPr>
      <w:r>
        <w:rPr>
          <w:rFonts w:hint="eastAsia" w:ascii="宋体" w:hAnsi="宋体" w:eastAsia="宋体" w:cs="宋体"/>
          <w:b/>
          <w:bCs/>
          <w:color w:val="auto"/>
          <w:kern w:val="0"/>
          <w:sz w:val="21"/>
          <w:szCs w:val="21"/>
          <w:highlight w:val="none"/>
          <w:lang w:val="zh-CN" w:bidi="zh-CN"/>
        </w:rPr>
        <w:t>说明</w:t>
      </w:r>
      <w:r>
        <w:rPr>
          <w:rFonts w:hint="eastAsia" w:ascii="宋体" w:hAnsi="宋体" w:eastAsia="宋体" w:cs="宋体"/>
          <w:b/>
          <w:bCs/>
          <w:color w:val="auto"/>
          <w:kern w:val="0"/>
          <w:sz w:val="21"/>
          <w:szCs w:val="21"/>
          <w:highlight w:val="none"/>
          <w:lang w:val="en-US" w:eastAsia="zh-CN" w:bidi="zh-CN"/>
        </w:rPr>
        <w:t>:1、</w:t>
      </w:r>
      <w:r>
        <w:rPr>
          <w:rFonts w:hint="eastAsia" w:ascii="宋体" w:hAnsi="宋体" w:eastAsia="宋体" w:cs="宋体"/>
          <w:b/>
          <w:bCs/>
          <w:color w:val="auto"/>
          <w:kern w:val="0"/>
          <w:sz w:val="21"/>
          <w:szCs w:val="21"/>
          <w:highlight w:val="none"/>
          <w:lang w:val="zh-CN" w:bidi="zh-CN"/>
        </w:rPr>
        <w:t>打“★”号条款为实质性条款，若有任何一条负偏离或不满足则导致投标（响应）无效。</w:t>
      </w:r>
    </w:p>
    <w:p>
      <w:pPr>
        <w:pStyle w:val="2"/>
        <w:keepNext w:val="0"/>
        <w:keepLines w:val="0"/>
        <w:pageBreakBefore w:val="0"/>
        <w:widowControl w:val="0"/>
        <w:kinsoku/>
        <w:wordWrap/>
        <w:overflowPunct/>
        <w:topLinePunct w:val="0"/>
        <w:bidi w:val="0"/>
        <w:adjustRightInd/>
        <w:snapToGrid/>
        <w:spacing w:before="0" w:line="360" w:lineRule="auto"/>
        <w:ind w:left="638" w:leftChars="304" w:firstLine="0" w:firstLineChars="0"/>
        <w:textAlignment w:val="auto"/>
        <w:rPr>
          <w:rFonts w:hint="eastAsia" w:ascii="宋体" w:hAnsi="宋体" w:eastAsia="宋体" w:cs="宋体"/>
          <w:b/>
          <w:bCs/>
          <w:color w:val="auto"/>
          <w:kern w:val="0"/>
          <w:sz w:val="21"/>
          <w:szCs w:val="21"/>
          <w:highlight w:val="none"/>
          <w:lang w:val="zh-CN" w:bidi="zh-CN"/>
        </w:rPr>
      </w:pPr>
      <w:r>
        <w:rPr>
          <w:rFonts w:hint="eastAsia" w:ascii="宋体" w:hAnsi="宋体" w:eastAsia="宋体" w:cs="宋体"/>
          <w:b/>
          <w:bCs/>
          <w:color w:val="auto"/>
          <w:kern w:val="0"/>
          <w:sz w:val="21"/>
          <w:szCs w:val="21"/>
          <w:highlight w:val="none"/>
          <w:lang w:val="en-US" w:eastAsia="zh-CN" w:bidi="zh-CN"/>
        </w:rPr>
        <w:t>2、</w:t>
      </w:r>
      <w:r>
        <w:rPr>
          <w:rFonts w:hint="eastAsia" w:ascii="宋体" w:hAnsi="宋体" w:eastAsia="宋体" w:cs="宋体"/>
          <w:b/>
          <w:bCs/>
          <w:color w:val="auto"/>
          <w:kern w:val="0"/>
          <w:sz w:val="21"/>
          <w:szCs w:val="21"/>
          <w:highlight w:val="none"/>
          <w:lang w:val="zh-CN" w:bidi="zh-CN"/>
        </w:rPr>
        <w:t>打“▲”号条款为重要技术参数（如有），若有部分“▲”条款未响应或不满足，将根据评审要求影响其得分，但不作为无效投标（响应）条款。</w:t>
      </w:r>
    </w:p>
    <w:p>
      <w:pPr>
        <w:rPr>
          <w:rFonts w:hint="eastAsia" w:ascii="宋体" w:hAnsi="宋体" w:eastAsia="宋体" w:cs="宋体"/>
          <w:b/>
          <w:bCs/>
          <w:color w:val="auto"/>
          <w:kern w:val="0"/>
          <w:sz w:val="21"/>
          <w:szCs w:val="21"/>
          <w:highlight w:val="none"/>
          <w:lang w:val="zh-CN" w:bidi="zh-CN"/>
        </w:rPr>
      </w:pPr>
      <w:r>
        <w:rPr>
          <w:rFonts w:hint="eastAsia" w:ascii="宋体" w:hAnsi="宋体" w:eastAsia="宋体" w:cs="宋体"/>
          <w:b/>
          <w:bCs/>
          <w:color w:val="auto"/>
          <w:kern w:val="0"/>
          <w:sz w:val="21"/>
          <w:szCs w:val="21"/>
          <w:highlight w:val="none"/>
          <w:lang w:val="zh-CN" w:bidi="zh-CN"/>
        </w:rPr>
        <w:br w:type="page"/>
      </w:r>
    </w:p>
    <w:p>
      <w:pPr>
        <w:pStyle w:val="3"/>
        <w:numPr>
          <w:ilvl w:val="0"/>
          <w:numId w:val="1"/>
        </w:numPr>
        <w:bidi w:val="0"/>
        <w:ind w:left="0" w:leftChars="0" w:firstLine="0" w:firstLineChars="0"/>
        <w:rPr>
          <w:rFonts w:hint="eastAsia"/>
          <w:color w:val="auto"/>
          <w:highlight w:val="none"/>
          <w:lang w:val="en-US" w:eastAsia="zh-CN"/>
        </w:rPr>
      </w:pPr>
      <w:bookmarkStart w:id="240" w:name="_Toc29929"/>
      <w:r>
        <w:rPr>
          <w:rFonts w:hint="eastAsia"/>
          <w:color w:val="auto"/>
          <w:highlight w:val="none"/>
          <w:lang w:val="en-US" w:eastAsia="zh-CN"/>
        </w:rPr>
        <w:t>详细评审</w:t>
      </w:r>
      <w:bookmarkEnd w:id="240"/>
    </w:p>
    <w:tbl>
      <w:tblPr>
        <w:tblStyle w:val="1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7"/>
        <w:gridCol w:w="3"/>
        <w:gridCol w:w="734"/>
        <w:gridCol w:w="25"/>
        <w:gridCol w:w="5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序号</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评审项目</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分值</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b/>
                <w:bCs/>
                <w:color w:val="auto"/>
                <w:sz w:val="21"/>
                <w:szCs w:val="21"/>
                <w:highlight w:val="none"/>
                <w:lang w:eastAsia="zh-CN"/>
              </w:rPr>
            </w:pPr>
            <w:r>
              <w:rPr>
                <w:rFonts w:hint="eastAsia" w:ascii="宋体" w:eastAsia="宋体" w:cs="宋体"/>
                <w:b/>
                <w:bCs/>
                <w:color w:val="auto"/>
                <w:sz w:val="21"/>
                <w:szCs w:val="21"/>
                <w:highlight w:val="none"/>
              </w:rPr>
              <w:t>商务评审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25分</w:t>
            </w:r>
            <w:r>
              <w:rPr>
                <w:rFonts w:hint="eastAsia" w:asci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noWrap w:val="0"/>
            <w:vAlign w:val="center"/>
          </w:tcPr>
          <w:p>
            <w:pPr>
              <w:pStyle w:val="25"/>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7" w:type="dxa"/>
            <w:tcBorders>
              <w:top w:val="single" w:color="auto" w:sz="4" w:space="0"/>
              <w:left w:val="single" w:color="auto" w:sz="4" w:space="0"/>
              <w:right w:val="single" w:color="auto"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sz w:val="21"/>
                <w:szCs w:val="21"/>
                <w:highlight w:val="none"/>
              </w:rPr>
              <w:t>业绩情况</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sz w:val="21"/>
                <w:szCs w:val="21"/>
                <w:highlight w:val="none"/>
                <w:lang w:val="en-US" w:eastAsia="zh-CN"/>
              </w:rPr>
              <w:t>20</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Style w:val="15"/>
              <w:widowControl w:val="0"/>
              <w:spacing w:before="0" w:beforeAutospacing="0" w:after="0" w:afterAutospacing="0"/>
              <w:ind w:left="1" w:leftChars="0" w:firstLine="420" w:firstLineChars="200"/>
              <w:jc w:val="both"/>
              <w:rPr>
                <w:rFonts w:hint="eastAsia" w:ascii="宋体" w:hAnsi="宋体" w:eastAsia="宋体" w:cs="宋体"/>
                <w:bCs/>
                <w:color w:val="auto"/>
                <w:sz w:val="21"/>
                <w:szCs w:val="21"/>
                <w:highlight w:val="none"/>
                <w:lang w:val="zh-CN"/>
              </w:rPr>
            </w:pPr>
            <w:r>
              <w:rPr>
                <w:rFonts w:hint="eastAsia" w:ascii="宋体" w:hAnsi="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lang w:val="zh-CN"/>
              </w:rPr>
              <w:t>具有的</w:t>
            </w:r>
            <w:r>
              <w:rPr>
                <w:rFonts w:hint="eastAsia" w:ascii="宋体" w:hAnsi="宋体" w:cs="宋体"/>
                <w:bCs/>
                <w:color w:val="auto"/>
                <w:sz w:val="21"/>
                <w:szCs w:val="21"/>
                <w:highlight w:val="none"/>
                <w:lang w:val="en-US" w:eastAsia="zh-CN"/>
              </w:rPr>
              <w:t>工程监理</w:t>
            </w:r>
            <w:r>
              <w:rPr>
                <w:rFonts w:hint="eastAsia" w:ascii="宋体" w:hAnsi="宋体" w:eastAsia="宋体" w:cs="宋体"/>
                <w:bCs/>
                <w:color w:val="auto"/>
                <w:sz w:val="21"/>
                <w:szCs w:val="21"/>
                <w:highlight w:val="none"/>
                <w:lang w:val="zh-CN"/>
              </w:rPr>
              <w:t>类项目业绩，每提供一个合同业绩得</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zh-CN"/>
              </w:rPr>
              <w:t>分。本项最高得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rPr>
              <w:t>0分。</w:t>
            </w:r>
          </w:p>
          <w:p>
            <w:pPr>
              <w:pStyle w:val="15"/>
              <w:widowControl w:val="0"/>
              <w:spacing w:before="0" w:beforeAutospacing="0" w:after="0" w:afterAutospacing="0"/>
              <w:ind w:left="1" w:leftChars="0" w:right="0" w:rightChars="0" w:firstLine="420" w:firstLineChars="200"/>
              <w:jc w:val="both"/>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rPr>
              <w:t>注：须提供合同复印件并同时加盖</w:t>
            </w:r>
            <w:r>
              <w:rPr>
                <w:rFonts w:hint="eastAsia" w:ascii="宋体" w:hAnsi="宋体" w:cs="宋体"/>
                <w:bCs/>
                <w:color w:val="auto"/>
                <w:sz w:val="21"/>
                <w:szCs w:val="21"/>
                <w:highlight w:val="none"/>
                <w:lang w:val="zh-CN"/>
              </w:rPr>
              <w:t>供应商</w:t>
            </w:r>
            <w:r>
              <w:rPr>
                <w:rFonts w:hint="eastAsia" w:ascii="宋体" w:hAnsi="宋体" w:eastAsia="宋体" w:cs="宋体"/>
                <w:bCs/>
                <w:color w:val="auto"/>
                <w:sz w:val="21"/>
                <w:szCs w:val="21"/>
                <w:highlight w:val="none"/>
                <w:lang w:val="zh-CN"/>
              </w:rPr>
              <w:t>公章，不符合以上要求得不得分。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noWrap w:val="0"/>
            <w:vAlign w:val="center"/>
          </w:tcPr>
          <w:p>
            <w:pPr>
              <w:pStyle w:val="25"/>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607" w:type="dxa"/>
            <w:tcBorders>
              <w:top w:val="single" w:color="auto" w:sz="4" w:space="0"/>
              <w:left w:val="single" w:color="auto" w:sz="4" w:space="0"/>
              <w:right w:val="single" w:color="auto" w:sz="4" w:space="0"/>
            </w:tcBorders>
            <w:noWrap w:val="0"/>
            <w:vAlign w:val="center"/>
          </w:tcPr>
          <w:p>
            <w:pPr>
              <w:spacing w:line="276" w:lineRule="auto"/>
              <w:jc w:val="center"/>
              <w:rPr>
                <w:rFonts w:hint="eastAsia" w:ascii="宋体" w:hAnsi="宋体" w:eastAsia="宋体" w:cs="宋体"/>
                <w:color w:val="auto"/>
                <w:kern w:val="2"/>
                <w:sz w:val="21"/>
                <w:szCs w:val="21"/>
                <w:highlight w:val="none"/>
              </w:rPr>
            </w:pPr>
            <w:r>
              <w:rPr>
                <w:rFonts w:hint="eastAsia" w:ascii="宋体" w:hAnsi="宋体" w:cs="宋体"/>
                <w:color w:val="auto"/>
                <w:szCs w:val="21"/>
                <w:highlight w:val="none"/>
              </w:rPr>
              <w:t>服务便利性</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default" w:ascii="宋体" w:hAnsi="宋体" w:eastAsia="宋体" w:cs="宋体"/>
                <w:color w:val="auto"/>
                <w:kern w:val="2"/>
                <w:sz w:val="21"/>
                <w:szCs w:val="21"/>
                <w:highlight w:val="none"/>
                <w:lang w:val="en-US" w:eastAsia="zh-CN"/>
              </w:rPr>
            </w:pPr>
            <w:r>
              <w:rPr>
                <w:rFonts w:hint="eastAsia" w:ascii="宋体" w:hAnsi="宋体"/>
                <w:color w:val="auto"/>
                <w:szCs w:val="21"/>
                <w:highlight w:val="none"/>
              </w:rPr>
              <w:t>5</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根据供应商收到采购人的紧急服务需求后的响应时间进行评分：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承诺1小时内（含）响应并能到达现场的，得5分；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承诺1小时（不含）至2小时内（含）响应并能到达现场的，得3分；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承诺2小时</w:t>
            </w:r>
            <w:r>
              <w:rPr>
                <w:rFonts w:hint="eastAsia" w:ascii="宋体" w:hAnsi="宋体" w:cs="宋体"/>
                <w:bCs/>
                <w:color w:val="auto"/>
                <w:sz w:val="21"/>
                <w:szCs w:val="21"/>
                <w:highlight w:val="none"/>
                <w:lang w:val="zh-CN"/>
              </w:rPr>
              <w:t>（</w:t>
            </w:r>
            <w:r>
              <w:rPr>
                <w:rFonts w:hint="eastAsia" w:ascii="宋体" w:hAnsi="宋体" w:cs="宋体"/>
                <w:bCs/>
                <w:color w:val="auto"/>
                <w:sz w:val="21"/>
                <w:szCs w:val="21"/>
                <w:highlight w:val="none"/>
                <w:lang w:val="en-US" w:eastAsia="zh-CN"/>
              </w:rPr>
              <w:t>不含</w:t>
            </w:r>
            <w:r>
              <w:rPr>
                <w:rFonts w:hint="eastAsia" w:ascii="宋体" w:hAnsi="宋体" w:cs="宋体"/>
                <w:bCs/>
                <w:color w:val="auto"/>
                <w:sz w:val="21"/>
                <w:szCs w:val="21"/>
                <w:highlight w:val="none"/>
                <w:lang w:val="zh-CN"/>
              </w:rPr>
              <w:t>）</w:t>
            </w:r>
            <w:r>
              <w:rPr>
                <w:rFonts w:hint="eastAsia" w:ascii="宋体" w:hAnsi="宋体" w:cs="宋体"/>
                <w:bCs/>
                <w:color w:val="auto"/>
                <w:sz w:val="21"/>
                <w:szCs w:val="21"/>
                <w:highlight w:val="none"/>
                <w:lang w:val="en-US" w:eastAsia="zh-CN"/>
              </w:rPr>
              <w:t>至4小时内（含）</w:t>
            </w:r>
            <w:r>
              <w:rPr>
                <w:rFonts w:hint="eastAsia" w:ascii="宋体" w:hAnsi="宋体" w:eastAsia="宋体" w:cs="宋体"/>
                <w:bCs/>
                <w:color w:val="auto"/>
                <w:sz w:val="21"/>
                <w:szCs w:val="21"/>
                <w:highlight w:val="none"/>
                <w:lang w:val="zh-CN"/>
              </w:rPr>
              <w:t>响应并能到达现场的，得1分；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其他情况不得分。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无承诺不得分。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eastAsia="zh-CN"/>
              </w:rPr>
            </w:pPr>
            <w:r>
              <w:rPr>
                <w:rFonts w:hint="eastAsia" w:ascii="宋体" w:eastAsia="宋体" w:cs="宋体"/>
                <w:b/>
                <w:bCs/>
                <w:color w:val="auto"/>
                <w:sz w:val="21"/>
                <w:szCs w:val="21"/>
                <w:highlight w:val="none"/>
              </w:rPr>
              <w:t>技术评审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65分</w:t>
            </w:r>
            <w:r>
              <w:rPr>
                <w:rFonts w:hint="eastAsia" w:asci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25"/>
              <w:spacing w:line="340" w:lineRule="exact"/>
              <w:ind w:firstLine="0" w:firstLineChars="0"/>
              <w:jc w:val="center"/>
              <w:rPr>
                <w:rFonts w:hint="eastAsia" w:ascii="宋体" w:hAnsi="宋体" w:eastAsia="宋体" w:cs="宋体"/>
                <w:color w:val="auto"/>
                <w:kern w:val="2"/>
                <w:sz w:val="21"/>
                <w:szCs w:val="21"/>
                <w:highlight w:val="none"/>
              </w:rPr>
            </w:pPr>
            <w:r>
              <w:rPr>
                <w:rFonts w:hint="eastAsia" w:ascii="宋体" w:eastAsia="宋体" w:cs="宋体"/>
                <w:color w:val="auto"/>
                <w:sz w:val="21"/>
                <w:szCs w:val="21"/>
                <w:highlight w:val="none"/>
              </w:rPr>
              <w:t>项目的总体把握和理解</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5"/>
              <w:spacing w:line="340" w:lineRule="exact"/>
              <w:ind w:firstLine="0" w:firstLineChars="0"/>
              <w:jc w:val="center"/>
              <w:rPr>
                <w:rFonts w:hint="default" w:ascii="宋体" w:hAnsi="宋体" w:eastAsia="宋体" w:cs="宋体"/>
                <w:color w:val="auto"/>
                <w:kern w:val="2"/>
                <w:sz w:val="21"/>
                <w:szCs w:val="21"/>
                <w:highlight w:val="none"/>
                <w:lang w:val="en-US" w:eastAsia="zh-CN"/>
              </w:rPr>
            </w:pPr>
            <w:r>
              <w:rPr>
                <w:rFonts w:hint="eastAsia" w:ascii="宋体" w:eastAsia="宋体" w:cs="宋体"/>
                <w:color w:val="auto"/>
                <w:sz w:val="21"/>
                <w:szCs w:val="21"/>
                <w:highlight w:val="none"/>
                <w:lang w:val="en-US" w:eastAsia="zh-CN"/>
              </w:rPr>
              <w:t>15</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Style w:val="25"/>
              <w:spacing w:line="360" w:lineRule="auto"/>
              <w:ind w:firstLine="420" w:firstLineChars="200"/>
              <w:rPr>
                <w:rFonts w:hint="eastAsia" w:ascii="宋体" w:eastAsia="宋体" w:cs="宋体"/>
                <w:color w:val="auto"/>
                <w:sz w:val="21"/>
                <w:szCs w:val="21"/>
                <w:highlight w:val="none"/>
              </w:rPr>
            </w:pPr>
            <w:r>
              <w:rPr>
                <w:rFonts w:hint="eastAsia" w:ascii="宋体" w:eastAsia="宋体" w:cs="宋体"/>
                <w:color w:val="auto"/>
                <w:sz w:val="21"/>
                <w:szCs w:val="21"/>
                <w:highlight w:val="none"/>
              </w:rPr>
              <w:t>根据</w:t>
            </w:r>
            <w:r>
              <w:rPr>
                <w:rFonts w:hint="eastAsia" w:ascii="宋体" w:eastAsia="宋体" w:cs="宋体"/>
                <w:color w:val="auto"/>
                <w:sz w:val="21"/>
                <w:szCs w:val="21"/>
                <w:highlight w:val="none"/>
                <w:lang w:val="en-US" w:eastAsia="zh-CN"/>
              </w:rPr>
              <w:t>供应商</w:t>
            </w:r>
            <w:r>
              <w:rPr>
                <w:rFonts w:hint="eastAsia" w:ascii="宋体" w:eastAsia="宋体" w:cs="宋体"/>
                <w:color w:val="auto"/>
                <w:sz w:val="21"/>
                <w:szCs w:val="21"/>
                <w:highlight w:val="none"/>
              </w:rPr>
              <w:t>对项目内容的总体把握和理解进行</w:t>
            </w:r>
            <w:r>
              <w:rPr>
                <w:rFonts w:hint="eastAsia" w:ascii="宋体" w:eastAsia="宋体" w:cs="宋体"/>
                <w:color w:val="auto"/>
                <w:sz w:val="21"/>
                <w:szCs w:val="21"/>
                <w:highlight w:val="none"/>
                <w:lang w:val="en-US" w:eastAsia="zh-CN"/>
              </w:rPr>
              <w:t>综合评审</w:t>
            </w:r>
            <w:r>
              <w:rPr>
                <w:rFonts w:hint="eastAsia" w:ascii="宋体" w:eastAsia="宋体" w:cs="宋体"/>
                <w:color w:val="auto"/>
                <w:sz w:val="21"/>
                <w:szCs w:val="21"/>
                <w:highlight w:val="none"/>
              </w:rPr>
              <w:t>：</w:t>
            </w:r>
          </w:p>
          <w:p>
            <w:pPr>
              <w:pStyle w:val="25"/>
              <w:spacing w:line="360" w:lineRule="auto"/>
              <w:ind w:firstLine="420" w:firstLineChars="200"/>
              <w:rPr>
                <w:rFonts w:hint="eastAsia" w:ascii="宋体" w:eastAsia="宋体" w:cs="宋体"/>
                <w:color w:val="auto"/>
                <w:sz w:val="21"/>
                <w:szCs w:val="21"/>
                <w:highlight w:val="none"/>
              </w:rPr>
            </w:pPr>
            <w:r>
              <w:rPr>
                <w:rFonts w:hint="eastAsia" w:ascii="宋体" w:eastAsia="宋体" w:cs="宋体"/>
                <w:color w:val="auto"/>
                <w:sz w:val="21"/>
                <w:szCs w:val="21"/>
                <w:highlight w:val="none"/>
              </w:rPr>
              <w:t>对项目内容整体</w:t>
            </w:r>
            <w:r>
              <w:rPr>
                <w:rFonts w:hint="eastAsia" w:ascii="宋体" w:eastAsia="宋体" w:cs="宋体"/>
                <w:color w:val="auto"/>
                <w:sz w:val="21"/>
                <w:szCs w:val="21"/>
                <w:highlight w:val="none"/>
                <w:lang w:val="en-US" w:eastAsia="zh-CN"/>
              </w:rPr>
              <w:t>有完整全面</w:t>
            </w:r>
            <w:r>
              <w:rPr>
                <w:rFonts w:hint="eastAsia" w:ascii="宋体" w:eastAsia="宋体" w:cs="宋体"/>
                <w:color w:val="auto"/>
                <w:sz w:val="21"/>
                <w:szCs w:val="21"/>
                <w:highlight w:val="none"/>
              </w:rPr>
              <w:t>把握和理解的，得</w:t>
            </w:r>
            <w:r>
              <w:rPr>
                <w:rFonts w:hint="eastAsia" w:ascii="宋体" w:eastAsia="宋体" w:cs="宋体"/>
                <w:color w:val="auto"/>
                <w:sz w:val="21"/>
                <w:szCs w:val="21"/>
                <w:highlight w:val="none"/>
                <w:lang w:val="en-US" w:eastAsia="zh-CN"/>
              </w:rPr>
              <w:t>15</w:t>
            </w:r>
            <w:r>
              <w:rPr>
                <w:rFonts w:hint="eastAsia" w:ascii="宋体" w:eastAsia="宋体" w:cs="宋体"/>
                <w:color w:val="auto"/>
                <w:sz w:val="21"/>
                <w:szCs w:val="21"/>
                <w:highlight w:val="none"/>
              </w:rPr>
              <w:t>分；</w:t>
            </w:r>
          </w:p>
          <w:p>
            <w:pPr>
              <w:pStyle w:val="25"/>
              <w:spacing w:line="360" w:lineRule="auto"/>
              <w:ind w:firstLine="420" w:firstLineChars="200"/>
              <w:rPr>
                <w:rFonts w:hint="eastAsia" w:ascii="宋体" w:eastAsia="宋体" w:cs="宋体"/>
                <w:color w:val="auto"/>
                <w:sz w:val="21"/>
                <w:szCs w:val="21"/>
                <w:highlight w:val="none"/>
              </w:rPr>
            </w:pPr>
            <w:r>
              <w:rPr>
                <w:rFonts w:hint="eastAsia" w:ascii="宋体" w:eastAsia="宋体" w:cs="宋体"/>
                <w:color w:val="auto"/>
                <w:sz w:val="21"/>
                <w:szCs w:val="21"/>
                <w:highlight w:val="none"/>
              </w:rPr>
              <w:t>对项目内容整体有</w:t>
            </w:r>
            <w:r>
              <w:rPr>
                <w:rFonts w:hint="eastAsia" w:ascii="宋体" w:eastAsia="宋体" w:cs="宋体"/>
                <w:color w:val="auto"/>
                <w:sz w:val="21"/>
                <w:szCs w:val="21"/>
                <w:highlight w:val="none"/>
                <w:lang w:val="en-US" w:eastAsia="zh-CN"/>
              </w:rPr>
              <w:t>基本全面</w:t>
            </w:r>
            <w:r>
              <w:rPr>
                <w:rFonts w:hint="eastAsia" w:ascii="宋体" w:eastAsia="宋体" w:cs="宋体"/>
                <w:color w:val="auto"/>
                <w:sz w:val="21"/>
                <w:szCs w:val="21"/>
                <w:highlight w:val="none"/>
              </w:rPr>
              <w:t>把握和理解的，得</w:t>
            </w:r>
            <w:r>
              <w:rPr>
                <w:rFonts w:hint="eastAsia" w:ascii="宋体" w:eastAsia="宋体" w:cs="宋体"/>
                <w:color w:val="auto"/>
                <w:sz w:val="21"/>
                <w:szCs w:val="21"/>
                <w:highlight w:val="none"/>
                <w:lang w:val="en-US" w:eastAsia="zh-CN"/>
              </w:rPr>
              <w:t>10</w:t>
            </w:r>
            <w:r>
              <w:rPr>
                <w:rFonts w:hint="eastAsia" w:ascii="宋体" w:eastAsia="宋体" w:cs="宋体"/>
                <w:color w:val="auto"/>
                <w:sz w:val="21"/>
                <w:szCs w:val="21"/>
                <w:highlight w:val="none"/>
              </w:rPr>
              <w:t>分；</w:t>
            </w:r>
          </w:p>
          <w:p>
            <w:pPr>
              <w:pStyle w:val="25"/>
              <w:spacing w:line="360" w:lineRule="auto"/>
              <w:ind w:firstLine="420" w:firstLineChars="200"/>
              <w:rPr>
                <w:rFonts w:hint="eastAsia" w:ascii="宋体" w:eastAsia="宋体" w:cs="宋体"/>
                <w:color w:val="auto"/>
                <w:sz w:val="21"/>
                <w:szCs w:val="21"/>
                <w:highlight w:val="none"/>
              </w:rPr>
            </w:pPr>
            <w:r>
              <w:rPr>
                <w:rFonts w:hint="eastAsia" w:ascii="宋体" w:eastAsia="宋体" w:cs="宋体"/>
                <w:color w:val="auto"/>
                <w:sz w:val="21"/>
                <w:szCs w:val="21"/>
                <w:highlight w:val="none"/>
              </w:rPr>
              <w:t>对项目内容整体把握和理解一般的，得</w:t>
            </w:r>
            <w:r>
              <w:rPr>
                <w:rFonts w:hint="eastAsia" w:ascii="宋体" w:eastAsia="宋体" w:cs="宋体"/>
                <w:color w:val="auto"/>
                <w:sz w:val="21"/>
                <w:szCs w:val="21"/>
                <w:highlight w:val="none"/>
                <w:lang w:val="en-US" w:eastAsia="zh-CN"/>
              </w:rPr>
              <w:t>5</w:t>
            </w:r>
            <w:r>
              <w:rPr>
                <w:rFonts w:hint="eastAsia" w:ascii="宋体" w:eastAsia="宋体" w:cs="宋体"/>
                <w:color w:val="auto"/>
                <w:sz w:val="21"/>
                <w:szCs w:val="21"/>
                <w:highlight w:val="none"/>
              </w:rPr>
              <w:t>分；</w:t>
            </w:r>
          </w:p>
          <w:p>
            <w:pPr>
              <w:pStyle w:val="25"/>
              <w:spacing w:line="360" w:lineRule="auto"/>
              <w:ind w:firstLine="420" w:firstLineChars="200"/>
              <w:rPr>
                <w:rFonts w:hint="eastAsia" w:ascii="宋体" w:eastAsia="宋体" w:cs="宋体"/>
                <w:color w:val="auto"/>
                <w:sz w:val="21"/>
                <w:szCs w:val="21"/>
                <w:highlight w:val="none"/>
              </w:rPr>
            </w:pPr>
            <w:r>
              <w:rPr>
                <w:rFonts w:hint="eastAsia" w:ascii="宋体" w:eastAsia="宋体" w:cs="宋体"/>
                <w:color w:val="auto"/>
                <w:sz w:val="21"/>
                <w:szCs w:val="21"/>
                <w:highlight w:val="none"/>
              </w:rPr>
              <w:t>对项目内容整体把握和理解较差的，得</w:t>
            </w:r>
            <w:r>
              <w:rPr>
                <w:rFonts w:hint="eastAsia" w:ascii="宋体" w:eastAsia="宋体" w:cs="宋体"/>
                <w:color w:val="auto"/>
                <w:sz w:val="21"/>
                <w:szCs w:val="21"/>
                <w:highlight w:val="none"/>
                <w:lang w:val="en-US" w:eastAsia="zh-CN"/>
              </w:rPr>
              <w:t>1</w:t>
            </w:r>
            <w:r>
              <w:rPr>
                <w:rFonts w:hint="eastAsia" w:ascii="宋体" w:eastAsia="宋体" w:cs="宋体"/>
                <w:color w:val="auto"/>
                <w:sz w:val="21"/>
                <w:szCs w:val="21"/>
                <w:highlight w:val="none"/>
              </w:rPr>
              <w:t>分；</w:t>
            </w:r>
          </w:p>
          <w:p>
            <w:pPr>
              <w:pStyle w:val="25"/>
              <w:spacing w:line="360" w:lineRule="auto"/>
              <w:ind w:firstLine="420" w:firstLineChars="200"/>
              <w:rPr>
                <w:rFonts w:hint="eastAsia" w:ascii="宋体" w:hAnsi="宋体" w:eastAsia="宋体" w:cs="宋体"/>
                <w:bCs/>
                <w:color w:val="auto"/>
                <w:sz w:val="21"/>
                <w:szCs w:val="21"/>
                <w:highlight w:val="none"/>
                <w:lang w:val="zh-CN"/>
              </w:rPr>
            </w:pPr>
            <w:r>
              <w:rPr>
                <w:rFonts w:hint="eastAsia" w:ascii="宋体" w:eastAsia="宋体" w:cs="宋体"/>
                <w:color w:val="auto"/>
                <w:sz w:val="21"/>
                <w:szCs w:val="21"/>
                <w:highlight w:val="none"/>
              </w:rPr>
              <w:t>未提供</w:t>
            </w:r>
            <w:r>
              <w:rPr>
                <w:rFonts w:hint="eastAsia" w:ascii="宋体" w:eastAsia="宋体" w:cs="宋体"/>
                <w:color w:val="auto"/>
                <w:sz w:val="21"/>
                <w:szCs w:val="21"/>
                <w:highlight w:val="none"/>
                <w:lang w:val="en-US" w:eastAsia="zh-CN"/>
              </w:rPr>
              <w:t>对应方案，</w:t>
            </w:r>
            <w:r>
              <w:rPr>
                <w:rFonts w:hint="eastAsia" w:ascii="宋体" w:eastAsia="宋体" w:cs="宋体"/>
                <w:color w:val="auto"/>
                <w:sz w:val="21"/>
                <w:szCs w:val="21"/>
                <w:highlight w:val="none"/>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right w:val="single" w:color="auto" w:sz="4" w:space="0"/>
            </w:tcBorders>
            <w:noWrap w:val="0"/>
            <w:vAlign w:val="center"/>
          </w:tcPr>
          <w:p>
            <w:pPr>
              <w:pStyle w:val="25"/>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607" w:type="dxa"/>
            <w:tcBorders>
              <w:top w:val="single" w:color="auto" w:sz="4" w:space="0"/>
              <w:left w:val="single" w:color="auto" w:sz="4" w:space="0"/>
              <w:right w:val="single" w:color="auto" w:sz="4" w:space="0"/>
            </w:tcBorders>
            <w:noWrap w:val="0"/>
            <w:vAlign w:val="center"/>
          </w:tcPr>
          <w:p>
            <w:pPr>
              <w:pStyle w:val="15"/>
              <w:widowControl w:val="0"/>
              <w:spacing w:before="0" w:beforeAutospacing="0" w:after="0" w:afterAutospacing="0"/>
              <w:ind w:left="1" w:leftChars="0" w:right="0" w:right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进度控制措施</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spacing w:line="420" w:lineRule="atLeast"/>
              <w:jc w:val="center"/>
              <w:rPr>
                <w:rFonts w:hint="eastAsia" w:ascii="宋体" w:hAnsi="宋体" w:eastAsia="宋体" w:cs="宋体"/>
                <w:color w:val="auto"/>
                <w:kern w:val="2"/>
                <w:sz w:val="21"/>
                <w:szCs w:val="21"/>
                <w:highlight w:val="none"/>
                <w:lang w:val="en-US" w:eastAsia="zh-CN"/>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5</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Style w:val="15"/>
              <w:widowControl w:val="0"/>
              <w:spacing w:before="0" w:beforeAutospacing="0" w:after="0" w:afterAutospacing="0"/>
              <w:ind w:left="1" w:firstLine="420" w:firstLineChars="20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w:t>
            </w:r>
            <w:r>
              <w:rPr>
                <w:rFonts w:hint="eastAsia" w:ascii="宋体" w:hAnsi="宋体" w:eastAsia="宋体" w:cs="宋体"/>
                <w:color w:val="auto"/>
                <w:sz w:val="21"/>
                <w:szCs w:val="21"/>
                <w:highlight w:val="none"/>
              </w:rPr>
              <w:t>进度控制措施</w:t>
            </w:r>
            <w:r>
              <w:rPr>
                <w:rFonts w:hint="eastAsia" w:ascii="宋体" w:hAnsi="宋体" w:eastAsia="宋体" w:cs="宋体"/>
                <w:color w:val="auto"/>
                <w:sz w:val="21"/>
                <w:szCs w:val="21"/>
                <w:highlight w:val="none"/>
                <w:lang w:val="en-US" w:eastAsia="zh-CN"/>
              </w:rPr>
              <w:t>进行综合评审：</w:t>
            </w:r>
          </w:p>
          <w:p>
            <w:pPr>
              <w:pStyle w:val="15"/>
              <w:widowControl w:val="0"/>
              <w:spacing w:before="0" w:beforeAutospacing="0" w:after="0" w:afterAutospacing="0"/>
              <w:ind w:left="1" w:leftChars="0" w:firstLine="420" w:firstLineChars="200"/>
              <w:jc w:val="both"/>
              <w:rPr>
                <w:rFonts w:hint="eastAsia" w:ascii="宋体" w:eastAsia="宋体" w:cs="宋体"/>
                <w:color w:val="auto"/>
                <w:sz w:val="21"/>
                <w:szCs w:val="21"/>
                <w:highlight w:val="none"/>
              </w:rPr>
            </w:pPr>
            <w:r>
              <w:rPr>
                <w:rFonts w:hint="eastAsia" w:ascii="宋体" w:hAnsi="宋体" w:eastAsia="宋体" w:cs="宋体"/>
                <w:color w:val="auto"/>
                <w:sz w:val="21"/>
                <w:szCs w:val="21"/>
                <w:highlight w:val="none"/>
              </w:rPr>
              <w:t>进度控制措施</w:t>
            </w:r>
            <w:r>
              <w:rPr>
                <w:rFonts w:hint="eastAsia" w:ascii="宋体" w:eastAsia="宋体" w:cs="宋体"/>
                <w:color w:val="auto"/>
                <w:sz w:val="21"/>
                <w:szCs w:val="21"/>
                <w:highlight w:val="none"/>
              </w:rPr>
              <w:t>目标明确、方法合理可行、措施具体、针对性强，有很好的控制方法和措施的，得</w:t>
            </w:r>
            <w:r>
              <w:rPr>
                <w:rFonts w:hint="eastAsia" w:ascii="宋体" w:cs="宋体"/>
                <w:color w:val="auto"/>
                <w:sz w:val="21"/>
                <w:szCs w:val="21"/>
                <w:highlight w:val="none"/>
                <w:lang w:val="en-US" w:eastAsia="zh-CN"/>
              </w:rPr>
              <w:t>15</w:t>
            </w:r>
            <w:r>
              <w:rPr>
                <w:rFonts w:hint="eastAsia" w:ascii="宋体" w:eastAsia="宋体" w:cs="宋体"/>
                <w:color w:val="auto"/>
                <w:sz w:val="21"/>
                <w:szCs w:val="21"/>
                <w:highlight w:val="none"/>
              </w:rPr>
              <w:t>分；</w:t>
            </w:r>
          </w:p>
          <w:p>
            <w:pPr>
              <w:pStyle w:val="15"/>
              <w:widowControl w:val="0"/>
              <w:spacing w:before="0" w:beforeAutospacing="0" w:after="0" w:afterAutospacing="0"/>
              <w:ind w:left="1" w:leftChars="0" w:firstLine="420" w:firstLineChars="200"/>
              <w:jc w:val="both"/>
              <w:rPr>
                <w:rFonts w:hint="eastAsia" w:ascii="宋体" w:eastAsia="宋体" w:cs="宋体"/>
                <w:color w:val="auto"/>
                <w:sz w:val="21"/>
                <w:szCs w:val="21"/>
                <w:highlight w:val="none"/>
              </w:rPr>
            </w:pPr>
            <w:r>
              <w:rPr>
                <w:rFonts w:hint="eastAsia" w:ascii="宋体" w:hAnsi="宋体" w:eastAsia="宋体" w:cs="宋体"/>
                <w:color w:val="auto"/>
                <w:sz w:val="21"/>
                <w:szCs w:val="21"/>
                <w:highlight w:val="none"/>
              </w:rPr>
              <w:t>进度控制措施</w:t>
            </w:r>
            <w:r>
              <w:rPr>
                <w:rFonts w:hint="eastAsia" w:ascii="宋体" w:eastAsia="宋体" w:cs="宋体"/>
                <w:color w:val="auto"/>
                <w:sz w:val="21"/>
                <w:szCs w:val="21"/>
                <w:highlight w:val="none"/>
              </w:rPr>
              <w:t>目标较明确、方法较合理、措施较具体、针对性较好，有较好的控制方法和措施的，得</w:t>
            </w:r>
            <w:r>
              <w:rPr>
                <w:rFonts w:hint="eastAsia" w:ascii="宋体" w:eastAsia="宋体" w:cs="宋体"/>
                <w:color w:val="auto"/>
                <w:sz w:val="21"/>
                <w:szCs w:val="21"/>
                <w:highlight w:val="none"/>
                <w:lang w:val="en-US" w:eastAsia="zh-CN"/>
              </w:rPr>
              <w:t>10</w:t>
            </w:r>
            <w:r>
              <w:rPr>
                <w:rFonts w:hint="eastAsia" w:ascii="宋体" w:eastAsia="宋体" w:cs="宋体"/>
                <w:color w:val="auto"/>
                <w:sz w:val="21"/>
                <w:szCs w:val="21"/>
                <w:highlight w:val="none"/>
              </w:rPr>
              <w:t>分；</w:t>
            </w:r>
          </w:p>
          <w:p>
            <w:pPr>
              <w:pStyle w:val="15"/>
              <w:widowControl w:val="0"/>
              <w:spacing w:before="0" w:beforeAutospacing="0" w:after="0" w:afterAutospacing="0"/>
              <w:ind w:left="1" w:leftChars="0" w:firstLine="420" w:firstLineChars="200"/>
              <w:jc w:val="both"/>
              <w:rPr>
                <w:rFonts w:hint="eastAsia" w:ascii="宋体" w:eastAsia="宋体" w:cs="宋体"/>
                <w:color w:val="auto"/>
                <w:sz w:val="21"/>
                <w:szCs w:val="21"/>
                <w:highlight w:val="none"/>
              </w:rPr>
            </w:pPr>
            <w:r>
              <w:rPr>
                <w:rFonts w:hint="eastAsia" w:ascii="宋体" w:hAnsi="宋体" w:eastAsia="宋体" w:cs="宋体"/>
                <w:color w:val="auto"/>
                <w:sz w:val="21"/>
                <w:szCs w:val="21"/>
                <w:highlight w:val="none"/>
              </w:rPr>
              <w:t>进度控制措施</w:t>
            </w:r>
            <w:r>
              <w:rPr>
                <w:rFonts w:hint="eastAsia" w:ascii="宋体" w:eastAsia="宋体" w:cs="宋体"/>
                <w:color w:val="auto"/>
                <w:sz w:val="21"/>
                <w:szCs w:val="21"/>
                <w:highlight w:val="none"/>
              </w:rPr>
              <w:t>目标、方法、措施及针对性一般，有一定的控制方法和措施的，得</w:t>
            </w:r>
            <w:r>
              <w:rPr>
                <w:rFonts w:hint="eastAsia" w:ascii="宋体" w:eastAsia="宋体" w:cs="宋体"/>
                <w:color w:val="auto"/>
                <w:sz w:val="21"/>
                <w:szCs w:val="21"/>
                <w:highlight w:val="none"/>
                <w:lang w:val="en-US" w:eastAsia="zh-CN"/>
              </w:rPr>
              <w:t>5</w:t>
            </w:r>
            <w:r>
              <w:rPr>
                <w:rFonts w:hint="eastAsia" w:ascii="宋体" w:eastAsia="宋体" w:cs="宋体"/>
                <w:color w:val="auto"/>
                <w:sz w:val="21"/>
                <w:szCs w:val="21"/>
                <w:highlight w:val="none"/>
              </w:rPr>
              <w:t>分；</w:t>
            </w:r>
          </w:p>
          <w:p>
            <w:pPr>
              <w:pStyle w:val="15"/>
              <w:widowControl w:val="0"/>
              <w:spacing w:before="0" w:beforeAutospacing="0" w:after="0" w:afterAutospacing="0"/>
              <w:ind w:left="1" w:leftChars="0" w:firstLine="420" w:firstLineChars="200"/>
              <w:jc w:val="both"/>
              <w:rPr>
                <w:rFonts w:hint="eastAsia" w:ascii="宋体" w:eastAsia="宋体" w:cs="宋体"/>
                <w:color w:val="auto"/>
                <w:sz w:val="21"/>
                <w:szCs w:val="21"/>
                <w:highlight w:val="none"/>
              </w:rPr>
            </w:pPr>
            <w:r>
              <w:rPr>
                <w:rFonts w:hint="eastAsia" w:ascii="宋体" w:hAnsi="宋体" w:eastAsia="宋体" w:cs="宋体"/>
                <w:color w:val="auto"/>
                <w:sz w:val="21"/>
                <w:szCs w:val="21"/>
                <w:highlight w:val="none"/>
              </w:rPr>
              <w:t>进度控制措施</w:t>
            </w:r>
            <w:r>
              <w:rPr>
                <w:rFonts w:hint="eastAsia" w:ascii="宋体" w:eastAsia="宋体" w:cs="宋体"/>
                <w:color w:val="auto"/>
                <w:sz w:val="21"/>
                <w:szCs w:val="21"/>
                <w:highlight w:val="none"/>
              </w:rPr>
              <w:t>方法不合理、针对性不强、措施不具体的，得</w:t>
            </w:r>
            <w:r>
              <w:rPr>
                <w:rFonts w:hint="eastAsia" w:ascii="宋体" w:cs="宋体"/>
                <w:color w:val="auto"/>
                <w:sz w:val="21"/>
                <w:szCs w:val="21"/>
                <w:highlight w:val="none"/>
                <w:lang w:val="en-US" w:eastAsia="zh-CN"/>
              </w:rPr>
              <w:t>1</w:t>
            </w:r>
            <w:r>
              <w:rPr>
                <w:rFonts w:hint="eastAsia" w:ascii="宋体" w:eastAsia="宋体" w:cs="宋体"/>
                <w:color w:val="auto"/>
                <w:sz w:val="21"/>
                <w:szCs w:val="21"/>
                <w:highlight w:val="none"/>
              </w:rPr>
              <w:t>分；</w:t>
            </w:r>
          </w:p>
          <w:p>
            <w:pPr>
              <w:pStyle w:val="15"/>
              <w:widowControl w:val="0"/>
              <w:spacing w:before="0" w:beforeAutospacing="0" w:after="0" w:afterAutospacing="0"/>
              <w:ind w:left="1" w:leftChars="0" w:right="0" w:rightChars="0" w:firstLine="420" w:firstLineChars="200"/>
              <w:jc w:val="both"/>
              <w:rPr>
                <w:rFonts w:hint="eastAsia" w:ascii="宋体" w:hAnsi="宋体" w:eastAsia="宋体" w:cs="宋体"/>
                <w:bCs/>
                <w:color w:val="auto"/>
                <w:sz w:val="21"/>
                <w:szCs w:val="21"/>
                <w:highlight w:val="none"/>
                <w:lang w:val="zh-CN"/>
              </w:rPr>
            </w:pPr>
            <w:r>
              <w:rPr>
                <w:rFonts w:hint="eastAsia" w:ascii="宋体" w:eastAsia="宋体" w:cs="宋体"/>
                <w:color w:val="auto"/>
                <w:sz w:val="21"/>
                <w:szCs w:val="21"/>
                <w:highlight w:val="none"/>
              </w:rPr>
              <w:t>未提供</w:t>
            </w:r>
            <w:r>
              <w:rPr>
                <w:rFonts w:hint="eastAsia" w:ascii="宋体" w:hAnsi="宋体" w:eastAsia="宋体" w:cs="宋体"/>
                <w:color w:val="auto"/>
                <w:sz w:val="21"/>
                <w:szCs w:val="21"/>
                <w:highlight w:val="none"/>
              </w:rPr>
              <w:t>进度控制措施</w:t>
            </w:r>
            <w:r>
              <w:rPr>
                <w:rFonts w:hint="eastAsia" w:ascii="宋体" w:hAnsi="宋体" w:eastAsia="宋体" w:cs="宋体"/>
                <w:color w:val="auto"/>
                <w:sz w:val="21"/>
                <w:szCs w:val="21"/>
                <w:highlight w:val="none"/>
                <w:lang w:eastAsia="zh-CN"/>
              </w:rPr>
              <w:t>，</w:t>
            </w:r>
            <w:r>
              <w:rPr>
                <w:rFonts w:hint="eastAsia" w:ascii="宋体" w:eastAsia="宋体" w:cs="宋体"/>
                <w:color w:val="auto"/>
                <w:sz w:val="21"/>
                <w:szCs w:val="21"/>
                <w:highlight w:val="none"/>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15"/>
              <w:widowControl w:val="0"/>
              <w:spacing w:before="0" w:beforeAutospacing="0" w:after="0" w:afterAutospacing="0"/>
              <w:ind w:left="1" w:leftChars="0" w:right="0" w:right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质量控制措施</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spacing w:line="420" w:lineRule="atLeast"/>
              <w:jc w:val="center"/>
              <w:rPr>
                <w:rFonts w:hint="eastAsia" w:ascii="宋体" w:hAnsi="宋体" w:eastAsia="宋体" w:cs="宋体"/>
                <w:color w:val="auto"/>
                <w:kern w:val="2"/>
                <w:sz w:val="21"/>
                <w:szCs w:val="21"/>
                <w:highlight w:val="none"/>
                <w:lang w:eastAsia="zh-CN"/>
              </w:rPr>
            </w:pPr>
            <w:r>
              <w:rPr>
                <w:rFonts w:hint="eastAsia" w:ascii="宋体" w:hAnsi="宋体" w:cs="宋体"/>
                <w:color w:val="auto"/>
                <w:sz w:val="21"/>
                <w:szCs w:val="21"/>
                <w:highlight w:val="none"/>
                <w:lang w:val="en-US" w:eastAsia="zh-CN"/>
              </w:rPr>
              <w:t>15</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Style w:val="15"/>
              <w:widowControl w:val="0"/>
              <w:spacing w:before="0" w:beforeAutospacing="0" w:after="0" w:afterAutospacing="0"/>
              <w:ind w:left="1" w:firstLine="420" w:firstLineChars="20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w:t>
            </w:r>
            <w:r>
              <w:rPr>
                <w:rFonts w:hint="eastAsia" w:ascii="宋体" w:hAnsi="宋体" w:eastAsia="宋体" w:cs="宋体"/>
                <w:color w:val="auto"/>
                <w:sz w:val="21"/>
                <w:szCs w:val="21"/>
                <w:highlight w:val="none"/>
              </w:rPr>
              <w:t>质量控制措施</w:t>
            </w:r>
            <w:r>
              <w:rPr>
                <w:rFonts w:hint="eastAsia" w:ascii="宋体" w:hAnsi="宋体" w:eastAsia="宋体" w:cs="宋体"/>
                <w:color w:val="auto"/>
                <w:sz w:val="21"/>
                <w:szCs w:val="21"/>
                <w:highlight w:val="none"/>
                <w:lang w:val="en-US" w:eastAsia="zh-CN"/>
              </w:rPr>
              <w:t>进行综合评审：</w:t>
            </w:r>
          </w:p>
          <w:p>
            <w:pPr>
              <w:pStyle w:val="15"/>
              <w:widowControl w:val="0"/>
              <w:spacing w:before="0" w:beforeAutospacing="0" w:after="0" w:afterAutospacing="0"/>
              <w:ind w:left="1" w:leftChars="0" w:firstLine="420" w:firstLineChars="200"/>
              <w:jc w:val="both"/>
              <w:rPr>
                <w:rFonts w:hint="eastAsia" w:ascii="宋体" w:eastAsia="宋体" w:cs="宋体"/>
                <w:color w:val="auto"/>
                <w:sz w:val="21"/>
                <w:szCs w:val="21"/>
                <w:highlight w:val="none"/>
              </w:rPr>
            </w:pPr>
            <w:r>
              <w:rPr>
                <w:rFonts w:hint="eastAsia" w:ascii="宋体" w:hAnsi="宋体" w:eastAsia="宋体" w:cs="宋体"/>
                <w:color w:val="auto"/>
                <w:sz w:val="21"/>
                <w:szCs w:val="21"/>
                <w:highlight w:val="none"/>
              </w:rPr>
              <w:t>质量控制措施</w:t>
            </w:r>
            <w:r>
              <w:rPr>
                <w:rFonts w:hint="eastAsia" w:ascii="宋体" w:eastAsia="宋体" w:cs="宋体"/>
                <w:color w:val="auto"/>
                <w:sz w:val="21"/>
                <w:szCs w:val="21"/>
                <w:highlight w:val="none"/>
              </w:rPr>
              <w:t>目标明确、方法合理可行、措施具体、针对性强，有很好的控制方法和措施的，得</w:t>
            </w:r>
            <w:r>
              <w:rPr>
                <w:rFonts w:hint="eastAsia" w:ascii="宋体" w:eastAsia="宋体" w:cs="宋体"/>
                <w:color w:val="auto"/>
                <w:sz w:val="21"/>
                <w:szCs w:val="21"/>
                <w:highlight w:val="none"/>
                <w:lang w:val="en-US" w:eastAsia="zh-CN"/>
              </w:rPr>
              <w:t>15</w:t>
            </w:r>
            <w:r>
              <w:rPr>
                <w:rFonts w:hint="eastAsia" w:ascii="宋体" w:eastAsia="宋体" w:cs="宋体"/>
                <w:color w:val="auto"/>
                <w:sz w:val="21"/>
                <w:szCs w:val="21"/>
                <w:highlight w:val="none"/>
              </w:rPr>
              <w:t>分；</w:t>
            </w:r>
          </w:p>
          <w:p>
            <w:pPr>
              <w:pStyle w:val="15"/>
              <w:widowControl w:val="0"/>
              <w:spacing w:before="0" w:beforeAutospacing="0" w:after="0" w:afterAutospacing="0"/>
              <w:ind w:left="1" w:leftChars="0" w:firstLine="420" w:firstLineChars="200"/>
              <w:jc w:val="both"/>
              <w:rPr>
                <w:rFonts w:hint="eastAsia" w:ascii="宋体" w:eastAsia="宋体" w:cs="宋体"/>
                <w:color w:val="auto"/>
                <w:sz w:val="21"/>
                <w:szCs w:val="21"/>
                <w:highlight w:val="none"/>
              </w:rPr>
            </w:pPr>
            <w:r>
              <w:rPr>
                <w:rFonts w:hint="eastAsia" w:ascii="宋体" w:hAnsi="宋体" w:eastAsia="宋体" w:cs="宋体"/>
                <w:color w:val="auto"/>
                <w:sz w:val="21"/>
                <w:szCs w:val="21"/>
                <w:highlight w:val="none"/>
              </w:rPr>
              <w:t>质量控制措施</w:t>
            </w:r>
            <w:r>
              <w:rPr>
                <w:rFonts w:hint="eastAsia" w:ascii="宋体" w:eastAsia="宋体" w:cs="宋体"/>
                <w:color w:val="auto"/>
                <w:sz w:val="21"/>
                <w:szCs w:val="21"/>
                <w:highlight w:val="none"/>
              </w:rPr>
              <w:t>目标较明确、方法较合理、措施较具体、针对性较好，有较好的控制方法和措施的，得</w:t>
            </w:r>
            <w:r>
              <w:rPr>
                <w:rFonts w:hint="eastAsia" w:ascii="宋体" w:eastAsia="宋体" w:cs="宋体"/>
                <w:color w:val="auto"/>
                <w:sz w:val="21"/>
                <w:szCs w:val="21"/>
                <w:highlight w:val="none"/>
                <w:lang w:val="en-US" w:eastAsia="zh-CN"/>
              </w:rPr>
              <w:t>10</w:t>
            </w:r>
            <w:r>
              <w:rPr>
                <w:rFonts w:hint="eastAsia" w:ascii="宋体" w:eastAsia="宋体" w:cs="宋体"/>
                <w:color w:val="auto"/>
                <w:sz w:val="21"/>
                <w:szCs w:val="21"/>
                <w:highlight w:val="none"/>
              </w:rPr>
              <w:t>分；</w:t>
            </w:r>
          </w:p>
          <w:p>
            <w:pPr>
              <w:pStyle w:val="15"/>
              <w:widowControl w:val="0"/>
              <w:spacing w:before="0" w:beforeAutospacing="0" w:after="0" w:afterAutospacing="0"/>
              <w:ind w:left="1" w:leftChars="0" w:firstLine="420" w:firstLineChars="200"/>
              <w:jc w:val="both"/>
              <w:rPr>
                <w:rFonts w:hint="eastAsia" w:ascii="宋体" w:eastAsia="宋体" w:cs="宋体"/>
                <w:color w:val="auto"/>
                <w:sz w:val="21"/>
                <w:szCs w:val="21"/>
                <w:highlight w:val="none"/>
              </w:rPr>
            </w:pPr>
            <w:r>
              <w:rPr>
                <w:rFonts w:hint="eastAsia" w:ascii="宋体" w:hAnsi="宋体" w:eastAsia="宋体" w:cs="宋体"/>
                <w:color w:val="auto"/>
                <w:sz w:val="21"/>
                <w:szCs w:val="21"/>
                <w:highlight w:val="none"/>
              </w:rPr>
              <w:t>质量控制措施</w:t>
            </w:r>
            <w:r>
              <w:rPr>
                <w:rFonts w:hint="eastAsia" w:ascii="宋体" w:eastAsia="宋体" w:cs="宋体"/>
                <w:color w:val="auto"/>
                <w:sz w:val="21"/>
                <w:szCs w:val="21"/>
                <w:highlight w:val="none"/>
              </w:rPr>
              <w:t>目标、方法、措施及针对性一般，有一定的控制方法和措施的，得</w:t>
            </w:r>
            <w:r>
              <w:rPr>
                <w:rFonts w:hint="eastAsia" w:ascii="宋体" w:eastAsia="宋体" w:cs="宋体"/>
                <w:color w:val="auto"/>
                <w:sz w:val="21"/>
                <w:szCs w:val="21"/>
                <w:highlight w:val="none"/>
                <w:lang w:val="en-US" w:eastAsia="zh-CN"/>
              </w:rPr>
              <w:t>5</w:t>
            </w:r>
            <w:r>
              <w:rPr>
                <w:rFonts w:hint="eastAsia" w:ascii="宋体" w:eastAsia="宋体" w:cs="宋体"/>
                <w:color w:val="auto"/>
                <w:sz w:val="21"/>
                <w:szCs w:val="21"/>
                <w:highlight w:val="none"/>
              </w:rPr>
              <w:t>分；</w:t>
            </w:r>
          </w:p>
          <w:p>
            <w:pPr>
              <w:pStyle w:val="15"/>
              <w:widowControl w:val="0"/>
              <w:spacing w:before="0" w:beforeAutospacing="0" w:after="0" w:afterAutospacing="0"/>
              <w:ind w:left="1" w:leftChars="0" w:firstLine="420" w:firstLineChars="200"/>
              <w:jc w:val="both"/>
              <w:rPr>
                <w:rFonts w:hint="eastAsia" w:ascii="宋体" w:eastAsia="宋体" w:cs="宋体"/>
                <w:color w:val="auto"/>
                <w:sz w:val="21"/>
                <w:szCs w:val="21"/>
                <w:highlight w:val="none"/>
              </w:rPr>
            </w:pPr>
            <w:r>
              <w:rPr>
                <w:rFonts w:hint="eastAsia" w:ascii="宋体" w:hAnsi="宋体" w:eastAsia="宋体" w:cs="宋体"/>
                <w:color w:val="auto"/>
                <w:sz w:val="21"/>
                <w:szCs w:val="21"/>
                <w:highlight w:val="none"/>
              </w:rPr>
              <w:t>质量控制措施</w:t>
            </w:r>
            <w:r>
              <w:rPr>
                <w:rFonts w:hint="eastAsia" w:ascii="宋体" w:eastAsia="宋体" w:cs="宋体"/>
                <w:color w:val="auto"/>
                <w:sz w:val="21"/>
                <w:szCs w:val="21"/>
                <w:highlight w:val="none"/>
              </w:rPr>
              <w:t>方法不合理、针对性不强、措施不具体的，得</w:t>
            </w:r>
            <w:r>
              <w:rPr>
                <w:rFonts w:hint="eastAsia" w:ascii="宋体" w:eastAsia="宋体" w:cs="宋体"/>
                <w:color w:val="auto"/>
                <w:sz w:val="21"/>
                <w:szCs w:val="21"/>
                <w:highlight w:val="none"/>
                <w:lang w:val="en-US" w:eastAsia="zh-CN"/>
              </w:rPr>
              <w:t>1</w:t>
            </w:r>
            <w:r>
              <w:rPr>
                <w:rFonts w:hint="eastAsia" w:ascii="宋体" w:eastAsia="宋体" w:cs="宋体"/>
                <w:color w:val="auto"/>
                <w:sz w:val="21"/>
                <w:szCs w:val="21"/>
                <w:highlight w:val="none"/>
              </w:rPr>
              <w:t>分；</w:t>
            </w:r>
          </w:p>
          <w:p>
            <w:pPr>
              <w:pStyle w:val="15"/>
              <w:widowControl w:val="0"/>
              <w:spacing w:before="0" w:beforeAutospacing="0" w:after="0" w:afterAutospacing="0"/>
              <w:ind w:left="1" w:leftChars="0" w:right="0" w:rightChars="0" w:firstLine="420" w:firstLineChars="200"/>
              <w:jc w:val="both"/>
              <w:rPr>
                <w:rFonts w:hint="eastAsia" w:ascii="宋体" w:hAnsi="宋体" w:eastAsia="宋体" w:cs="宋体"/>
                <w:bCs/>
                <w:color w:val="auto"/>
                <w:sz w:val="21"/>
                <w:szCs w:val="21"/>
                <w:highlight w:val="none"/>
                <w:lang w:val="zh-CN"/>
              </w:rPr>
            </w:pPr>
            <w:r>
              <w:rPr>
                <w:rFonts w:hint="eastAsia" w:ascii="宋体" w:eastAsia="宋体" w:cs="宋体"/>
                <w:color w:val="auto"/>
                <w:sz w:val="21"/>
                <w:szCs w:val="21"/>
                <w:highlight w:val="none"/>
              </w:rPr>
              <w:t>未提供</w:t>
            </w:r>
            <w:r>
              <w:rPr>
                <w:rFonts w:hint="eastAsia" w:ascii="宋体" w:hAnsi="宋体" w:eastAsia="宋体" w:cs="宋体"/>
                <w:color w:val="auto"/>
                <w:sz w:val="21"/>
                <w:szCs w:val="21"/>
                <w:highlight w:val="none"/>
              </w:rPr>
              <w:t>质量控制措施</w:t>
            </w:r>
            <w:r>
              <w:rPr>
                <w:rFonts w:hint="eastAsia" w:ascii="宋体" w:hAnsi="宋体" w:eastAsia="宋体" w:cs="宋体"/>
                <w:color w:val="auto"/>
                <w:sz w:val="21"/>
                <w:szCs w:val="21"/>
                <w:highlight w:val="none"/>
                <w:lang w:eastAsia="zh-CN"/>
              </w:rPr>
              <w:t>，</w:t>
            </w:r>
            <w:r>
              <w:rPr>
                <w:rFonts w:hint="eastAsia" w:ascii="宋体" w:eastAsia="宋体" w:cs="宋体"/>
                <w:color w:val="auto"/>
                <w:sz w:val="21"/>
                <w:szCs w:val="21"/>
                <w:highlight w:val="none"/>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4</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15"/>
              <w:widowControl w:val="0"/>
              <w:spacing w:before="0" w:beforeAutospacing="0" w:after="0" w:afterAutospacing="0"/>
              <w:ind w:left="1" w:leftChars="0" w:right="0" w:right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合同管理、信息管理</w:t>
            </w:r>
            <w:r>
              <w:rPr>
                <w:rFonts w:hint="eastAsia" w:ascii="宋体" w:hAnsi="宋体" w:eastAsia="宋体" w:cs="宋体"/>
                <w:color w:val="auto"/>
                <w:sz w:val="21"/>
                <w:szCs w:val="21"/>
                <w:highlight w:val="none"/>
                <w:lang w:val="en-US" w:eastAsia="zh-CN"/>
              </w:rPr>
              <w:t>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spacing w:line="420" w:lineRule="atLeast"/>
              <w:jc w:val="center"/>
              <w:rPr>
                <w:rFonts w:hint="eastAsia" w:ascii="宋体" w:hAnsi="宋体" w:eastAsia="宋体" w:cs="宋体"/>
                <w:color w:val="auto"/>
                <w:kern w:val="2"/>
                <w:sz w:val="21"/>
                <w:szCs w:val="21"/>
                <w:highlight w:val="none"/>
                <w:lang w:eastAsia="zh-CN"/>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0</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Style w:val="15"/>
              <w:widowControl w:val="0"/>
              <w:spacing w:before="0" w:beforeAutospacing="0" w:after="0" w:afterAutospacing="0"/>
              <w:ind w:left="1"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根据供应商提供的</w:t>
            </w:r>
            <w:r>
              <w:rPr>
                <w:rFonts w:hint="eastAsia" w:ascii="宋体" w:hAnsi="宋体" w:eastAsia="宋体" w:cs="宋体"/>
                <w:color w:val="auto"/>
                <w:sz w:val="21"/>
                <w:szCs w:val="21"/>
                <w:highlight w:val="none"/>
              </w:rPr>
              <w:t>合同管理、信息管理</w:t>
            </w:r>
            <w:r>
              <w:rPr>
                <w:rFonts w:hint="eastAsia" w:ascii="宋体" w:hAnsi="宋体" w:eastAsia="宋体" w:cs="宋体"/>
                <w:color w:val="auto"/>
                <w:sz w:val="21"/>
                <w:szCs w:val="21"/>
                <w:highlight w:val="none"/>
                <w:lang w:val="en-US" w:eastAsia="zh-CN"/>
              </w:rPr>
              <w:t>方案进行综合评审：</w:t>
            </w:r>
          </w:p>
          <w:p>
            <w:pPr>
              <w:pStyle w:val="15"/>
              <w:widowControl w:val="0"/>
              <w:spacing w:before="0" w:beforeAutospacing="0" w:after="0" w:afterAutospacing="0"/>
              <w:ind w:left="1"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合同管理、信息管理</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合理有效，针对性强，措施具体科学，可行性强，得10分。</w:t>
            </w:r>
          </w:p>
          <w:p>
            <w:pPr>
              <w:pStyle w:val="15"/>
              <w:widowControl w:val="0"/>
              <w:spacing w:before="0" w:beforeAutospacing="0" w:after="0" w:afterAutospacing="0"/>
              <w:ind w:left="1"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合同管理、信息管理</w:t>
            </w:r>
            <w:r>
              <w:rPr>
                <w:rFonts w:hint="eastAsia" w:ascii="宋体" w:hAnsi="宋体" w:eastAsia="宋体" w:cs="宋体"/>
                <w:color w:val="auto"/>
                <w:sz w:val="21"/>
                <w:szCs w:val="21"/>
                <w:highlight w:val="none"/>
                <w:lang w:val="en-US" w:eastAsia="zh-CN"/>
              </w:rPr>
              <w:t>方案基本</w:t>
            </w:r>
            <w:r>
              <w:rPr>
                <w:rFonts w:hint="eastAsia" w:ascii="宋体" w:hAnsi="宋体" w:eastAsia="宋体" w:cs="宋体"/>
                <w:color w:val="auto"/>
                <w:sz w:val="21"/>
                <w:szCs w:val="21"/>
                <w:highlight w:val="none"/>
              </w:rPr>
              <w:t>合理有效，针对性</w:t>
            </w:r>
            <w:r>
              <w:rPr>
                <w:rFonts w:hint="eastAsia" w:ascii="宋体" w:hAnsi="宋体" w:eastAsia="宋体" w:cs="宋体"/>
                <w:color w:val="auto"/>
                <w:sz w:val="21"/>
                <w:szCs w:val="21"/>
                <w:highlight w:val="none"/>
                <w:lang w:val="en-US" w:eastAsia="zh-CN"/>
              </w:rPr>
              <w:t>较强</w:t>
            </w:r>
            <w:r>
              <w:rPr>
                <w:rFonts w:hint="eastAsia" w:ascii="宋体" w:hAnsi="宋体" w:eastAsia="宋体" w:cs="宋体"/>
                <w:color w:val="auto"/>
                <w:sz w:val="21"/>
                <w:szCs w:val="21"/>
                <w:highlight w:val="none"/>
              </w:rPr>
              <w:t>，可行性强，得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pStyle w:val="15"/>
              <w:widowControl w:val="0"/>
              <w:spacing w:before="0" w:beforeAutospacing="0" w:after="0" w:afterAutospacing="0"/>
              <w:ind w:left="1"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合同管理、信息管理</w:t>
            </w:r>
            <w:r>
              <w:rPr>
                <w:rFonts w:hint="eastAsia" w:ascii="宋体" w:hAnsi="宋体" w:eastAsia="宋体" w:cs="宋体"/>
                <w:color w:val="auto"/>
                <w:sz w:val="21"/>
                <w:szCs w:val="21"/>
                <w:highlight w:val="none"/>
                <w:lang w:val="en-US" w:eastAsia="zh-CN"/>
              </w:rPr>
              <w:t>方案一般</w:t>
            </w:r>
            <w:r>
              <w:rPr>
                <w:rFonts w:hint="eastAsia" w:ascii="宋体" w:hAnsi="宋体" w:eastAsia="宋体" w:cs="宋体"/>
                <w:color w:val="auto"/>
                <w:sz w:val="21"/>
                <w:szCs w:val="21"/>
                <w:highlight w:val="none"/>
              </w:rPr>
              <w:t>可行，针对性一般，得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pStyle w:val="15"/>
              <w:widowControl w:val="0"/>
              <w:spacing w:before="0" w:beforeAutospacing="0" w:after="0" w:afterAutospacing="0"/>
              <w:ind w:left="1"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合同管理、信息管理</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不</w:t>
            </w:r>
            <w:r>
              <w:rPr>
                <w:rFonts w:hint="eastAsia" w:ascii="宋体" w:hAnsi="宋体" w:eastAsia="宋体" w:cs="宋体"/>
                <w:color w:val="auto"/>
                <w:sz w:val="21"/>
                <w:szCs w:val="21"/>
                <w:highlight w:val="none"/>
                <w:lang w:val="en-US" w:eastAsia="zh-CN"/>
              </w:rPr>
              <w:t>可行</w:t>
            </w:r>
            <w:r>
              <w:rPr>
                <w:rFonts w:hint="eastAsia" w:ascii="宋体" w:hAnsi="宋体" w:eastAsia="宋体" w:cs="宋体"/>
                <w:color w:val="auto"/>
                <w:sz w:val="21"/>
                <w:szCs w:val="21"/>
                <w:highlight w:val="none"/>
              </w:rPr>
              <w:t>，针对性不强，可行性较差，得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pStyle w:val="15"/>
              <w:widowControl w:val="0"/>
              <w:spacing w:before="0" w:beforeAutospacing="0" w:after="0" w:afterAutospacing="0"/>
              <w:ind w:left="1" w:leftChars="0" w:right="0" w:rightChars="0" w:firstLine="420" w:firstLineChars="200"/>
              <w:jc w:val="both"/>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lang w:val="en-US" w:eastAsia="zh-CN"/>
              </w:rPr>
              <w:t>未</w:t>
            </w:r>
            <w:r>
              <w:rPr>
                <w:rFonts w:hint="eastAsia" w:ascii="宋体" w:hAnsi="宋体" w:eastAsia="宋体" w:cs="宋体"/>
                <w:color w:val="auto"/>
                <w:sz w:val="21"/>
                <w:szCs w:val="21"/>
                <w:highlight w:val="none"/>
              </w:rPr>
              <w:t>提供合同管理、信息管理</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不得</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right w:val="single" w:color="auto" w:sz="4" w:space="0"/>
            </w:tcBorders>
            <w:noWrap w:val="0"/>
            <w:vAlign w:val="center"/>
          </w:tcPr>
          <w:p>
            <w:pPr>
              <w:pStyle w:val="25"/>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5</w:t>
            </w:r>
          </w:p>
        </w:tc>
        <w:tc>
          <w:tcPr>
            <w:tcW w:w="1607" w:type="dxa"/>
            <w:tcBorders>
              <w:top w:val="single" w:color="auto" w:sz="4" w:space="0"/>
              <w:left w:val="single" w:color="auto" w:sz="4" w:space="0"/>
              <w:right w:val="single" w:color="auto" w:sz="4" w:space="0"/>
            </w:tcBorders>
            <w:noWrap w:val="0"/>
            <w:vAlign w:val="center"/>
          </w:tcPr>
          <w:p>
            <w:pPr>
              <w:pStyle w:val="15"/>
              <w:widowControl w:val="0"/>
              <w:spacing w:before="0" w:beforeAutospacing="0" w:after="0" w:afterAutospacing="0"/>
              <w:ind w:left="1" w:leftChars="0" w:right="0" w:right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组织协调</w:t>
            </w:r>
            <w:r>
              <w:rPr>
                <w:rFonts w:hint="eastAsia" w:ascii="宋体" w:hAnsi="宋体" w:eastAsia="宋体" w:cs="宋体"/>
                <w:color w:val="auto"/>
                <w:sz w:val="21"/>
                <w:szCs w:val="21"/>
                <w:highlight w:val="none"/>
                <w:lang w:val="en-US" w:eastAsia="zh-CN"/>
              </w:rPr>
              <w:t>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spacing w:line="420" w:lineRule="atLeast"/>
              <w:jc w:val="center"/>
              <w:rPr>
                <w:rFonts w:hint="default" w:ascii="宋体" w:hAnsi="宋体" w:eastAsia="宋体" w:cs="宋体"/>
                <w:color w:val="auto"/>
                <w:kern w:val="2"/>
                <w:sz w:val="21"/>
                <w:szCs w:val="21"/>
                <w:highlight w:val="none"/>
                <w:lang w:val="en-US"/>
              </w:rPr>
            </w:pPr>
            <w:r>
              <w:rPr>
                <w:rFonts w:hint="eastAsia" w:ascii="宋体" w:hAnsi="宋体" w:eastAsia="宋体" w:cs="宋体"/>
                <w:color w:val="auto"/>
                <w:sz w:val="21"/>
                <w:szCs w:val="21"/>
                <w:highlight w:val="none"/>
                <w:lang w:val="en-US" w:eastAsia="zh-CN"/>
              </w:rPr>
              <w:t>10</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Style w:val="15"/>
              <w:widowControl w:val="0"/>
              <w:spacing w:before="0" w:beforeAutospacing="0" w:after="0" w:afterAutospacing="0"/>
              <w:ind w:left="1" w:firstLine="420" w:firstLineChars="20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w:t>
            </w:r>
            <w:r>
              <w:rPr>
                <w:rFonts w:hint="eastAsia" w:ascii="宋体" w:hAnsi="宋体" w:eastAsia="宋体" w:cs="宋体"/>
                <w:color w:val="auto"/>
                <w:sz w:val="21"/>
                <w:szCs w:val="21"/>
                <w:highlight w:val="none"/>
              </w:rPr>
              <w:t>组织协调</w:t>
            </w:r>
            <w:r>
              <w:rPr>
                <w:rFonts w:hint="eastAsia" w:ascii="宋体" w:hAnsi="宋体" w:eastAsia="宋体" w:cs="宋体"/>
                <w:color w:val="auto"/>
                <w:sz w:val="21"/>
                <w:szCs w:val="21"/>
                <w:highlight w:val="none"/>
                <w:lang w:val="en-US" w:eastAsia="zh-CN"/>
              </w:rPr>
              <w:t>方案进行综合评审：</w:t>
            </w:r>
          </w:p>
          <w:p>
            <w:pPr>
              <w:pStyle w:val="15"/>
              <w:widowControl w:val="0"/>
              <w:spacing w:before="0" w:beforeAutospacing="0" w:after="0" w:afterAutospacing="0"/>
              <w:ind w:left="1"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组织协调</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合理有效，针对性强，措施具体科学，可行性强，得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pStyle w:val="15"/>
              <w:widowControl w:val="0"/>
              <w:spacing w:before="0" w:beforeAutospacing="0" w:after="0" w:afterAutospacing="0"/>
              <w:ind w:left="1"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组织协调</w:t>
            </w:r>
            <w:r>
              <w:rPr>
                <w:rFonts w:hint="eastAsia" w:ascii="宋体" w:hAnsi="宋体" w:eastAsia="宋体" w:cs="宋体"/>
                <w:color w:val="auto"/>
                <w:sz w:val="21"/>
                <w:szCs w:val="21"/>
                <w:highlight w:val="none"/>
                <w:lang w:val="en-US" w:eastAsia="zh-CN"/>
              </w:rPr>
              <w:t>方案一般</w:t>
            </w:r>
            <w:r>
              <w:rPr>
                <w:rFonts w:hint="eastAsia" w:ascii="宋体" w:hAnsi="宋体" w:eastAsia="宋体" w:cs="宋体"/>
                <w:color w:val="auto"/>
                <w:sz w:val="21"/>
                <w:szCs w:val="21"/>
                <w:highlight w:val="none"/>
              </w:rPr>
              <w:t>可行，针对性一般，得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pStyle w:val="15"/>
              <w:widowControl w:val="0"/>
              <w:spacing w:before="0" w:beforeAutospacing="0" w:after="0" w:afterAutospacing="0"/>
              <w:ind w:left="1"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组织协调</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针对性不强，可行性较差，得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pStyle w:val="15"/>
              <w:widowControl w:val="0"/>
              <w:spacing w:before="0" w:beforeAutospacing="0" w:after="0" w:afterAutospacing="0"/>
              <w:ind w:left="1" w:leftChars="0" w:right="0" w:rightChars="0"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组织协调</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不</w:t>
            </w:r>
            <w:r>
              <w:rPr>
                <w:rFonts w:hint="eastAsia" w:ascii="宋体" w:hAnsi="宋体" w:eastAsia="宋体" w:cs="宋体"/>
                <w:color w:val="auto"/>
                <w:sz w:val="21"/>
                <w:szCs w:val="21"/>
                <w:highlight w:val="none"/>
                <w:lang w:val="en-US" w:eastAsia="zh-CN"/>
              </w:rPr>
              <w:t>可行</w:t>
            </w:r>
            <w:r>
              <w:rPr>
                <w:rFonts w:hint="eastAsia" w:ascii="宋体" w:hAnsi="宋体" w:eastAsia="宋体" w:cs="宋体"/>
                <w:color w:val="auto"/>
                <w:sz w:val="21"/>
                <w:szCs w:val="21"/>
                <w:highlight w:val="none"/>
              </w:rPr>
              <w:t>，针对性</w:t>
            </w:r>
            <w:r>
              <w:rPr>
                <w:rFonts w:hint="eastAsia" w:ascii="宋体" w:hAnsi="宋体" w:eastAsia="宋体" w:cs="宋体"/>
                <w:color w:val="auto"/>
                <w:sz w:val="21"/>
                <w:szCs w:val="21"/>
                <w:highlight w:val="none"/>
                <w:lang w:val="en-US" w:eastAsia="zh-CN"/>
              </w:rPr>
              <w:t>差</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pStyle w:val="15"/>
              <w:widowControl w:val="0"/>
              <w:spacing w:before="0" w:beforeAutospacing="0" w:after="0" w:afterAutospacing="0"/>
              <w:ind w:left="1" w:leftChars="0" w:right="0" w:rightChars="0" w:firstLine="420" w:firstLineChars="200"/>
              <w:jc w:val="both"/>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lang w:val="en-US" w:eastAsia="zh-CN"/>
              </w:rPr>
              <w:t>未</w:t>
            </w:r>
            <w:r>
              <w:rPr>
                <w:rFonts w:hint="eastAsia" w:ascii="宋体" w:hAnsi="宋体" w:eastAsia="宋体" w:cs="宋体"/>
                <w:color w:val="auto"/>
                <w:sz w:val="21"/>
                <w:szCs w:val="21"/>
                <w:highlight w:val="none"/>
              </w:rPr>
              <w:t>提供组织协调</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不得</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注：</w:t>
            </w:r>
          </w:p>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（1）无特殊说明外，以上评审项，同一证明文件不重复计分。</w:t>
            </w:r>
          </w:p>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（2）</w:t>
            </w:r>
            <w:r>
              <w:rPr>
                <w:rFonts w:hint="eastAsia" w:ascii="宋体" w:hAnsi="宋体"/>
                <w:b/>
                <w:color w:val="auto"/>
                <w:sz w:val="21"/>
                <w:szCs w:val="21"/>
                <w:highlight w:val="none"/>
                <w:lang w:eastAsia="zh-CN"/>
              </w:rPr>
              <w:t>供应商</w:t>
            </w:r>
            <w:r>
              <w:rPr>
                <w:rFonts w:hint="eastAsia" w:ascii="宋体" w:hAnsi="宋体" w:eastAsia="宋体"/>
                <w:b/>
                <w:color w:val="auto"/>
                <w:sz w:val="21"/>
                <w:szCs w:val="21"/>
                <w:highlight w:val="none"/>
              </w:rPr>
              <w:t>根据以上评分要求提供的</w:t>
            </w:r>
            <w:r>
              <w:rPr>
                <w:rFonts w:hint="eastAsia" w:ascii="宋体" w:hAnsi="宋体"/>
                <w:b/>
                <w:color w:val="auto"/>
                <w:sz w:val="21"/>
                <w:szCs w:val="21"/>
                <w:highlight w:val="none"/>
                <w:lang w:val="en-US" w:eastAsia="zh-CN"/>
              </w:rPr>
              <w:t>响应</w:t>
            </w:r>
            <w:r>
              <w:rPr>
                <w:rFonts w:hint="eastAsia" w:ascii="宋体" w:hAnsi="宋体" w:eastAsia="宋体"/>
                <w:b/>
                <w:color w:val="auto"/>
                <w:sz w:val="21"/>
                <w:szCs w:val="21"/>
                <w:highlight w:val="none"/>
                <w:lang w:eastAsia="zh-CN"/>
              </w:rPr>
              <w:t>材料</w:t>
            </w:r>
            <w:r>
              <w:rPr>
                <w:rFonts w:hint="eastAsia" w:ascii="宋体" w:hAnsi="宋体" w:eastAsia="宋体"/>
                <w:b/>
                <w:color w:val="auto"/>
                <w:sz w:val="21"/>
                <w:szCs w:val="21"/>
                <w:highlight w:val="none"/>
              </w:rPr>
              <w:t>因模糊不清导致评标委员会无法清晰辨认进行评审的，</w:t>
            </w:r>
            <w:r>
              <w:rPr>
                <w:rFonts w:hint="eastAsia" w:ascii="宋体" w:hAnsi="宋体" w:eastAsia="宋体"/>
                <w:b/>
                <w:color w:val="auto"/>
                <w:sz w:val="21"/>
                <w:szCs w:val="21"/>
                <w:highlight w:val="none"/>
                <w:lang w:eastAsia="zh-CN"/>
              </w:rPr>
              <w:t>视为无效材料</w:t>
            </w:r>
            <w:r>
              <w:rPr>
                <w:rFonts w:hint="eastAsia" w:ascii="宋体" w:hAnsi="宋体" w:eastAsia="宋体"/>
                <w:b/>
                <w:color w:val="auto"/>
                <w:sz w:val="21"/>
                <w:szCs w:val="21"/>
                <w:highlight w:val="none"/>
              </w:rPr>
              <w:t>。</w:t>
            </w:r>
          </w:p>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eastAsia="宋体" w:cs="宋体"/>
                <w:color w:val="auto"/>
                <w:sz w:val="21"/>
                <w:szCs w:val="21"/>
                <w:highlight w:val="none"/>
              </w:rPr>
            </w:pPr>
            <w:r>
              <w:rPr>
                <w:rFonts w:hint="eastAsia" w:ascii="宋体" w:hAnsi="宋体" w:eastAsia="宋体"/>
                <w:b/>
                <w:color w:val="auto"/>
                <w:sz w:val="21"/>
                <w:szCs w:val="21"/>
                <w:highlight w:val="none"/>
                <w:lang w:eastAsia="zh-CN"/>
              </w:rPr>
              <w:t>（</w:t>
            </w:r>
            <w:r>
              <w:rPr>
                <w:rFonts w:hint="eastAsia" w:ascii="宋体" w:hAnsi="宋体" w:eastAsia="宋体"/>
                <w:b/>
                <w:color w:val="auto"/>
                <w:sz w:val="21"/>
                <w:szCs w:val="21"/>
                <w:highlight w:val="none"/>
                <w:lang w:val="en-US" w:eastAsia="zh-CN"/>
              </w:rPr>
              <w:t>3</w:t>
            </w:r>
            <w:r>
              <w:rPr>
                <w:rFonts w:hint="eastAsia" w:ascii="宋体" w:hAnsi="宋体" w:eastAsia="宋体"/>
                <w:b/>
                <w:color w:val="auto"/>
                <w:sz w:val="21"/>
                <w:szCs w:val="21"/>
                <w:highlight w:val="none"/>
                <w:lang w:eastAsia="zh-CN"/>
              </w:rPr>
              <w:t>）</w:t>
            </w:r>
            <w:r>
              <w:rPr>
                <w:rFonts w:hint="eastAsia" w:ascii="宋体" w:hAnsi="宋体" w:eastAsia="宋体"/>
                <w:b/>
                <w:color w:val="auto"/>
                <w:sz w:val="21"/>
                <w:szCs w:val="21"/>
                <w:highlight w:val="none"/>
              </w:rPr>
              <w:t>若因疫情原因暂缓统一托收或阶段性减免社会保险费而导致无法打印社保缴费证明的需提供书面说明并加盖</w:t>
            </w:r>
            <w:r>
              <w:rPr>
                <w:rFonts w:hint="eastAsia" w:ascii="宋体" w:hAnsi="宋体"/>
                <w:b/>
                <w:color w:val="auto"/>
                <w:sz w:val="21"/>
                <w:szCs w:val="21"/>
                <w:highlight w:val="none"/>
                <w:lang w:eastAsia="zh-CN"/>
              </w:rPr>
              <w:t>供应商</w:t>
            </w:r>
            <w:r>
              <w:rPr>
                <w:rFonts w:hint="eastAsia" w:ascii="宋体" w:hAnsi="宋体" w:eastAsia="宋体"/>
                <w:b/>
                <w:color w:val="auto"/>
                <w:sz w:val="21"/>
                <w:szCs w:val="21"/>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zh-CN" w:eastAsia="zh-CN"/>
              </w:rPr>
            </w:pPr>
            <w:r>
              <w:rPr>
                <w:rFonts w:hint="eastAsia" w:ascii="宋体" w:eastAsia="宋体" w:cs="宋体"/>
                <w:b/>
                <w:bCs/>
                <w:color w:val="auto"/>
                <w:sz w:val="21"/>
                <w:szCs w:val="21"/>
                <w:highlight w:val="none"/>
              </w:rPr>
              <w:t>价格评审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10分</w:t>
            </w:r>
            <w:r>
              <w:rPr>
                <w:rFonts w:hint="eastAsia" w:asci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6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响应报价</w:t>
            </w:r>
          </w:p>
        </w:tc>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0</w:t>
            </w:r>
          </w:p>
        </w:tc>
        <w:tc>
          <w:tcPr>
            <w:tcW w:w="548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价格分计算方法：满足</w:t>
            </w:r>
            <w:r>
              <w:rPr>
                <w:rFonts w:hint="eastAsia" w:ascii="宋体" w:hAnsi="宋体" w:cs="宋体"/>
                <w:color w:val="auto"/>
                <w:kern w:val="2"/>
                <w:sz w:val="21"/>
                <w:szCs w:val="21"/>
                <w:highlight w:val="none"/>
                <w:lang w:val="zh-CN"/>
              </w:rPr>
              <w:t>磋商文件</w:t>
            </w:r>
            <w:r>
              <w:rPr>
                <w:rFonts w:hint="eastAsia" w:ascii="宋体" w:hAnsi="宋体" w:eastAsia="宋体" w:cs="宋体"/>
                <w:color w:val="auto"/>
                <w:kern w:val="2"/>
                <w:sz w:val="21"/>
                <w:szCs w:val="21"/>
                <w:highlight w:val="none"/>
                <w:lang w:val="zh-CN"/>
              </w:rPr>
              <w:t>要求且</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价格最低的</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报价为评标基准价，其价格分为满分。其他</w:t>
            </w:r>
            <w:r>
              <w:rPr>
                <w:rFonts w:hint="eastAsia" w:ascii="宋体" w:hAnsi="宋体" w:cs="宋体"/>
                <w:color w:val="auto"/>
                <w:kern w:val="2"/>
                <w:sz w:val="21"/>
                <w:szCs w:val="21"/>
                <w:highlight w:val="none"/>
                <w:lang w:val="zh-CN"/>
              </w:rPr>
              <w:t>供应商</w:t>
            </w:r>
            <w:r>
              <w:rPr>
                <w:rFonts w:hint="eastAsia" w:ascii="宋体" w:hAnsi="宋体" w:eastAsia="宋体" w:cs="宋体"/>
                <w:color w:val="auto"/>
                <w:kern w:val="2"/>
                <w:sz w:val="21"/>
                <w:szCs w:val="21"/>
                <w:highlight w:val="none"/>
                <w:lang w:val="zh-CN"/>
              </w:rPr>
              <w:t>的价格分统一按照下列公式计算：</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报价得分=(评标基准价／</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报价)×价格权值</w:t>
            </w:r>
          </w:p>
        </w:tc>
      </w:tr>
    </w:tbl>
    <w:p>
      <w:pPr>
        <w:rPr>
          <w:rFonts w:hint="default"/>
          <w:color w:val="auto"/>
          <w:highlight w:val="none"/>
          <w:lang w:val="en-US" w:eastAsia="zh-CN"/>
        </w:rPr>
      </w:pPr>
      <w:r>
        <w:rPr>
          <w:rFonts w:hint="default"/>
          <w:color w:val="auto"/>
          <w:highlight w:val="none"/>
          <w:lang w:val="en-US" w:eastAsia="zh-CN"/>
        </w:rPr>
        <w:br w:type="page"/>
      </w:r>
    </w:p>
    <w:p>
      <w:pPr>
        <w:pStyle w:val="3"/>
        <w:numPr>
          <w:ilvl w:val="0"/>
          <w:numId w:val="1"/>
        </w:numPr>
        <w:bidi w:val="0"/>
        <w:ind w:left="0" w:leftChars="0" w:firstLine="0" w:firstLineChars="0"/>
        <w:rPr>
          <w:rFonts w:hint="eastAsia"/>
          <w:color w:val="auto"/>
          <w:highlight w:val="none"/>
          <w:lang w:val="en-US" w:eastAsia="zh-CN"/>
        </w:rPr>
      </w:pPr>
      <w:bookmarkStart w:id="241" w:name="_Toc20102"/>
      <w:r>
        <w:rPr>
          <w:rFonts w:hint="eastAsia"/>
          <w:color w:val="auto"/>
          <w:highlight w:val="none"/>
          <w:lang w:val="en-US" w:eastAsia="zh-CN"/>
        </w:rPr>
        <w:t>合同文本参考格式</w:t>
      </w:r>
      <w:bookmarkEnd w:id="241"/>
    </w:p>
    <w:p>
      <w:pPr>
        <w:jc w:val="center"/>
        <w:outlineLvl w:val="1"/>
        <w:rPr>
          <w:rFonts w:hint="eastAsia"/>
          <w:color w:val="auto"/>
          <w:sz w:val="18"/>
          <w:szCs w:val="21"/>
          <w:highlight w:val="none"/>
          <w:lang w:val="en-US" w:eastAsia="zh-CN"/>
        </w:rPr>
      </w:pPr>
      <w:bookmarkStart w:id="242" w:name="_Toc27897"/>
      <w:bookmarkStart w:id="243" w:name="_Toc20453"/>
      <w:bookmarkStart w:id="244" w:name="_Toc1541"/>
      <w:bookmarkStart w:id="245" w:name="_Toc25458"/>
      <w:r>
        <w:rPr>
          <w:rFonts w:hint="eastAsia" w:ascii="宋体" w:hAnsi="宋体" w:eastAsia="宋体" w:cs="宋体"/>
          <w:b/>
          <w:bCs/>
          <w:color w:val="auto"/>
          <w:sz w:val="22"/>
          <w:szCs w:val="22"/>
          <w:highlight w:val="none"/>
        </w:rPr>
        <w:t>（本格式编排在</w:t>
      </w:r>
      <w:r>
        <w:rPr>
          <w:rFonts w:hint="eastAsia" w:ascii="宋体" w:hAnsi="宋体" w:cs="宋体"/>
          <w:b/>
          <w:bCs/>
          <w:color w:val="auto"/>
          <w:sz w:val="22"/>
          <w:szCs w:val="22"/>
          <w:highlight w:val="none"/>
          <w:lang w:eastAsia="zh-CN"/>
        </w:rPr>
        <w:t>磋商文件</w:t>
      </w:r>
      <w:r>
        <w:rPr>
          <w:rFonts w:hint="eastAsia" w:ascii="宋体" w:hAnsi="宋体" w:eastAsia="宋体" w:cs="宋体"/>
          <w:b/>
          <w:bCs/>
          <w:color w:val="auto"/>
          <w:sz w:val="22"/>
          <w:szCs w:val="22"/>
          <w:highlight w:val="none"/>
        </w:rPr>
        <w:t>中，供</w:t>
      </w:r>
      <w:r>
        <w:rPr>
          <w:rFonts w:hint="eastAsia" w:ascii="宋体" w:hAnsi="宋体" w:cs="宋体"/>
          <w:b/>
          <w:bCs/>
          <w:color w:val="auto"/>
          <w:sz w:val="22"/>
          <w:szCs w:val="22"/>
          <w:highlight w:val="none"/>
          <w:lang w:eastAsia="zh-CN"/>
        </w:rPr>
        <w:t>供应商</w:t>
      </w:r>
      <w:r>
        <w:rPr>
          <w:rFonts w:hint="eastAsia" w:ascii="宋体" w:hAnsi="宋体" w:eastAsia="宋体" w:cs="宋体"/>
          <w:b/>
          <w:bCs/>
          <w:color w:val="auto"/>
          <w:sz w:val="22"/>
          <w:szCs w:val="22"/>
          <w:highlight w:val="none"/>
        </w:rPr>
        <w:t>参考，</w:t>
      </w:r>
      <w:r>
        <w:rPr>
          <w:rFonts w:hint="eastAsia" w:ascii="宋体" w:hAnsi="宋体" w:cs="宋体"/>
          <w:b/>
          <w:bCs/>
          <w:color w:val="auto"/>
          <w:sz w:val="22"/>
          <w:szCs w:val="22"/>
          <w:highlight w:val="none"/>
          <w:lang w:val="en-US" w:eastAsia="zh-CN"/>
        </w:rPr>
        <w:t>响应</w:t>
      </w:r>
      <w:r>
        <w:rPr>
          <w:rFonts w:hint="eastAsia" w:ascii="宋体" w:hAnsi="宋体" w:eastAsia="宋体" w:cs="宋体"/>
          <w:b/>
          <w:bCs/>
          <w:color w:val="auto"/>
          <w:sz w:val="22"/>
          <w:szCs w:val="22"/>
          <w:highlight w:val="none"/>
        </w:rPr>
        <w:t>时不需填写）</w:t>
      </w:r>
      <w:bookmarkEnd w:id="242"/>
      <w:bookmarkEnd w:id="243"/>
      <w:bookmarkEnd w:id="244"/>
      <w:bookmarkEnd w:id="245"/>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甲方：</w:t>
      </w:r>
      <w:r>
        <w:rPr>
          <w:rFonts w:hint="eastAsia"/>
          <w:color w:val="auto"/>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电话：</w:t>
      </w:r>
      <w:r>
        <w:rPr>
          <w:rFonts w:hint="eastAsia"/>
          <w:color w:val="auto"/>
          <w:highlight w:val="none"/>
          <w:lang w:val="en-US" w:eastAsia="zh-CN"/>
        </w:rPr>
        <w:tab/>
      </w:r>
      <w:r>
        <w:rPr>
          <w:rFonts w:hint="eastAsia"/>
          <w:color w:val="auto"/>
          <w:highlight w:val="none"/>
          <w:lang w:val="en-US" w:eastAsia="zh-CN"/>
        </w:rPr>
        <w:t xml:space="preserve">传真： </w:t>
      </w:r>
      <w:r>
        <w:rPr>
          <w:rFonts w:hint="eastAsia"/>
          <w:color w:val="auto"/>
          <w:highlight w:val="none"/>
          <w:lang w:val="en-US" w:eastAsia="zh-CN"/>
        </w:rPr>
        <w:tab/>
      </w:r>
      <w:r>
        <w:rPr>
          <w:rFonts w:hint="eastAsia"/>
          <w:color w:val="auto"/>
          <w:highlight w:val="none"/>
          <w:lang w:val="en-US" w:eastAsia="zh-CN"/>
        </w:rPr>
        <w:t xml:space="preserve">地址：  </w:t>
      </w:r>
      <w:r>
        <w:rPr>
          <w:rFonts w:hint="eastAsia"/>
          <w:color w:val="auto"/>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 xml:space="preserve">乙方：  </w:t>
      </w:r>
      <w:r>
        <w:rPr>
          <w:rFonts w:hint="eastAsia"/>
          <w:color w:val="auto"/>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 xml:space="preserve">电话： </w:t>
      </w:r>
      <w:r>
        <w:rPr>
          <w:rFonts w:hint="eastAsia"/>
          <w:color w:val="auto"/>
          <w:highlight w:val="none"/>
          <w:lang w:val="en-US" w:eastAsia="zh-CN"/>
        </w:rPr>
        <w:tab/>
      </w:r>
      <w:r>
        <w:rPr>
          <w:rFonts w:hint="eastAsia"/>
          <w:color w:val="auto"/>
          <w:highlight w:val="none"/>
          <w:lang w:val="en-US" w:eastAsia="zh-CN"/>
        </w:rPr>
        <w:t xml:space="preserve">传真： </w:t>
      </w:r>
      <w:r>
        <w:rPr>
          <w:rFonts w:hint="eastAsia"/>
          <w:color w:val="auto"/>
          <w:highlight w:val="none"/>
          <w:lang w:val="en-US" w:eastAsia="zh-CN"/>
        </w:rPr>
        <w:tab/>
      </w:r>
      <w:r>
        <w:rPr>
          <w:rFonts w:hint="eastAsia"/>
          <w:color w:val="auto"/>
          <w:highlight w:val="none"/>
          <w:lang w:val="en-US" w:eastAsia="zh-CN"/>
        </w:rPr>
        <w:t xml:space="preserve">地址：  </w:t>
      </w:r>
      <w:r>
        <w:rPr>
          <w:rFonts w:hint="eastAsia"/>
          <w:color w:val="auto"/>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根据</w:t>
      </w:r>
      <w:r>
        <w:rPr>
          <w:rFonts w:hint="eastAsia"/>
          <w:color w:val="auto"/>
          <w:highlight w:val="none"/>
          <w:u w:val="single"/>
          <w:lang w:val="en-US" w:eastAsia="zh-CN"/>
        </w:rPr>
        <w:t xml:space="preserve">   </w:t>
      </w:r>
      <w:r>
        <w:rPr>
          <w:rFonts w:hint="eastAsia"/>
          <w:color w:val="auto"/>
          <w:highlight w:val="none"/>
          <w:lang w:val="en-US" w:eastAsia="zh-CN"/>
        </w:rPr>
        <w:t>项目的采购结果，按照《中华人民共和国政府采购法》，《中华人民共和国民法典(合同编)》的规定，经双方协商，本着平等互利和诚实信用的原则，一致同意遵守本合同如下。</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46" w:name="_Toc864"/>
      <w:bookmarkStart w:id="247" w:name="_Toc14994"/>
      <w:bookmarkStart w:id="248" w:name="_Toc21895"/>
      <w:bookmarkStart w:id="249" w:name="_Toc3633"/>
      <w:r>
        <w:rPr>
          <w:rFonts w:hint="eastAsia"/>
          <w:b/>
          <w:bCs/>
          <w:color w:val="auto"/>
          <w:highlight w:val="none"/>
          <w:lang w:val="en-US" w:eastAsia="zh-CN"/>
        </w:rPr>
        <w:t>一、合同金额</w:t>
      </w:r>
      <w:bookmarkEnd w:id="246"/>
      <w:bookmarkEnd w:id="247"/>
      <w:bookmarkEnd w:id="248"/>
      <w:bookmarkEnd w:id="24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 xml:space="preserve">合同金额为（大写）： </w:t>
      </w:r>
      <w:r>
        <w:rPr>
          <w:rFonts w:hint="eastAsia"/>
          <w:color w:val="auto"/>
          <w:highlight w:val="none"/>
          <w:lang w:val="en-US" w:eastAsia="zh-CN"/>
        </w:rPr>
        <w:tab/>
      </w:r>
      <w:r>
        <w:rPr>
          <w:rFonts w:hint="eastAsia"/>
          <w:color w:val="auto"/>
          <w:highlight w:val="none"/>
          <w:lang w:val="en-US" w:eastAsia="zh-CN"/>
        </w:rPr>
        <w:t xml:space="preserve">元（￥ </w:t>
      </w:r>
      <w:r>
        <w:rPr>
          <w:rFonts w:hint="eastAsia"/>
          <w:color w:val="auto"/>
          <w:highlight w:val="none"/>
          <w:lang w:val="en-US" w:eastAsia="zh-CN"/>
        </w:rPr>
        <w:tab/>
      </w:r>
      <w:r>
        <w:rPr>
          <w:rFonts w:hint="eastAsia"/>
          <w:color w:val="auto"/>
          <w:highlight w:val="none"/>
          <w:lang w:val="en-US" w:eastAsia="zh-CN"/>
        </w:rPr>
        <w:t>元）人民币。</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50" w:name="_Toc31907"/>
      <w:bookmarkStart w:id="251" w:name="_Toc32599"/>
      <w:bookmarkStart w:id="252" w:name="_Toc8673"/>
      <w:bookmarkStart w:id="253" w:name="_Toc8984"/>
      <w:r>
        <w:rPr>
          <w:rFonts w:hint="eastAsia"/>
          <w:b/>
          <w:bCs/>
          <w:color w:val="auto"/>
          <w:highlight w:val="none"/>
          <w:lang w:val="en-US" w:eastAsia="zh-CN"/>
        </w:rPr>
        <w:t>二、服务范围</w:t>
      </w:r>
      <w:bookmarkEnd w:id="250"/>
      <w:bookmarkEnd w:id="251"/>
      <w:bookmarkEnd w:id="252"/>
      <w:bookmarkEnd w:id="253"/>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甲方聘请乙方提供以下服务：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lang w:val="en-US" w:eastAsia="zh-CN"/>
        </w:rPr>
        <w:t xml:space="preserve">2．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54" w:name="_Toc23270"/>
      <w:bookmarkStart w:id="255" w:name="_Toc2159"/>
      <w:bookmarkStart w:id="256" w:name="_Toc9958"/>
      <w:bookmarkStart w:id="257" w:name="_Toc28304"/>
      <w:r>
        <w:rPr>
          <w:rFonts w:hint="eastAsia"/>
          <w:b/>
          <w:bCs/>
          <w:color w:val="auto"/>
          <w:highlight w:val="none"/>
          <w:lang w:val="en-US" w:eastAsia="zh-CN"/>
        </w:rPr>
        <w:t>三、甲方乙方的权利和义务</w:t>
      </w:r>
      <w:bookmarkEnd w:id="254"/>
      <w:bookmarkEnd w:id="255"/>
      <w:bookmarkEnd w:id="256"/>
      <w:bookmarkEnd w:id="25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甲方的权利和义务：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lang w:val="en-US" w:eastAsia="zh-CN"/>
        </w:rPr>
        <w:t>乙方的权利和义务：</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58" w:name="_Toc3949"/>
      <w:bookmarkStart w:id="259" w:name="_Toc31228"/>
      <w:bookmarkStart w:id="260" w:name="_Toc29743"/>
      <w:bookmarkStart w:id="261" w:name="_Toc13843"/>
      <w:r>
        <w:rPr>
          <w:rFonts w:hint="eastAsia"/>
          <w:b/>
          <w:bCs/>
          <w:color w:val="auto"/>
          <w:highlight w:val="none"/>
          <w:lang w:val="en-US" w:eastAsia="zh-CN"/>
        </w:rPr>
        <w:t>四、服务期间（项目完成期限）</w:t>
      </w:r>
      <w:bookmarkEnd w:id="258"/>
      <w:bookmarkEnd w:id="259"/>
      <w:bookmarkEnd w:id="260"/>
      <w:bookmarkEnd w:id="26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 xml:space="preserve">1.委托服务期间自 </w:t>
      </w:r>
      <w:r>
        <w:rPr>
          <w:rFonts w:hint="eastAsia"/>
          <w:color w:val="auto"/>
          <w:highlight w:val="none"/>
          <w:lang w:val="en-US" w:eastAsia="zh-CN"/>
        </w:rPr>
        <w:tab/>
      </w:r>
      <w:r>
        <w:rPr>
          <w:rFonts w:hint="eastAsia"/>
          <w:color w:val="auto"/>
          <w:highlight w:val="none"/>
          <w:lang w:val="en-US" w:eastAsia="zh-CN"/>
        </w:rPr>
        <w:t xml:space="preserve">年 </w:t>
      </w:r>
      <w:r>
        <w:rPr>
          <w:rFonts w:hint="eastAsia"/>
          <w:color w:val="auto"/>
          <w:highlight w:val="none"/>
          <w:lang w:val="en-US" w:eastAsia="zh-CN"/>
        </w:rPr>
        <w:tab/>
      </w:r>
      <w:r>
        <w:rPr>
          <w:rFonts w:hint="eastAsia"/>
          <w:color w:val="auto"/>
          <w:highlight w:val="none"/>
          <w:lang w:val="en-US" w:eastAsia="zh-CN"/>
        </w:rPr>
        <w:t xml:space="preserve">月至     年 </w:t>
      </w:r>
      <w:r>
        <w:rPr>
          <w:rFonts w:hint="eastAsia"/>
          <w:color w:val="auto"/>
          <w:highlight w:val="none"/>
          <w:lang w:val="en-US" w:eastAsia="zh-CN"/>
        </w:rPr>
        <w:tab/>
      </w:r>
      <w:r>
        <w:rPr>
          <w:rFonts w:hint="eastAsia"/>
          <w:color w:val="auto"/>
          <w:highlight w:val="none"/>
          <w:lang w:val="en-US" w:eastAsia="zh-CN"/>
        </w:rPr>
        <w:t>止。</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62" w:name="_Toc26555"/>
      <w:bookmarkStart w:id="263" w:name="_Toc30401"/>
      <w:bookmarkStart w:id="264" w:name="_Toc3509"/>
      <w:bookmarkStart w:id="265" w:name="_Toc1315"/>
      <w:r>
        <w:rPr>
          <w:rFonts w:hint="eastAsia"/>
          <w:b/>
          <w:bCs/>
          <w:color w:val="auto"/>
          <w:highlight w:val="none"/>
          <w:lang w:val="en-US" w:eastAsia="zh-CN"/>
        </w:rPr>
        <w:t>五、付款方式</w:t>
      </w:r>
      <w:bookmarkEnd w:id="262"/>
      <w:bookmarkEnd w:id="263"/>
      <w:bookmarkEnd w:id="264"/>
      <w:bookmarkEnd w:id="265"/>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1.</w:t>
      </w:r>
      <w:r>
        <w:rPr>
          <w:rFonts w:hint="eastAsia" w:ascii="宋体" w:hAnsi="宋体"/>
          <w:color w:val="auto"/>
          <w:sz w:val="21"/>
          <w:szCs w:val="21"/>
          <w:highlight w:val="none"/>
        </w:rPr>
        <w:t>本合同的付款方式为：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2.</w:t>
      </w:r>
      <w:r>
        <w:rPr>
          <w:rFonts w:hint="eastAsia" w:ascii="宋体" w:hAnsi="宋体"/>
          <w:color w:val="auto"/>
          <w:sz w:val="21"/>
          <w:szCs w:val="21"/>
          <w:highlight w:val="none"/>
        </w:rPr>
        <w:t>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rPr>
      </w:pPr>
      <w:bookmarkStart w:id="266" w:name="_Toc29016"/>
      <w:bookmarkStart w:id="267" w:name="_Toc28728"/>
      <w:bookmarkStart w:id="268" w:name="_Toc27026"/>
      <w:bookmarkStart w:id="269" w:name="_Toc25049"/>
      <w:r>
        <w:rPr>
          <w:rFonts w:hint="eastAsia"/>
          <w:b/>
          <w:bCs/>
          <w:color w:val="auto"/>
          <w:highlight w:val="none"/>
          <w:lang w:val="en-US" w:eastAsia="zh-CN"/>
        </w:rPr>
        <w:t>六、知识产权</w:t>
      </w:r>
      <w:r>
        <w:rPr>
          <w:rFonts w:hint="eastAsia"/>
          <w:b/>
          <w:bCs/>
          <w:color w:val="auto"/>
          <w:highlight w:val="none"/>
        </w:rPr>
        <w:t>归属</w:t>
      </w:r>
      <w:bookmarkEnd w:id="266"/>
      <w:bookmarkEnd w:id="267"/>
      <w:bookmarkEnd w:id="268"/>
      <w:bookmarkEnd w:id="269"/>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rPr>
      </w:pPr>
      <w:bookmarkStart w:id="270" w:name="_Toc25037"/>
      <w:bookmarkStart w:id="271" w:name="_Toc491"/>
      <w:bookmarkStart w:id="272" w:name="_Toc16011"/>
      <w:bookmarkStart w:id="273" w:name="_Toc15194"/>
      <w:r>
        <w:rPr>
          <w:rFonts w:hint="eastAsia"/>
          <w:b/>
          <w:bCs/>
          <w:color w:val="auto"/>
          <w:highlight w:val="none"/>
          <w:lang w:val="en-US" w:eastAsia="zh-CN"/>
        </w:rPr>
        <w:t>七、保密</w:t>
      </w:r>
      <w:bookmarkEnd w:id="270"/>
      <w:bookmarkEnd w:id="271"/>
      <w:bookmarkEnd w:id="272"/>
      <w:bookmarkEnd w:id="273"/>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74" w:name="_Toc28189"/>
      <w:bookmarkStart w:id="275" w:name="_Toc8277"/>
      <w:bookmarkStart w:id="276" w:name="_Toc14319"/>
      <w:bookmarkStart w:id="277" w:name="_Toc5642"/>
      <w:r>
        <w:rPr>
          <w:rFonts w:hint="eastAsia"/>
          <w:b/>
          <w:bCs/>
          <w:color w:val="auto"/>
          <w:highlight w:val="none"/>
          <w:lang w:val="en-US" w:eastAsia="zh-CN"/>
        </w:rPr>
        <w:t>八、违约责任与赔偿损失</w:t>
      </w:r>
      <w:bookmarkEnd w:id="274"/>
      <w:bookmarkEnd w:id="275"/>
      <w:bookmarkEnd w:id="276"/>
      <w:bookmarkEnd w:id="27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1.乙方提供的服务不符合本合同规定的，甲方有权拒收，并且乙方须向甲方方支付本合同总价5%的违约金乙方未能按本合同规定的交货时间提供服务，从逾期之日起每日按本合同总价3‰的数额向甲方支付违约金；逾期半个月以上的，甲方有权终止合同，由此造成的甲方经济损失由乙方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2.甲方无正当理由拒收接受服务，到期拒付服务款项的，甲方向乙方偿付本合同总的5%的违约金。甲方人逾期付款，则每日按本合同总价的3‰向乙方偿付违约金。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3.对于因甲方原因导致变更、中止或者终止政府采购合同的，甲方应当依照以下合同约定对供应商受到的损失予以赔偿或者补偿：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4.其它违约责任按《中华人民共和国民法典(合同编)》处理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78" w:name="_Toc24754"/>
      <w:bookmarkStart w:id="279" w:name="_Toc18504"/>
      <w:bookmarkStart w:id="280" w:name="_Toc23187"/>
      <w:bookmarkStart w:id="281" w:name="_Toc30679"/>
      <w:r>
        <w:rPr>
          <w:rFonts w:hint="eastAsia"/>
          <w:b/>
          <w:bCs/>
          <w:color w:val="auto"/>
          <w:highlight w:val="none"/>
          <w:lang w:val="en-US" w:eastAsia="zh-CN"/>
        </w:rPr>
        <w:t>九、争议的解决</w:t>
      </w:r>
      <w:bookmarkEnd w:id="278"/>
      <w:bookmarkEnd w:id="279"/>
      <w:bookmarkEnd w:id="280"/>
      <w:bookmarkEnd w:id="28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lang w:val="en-US" w:eastAsia="zh-CN"/>
        </w:rPr>
        <w:t>合同执行过程中发生的任何争议，如双方不能通过友好协商解决，按相关法律法规处理。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82" w:name="_Toc20074"/>
      <w:bookmarkStart w:id="283" w:name="_Toc26856"/>
      <w:bookmarkStart w:id="284" w:name="_Toc21080"/>
      <w:bookmarkStart w:id="285" w:name="_Toc23085"/>
      <w:r>
        <w:rPr>
          <w:rFonts w:hint="eastAsia"/>
          <w:b/>
          <w:bCs/>
          <w:color w:val="auto"/>
          <w:highlight w:val="none"/>
          <w:lang w:val="en-US" w:eastAsia="zh-CN"/>
        </w:rPr>
        <w:t>十、不可抗力</w:t>
      </w:r>
      <w:bookmarkEnd w:id="282"/>
      <w:bookmarkEnd w:id="283"/>
      <w:bookmarkEnd w:id="284"/>
      <w:bookmarkEnd w:id="285"/>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任何一方由于不可抗力原因不能履行合同时，应在不可抗力事件结束后1日内向对方通报，以减轻可能  给对方造成的损失，在取得有关机构的不可抗力证明或双方谅解确认后，允许延期履行或修订合同，并根据情况可部分或全部免于承担违约责任。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86" w:name="_Toc12645"/>
      <w:bookmarkStart w:id="287" w:name="_Toc29236"/>
      <w:bookmarkStart w:id="288" w:name="_Toc12495"/>
      <w:bookmarkStart w:id="289" w:name="_Toc16247"/>
      <w:r>
        <w:rPr>
          <w:rFonts w:hint="eastAsia"/>
          <w:b/>
          <w:bCs/>
          <w:color w:val="auto"/>
          <w:highlight w:val="none"/>
          <w:lang w:val="en-US" w:eastAsia="zh-CN"/>
        </w:rPr>
        <w:t>十一、税费</w:t>
      </w:r>
      <w:bookmarkEnd w:id="286"/>
      <w:bookmarkEnd w:id="287"/>
      <w:bookmarkEnd w:id="288"/>
      <w:bookmarkEnd w:id="28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在中国境内、外发生的与本合同执行有关的一切税费均由乙方负担。</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90" w:name="_Toc7253"/>
      <w:bookmarkStart w:id="291" w:name="_Toc1974"/>
      <w:bookmarkStart w:id="292" w:name="_Toc16429"/>
      <w:bookmarkStart w:id="293" w:name="_Toc14065"/>
      <w:r>
        <w:rPr>
          <w:rFonts w:hint="eastAsia"/>
          <w:b/>
          <w:bCs/>
          <w:color w:val="auto"/>
          <w:highlight w:val="none"/>
          <w:lang w:val="en-US" w:eastAsia="zh-CN"/>
        </w:rPr>
        <w:t>十二、其它</w:t>
      </w:r>
      <w:bookmarkEnd w:id="290"/>
      <w:bookmarkEnd w:id="291"/>
      <w:bookmarkEnd w:id="292"/>
      <w:bookmarkEnd w:id="293"/>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1.本合同所有附件、磋商文件、响应文件、中标通知书均为合同的有效组成部分，与本合同具有同等法 律效力。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2.在执行本合同的过程中，所有经双方签署确认的文件（包括会议纪要、补充协议、往来信函）即成为 本合同的有效组成部分。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3.如一方地址、电话、传真号码有变更，应在变更当日内书面通知对方，否则，应承担相应责任。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 xml:space="preserve">4.除甲方事先书面同意外，乙方不得部分或全部转让其应履行的合同项下的义务。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rPr>
      </w:pPr>
      <w:bookmarkStart w:id="294" w:name="_Toc13763"/>
      <w:bookmarkStart w:id="295" w:name="_Toc22153"/>
      <w:bookmarkStart w:id="296" w:name="_Toc31822"/>
      <w:bookmarkStart w:id="297" w:name="_Toc15369"/>
      <w:r>
        <w:rPr>
          <w:rFonts w:hint="eastAsia"/>
          <w:b/>
          <w:bCs/>
          <w:color w:val="auto"/>
          <w:highlight w:val="none"/>
          <w:lang w:val="en-US" w:eastAsia="zh-CN"/>
        </w:rPr>
        <w:t>十三、合同生效</w:t>
      </w:r>
      <w:bookmarkEnd w:id="294"/>
      <w:bookmarkEnd w:id="295"/>
      <w:bookmarkEnd w:id="296"/>
      <w:bookmarkEnd w:id="29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本合同在甲乙双方法人代表或其授权代表签字盖章后生效。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合同一式    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甲方（盖章）：</w:t>
      </w:r>
      <w:r>
        <w:rPr>
          <w:rFonts w:hint="eastAsia"/>
          <w:color w:val="auto"/>
          <w:highlight w:val="none"/>
        </w:rPr>
        <w:tab/>
      </w:r>
      <w:r>
        <w:rPr>
          <w:rFonts w:hint="eastAsia"/>
          <w:color w:val="auto"/>
          <w:highlight w:val="none"/>
        </w:rPr>
        <w:tab/>
      </w:r>
      <w:r>
        <w:rPr>
          <w:rFonts w:hint="eastAsia"/>
          <w:color w:val="auto"/>
          <w:highlight w:val="none"/>
          <w:lang w:val="en-US" w:eastAsia="zh-CN"/>
        </w:rPr>
        <w:t xml:space="preserve">                                      </w:t>
      </w:r>
      <w:r>
        <w:rPr>
          <w:rFonts w:hint="eastAsia"/>
          <w:color w:val="auto"/>
          <w:highlight w:val="none"/>
        </w:rPr>
        <w:t xml:space="preserve">乙方（盖章）：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代表：</w:t>
      </w:r>
      <w:r>
        <w:rPr>
          <w:rFonts w:hint="eastAsia"/>
          <w:color w:val="auto"/>
          <w:highlight w:val="none"/>
        </w:rPr>
        <w:tab/>
      </w:r>
      <w:r>
        <w:rPr>
          <w:rFonts w:hint="eastAsia"/>
          <w:color w:val="auto"/>
          <w:highlight w:val="none"/>
          <w:lang w:val="en-US" w:eastAsia="zh-CN"/>
        </w:rPr>
        <w:t xml:space="preserve">                                                  </w:t>
      </w:r>
      <w:r>
        <w:rPr>
          <w:rFonts w:hint="eastAsia"/>
          <w:color w:val="auto"/>
          <w:highlight w:val="none"/>
        </w:rPr>
        <w:t>代表：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签定地点：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签定日期：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开户名称：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 xml:space="preserve">银行帐号：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开 户 行：</w:t>
      </w:r>
    </w:p>
    <w:p>
      <w:pPr>
        <w:rPr>
          <w:rFonts w:hint="eastAsia"/>
          <w:color w:val="auto"/>
          <w:highlight w:val="none"/>
          <w:lang w:val="en-US" w:eastAsia="zh-CN"/>
        </w:rPr>
      </w:pPr>
      <w:r>
        <w:rPr>
          <w:rFonts w:hint="eastAsia"/>
          <w:color w:val="auto"/>
          <w:highlight w:val="none"/>
          <w:lang w:val="en-US" w:eastAsia="zh-CN"/>
        </w:rPr>
        <w:br w:type="page"/>
      </w:r>
    </w:p>
    <w:p>
      <w:pPr>
        <w:pStyle w:val="3"/>
        <w:bidi w:val="0"/>
        <w:rPr>
          <w:rFonts w:hint="eastAsia"/>
          <w:color w:val="auto"/>
          <w:highlight w:val="none"/>
          <w:lang w:val="en-US" w:eastAsia="zh-CN"/>
        </w:rPr>
      </w:pPr>
      <w:bookmarkStart w:id="298" w:name="_Toc2896"/>
      <w:r>
        <w:rPr>
          <w:rFonts w:hint="eastAsia"/>
          <w:color w:val="auto"/>
          <w:highlight w:val="none"/>
          <w:lang w:val="en-US" w:eastAsia="zh-CN"/>
        </w:rPr>
        <w:t>第六篇 响应文件格式</w:t>
      </w:r>
      <w:bookmarkEnd w:id="298"/>
    </w:p>
    <w:p>
      <w:pPr>
        <w:rPr>
          <w:rFonts w:hint="eastAsia"/>
          <w:b/>
          <w:bCs/>
          <w:color w:val="auto"/>
          <w:highlight w:val="none"/>
          <w:lang w:val="en-US" w:eastAsia="zh-CN"/>
        </w:rPr>
      </w:pPr>
      <w:r>
        <w:rPr>
          <w:rFonts w:hint="eastAsia"/>
          <w:b/>
          <w:bCs/>
          <w:color w:val="auto"/>
          <w:highlight w:val="none"/>
          <w:lang w:val="en-US" w:eastAsia="zh-CN"/>
        </w:rPr>
        <w:t>注意事项：</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供应商应提交证明其有资格参加投标（响应）和中标后有能力履行合同的相关文件，并作为其响应文件的一部分，所有文件必须真实可靠、不得伪造，否则将按相关规定予以处罚。</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1.法人或者其他组织的营业执照等证明文件，自然人的身份证明：</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2.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3.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4.财务状况报告，依法缴纳税收和社会保障资金的相关材料</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5.具有履行合同所必须的设备和专业技术能力的声明。</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6.供应商参加政府采购前三年内在经营活动中没有重大违法记录书面声明函。</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7.信用记录查询</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（1）查询渠道：通过“信用中国”网站(www.creditchina.gov.cn)和“中国政府采购网”（</w:t>
      </w:r>
      <w:r>
        <w:rPr>
          <w:rFonts w:hint="eastAsia"/>
          <w:color w:val="auto"/>
          <w:sz w:val="20"/>
          <w:szCs w:val="20"/>
          <w:highlight w:val="none"/>
          <w:lang w:val="en-US" w:eastAsia="zh-CN"/>
        </w:rPr>
        <w:fldChar w:fldCharType="begin"/>
      </w:r>
      <w:r>
        <w:rPr>
          <w:rFonts w:hint="eastAsia"/>
          <w:color w:val="auto"/>
          <w:sz w:val="20"/>
          <w:szCs w:val="20"/>
          <w:highlight w:val="none"/>
          <w:lang w:val="en-US" w:eastAsia="zh-CN"/>
        </w:rPr>
        <w:instrText xml:space="preserve"> HYPERLINK "http://www.ccgp.gov.cn/" \h </w:instrText>
      </w:r>
      <w:r>
        <w:rPr>
          <w:rFonts w:hint="eastAsia"/>
          <w:color w:val="auto"/>
          <w:sz w:val="20"/>
          <w:szCs w:val="20"/>
          <w:highlight w:val="none"/>
          <w:lang w:val="en-US" w:eastAsia="zh-CN"/>
        </w:rPr>
        <w:fldChar w:fldCharType="separate"/>
      </w:r>
      <w:r>
        <w:rPr>
          <w:rFonts w:hint="eastAsia"/>
          <w:color w:val="auto"/>
          <w:sz w:val="20"/>
          <w:szCs w:val="20"/>
          <w:highlight w:val="none"/>
          <w:lang w:val="en-US" w:eastAsia="zh-CN"/>
        </w:rPr>
        <w:t>www.ccgp.gov.cn</w:t>
      </w:r>
      <w:r>
        <w:rPr>
          <w:rFonts w:hint="eastAsia"/>
          <w:color w:val="auto"/>
          <w:sz w:val="20"/>
          <w:szCs w:val="20"/>
          <w:highlight w:val="none"/>
          <w:lang w:val="en-US" w:eastAsia="zh-CN"/>
        </w:rPr>
        <w:fldChar w:fldCharType="end"/>
      </w:r>
      <w:r>
        <w:rPr>
          <w:rFonts w:hint="eastAsia"/>
          <w:color w:val="auto"/>
          <w:sz w:val="20"/>
          <w:szCs w:val="20"/>
          <w:highlight w:val="none"/>
          <w:lang w:val="en-US" w:eastAsia="zh-CN"/>
        </w:rPr>
        <w:t>）进行查询；</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（2）查询截止时点：提交响应文件截止日当天；</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（3）查询记录：对列入失信被执行人、税收违法黑名单、政府采购严重违法失信行为记录名单、信用报告进行查询；</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4）采购人或采购代理机构应当按照查询渠道、查询时间节点、查询记录内容进行查询，并存档。对信用记录查询结果中显示供应商被列入失信被执行人、税收违法黑名单、政府采购严重违法失信行为记录名单的供应商作无效投标（响应）处理。</w:t>
      </w:r>
    </w:p>
    <w:p>
      <w:pPr>
        <w:pStyle w:val="2"/>
        <w:keepNext w:val="0"/>
        <w:keepLines w:val="0"/>
        <w:pageBreakBefore w:val="0"/>
        <w:widowControl w:val="0"/>
        <w:kinsoku/>
        <w:wordWrap/>
        <w:overflowPunct/>
        <w:topLinePunct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8.按照磋商文件要求，供应商应当提交的资格、资信证明文件。</w:t>
      </w:r>
    </w:p>
    <w:p>
      <w:pPr>
        <w:jc w:val="center"/>
        <w:outlineLvl w:val="1"/>
        <w:rPr>
          <w:rFonts w:hint="eastAsia"/>
          <w:b/>
          <w:bCs/>
          <w:color w:val="auto"/>
          <w:highlight w:val="none"/>
          <w:lang w:val="en-US" w:eastAsia="zh-CN"/>
        </w:rPr>
      </w:pPr>
      <w:bookmarkStart w:id="299" w:name="_Toc712"/>
      <w:bookmarkStart w:id="300" w:name="_Toc32213"/>
      <w:bookmarkStart w:id="301" w:name="_Toc7065"/>
      <w:bookmarkStart w:id="302" w:name="_Toc23380"/>
      <w:r>
        <w:rPr>
          <w:rFonts w:hint="eastAsia"/>
          <w:b/>
          <w:bCs/>
          <w:color w:val="auto"/>
          <w:highlight w:val="none"/>
          <w:lang w:val="en-US" w:eastAsia="zh-CN"/>
        </w:rPr>
        <w:t>（封面格式仅供参考）</w:t>
      </w:r>
      <w:bookmarkEnd w:id="299"/>
      <w:bookmarkEnd w:id="300"/>
      <w:bookmarkEnd w:id="301"/>
      <w:bookmarkEnd w:id="302"/>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2"/>
        <w:rPr>
          <w:rFonts w:ascii="宋体" w:hAnsi="宋体" w:cs="宋体"/>
          <w:b/>
          <w:bCs w:val="0"/>
          <w:color w:val="auto"/>
          <w:kern w:val="0"/>
          <w:sz w:val="38"/>
          <w:szCs w:val="38"/>
          <w:highlight w:val="none"/>
          <w:lang w:val="zh-CN" w:bidi="zh-CN"/>
        </w:rPr>
      </w:pPr>
      <w:bookmarkStart w:id="303" w:name="_Toc26688"/>
      <w:bookmarkStart w:id="304" w:name="_Toc14748"/>
      <w:bookmarkStart w:id="305" w:name="_Toc4650"/>
      <w:bookmarkStart w:id="306" w:name="_Toc24171"/>
      <w:r>
        <w:rPr>
          <w:rFonts w:hint="eastAsia" w:ascii="宋体" w:hAnsi="宋体" w:cs="宋体"/>
          <w:b/>
          <w:bCs w:val="0"/>
          <w:color w:val="auto"/>
          <w:spacing w:val="10"/>
          <w:kern w:val="0"/>
          <w:sz w:val="38"/>
          <w:szCs w:val="38"/>
          <w:highlight w:val="none"/>
          <w:lang w:val="zh-CN" w:bidi="zh-CN"/>
        </w:rPr>
        <w:t>响应文件</w:t>
      </w:r>
      <w:r>
        <w:rPr>
          <w:rFonts w:ascii="宋体" w:hAnsi="宋体" w:cs="宋体"/>
          <w:b/>
          <w:bCs w:val="0"/>
          <w:color w:val="auto"/>
          <w:spacing w:val="10"/>
          <w:kern w:val="0"/>
          <w:sz w:val="38"/>
          <w:szCs w:val="38"/>
          <w:highlight w:val="none"/>
          <w:lang w:val="zh-CN" w:bidi="zh-CN"/>
        </w:rPr>
        <w:t>封面</w:t>
      </w:r>
      <w:bookmarkEnd w:id="303"/>
      <w:bookmarkEnd w:id="304"/>
      <w:bookmarkEnd w:id="305"/>
      <w:bookmarkEnd w:id="306"/>
    </w:p>
    <w:p>
      <w:pPr>
        <w:widowControl w:val="0"/>
        <w:autoSpaceDE w:val="0"/>
        <w:autoSpaceDN w:val="0"/>
        <w:spacing w:before="11"/>
        <w:jc w:val="center"/>
        <w:rPr>
          <w:rFonts w:ascii="宋体" w:hAnsi="宋体" w:eastAsia="宋体" w:cs="宋体"/>
          <w:b/>
          <w:color w:val="auto"/>
          <w:sz w:val="46"/>
          <w:szCs w:val="19"/>
          <w:highlight w:val="none"/>
          <w:lang w:val="zh-CN" w:eastAsia="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307" w:name="_Toc6353"/>
      <w:bookmarkStart w:id="308" w:name="_Toc25136"/>
      <w:bookmarkStart w:id="309" w:name="_Toc17848"/>
      <w:bookmarkStart w:id="310" w:name="_Toc302"/>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响应文件</w:t>
      </w:r>
      <w:r>
        <w:rPr>
          <w:rFonts w:ascii="宋体" w:hAnsi="宋体" w:cs="宋体"/>
          <w:b/>
          <w:color w:val="auto"/>
          <w:spacing w:val="7"/>
          <w:kern w:val="0"/>
          <w:sz w:val="38"/>
          <w:szCs w:val="22"/>
          <w:highlight w:val="none"/>
          <w:lang w:val="zh-CN" w:bidi="zh-CN"/>
        </w:rPr>
        <w:t>封面</w:t>
      </w:r>
      <w:bookmarkEnd w:id="307"/>
      <w:bookmarkEnd w:id="308"/>
      <w:bookmarkEnd w:id="309"/>
      <w:bookmarkEnd w:id="310"/>
    </w:p>
    <w:p>
      <w:pPr>
        <w:widowControl w:val="0"/>
        <w:autoSpaceDE w:val="0"/>
        <w:autoSpaceDN w:val="0"/>
        <w:spacing w:line="479" w:lineRule="exact"/>
        <w:ind w:left="0" w:right="0"/>
        <w:jc w:val="center"/>
        <w:outlineLvl w:val="9"/>
        <w:rPr>
          <w:rFonts w:ascii="宋体" w:hAnsi="宋体" w:eastAsia="宋体" w:cs="宋体"/>
          <w:b/>
          <w:bCs/>
          <w:color w:val="auto"/>
          <w:sz w:val="24"/>
          <w:szCs w:val="24"/>
          <w:highlight w:val="none"/>
          <w:lang w:val="zh-CN" w:eastAsia="zh-CN" w:bidi="zh-CN"/>
        </w:rPr>
      </w:pPr>
      <w:r>
        <w:rPr>
          <w:rFonts w:ascii="宋体" w:hAnsi="宋体" w:eastAsia="宋体" w:cs="宋体"/>
          <w:b/>
          <w:bCs/>
          <w:color w:val="auto"/>
          <w:sz w:val="24"/>
          <w:szCs w:val="24"/>
          <w:highlight w:val="none"/>
          <w:lang w:val="zh-CN" w:eastAsia="zh-CN" w:bidi="zh-CN"/>
        </w:rPr>
        <w:t>（正本</w:t>
      </w:r>
      <w:r>
        <w:rPr>
          <w:rFonts w:hint="eastAsia" w:ascii="思源黑体 CN Heavy" w:hAnsi="宋体" w:eastAsia="思源黑体 CN Heavy" w:cs="宋体"/>
          <w:b/>
          <w:bCs/>
          <w:color w:val="auto"/>
          <w:sz w:val="24"/>
          <w:szCs w:val="24"/>
          <w:highlight w:val="none"/>
          <w:lang w:val="zh-CN" w:eastAsia="zh-CN" w:bidi="zh-CN"/>
        </w:rPr>
        <w:t>/</w:t>
      </w:r>
      <w:r>
        <w:rPr>
          <w:rFonts w:ascii="宋体" w:hAnsi="宋体" w:eastAsia="宋体" w:cs="宋体"/>
          <w:b/>
          <w:bCs/>
          <w:color w:val="auto"/>
          <w:sz w:val="24"/>
          <w:szCs w:val="24"/>
          <w:highlight w:val="none"/>
          <w:lang w:val="zh-CN" w:eastAsia="zh-CN" w:bidi="zh-CN"/>
        </w:rPr>
        <w:t>副本）</w:t>
      </w: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spacing w:before="8"/>
        <w:jc w:val="center"/>
        <w:rPr>
          <w:rFonts w:ascii="宋体" w:hAnsi="宋体" w:eastAsia="宋体" w:cs="宋体"/>
          <w:b/>
          <w:color w:val="auto"/>
          <w:sz w:val="38"/>
          <w:szCs w:val="19"/>
          <w:highlight w:val="none"/>
          <w:lang w:val="zh-CN" w:eastAsia="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widowControl w:val="0"/>
        <w:autoSpaceDE w:val="0"/>
        <w:autoSpaceDN w:val="0"/>
        <w:jc w:val="center"/>
        <w:rPr>
          <w:rFonts w:ascii="宋体" w:hAnsi="宋体" w:eastAsia="宋体" w:cs="宋体"/>
          <w:b/>
          <w:color w:val="auto"/>
          <w:sz w:val="24"/>
          <w:szCs w:val="19"/>
          <w:highlight w:val="none"/>
          <w:lang w:val="zh-CN" w:eastAsia="zh-CN" w:bidi="zh-CN"/>
        </w:rPr>
      </w:pPr>
    </w:p>
    <w:p>
      <w:pPr>
        <w:widowControl w:val="0"/>
        <w:autoSpaceDE w:val="0"/>
        <w:autoSpaceDN w:val="0"/>
        <w:jc w:val="center"/>
        <w:rPr>
          <w:rFonts w:ascii="宋体" w:hAnsi="宋体" w:eastAsia="宋体" w:cs="宋体"/>
          <w:b/>
          <w:color w:val="auto"/>
          <w:sz w:val="24"/>
          <w:szCs w:val="19"/>
          <w:highlight w:val="none"/>
          <w:lang w:val="zh-CN" w:eastAsia="zh-CN" w:bidi="zh-CN"/>
        </w:rPr>
      </w:pPr>
    </w:p>
    <w:p>
      <w:pPr>
        <w:widowControl w:val="0"/>
        <w:autoSpaceDE w:val="0"/>
        <w:autoSpaceDN w:val="0"/>
        <w:jc w:val="center"/>
        <w:rPr>
          <w:rFonts w:ascii="宋体" w:hAnsi="宋体" w:eastAsia="宋体" w:cs="宋体"/>
          <w:b/>
          <w:color w:val="auto"/>
          <w:sz w:val="24"/>
          <w:szCs w:val="19"/>
          <w:highlight w:val="none"/>
          <w:lang w:val="zh-CN" w:eastAsia="zh-CN" w:bidi="zh-CN"/>
        </w:rPr>
      </w:pPr>
    </w:p>
    <w:p>
      <w:pPr>
        <w:widowControl w:val="0"/>
        <w:autoSpaceDE w:val="0"/>
        <w:autoSpaceDN w:val="0"/>
        <w:jc w:val="center"/>
        <w:rPr>
          <w:rFonts w:ascii="宋体" w:hAnsi="宋体" w:eastAsia="宋体" w:cs="宋体"/>
          <w:b/>
          <w:color w:val="auto"/>
          <w:sz w:val="24"/>
          <w:szCs w:val="19"/>
          <w:highlight w:val="none"/>
          <w:lang w:val="zh-CN" w:eastAsia="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w:t>
      </w:r>
      <w:r>
        <w:rPr>
          <w:rFonts w:hint="eastAsia" w:ascii="宋体" w:hAnsi="宋体" w:cs="宋体"/>
          <w:b/>
          <w:color w:val="auto"/>
          <w:kern w:val="0"/>
          <w:sz w:val="24"/>
          <w:szCs w:val="22"/>
          <w:highlight w:val="none"/>
          <w:lang w:val="zh-CN" w:bidi="zh-CN"/>
        </w:rPr>
        <w:t>供应商</w:t>
      </w:r>
      <w:r>
        <w:rPr>
          <w:rFonts w:ascii="宋体" w:hAnsi="宋体" w:cs="宋体"/>
          <w:b/>
          <w:color w:val="auto"/>
          <w:kern w:val="0"/>
          <w:sz w:val="24"/>
          <w:szCs w:val="22"/>
          <w:highlight w:val="none"/>
          <w:lang w:val="zh-CN" w:bidi="zh-CN"/>
        </w:rPr>
        <w:t xml:space="preserve">名称） </w:t>
      </w: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年</w:t>
      </w:r>
      <w:r>
        <w:rPr>
          <w:rFonts w:hint="eastAsia" w:ascii="宋体" w:hAnsi="宋体" w:cs="宋体"/>
          <w:b/>
          <w:color w:val="auto"/>
          <w:kern w:val="0"/>
          <w:sz w:val="24"/>
          <w:szCs w:val="22"/>
          <w:highlight w:val="none"/>
          <w:lang w:val="en-US" w:bidi="zh-CN"/>
        </w:rPr>
        <w:t xml:space="preserve">  </w:t>
      </w:r>
      <w:r>
        <w:rPr>
          <w:rFonts w:ascii="宋体" w:hAnsi="宋体" w:cs="宋体"/>
          <w:b/>
          <w:color w:val="auto"/>
          <w:kern w:val="0"/>
          <w:sz w:val="24"/>
          <w:szCs w:val="22"/>
          <w:highlight w:val="none"/>
          <w:lang w:val="zh-CN" w:bidi="zh-CN"/>
        </w:rPr>
        <w:t xml:space="preserve">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val="en-US" w:eastAsia="zh-CN" w:bidi="zh-CN"/>
        </w:rPr>
        <w:t xml:space="preserve"> </w:t>
      </w:r>
      <w:r>
        <w:rPr>
          <w:rFonts w:hint="eastAsia" w:ascii="宋体" w:hAnsi="宋体" w:cs="宋体"/>
          <w:b/>
          <w:color w:val="auto"/>
          <w:kern w:val="0"/>
          <w:sz w:val="24"/>
          <w:szCs w:val="22"/>
          <w:highlight w:val="none"/>
          <w:lang w:val="en-US"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spacing w:before="312" w:beforeLines="100" w:after="312" w:afterLines="100"/>
        <w:jc w:val="center"/>
        <w:rPr>
          <w:rFonts w:hint="eastAsia" w:ascii="宋体" w:hAnsi="宋体" w:eastAsia="宋体" w:cs="宋体"/>
          <w:b/>
          <w:color w:val="auto"/>
          <w:spacing w:val="20"/>
          <w:sz w:val="24"/>
          <w:szCs w:val="24"/>
          <w:highlight w:val="none"/>
        </w:rPr>
      </w:pPr>
      <w:r>
        <w:rPr>
          <w:rFonts w:hint="eastAsia" w:ascii="宋体" w:hAnsi="宋体" w:eastAsia="宋体" w:cs="宋体"/>
          <w:b/>
          <w:color w:val="auto"/>
          <w:spacing w:val="20"/>
          <w:sz w:val="24"/>
          <w:szCs w:val="24"/>
          <w:highlight w:val="none"/>
        </w:rPr>
        <w:t>详细评审索引表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551"/>
        <w:gridCol w:w="338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482" w:type="dxa"/>
            <w:gridSpan w:val="4"/>
            <w:vAlign w:val="center"/>
          </w:tcPr>
          <w:p>
            <w:pPr>
              <w:spacing w:line="360"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项目名称：</w:t>
            </w:r>
            <w:r>
              <w:rPr>
                <w:rFonts w:hint="eastAsia" w:ascii="宋体" w:hAnsi="宋体" w:eastAsia="宋体" w:cs="宋体"/>
                <w:b w:val="0"/>
                <w:bCs w:val="0"/>
                <w:color w:val="auto"/>
                <w:szCs w:val="21"/>
                <w:highlight w:val="none"/>
                <w:u w:val="single"/>
              </w:rPr>
              <w:t xml:space="preserve">                             </w:t>
            </w:r>
            <w:r>
              <w:rPr>
                <w:rFonts w:hint="eastAsia" w:ascii="宋体" w:hAnsi="宋体" w:eastAsia="宋体" w:cs="宋体"/>
                <w:b w:val="0"/>
                <w:bCs w:val="0"/>
                <w:color w:val="auto"/>
                <w:szCs w:val="21"/>
                <w:highlight w:val="none"/>
              </w:rPr>
              <w:t xml:space="preserve">     项目编号：</w:t>
            </w:r>
            <w:r>
              <w:rPr>
                <w:rFonts w:hint="eastAsia" w:ascii="宋体" w:hAnsi="宋体" w:eastAsia="宋体" w:cs="宋体"/>
                <w:b w:val="0"/>
                <w:bCs w:val="0"/>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商务评审细则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序号</w:t>
            </w:r>
          </w:p>
        </w:tc>
        <w:tc>
          <w:tcPr>
            <w:tcW w:w="1551"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评分内容</w:t>
            </w:r>
          </w:p>
        </w:tc>
        <w:tc>
          <w:tcPr>
            <w:tcW w:w="3382"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评分标准</w:t>
            </w:r>
          </w:p>
        </w:tc>
        <w:tc>
          <w:tcPr>
            <w:tcW w:w="2452"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eastAsia="zh-CN"/>
              </w:rPr>
              <w:t>响应文件</w:t>
            </w:r>
            <w:r>
              <w:rPr>
                <w:rFonts w:hint="eastAsia" w:ascii="宋体" w:hAnsi="宋体" w:eastAsia="宋体" w:cs="宋体"/>
                <w:b w:val="0"/>
                <w:bCs w:val="0"/>
                <w:color w:val="auto"/>
                <w:szCs w:val="21"/>
                <w:highlight w:val="none"/>
              </w:rPr>
              <w:t>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技术评审细则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序号</w:t>
            </w:r>
          </w:p>
        </w:tc>
        <w:tc>
          <w:tcPr>
            <w:tcW w:w="1551"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评分内容</w:t>
            </w:r>
          </w:p>
        </w:tc>
        <w:tc>
          <w:tcPr>
            <w:tcW w:w="3382"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评分标准</w:t>
            </w:r>
          </w:p>
        </w:tc>
        <w:tc>
          <w:tcPr>
            <w:tcW w:w="2452"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eastAsia="zh-CN"/>
              </w:rPr>
              <w:t>响应文件</w:t>
            </w:r>
            <w:r>
              <w:rPr>
                <w:rFonts w:hint="eastAsia" w:ascii="宋体" w:hAnsi="宋体" w:eastAsia="宋体" w:cs="宋体"/>
                <w:b w:val="0"/>
                <w:bCs w:val="0"/>
                <w:color w:val="auto"/>
                <w:szCs w:val="21"/>
                <w:highlight w:val="none"/>
              </w:rPr>
              <w:t>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bl>
    <w:p>
      <w:pPr>
        <w:rPr>
          <w:b/>
          <w:color w:val="auto"/>
          <w:sz w:val="24"/>
          <w:highlight w:val="none"/>
        </w:rPr>
      </w:pPr>
      <w:r>
        <w:rPr>
          <w:b/>
          <w:color w:val="auto"/>
          <w:sz w:val="24"/>
          <w:highlight w:val="none"/>
        </w:rPr>
        <w:br w:type="page"/>
      </w:r>
    </w:p>
    <w:p>
      <w:pPr>
        <w:spacing w:before="46"/>
        <w:ind w:left="3125" w:right="3192"/>
        <w:jc w:val="center"/>
        <w:rPr>
          <w:b/>
          <w:color w:val="auto"/>
          <w:sz w:val="24"/>
          <w:highlight w:val="none"/>
        </w:rPr>
      </w:pPr>
      <w:r>
        <w:rPr>
          <w:rFonts w:hint="eastAsia"/>
          <w:b/>
          <w:color w:val="auto"/>
          <w:sz w:val="24"/>
          <w:highlight w:val="none"/>
          <w:lang w:eastAsia="zh-CN"/>
        </w:rPr>
        <w:t>响应文件</w:t>
      </w:r>
      <w:r>
        <w:rPr>
          <w:b/>
          <w:color w:val="auto"/>
          <w:sz w:val="24"/>
          <w:highlight w:val="none"/>
        </w:rPr>
        <w:t>目录</w:t>
      </w:r>
    </w:p>
    <w:p>
      <w:pPr>
        <w:pStyle w:val="2"/>
        <w:spacing w:before="8"/>
        <w:rPr>
          <w:b/>
          <w:color w:val="auto"/>
          <w:sz w:val="12"/>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一、</w:t>
      </w:r>
      <w:r>
        <w:rPr>
          <w:rFonts w:hint="eastAsia"/>
          <w:color w:val="auto"/>
          <w:highlight w:val="none"/>
          <w:lang w:val="en-US" w:eastAsia="zh-CN"/>
        </w:rPr>
        <w:t>响应承诺</w:t>
      </w:r>
      <w:r>
        <w:rPr>
          <w:color w:val="auto"/>
          <w:highlight w:val="none"/>
        </w:rPr>
        <w:t>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highlight w:val="none"/>
          <w:lang w:eastAsia="zh-CN"/>
        </w:rPr>
      </w:pPr>
      <w:r>
        <w:rPr>
          <w:color w:val="auto"/>
          <w:highlight w:val="none"/>
        </w:rPr>
        <w:t>二、</w:t>
      </w:r>
      <w:r>
        <w:rPr>
          <w:rFonts w:hint="eastAsia"/>
          <w:color w:val="auto"/>
          <w:highlight w:val="none"/>
          <w:lang w:eastAsia="zh-CN"/>
        </w:rPr>
        <w:t>首轮报价表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三、分项报价表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四、</w:t>
      </w:r>
      <w:r>
        <w:rPr>
          <w:rFonts w:hint="eastAsia"/>
          <w:color w:val="auto"/>
          <w:highlight w:val="none"/>
        </w:rPr>
        <w:t>法定代表人证明书</w:t>
      </w:r>
      <w:r>
        <w:rPr>
          <w:color w:val="auto"/>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五、</w:t>
      </w:r>
      <w:r>
        <w:rPr>
          <w:rFonts w:hint="eastAsia"/>
          <w:color w:val="auto"/>
          <w:highlight w:val="none"/>
        </w:rPr>
        <w:t>法定代表人授权书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highlight w:val="none"/>
          <w:lang w:eastAsia="zh-CN"/>
        </w:rPr>
      </w:pPr>
      <w:r>
        <w:rPr>
          <w:color w:val="auto"/>
          <w:highlight w:val="none"/>
        </w:rPr>
        <w:t>六、</w:t>
      </w:r>
      <w:r>
        <w:rPr>
          <w:rFonts w:hint="eastAsia"/>
          <w:color w:val="auto"/>
          <w:highlight w:val="none"/>
          <w:lang w:eastAsia="zh-CN"/>
        </w:rPr>
        <w:t>响应保证金</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七、</w:t>
      </w:r>
      <w:r>
        <w:rPr>
          <w:rFonts w:hint="eastAsia"/>
          <w:color w:val="auto"/>
          <w:highlight w:val="none"/>
        </w:rPr>
        <w:t>提供具有独立承担民事责任的能力的证明材料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八、</w:t>
      </w:r>
      <w:r>
        <w:rPr>
          <w:rFonts w:hint="eastAsia"/>
          <w:color w:val="auto"/>
          <w:highlight w:val="none"/>
        </w:rPr>
        <w:t>资格性审查要求的其他资质证明文件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九、</w:t>
      </w:r>
      <w:r>
        <w:rPr>
          <w:rFonts w:hint="eastAsia"/>
          <w:color w:val="auto"/>
          <w:highlight w:val="none"/>
        </w:rPr>
        <w:t>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w:t>
      </w:r>
      <w:r>
        <w:rPr>
          <w:rFonts w:hint="eastAsia"/>
          <w:color w:val="auto"/>
          <w:highlight w:val="none"/>
          <w:lang w:eastAsia="zh-CN"/>
        </w:rPr>
        <w:t>供应商</w:t>
      </w:r>
      <w:r>
        <w:rPr>
          <w:rFonts w:hint="eastAsia"/>
          <w:color w:val="auto"/>
          <w:highlight w:val="none"/>
        </w:rPr>
        <w:t>业绩情况表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十一、</w:t>
      </w:r>
      <w:r>
        <w:rPr>
          <w:rFonts w:hint="eastAsia"/>
          <w:color w:val="auto"/>
          <w:highlight w:val="none"/>
        </w:rPr>
        <w:t>技术要求响应表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十二、</w:t>
      </w:r>
      <w:r>
        <w:rPr>
          <w:rFonts w:hint="eastAsia"/>
          <w:color w:val="auto"/>
          <w:highlight w:val="none"/>
        </w:rPr>
        <w:t>商务要求响应表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十三、</w:t>
      </w:r>
      <w:r>
        <w:rPr>
          <w:rFonts w:hint="eastAsia"/>
          <w:color w:val="auto"/>
          <w:highlight w:val="none"/>
        </w:rPr>
        <w:t>履约进度计划表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十四、</w:t>
      </w:r>
      <w:r>
        <w:rPr>
          <w:rFonts w:hint="eastAsia"/>
          <w:color w:val="auto"/>
          <w:highlight w:val="none"/>
        </w:rPr>
        <w:t>各类证明材料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十五、</w:t>
      </w:r>
      <w:r>
        <w:rPr>
          <w:rFonts w:hint="eastAsia"/>
          <w:color w:val="auto"/>
          <w:highlight w:val="none"/>
        </w:rPr>
        <w:t>采购代理服务费支付承诺书</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十六、</w:t>
      </w:r>
      <w:r>
        <w:rPr>
          <w:rFonts w:hint="eastAsia"/>
          <w:color w:val="auto"/>
          <w:highlight w:val="none"/>
        </w:rPr>
        <w:t>需要</w:t>
      </w:r>
      <w:r>
        <w:rPr>
          <w:rFonts w:hint="eastAsia"/>
          <w:color w:val="auto"/>
          <w:highlight w:val="none"/>
          <w:lang w:eastAsia="zh-CN"/>
        </w:rPr>
        <w:t>采购人</w:t>
      </w:r>
      <w:r>
        <w:rPr>
          <w:rFonts w:hint="eastAsia"/>
          <w:color w:val="auto"/>
          <w:highlight w:val="none"/>
        </w:rPr>
        <w:t>提供的附加条件</w:t>
      </w:r>
    </w:p>
    <w:p>
      <w:pPr>
        <w:rPr>
          <w:b/>
          <w:bCs/>
          <w:color w:val="auto"/>
          <w:sz w:val="24"/>
          <w:szCs w:val="32"/>
          <w:highlight w:val="none"/>
        </w:rPr>
      </w:pPr>
      <w:r>
        <w:rPr>
          <w:b/>
          <w:bCs/>
          <w:color w:val="auto"/>
          <w:sz w:val="24"/>
          <w:szCs w:val="32"/>
          <w:highlight w:val="none"/>
        </w:rPr>
        <w:br w:type="page"/>
      </w:r>
    </w:p>
    <w:p>
      <w:pPr>
        <w:bidi w:val="0"/>
        <w:rPr>
          <w:b/>
          <w:bCs/>
          <w:color w:val="auto"/>
          <w:sz w:val="24"/>
          <w:szCs w:val="32"/>
          <w:highlight w:val="none"/>
        </w:rPr>
      </w:pPr>
      <w:r>
        <w:rPr>
          <w:b/>
          <w:bCs/>
          <w:color w:val="auto"/>
          <w:sz w:val="24"/>
          <w:szCs w:val="32"/>
          <w:highlight w:val="none"/>
        </w:rPr>
        <w:t>格式一：</w:t>
      </w:r>
    </w:p>
    <w:p>
      <w:pPr>
        <w:pStyle w:val="2"/>
        <w:jc w:val="center"/>
        <w:rPr>
          <w:b/>
          <w:color w:val="auto"/>
          <w:sz w:val="12"/>
          <w:highlight w:val="none"/>
        </w:rPr>
      </w:pPr>
      <w:r>
        <w:rPr>
          <w:rFonts w:hint="eastAsia"/>
          <w:b/>
          <w:color w:val="auto"/>
          <w:sz w:val="24"/>
          <w:highlight w:val="none"/>
          <w:lang w:val="en-US" w:eastAsia="zh-CN"/>
        </w:rPr>
        <w:t>响应承诺</w:t>
      </w:r>
      <w:r>
        <w:rPr>
          <w:b/>
          <w:color w:val="auto"/>
          <w:sz w:val="24"/>
          <w:highlight w:val="none"/>
        </w:rPr>
        <w:t>函</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国顺招标有限公司</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你方组织的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项目的</w:t>
      </w:r>
      <w:r>
        <w:rPr>
          <w:rFonts w:hint="eastAsia" w:cs="宋体"/>
          <w:color w:val="auto"/>
          <w:sz w:val="21"/>
          <w:szCs w:val="21"/>
          <w:highlight w:val="none"/>
          <w:lang w:val="en-US" w:eastAsia="zh-CN"/>
        </w:rPr>
        <w:t>竞争性磋商</w:t>
      </w:r>
      <w:r>
        <w:rPr>
          <w:rFonts w:hint="eastAsia" w:ascii="宋体" w:hAnsi="宋体" w:eastAsia="宋体" w:cs="宋体"/>
          <w:color w:val="auto"/>
          <w:sz w:val="21"/>
          <w:szCs w:val="21"/>
          <w:highlight w:val="none"/>
        </w:rPr>
        <w:t>[项目编号为：</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rPr>
        <w:t>]，我方愿参与</w:t>
      </w:r>
      <w:r>
        <w:rPr>
          <w:rFonts w:hint="eastAsia" w:cs="宋体"/>
          <w:color w:val="auto"/>
          <w:sz w:val="21"/>
          <w:szCs w:val="21"/>
          <w:highlight w:val="none"/>
          <w:lang w:val="en-US" w:eastAsia="zh-CN"/>
        </w:rPr>
        <w:t>响应</w:t>
      </w:r>
      <w:r>
        <w:rPr>
          <w:rFonts w:hint="eastAsia" w:ascii="宋体" w:hAnsi="宋体" w:eastAsia="宋体" w:cs="宋体"/>
          <w:color w:val="auto"/>
          <w:sz w:val="21"/>
          <w:szCs w:val="21"/>
          <w:highlight w:val="none"/>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我方确认收到贵方提供的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项目的</w:t>
      </w:r>
      <w:r>
        <w:rPr>
          <w:rFonts w:hint="eastAsia" w:cs="宋体"/>
          <w:color w:val="auto"/>
          <w:sz w:val="21"/>
          <w:szCs w:val="21"/>
          <w:highlight w:val="none"/>
          <w:lang w:val="en-US" w:eastAsia="zh-CN"/>
        </w:rPr>
        <w:t>磋商</w:t>
      </w:r>
      <w:r>
        <w:rPr>
          <w:rFonts w:hint="eastAsia" w:cs="宋体"/>
          <w:color w:val="auto"/>
          <w:sz w:val="21"/>
          <w:szCs w:val="21"/>
          <w:highlight w:val="none"/>
          <w:lang w:eastAsia="zh-CN"/>
        </w:rPr>
        <w:t>文件</w:t>
      </w:r>
      <w:r>
        <w:rPr>
          <w:rFonts w:hint="eastAsia" w:ascii="宋体" w:hAnsi="宋体" w:eastAsia="宋体" w:cs="宋体"/>
          <w:color w:val="auto"/>
          <w:sz w:val="21"/>
          <w:szCs w:val="21"/>
          <w:highlight w:val="none"/>
        </w:rPr>
        <w:t>的全部内容。</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我方在参与</w:t>
      </w:r>
      <w:r>
        <w:rPr>
          <w:rFonts w:hint="eastAsia" w:cs="宋体"/>
          <w:color w:val="auto"/>
          <w:sz w:val="21"/>
          <w:szCs w:val="21"/>
          <w:highlight w:val="none"/>
          <w:lang w:val="en-US" w:eastAsia="zh-CN"/>
        </w:rPr>
        <w:t>响应</w:t>
      </w:r>
      <w:r>
        <w:rPr>
          <w:rFonts w:hint="eastAsia" w:ascii="宋体" w:hAnsi="宋体" w:eastAsia="宋体" w:cs="宋体"/>
          <w:color w:val="auto"/>
          <w:sz w:val="21"/>
          <w:szCs w:val="21"/>
          <w:highlight w:val="none"/>
        </w:rPr>
        <w:t>前已详细研究了</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的所有内容，包括澄清、修改文件（如果有）和所有已提供的参考资料以及有关附件，我方完全明白并认为此</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没有倾向性，也不存在排斥潜在</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的内容，我方同意</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的相关条款，放弃对</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提出误解和质疑的一切权力。</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w:t>
      </w:r>
      <w:r>
        <w:rPr>
          <w:rFonts w:hint="eastAsia"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名称)</w:t>
      </w:r>
      <w:r>
        <w:rPr>
          <w:rFonts w:hint="eastAsia" w:ascii="宋体" w:hAnsi="宋体" w:eastAsia="宋体" w:cs="宋体"/>
          <w:color w:val="auto"/>
          <w:sz w:val="21"/>
          <w:szCs w:val="21"/>
          <w:highlight w:val="none"/>
        </w:rPr>
        <w:t>作为</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正式授权</w:t>
      </w:r>
      <w:r>
        <w:rPr>
          <w:rFonts w:hint="eastAsia" w:ascii="宋体" w:hAnsi="宋体" w:eastAsia="宋体" w:cs="宋体"/>
          <w:color w:val="auto"/>
          <w:sz w:val="21"/>
          <w:szCs w:val="21"/>
          <w:highlight w:val="none"/>
          <w:u w:val="single"/>
        </w:rPr>
        <w:t>(授权代表全名,职务)</w:t>
      </w:r>
      <w:r>
        <w:rPr>
          <w:rFonts w:hint="eastAsia" w:ascii="宋体" w:hAnsi="宋体" w:eastAsia="宋体" w:cs="宋体"/>
          <w:color w:val="auto"/>
          <w:sz w:val="21"/>
          <w:szCs w:val="21"/>
          <w:highlight w:val="none"/>
        </w:rPr>
        <w:t>代表我方全权处理有关本</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的一切事宜。我方已完全明白</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的所有条款要求，并申明如下：</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（一）按</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提供的全部货物与相关服务的</w:t>
      </w:r>
      <w:r>
        <w:rPr>
          <w:rFonts w:hint="eastAsia" w:cs="宋体"/>
          <w:color w:val="auto"/>
          <w:sz w:val="21"/>
          <w:szCs w:val="21"/>
          <w:highlight w:val="none"/>
          <w:lang w:eastAsia="zh-CN"/>
        </w:rPr>
        <w:t>磋商总价</w:t>
      </w:r>
      <w:r>
        <w:rPr>
          <w:rFonts w:hint="eastAsia" w:ascii="宋体" w:hAnsi="宋体" w:eastAsia="宋体" w:cs="宋体"/>
          <w:color w:val="auto"/>
          <w:sz w:val="21"/>
          <w:szCs w:val="21"/>
          <w:highlight w:val="none"/>
        </w:rPr>
        <w:t>详见《</w:t>
      </w:r>
      <w:r>
        <w:rPr>
          <w:rFonts w:hint="eastAsia" w:cs="宋体"/>
          <w:color w:val="auto"/>
          <w:sz w:val="21"/>
          <w:szCs w:val="21"/>
          <w:highlight w:val="none"/>
          <w:lang w:eastAsia="zh-CN"/>
        </w:rPr>
        <w:t>首轮报价表</w:t>
      </w:r>
      <w:r>
        <w:rPr>
          <w:rFonts w:hint="eastAsia" w:ascii="宋体" w:hAnsi="宋体" w:eastAsia="宋体" w:cs="宋体"/>
          <w:color w:val="auto"/>
          <w:sz w:val="21"/>
          <w:szCs w:val="21"/>
          <w:highlight w:val="none"/>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w:t>
      </w:r>
      <w:r>
        <w:rPr>
          <w:rFonts w:hint="eastAsia" w:cs="宋体"/>
          <w:color w:val="auto"/>
          <w:sz w:val="21"/>
          <w:szCs w:val="21"/>
          <w:highlight w:val="none"/>
          <w:lang w:eastAsia="zh-CN"/>
        </w:rPr>
        <w:t>响应文件</w:t>
      </w:r>
      <w:r>
        <w:rPr>
          <w:rFonts w:hint="eastAsia" w:ascii="宋体" w:hAnsi="宋体" w:eastAsia="宋体" w:cs="宋体"/>
          <w:color w:val="auto"/>
          <w:sz w:val="21"/>
          <w:szCs w:val="21"/>
          <w:highlight w:val="none"/>
        </w:rPr>
        <w:t>的有效期为</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截止时间起90天。如中标，有效期将延至合同终止日为止。在此提交的资格证明文件均至</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截止日有效，如有在</w:t>
      </w:r>
      <w:r>
        <w:rPr>
          <w:rFonts w:hint="eastAsia" w:cs="宋体"/>
          <w:color w:val="auto"/>
          <w:sz w:val="21"/>
          <w:szCs w:val="21"/>
          <w:highlight w:val="none"/>
          <w:lang w:eastAsia="zh-CN"/>
        </w:rPr>
        <w:t>响应有效期</w:t>
      </w:r>
      <w:r>
        <w:rPr>
          <w:rFonts w:hint="eastAsia" w:ascii="宋体" w:hAnsi="宋体" w:eastAsia="宋体" w:cs="宋体"/>
          <w:color w:val="auto"/>
          <w:sz w:val="21"/>
          <w:szCs w:val="21"/>
          <w:highlight w:val="none"/>
        </w:rPr>
        <w:t>内失效的，我方承诺在中标后补齐一切手续，保证所有资格证明文件能在签订采购合同时直至采购合同终止日有效。</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（三）我方明白并同意，在规定的开标日之后，</w:t>
      </w:r>
      <w:r>
        <w:rPr>
          <w:rFonts w:hint="eastAsia" w:cs="宋体"/>
          <w:color w:val="auto"/>
          <w:sz w:val="21"/>
          <w:szCs w:val="21"/>
          <w:highlight w:val="none"/>
          <w:lang w:eastAsia="zh-CN"/>
        </w:rPr>
        <w:t>响应有效期</w:t>
      </w:r>
      <w:r>
        <w:rPr>
          <w:rFonts w:hint="eastAsia" w:ascii="宋体" w:hAnsi="宋体" w:eastAsia="宋体" w:cs="宋体"/>
          <w:color w:val="auto"/>
          <w:sz w:val="21"/>
          <w:szCs w:val="21"/>
          <w:highlight w:val="none"/>
        </w:rPr>
        <w:t>之内撤回</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或中标后不按规定与</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签订合同或不提交履约保证金</w:t>
      </w:r>
      <w:r>
        <w:rPr>
          <w:rFonts w:hint="eastAsia" w:ascii="宋体" w:hAnsi="宋体" w:eastAsia="宋体" w:cs="宋体"/>
          <w:color w:val="auto"/>
          <w:w w:val="95"/>
          <w:sz w:val="21"/>
          <w:szCs w:val="21"/>
          <w:highlight w:val="none"/>
        </w:rPr>
        <w:t>,</w:t>
      </w:r>
      <w:r>
        <w:rPr>
          <w:rFonts w:hint="eastAsia" w:ascii="宋体" w:hAnsi="宋体" w:eastAsia="宋体" w:cs="宋体"/>
          <w:color w:val="auto"/>
          <w:sz w:val="21"/>
          <w:szCs w:val="21"/>
          <w:highlight w:val="none"/>
        </w:rPr>
        <w:t>则贵方将不予退还</w:t>
      </w:r>
      <w:r>
        <w:rPr>
          <w:rFonts w:hint="eastAsia" w:cs="宋体"/>
          <w:color w:val="auto"/>
          <w:sz w:val="21"/>
          <w:szCs w:val="21"/>
          <w:highlight w:val="none"/>
          <w:lang w:eastAsia="zh-CN"/>
        </w:rPr>
        <w:t>响应保证金</w:t>
      </w:r>
      <w:r>
        <w:rPr>
          <w:rFonts w:hint="eastAsia" w:ascii="宋体" w:hAnsi="宋体" w:eastAsia="宋体" w:cs="宋体"/>
          <w:color w:val="auto"/>
          <w:sz w:val="21"/>
          <w:szCs w:val="21"/>
          <w:highlight w:val="none"/>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（四）我方愿意向贵方提供任何与本项报价有关的数据、情况和技术资料。若贵方需要，我方愿意提供我方作出的一切承诺的证明材料。</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（五）我方理解贵方不一定接受最低</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价或任何贵方可能收到的</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（六）我方如果中标，将保证履行</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及其澄清、修改文件（如果有）中的全部责任和义务，按质、按量、按期完成《用户需求书》及合同中的全部任务。</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（七）我方作为法律、财务和运作上独立于</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w:t>
      </w:r>
      <w:r>
        <w:rPr>
          <w:rFonts w:hint="eastAsia" w:cs="宋体"/>
          <w:color w:val="auto"/>
          <w:sz w:val="21"/>
          <w:szCs w:val="21"/>
          <w:highlight w:val="none"/>
          <w:lang w:eastAsia="zh-CN"/>
        </w:rPr>
        <w:t>采购代理机构</w:t>
      </w:r>
      <w:r>
        <w:rPr>
          <w:rFonts w:hint="eastAsia" w:ascii="宋体" w:hAnsi="宋体" w:eastAsia="宋体" w:cs="宋体"/>
          <w:color w:val="auto"/>
          <w:sz w:val="21"/>
          <w:szCs w:val="21"/>
          <w:highlight w:val="none"/>
        </w:rPr>
        <w:t>的</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，在此保证所提交的所有文件和全部说明是真实的和正确的。</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（八）我方</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报价已包含应向知识产权所有权人支付的所有相关税费，并保证</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在中国使用我方提供的货物时，如有第三方提出侵犯其知识产权主张的，责任由我方承担。</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（九）我方接受</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委托向贵方支付代理服务费，项目总报价已包含代理服务费，如果被确定为中标供应商，承诺向贵方足额支付。（若</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支付代理服务费，则此条不适用）</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（十）我方与其他</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不存在单位负责人为同一人或者存在直接控股、管理关系。</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（十一）我方承诺未为本项目提供整体设计、规范编制或者项目管理、监理、检测等服务。</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（十二）我方未被列入法院失信被执行人名单中。</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（十三）我方具备《中华人民共和国政府采购法》第二十二条规定的条件，承诺如下：</w:t>
      </w:r>
    </w:p>
    <w:p>
      <w:pPr>
        <w:pStyle w:val="22"/>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我方参加本项目政府采购活动前</w:t>
      </w:r>
      <w:r>
        <w:rPr>
          <w:rFonts w:hint="eastAsia" w:ascii="宋体" w:hAnsi="宋体" w:eastAsia="宋体" w:cs="宋体"/>
          <w:color w:val="auto"/>
          <w:spacing w:val="-3"/>
          <w:w w:val="110"/>
          <w:sz w:val="21"/>
          <w:szCs w:val="21"/>
          <w:highlight w:val="none"/>
        </w:rPr>
        <w:t>3</w:t>
      </w:r>
      <w:r>
        <w:rPr>
          <w:rFonts w:hint="eastAsia" w:ascii="宋体" w:hAnsi="宋体" w:eastAsia="宋体" w:cs="宋体"/>
          <w:color w:val="auto"/>
          <w:spacing w:val="-1"/>
          <w:sz w:val="21"/>
          <w:szCs w:val="21"/>
          <w:highlight w:val="none"/>
        </w:rPr>
        <w:t>年内在经营活动中没有以下违法记录，或因违法经营被禁止参加政府采购活动的</w:t>
      </w:r>
      <w:r>
        <w:rPr>
          <w:rFonts w:hint="eastAsia" w:ascii="宋体" w:hAnsi="宋体" w:eastAsia="宋体" w:cs="宋体"/>
          <w:color w:val="auto"/>
          <w:sz w:val="21"/>
          <w:szCs w:val="21"/>
          <w:highlight w:val="none"/>
        </w:rPr>
        <w:t>期限已届满：因违法经营受到刑事处罚或者责令停产停业、吊销许可证或者执照、较大数额罚款等行政处罚。</w:t>
      </w:r>
    </w:p>
    <w:p>
      <w:pPr>
        <w:pStyle w:val="22"/>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我方符合法律、行政法规规定的其他条件。</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以上内容如有虚假或与事实不符的，评标委员会可将我方做无效</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处理，我方愿意承担相应的法律责任。</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（十四）我方对在本函及</w:t>
      </w:r>
      <w:r>
        <w:rPr>
          <w:rFonts w:hint="eastAsia" w:cs="宋体"/>
          <w:color w:val="auto"/>
          <w:sz w:val="21"/>
          <w:szCs w:val="21"/>
          <w:highlight w:val="none"/>
          <w:lang w:eastAsia="zh-CN"/>
        </w:rPr>
        <w:t>响应文件</w:t>
      </w:r>
      <w:r>
        <w:rPr>
          <w:rFonts w:hint="eastAsia" w:ascii="宋体" w:hAnsi="宋体" w:eastAsia="宋体" w:cs="宋体"/>
          <w:color w:val="auto"/>
          <w:sz w:val="21"/>
          <w:szCs w:val="21"/>
          <w:highlight w:val="none"/>
        </w:rPr>
        <w:t>中所作的所有承诺承担法律责任。</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（十五）所有与本招标有关的函件请发往下列地址：</w:t>
      </w:r>
    </w:p>
    <w:p>
      <w:pPr>
        <w:pStyle w:val="2"/>
        <w:keepNext w:val="0"/>
        <w:keepLines w:val="0"/>
        <w:pageBreakBefore w:val="0"/>
        <w:widowControl w:val="0"/>
        <w:tabs>
          <w:tab w:val="left" w:pos="2854"/>
          <w:tab w:val="left" w:pos="2899"/>
          <w:tab w:val="left" w:pos="5588"/>
        </w:tabs>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w:t>
      </w:r>
      <w:r>
        <w:rPr>
          <w:rFonts w:hint="eastAsia" w:ascii="宋体" w:hAnsi="宋体" w:eastAsia="宋体" w:cs="宋体"/>
          <w:color w:val="auto"/>
          <w:spacing w:val="-34"/>
          <w:sz w:val="21"/>
          <w:szCs w:val="21"/>
          <w:highlight w:val="none"/>
        </w:rPr>
        <w:t xml:space="preserve"> </w:t>
      </w:r>
      <w:r>
        <w:rPr>
          <w:rFonts w:hint="eastAsia" w:ascii="宋体" w:hAnsi="宋体" w:eastAsia="宋体" w:cs="宋体"/>
          <w:color w:val="auto"/>
          <w:sz w:val="21"/>
          <w:szCs w:val="21"/>
          <w:highlight w:val="none"/>
        </w:rPr>
        <w:t>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电</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pStyle w:val="2"/>
        <w:keepNext w:val="0"/>
        <w:keepLines w:val="0"/>
        <w:pageBreakBefore w:val="0"/>
        <w:widowControl w:val="0"/>
        <w:tabs>
          <w:tab w:val="left" w:pos="2899"/>
        </w:tabs>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pStyle w:val="2"/>
        <w:keepNext w:val="0"/>
        <w:keepLines w:val="0"/>
        <w:pageBreakBefore w:val="0"/>
        <w:widowControl w:val="0"/>
        <w:tabs>
          <w:tab w:val="left" w:pos="3178"/>
          <w:tab w:val="left" w:pos="5588"/>
        </w:tabs>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代表姓名：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职</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pStyle w:val="2"/>
        <w:keepNext w:val="0"/>
        <w:keepLines w:val="0"/>
        <w:pageBreakBefore w:val="0"/>
        <w:widowControl w:val="0"/>
        <w:tabs>
          <w:tab w:val="left" w:pos="6766"/>
        </w:tabs>
        <w:kinsoku/>
        <w:wordWrap/>
        <w:overflowPunct/>
        <w:topLinePunct w:val="0"/>
        <w:autoSpaceDE w:val="0"/>
        <w:autoSpaceDN w:val="0"/>
        <w:bidi w:val="0"/>
        <w:adjustRightInd/>
        <w:snapToGrid/>
        <w:spacing w:before="0" w:line="360" w:lineRule="auto"/>
        <w:ind w:left="0" w:leftChars="0" w:firstLine="420" w:firstLineChars="200"/>
        <w:jc w:val="right"/>
        <w:textAlignment w:val="auto"/>
        <w:rPr>
          <w:rFonts w:hint="eastAsia" w:ascii="宋体" w:hAnsi="宋体" w:eastAsia="宋体" w:cs="宋体"/>
          <w:color w:val="auto"/>
          <w:sz w:val="21"/>
          <w:szCs w:val="21"/>
          <w:highlight w:val="none"/>
        </w:rPr>
      </w:pPr>
    </w:p>
    <w:p>
      <w:pPr>
        <w:pStyle w:val="2"/>
        <w:keepNext w:val="0"/>
        <w:keepLines w:val="0"/>
        <w:pageBreakBefore w:val="0"/>
        <w:widowControl w:val="0"/>
        <w:tabs>
          <w:tab w:val="left" w:pos="6766"/>
        </w:tabs>
        <w:kinsoku/>
        <w:wordWrap/>
        <w:overflowPunct/>
        <w:topLinePunct w:val="0"/>
        <w:autoSpaceDE w:val="0"/>
        <w:autoSpaceDN w:val="0"/>
        <w:bidi w:val="0"/>
        <w:adjustRightInd/>
        <w:snapToGrid/>
        <w:spacing w:before="0" w:line="360" w:lineRule="auto"/>
        <w:ind w:left="0" w:leftChars="0"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代表）签字或盖章：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pStyle w:val="2"/>
        <w:keepNext w:val="0"/>
        <w:keepLines w:val="0"/>
        <w:pageBreakBefore w:val="0"/>
        <w:widowControl w:val="0"/>
        <w:tabs>
          <w:tab w:val="left" w:pos="3693"/>
        </w:tabs>
        <w:kinsoku/>
        <w:wordWrap/>
        <w:overflowPunct/>
        <w:topLinePunct w:val="0"/>
        <w:autoSpaceDE w:val="0"/>
        <w:autoSpaceDN w:val="0"/>
        <w:bidi w:val="0"/>
        <w:adjustRightInd/>
        <w:snapToGrid/>
        <w:spacing w:before="0" w:line="360" w:lineRule="auto"/>
        <w:ind w:left="0" w:leftChars="0" w:firstLine="420" w:firstLineChars="200"/>
        <w:jc w:val="right"/>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pStyle w:val="2"/>
        <w:keepNext w:val="0"/>
        <w:keepLines w:val="0"/>
        <w:pageBreakBefore w:val="0"/>
        <w:widowControl w:val="0"/>
        <w:tabs>
          <w:tab w:val="left" w:pos="6766"/>
        </w:tabs>
        <w:kinsoku/>
        <w:wordWrap/>
        <w:overflowPunct/>
        <w:topLinePunct w:val="0"/>
        <w:autoSpaceDE w:val="0"/>
        <w:autoSpaceDN w:val="0"/>
        <w:bidi w:val="0"/>
        <w:adjustRightInd/>
        <w:snapToGrid/>
        <w:spacing w:before="0" w:line="360" w:lineRule="auto"/>
        <w:ind w:left="0" w:leftChars="0"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rPr>
          <w:color w:val="auto"/>
          <w:sz w:val="20"/>
          <w:szCs w:val="20"/>
          <w:highlight w:val="none"/>
        </w:rPr>
      </w:pPr>
      <w:r>
        <w:rPr>
          <w:color w:val="auto"/>
          <w:sz w:val="20"/>
          <w:szCs w:val="20"/>
          <w:highlight w:val="none"/>
        </w:rPr>
        <w:br w:type="page"/>
      </w:r>
    </w:p>
    <w:p>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格式二：</w:t>
      </w:r>
    </w:p>
    <w:p>
      <w:pPr>
        <w:pStyle w:val="2"/>
        <w:rPr>
          <w:rFonts w:hint="eastAsia"/>
          <w:color w:val="auto"/>
          <w:highlight w:val="none"/>
          <w:lang w:val="en-US" w:eastAsia="zh-CN"/>
        </w:rPr>
      </w:pPr>
    </w:p>
    <w:p>
      <w:pPr>
        <w:pageBreakBefore w:val="0"/>
        <w:kinsoku/>
        <w:topLinePunct w:val="0"/>
        <w:autoSpaceDE/>
        <w:autoSpaceDN/>
        <w:bidi w:val="0"/>
        <w:spacing w:line="360" w:lineRule="auto"/>
        <w:jc w:val="center"/>
        <w:rPr>
          <w:rFonts w:ascii="黑体" w:eastAsia="黑体"/>
          <w:color w:val="auto"/>
          <w:sz w:val="32"/>
          <w:szCs w:val="32"/>
          <w:highlight w:val="none"/>
        </w:rPr>
      </w:pPr>
      <w:r>
        <w:rPr>
          <w:rFonts w:hint="eastAsia" w:ascii="宋体" w:hAnsi="宋体" w:cs="宋体"/>
          <w:b/>
          <w:color w:val="auto"/>
          <w:kern w:val="2"/>
          <w:sz w:val="24"/>
          <w:szCs w:val="24"/>
          <w:highlight w:val="none"/>
          <w:lang w:val="zh-CN" w:eastAsia="zh-CN" w:bidi="zh-CN"/>
        </w:rPr>
        <w:t>首轮报价表</w:t>
      </w:r>
    </w:p>
    <w:p>
      <w:pPr>
        <w:pageBreakBefore w:val="0"/>
        <w:kinsoku/>
        <w:topLinePunct w:val="0"/>
        <w:autoSpaceDE/>
        <w:autoSpaceDN/>
        <w:bidi w:val="0"/>
        <w:spacing w:line="360" w:lineRule="auto"/>
        <w:rPr>
          <w:color w:val="auto"/>
          <w:highlight w:val="none"/>
        </w:rPr>
      </w:pPr>
    </w:p>
    <w:p>
      <w:pPr>
        <w:pageBreakBefore w:val="0"/>
        <w:kinsoku/>
        <w:topLinePunct w:val="0"/>
        <w:autoSpaceDE/>
        <w:autoSpaceDN/>
        <w:bidi w:val="0"/>
        <w:spacing w:after="0" w:line="360" w:lineRule="auto"/>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名称：</w:t>
      </w:r>
    </w:p>
    <w:p>
      <w:pPr>
        <w:pageBreakBefore w:val="0"/>
        <w:kinsoku/>
        <w:topLinePunct w:val="0"/>
        <w:autoSpaceDE/>
        <w:autoSpaceDN/>
        <w:bidi w:val="0"/>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项目编号：</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w:t>
      </w:r>
    </w:p>
    <w:tbl>
      <w:tblPr>
        <w:tblStyle w:val="16"/>
        <w:tblW w:w="499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99"/>
        <w:gridCol w:w="1553"/>
        <w:gridCol w:w="2061"/>
        <w:gridCol w:w="1877"/>
        <w:gridCol w:w="1403"/>
        <w:gridCol w:w="7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2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包号</w:t>
            </w:r>
          </w:p>
        </w:tc>
        <w:tc>
          <w:tcPr>
            <w:tcW w:w="91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项目名称</w:t>
            </w:r>
          </w:p>
        </w:tc>
        <w:tc>
          <w:tcPr>
            <w:tcW w:w="1209"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 w:val="21"/>
                <w:szCs w:val="21"/>
                <w:highlight w:val="none"/>
                <w:lang w:val="zh-CN"/>
              </w:rPr>
            </w:pPr>
            <w:r>
              <w:rPr>
                <w:rFonts w:hint="eastAsia" w:ascii="宋体" w:hAnsi="宋体" w:cs="宋体"/>
                <w:b/>
                <w:color w:val="auto"/>
                <w:sz w:val="21"/>
                <w:szCs w:val="21"/>
                <w:highlight w:val="none"/>
                <w:lang w:val="zh-CN"/>
              </w:rPr>
              <w:t>响应报价（</w:t>
            </w:r>
            <w:r>
              <w:rPr>
                <w:rFonts w:hint="eastAsia" w:ascii="宋体" w:hAnsi="宋体" w:cs="宋体"/>
                <w:b/>
                <w:color w:val="auto"/>
                <w:sz w:val="21"/>
                <w:szCs w:val="21"/>
                <w:highlight w:val="none"/>
                <w:lang w:val="en-US" w:eastAsia="zh-CN"/>
              </w:rPr>
              <w:t>元</w:t>
            </w:r>
            <w:r>
              <w:rPr>
                <w:rFonts w:hint="eastAsia" w:ascii="宋体" w:hAnsi="宋体" w:cs="宋体"/>
                <w:b/>
                <w:color w:val="auto"/>
                <w:sz w:val="21"/>
                <w:szCs w:val="21"/>
                <w:highlight w:val="none"/>
                <w:lang w:val="zh-CN"/>
              </w:rPr>
              <w:t>）</w:t>
            </w:r>
          </w:p>
        </w:tc>
        <w:tc>
          <w:tcPr>
            <w:tcW w:w="110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响应单价（元/㎡）</w:t>
            </w:r>
          </w:p>
        </w:tc>
        <w:tc>
          <w:tcPr>
            <w:tcW w:w="82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总建筑面积</w:t>
            </w:r>
          </w:p>
        </w:tc>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52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包A</w:t>
            </w:r>
          </w:p>
        </w:tc>
        <w:tc>
          <w:tcPr>
            <w:tcW w:w="91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zh-CN"/>
              </w:rPr>
            </w:pPr>
          </w:p>
        </w:tc>
        <w:tc>
          <w:tcPr>
            <w:tcW w:w="1209"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r>
              <w:rPr>
                <w:rFonts w:hint="eastAsia" w:ascii="宋体" w:hAnsi="宋体" w:eastAsia="宋体" w:cs="宋体"/>
                <w:color w:val="auto"/>
                <w:sz w:val="21"/>
                <w:szCs w:val="21"/>
                <w:highlight w:val="none"/>
                <w:u w:val="single"/>
              </w:rPr>
              <w:t xml:space="preserve">                </w:t>
            </w:r>
          </w:p>
        </w:tc>
        <w:tc>
          <w:tcPr>
            <w:tcW w:w="1101"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r>
              <w:rPr>
                <w:rFonts w:hint="eastAsia" w:ascii="宋体" w:hAnsi="宋体" w:eastAsia="宋体" w:cs="宋体"/>
                <w:color w:val="auto"/>
                <w:sz w:val="21"/>
                <w:szCs w:val="21"/>
                <w:highlight w:val="none"/>
                <w:u w:val="single"/>
              </w:rPr>
              <w:t xml:space="preserve">             </w:t>
            </w:r>
          </w:p>
        </w:tc>
        <w:tc>
          <w:tcPr>
            <w:tcW w:w="823"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26380平方米</w:t>
            </w:r>
          </w:p>
        </w:tc>
        <w:tc>
          <w:tcPr>
            <w:tcW w:w="42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tc>
      </w:tr>
    </w:tbl>
    <w:p>
      <w:pPr>
        <w:pageBreakBefore w:val="0"/>
        <w:kinsoku/>
        <w:topLinePunct w:val="0"/>
        <w:autoSpaceDE/>
        <w:autoSpaceDN/>
        <w:bidi w:val="0"/>
        <w:spacing w:after="0" w:line="360" w:lineRule="auto"/>
        <w:rPr>
          <w:rFonts w:ascii="宋体" w:hAnsi="宋体" w:eastAsia="宋体"/>
          <w:color w:val="auto"/>
          <w:sz w:val="21"/>
          <w:szCs w:val="21"/>
          <w:highlight w:val="none"/>
        </w:rPr>
      </w:pPr>
    </w:p>
    <w:p>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p>
    <w:p>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代表签字：</w:t>
      </w:r>
    </w:p>
    <w:p>
      <w:pPr>
        <w:pageBreakBefore w:val="0"/>
        <w:kinsoku/>
        <w:topLinePunct w:val="0"/>
        <w:autoSpaceDE/>
        <w:autoSpaceDN/>
        <w:bidi w:val="0"/>
        <w:spacing w:after="0" w:line="360" w:lineRule="auto"/>
        <w:ind w:firstLine="342" w:firstLineChars="171"/>
        <w:rPr>
          <w:rFonts w:ascii="宋体" w:hAnsi="宋体" w:eastAsia="宋体"/>
          <w:color w:val="auto"/>
          <w:sz w:val="21"/>
          <w:szCs w:val="21"/>
          <w:highlight w:val="none"/>
        </w:rPr>
      </w:pPr>
      <w:r>
        <w:rPr>
          <w:rFonts w:hint="eastAsia"/>
          <w:color w:val="auto"/>
          <w:sz w:val="20"/>
          <w:szCs w:val="20"/>
          <w:highlight w:val="none"/>
          <w:lang w:eastAsia="zh-CN"/>
        </w:rPr>
        <w:t>供应商</w:t>
      </w:r>
      <w:r>
        <w:rPr>
          <w:color w:val="auto"/>
          <w:sz w:val="20"/>
          <w:szCs w:val="20"/>
          <w:highlight w:val="none"/>
        </w:rPr>
        <w:t>名称（盖章）</w:t>
      </w:r>
      <w:r>
        <w:rPr>
          <w:rFonts w:hint="eastAsia" w:ascii="宋体" w:hAnsi="宋体" w:eastAsia="宋体"/>
          <w:color w:val="auto"/>
          <w:sz w:val="21"/>
          <w:szCs w:val="21"/>
          <w:highlight w:val="none"/>
        </w:rPr>
        <w:t>：</w:t>
      </w:r>
    </w:p>
    <w:p>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日期：</w:t>
      </w:r>
      <w:r>
        <w:rPr>
          <w:color w:val="auto"/>
          <w:sz w:val="20"/>
          <w:szCs w:val="20"/>
          <w:highlight w:val="none"/>
        </w:rPr>
        <w:t xml:space="preserve"> 年</w:t>
      </w:r>
      <w:r>
        <w:rPr>
          <w:rFonts w:hint="eastAsia"/>
          <w:color w:val="auto"/>
          <w:sz w:val="20"/>
          <w:szCs w:val="20"/>
          <w:highlight w:val="none"/>
          <w:lang w:val="en-US" w:eastAsia="zh-CN"/>
        </w:rPr>
        <w:t xml:space="preserve">  </w:t>
      </w:r>
      <w:r>
        <w:rPr>
          <w:color w:val="auto"/>
          <w:sz w:val="20"/>
          <w:szCs w:val="20"/>
          <w:highlight w:val="none"/>
        </w:rPr>
        <w:t xml:space="preserve"> 月 </w:t>
      </w:r>
      <w:r>
        <w:rPr>
          <w:rFonts w:hint="eastAsia"/>
          <w:color w:val="auto"/>
          <w:sz w:val="20"/>
          <w:szCs w:val="20"/>
          <w:highlight w:val="none"/>
          <w:lang w:val="en-US" w:eastAsia="zh-CN"/>
        </w:rPr>
        <w:t xml:space="preserve">  </w:t>
      </w:r>
      <w:r>
        <w:rPr>
          <w:color w:val="auto"/>
          <w:sz w:val="20"/>
          <w:szCs w:val="20"/>
          <w:highlight w:val="none"/>
        </w:rPr>
        <w:t>日</w:t>
      </w:r>
    </w:p>
    <w:p>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p>
    <w:p>
      <w:pPr>
        <w:spacing w:before="312" w:beforeLines="10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注明：</w:t>
      </w:r>
    </w:p>
    <w:p>
      <w:pPr>
        <w:pStyle w:val="22"/>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eastAsia="zh-CN"/>
        </w:rPr>
        <w:t>响应报价</w:t>
      </w:r>
      <w:r>
        <w:rPr>
          <w:rFonts w:hint="eastAsia" w:ascii="宋体" w:hAnsi="宋体" w:eastAsia="宋体" w:cs="宋体"/>
          <w:color w:val="auto"/>
          <w:szCs w:val="21"/>
          <w:highlight w:val="none"/>
        </w:rPr>
        <w:t>栏须用文字和数字两种方式表示的</w:t>
      </w:r>
      <w:r>
        <w:rPr>
          <w:rFonts w:hint="eastAsia" w:ascii="宋体" w:hAnsi="宋体" w:cs="宋体"/>
          <w:color w:val="auto"/>
          <w:szCs w:val="21"/>
          <w:highlight w:val="none"/>
          <w:lang w:eastAsia="zh-CN"/>
        </w:rPr>
        <w:t>响应报价</w:t>
      </w:r>
      <w:r>
        <w:rPr>
          <w:rFonts w:hint="eastAsia" w:ascii="宋体" w:hAnsi="宋体" w:eastAsia="宋体" w:cs="宋体"/>
          <w:color w:val="auto"/>
          <w:szCs w:val="21"/>
          <w:highlight w:val="none"/>
        </w:rPr>
        <w:t>。</w:t>
      </w:r>
    </w:p>
    <w:p>
      <w:pPr>
        <w:pStyle w:val="22"/>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eastAsia="zh-CN"/>
        </w:rPr>
        <w:t>首轮报价表</w:t>
      </w:r>
      <w:r>
        <w:rPr>
          <w:rFonts w:hint="eastAsia" w:ascii="宋体" w:hAnsi="宋体" w:eastAsia="宋体" w:cs="宋体"/>
          <w:color w:val="auto"/>
          <w:szCs w:val="21"/>
          <w:highlight w:val="none"/>
        </w:rPr>
        <w:t>内容与</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中相应内容不一致的，以</w:t>
      </w:r>
      <w:r>
        <w:rPr>
          <w:rFonts w:hint="eastAsia" w:ascii="宋体" w:hAnsi="宋体" w:cs="宋体"/>
          <w:color w:val="auto"/>
          <w:szCs w:val="21"/>
          <w:highlight w:val="none"/>
          <w:lang w:eastAsia="zh-CN"/>
        </w:rPr>
        <w:t>首轮报价表</w:t>
      </w:r>
      <w:r>
        <w:rPr>
          <w:rFonts w:hint="eastAsia" w:ascii="宋体" w:hAnsi="宋体" w:eastAsia="宋体" w:cs="宋体"/>
          <w:color w:val="auto"/>
          <w:szCs w:val="21"/>
          <w:highlight w:val="none"/>
        </w:rPr>
        <w:t>为准。</w:t>
      </w:r>
    </w:p>
    <w:p>
      <w:pPr>
        <w:pStyle w:val="22"/>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大写金额和小写金额不一致的，以大写金额为准。</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格式三：</w:t>
      </w:r>
    </w:p>
    <w:p>
      <w:pPr>
        <w:jc w:val="center"/>
        <w:rPr>
          <w:rFonts w:hint="eastAsia"/>
          <w:b/>
          <w:bCs/>
          <w:color w:val="auto"/>
          <w:sz w:val="24"/>
          <w:szCs w:val="32"/>
          <w:highlight w:val="none"/>
          <w:lang w:val="en-US" w:eastAsia="zh-CN"/>
        </w:rPr>
      </w:pPr>
      <w:r>
        <w:rPr>
          <w:rFonts w:hint="eastAsia"/>
          <w:b/>
          <w:bCs/>
          <w:color w:val="auto"/>
          <w:sz w:val="24"/>
          <w:szCs w:val="32"/>
          <w:highlight w:val="none"/>
          <w:lang w:val="en-US" w:eastAsia="zh-CN"/>
        </w:rPr>
        <w:t>分项报价表</w:t>
      </w:r>
    </w:p>
    <w:p>
      <w:pPr>
        <w:pStyle w:val="10"/>
        <w:keepNext w:val="0"/>
        <w:keepLines w:val="0"/>
        <w:pageBreakBefore w:val="0"/>
        <w:widowControl w:val="0"/>
        <w:kinsoku/>
        <w:wordWrap/>
        <w:overflowPunct/>
        <w:topLinePunct w:val="0"/>
        <w:autoSpaceDE/>
        <w:autoSpaceDN/>
        <w:bidi w:val="0"/>
        <w:adjustRightInd/>
        <w:spacing w:line="360" w:lineRule="auto"/>
        <w:ind w:left="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[货币单位：人民币元]</w:t>
      </w:r>
    </w:p>
    <w:tbl>
      <w:tblPr>
        <w:tblStyle w:val="16"/>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045"/>
        <w:gridCol w:w="1257"/>
        <w:gridCol w:w="1440"/>
        <w:gridCol w:w="1441"/>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分项内容</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单价</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总价</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718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                            （小写）</w:t>
            </w:r>
            <w:r>
              <w:rPr>
                <w:rFonts w:hint="eastAsia" w:ascii="宋体" w:hAnsi="宋体" w:eastAsia="宋体" w:cs="宋体"/>
                <w:b/>
                <w:color w:val="auto"/>
                <w:sz w:val="21"/>
                <w:szCs w:val="21"/>
                <w:highlight w:val="none"/>
              </w:rPr>
              <w:t xml:space="preserve">                          　　　　　　  </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Cs/>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注：1.如果单价和总价不符时，以单价为准，修正总价和总计。</w:t>
      </w:r>
    </w:p>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的报价应包括但不限于上述内容，应列明“用户需求书”所要求提供的所有服务</w:t>
      </w:r>
      <w:r>
        <w:rPr>
          <w:rFonts w:hint="eastAsia" w:ascii="宋体" w:hAnsi="宋体" w:eastAsia="宋体" w:cs="宋体"/>
          <w:color w:val="auto"/>
          <w:sz w:val="21"/>
          <w:szCs w:val="21"/>
          <w:highlight w:val="none"/>
          <w:lang w:eastAsia="zh-CN"/>
        </w:rPr>
        <w:t>（货物）</w:t>
      </w:r>
      <w:r>
        <w:rPr>
          <w:rFonts w:hint="eastAsia" w:ascii="宋体" w:hAnsi="宋体" w:eastAsia="宋体" w:cs="宋体"/>
          <w:color w:val="auto"/>
          <w:sz w:val="21"/>
          <w:szCs w:val="21"/>
          <w:highlight w:val="none"/>
        </w:rPr>
        <w:t>的价格明细。</w:t>
      </w:r>
    </w:p>
    <w:p>
      <w:pPr>
        <w:pageBreakBefore w:val="0"/>
        <w:kinsoku/>
        <w:topLinePunct w:val="0"/>
        <w:autoSpaceDE/>
        <w:autoSpaceDN/>
        <w:bidi w:val="0"/>
        <w:spacing w:after="0" w:line="360" w:lineRule="auto"/>
        <w:ind w:firstLine="359" w:firstLineChars="171"/>
        <w:rPr>
          <w:rFonts w:hint="eastAsia" w:ascii="宋体" w:hAnsi="宋体" w:eastAsia="宋体"/>
          <w:color w:val="auto"/>
          <w:sz w:val="21"/>
          <w:szCs w:val="21"/>
          <w:highlight w:val="none"/>
        </w:rPr>
      </w:pPr>
    </w:p>
    <w:p>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代表签字：</w:t>
      </w:r>
    </w:p>
    <w:p>
      <w:pPr>
        <w:pageBreakBefore w:val="0"/>
        <w:kinsoku/>
        <w:topLinePunct w:val="0"/>
        <w:autoSpaceDE/>
        <w:autoSpaceDN/>
        <w:bidi w:val="0"/>
        <w:spacing w:after="0" w:line="360" w:lineRule="auto"/>
        <w:ind w:firstLine="342" w:firstLineChars="171"/>
        <w:rPr>
          <w:rFonts w:ascii="宋体" w:hAnsi="宋体" w:eastAsia="宋体"/>
          <w:color w:val="auto"/>
          <w:sz w:val="21"/>
          <w:szCs w:val="21"/>
          <w:highlight w:val="none"/>
        </w:rPr>
      </w:pPr>
      <w:r>
        <w:rPr>
          <w:rFonts w:hint="eastAsia"/>
          <w:color w:val="auto"/>
          <w:sz w:val="20"/>
          <w:szCs w:val="20"/>
          <w:highlight w:val="none"/>
          <w:lang w:eastAsia="zh-CN"/>
        </w:rPr>
        <w:t>供应商</w:t>
      </w:r>
      <w:r>
        <w:rPr>
          <w:color w:val="auto"/>
          <w:sz w:val="20"/>
          <w:szCs w:val="20"/>
          <w:highlight w:val="none"/>
        </w:rPr>
        <w:t>名称（盖章）</w:t>
      </w:r>
      <w:r>
        <w:rPr>
          <w:rFonts w:hint="eastAsia" w:ascii="宋体" w:hAnsi="宋体" w:eastAsia="宋体"/>
          <w:color w:val="auto"/>
          <w:sz w:val="21"/>
          <w:szCs w:val="21"/>
          <w:highlight w:val="none"/>
        </w:rPr>
        <w:t>：</w:t>
      </w:r>
    </w:p>
    <w:p>
      <w:pPr>
        <w:pageBreakBefore w:val="0"/>
        <w:kinsoku/>
        <w:topLinePunct w:val="0"/>
        <w:autoSpaceDE/>
        <w:autoSpaceDN/>
        <w:bidi w:val="0"/>
        <w:spacing w:after="0" w:line="360" w:lineRule="auto"/>
        <w:ind w:firstLine="342" w:firstLineChars="171"/>
        <w:rPr>
          <w:color w:val="auto"/>
          <w:sz w:val="20"/>
          <w:szCs w:val="20"/>
          <w:highlight w:val="none"/>
        </w:rPr>
      </w:pPr>
      <w:r>
        <w:rPr>
          <w:rFonts w:hint="eastAsia"/>
          <w:color w:val="auto"/>
          <w:sz w:val="20"/>
          <w:szCs w:val="20"/>
          <w:highlight w:val="none"/>
        </w:rPr>
        <w:t>日期：</w:t>
      </w:r>
      <w:r>
        <w:rPr>
          <w:color w:val="auto"/>
          <w:sz w:val="20"/>
          <w:szCs w:val="20"/>
          <w:highlight w:val="none"/>
        </w:rPr>
        <w:t xml:space="preserve"> 年 月 日</w:t>
      </w:r>
    </w:p>
    <w:p>
      <w:pPr>
        <w:rPr>
          <w:color w:val="auto"/>
          <w:sz w:val="20"/>
          <w:szCs w:val="20"/>
          <w:highlight w:val="none"/>
        </w:rPr>
      </w:pPr>
      <w:r>
        <w:rPr>
          <w:color w:val="auto"/>
          <w:sz w:val="20"/>
          <w:szCs w:val="20"/>
          <w:highlight w:val="none"/>
        </w:rPr>
        <w:br w:type="page"/>
      </w:r>
    </w:p>
    <w:p>
      <w:pPr>
        <w:pStyle w:val="2"/>
        <w:rPr>
          <w:rFonts w:hint="eastAsia"/>
          <w:b/>
          <w:bCs/>
          <w:color w:val="auto"/>
          <w:highlight w:val="none"/>
          <w:lang w:val="en-US" w:eastAsia="zh-CN"/>
        </w:rPr>
      </w:pPr>
      <w:r>
        <w:rPr>
          <w:rFonts w:hint="eastAsia"/>
          <w:b/>
          <w:bCs/>
          <w:color w:val="auto"/>
          <w:highlight w:val="none"/>
          <w:lang w:val="en-US" w:eastAsia="zh-CN"/>
        </w:rPr>
        <w:t>格式四：</w:t>
      </w:r>
    </w:p>
    <w:p>
      <w:pPr>
        <w:pStyle w:val="4"/>
        <w:keepNext/>
        <w:keepLines/>
        <w:pageBreakBefore w:val="0"/>
        <w:widowControl w:val="0"/>
        <w:kinsoku/>
        <w:wordWrap/>
        <w:overflowPunct/>
        <w:topLinePunct w:val="0"/>
        <w:autoSpaceDE/>
        <w:autoSpaceDN/>
        <w:bidi w:val="0"/>
        <w:adjustRightInd/>
        <w:snapToGrid/>
        <w:spacing w:before="0" w:after="0" w:line="360" w:lineRule="auto"/>
        <w:ind w:left="0" w:right="0"/>
        <w:jc w:val="center"/>
        <w:textAlignment w:val="auto"/>
        <w:rPr>
          <w:color w:val="auto"/>
          <w:sz w:val="24"/>
          <w:szCs w:val="24"/>
          <w:highlight w:val="none"/>
        </w:rPr>
      </w:pPr>
      <w:bookmarkStart w:id="311" w:name="_Toc4452"/>
      <w:bookmarkStart w:id="312" w:name="_Toc23039"/>
      <w:bookmarkStart w:id="313" w:name="_Toc19106"/>
      <w:bookmarkStart w:id="314" w:name="_Toc17533"/>
      <w:r>
        <w:rPr>
          <w:color w:val="auto"/>
          <w:sz w:val="24"/>
          <w:szCs w:val="24"/>
          <w:highlight w:val="none"/>
        </w:rPr>
        <w:t>法定代表人证明书</w:t>
      </w:r>
      <w:bookmarkEnd w:id="311"/>
      <w:bookmarkEnd w:id="312"/>
      <w:bookmarkEnd w:id="313"/>
      <w:bookmarkEnd w:id="314"/>
    </w:p>
    <w:p>
      <w:pPr>
        <w:pStyle w:val="2"/>
        <w:keepNext w:val="0"/>
        <w:keepLines w:val="0"/>
        <w:pageBreakBefore w:val="0"/>
        <w:widowControl w:val="0"/>
        <w:tabs>
          <w:tab w:val="left" w:pos="1738"/>
          <w:tab w:val="left" w:pos="3223"/>
          <w:tab w:val="left" w:pos="3947"/>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pacing w:val="-18"/>
          <w:sz w:val="21"/>
          <w:szCs w:val="21"/>
          <w:highlight w:val="none"/>
        </w:rPr>
      </w:pP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现任我单位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职务，为法定代表人，特此证明</w:t>
      </w:r>
      <w:r>
        <w:rPr>
          <w:rFonts w:hint="eastAsia" w:ascii="宋体" w:hAnsi="宋体" w:eastAsia="宋体" w:cs="宋体"/>
          <w:color w:val="auto"/>
          <w:spacing w:val="-18"/>
          <w:sz w:val="21"/>
          <w:szCs w:val="21"/>
          <w:highlight w:val="none"/>
        </w:rPr>
        <w:t>。</w:t>
      </w:r>
    </w:p>
    <w:p>
      <w:pPr>
        <w:pStyle w:val="2"/>
        <w:keepNext w:val="0"/>
        <w:keepLines w:val="0"/>
        <w:pageBreakBefore w:val="0"/>
        <w:widowControl w:val="0"/>
        <w:tabs>
          <w:tab w:val="left" w:pos="1738"/>
          <w:tab w:val="left" w:pos="3223"/>
          <w:tab w:val="left" w:pos="3947"/>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pStyle w:val="2"/>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附：代表人性别：</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年龄：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pStyle w:val="2"/>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pPr>
        <w:pStyle w:val="2"/>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注册号码：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pStyle w:val="2"/>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企业类型：</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pPr>
        <w:pStyle w:val="2"/>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经营范围：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pStyle w:val="2"/>
        <w:tabs>
          <w:tab w:val="left" w:pos="3693"/>
        </w:tabs>
        <w:spacing w:line="242" w:lineRule="exact"/>
        <w:ind w:right="104"/>
        <w:jc w:val="right"/>
        <w:rPr>
          <w:rFonts w:hint="eastAsia" w:ascii="宋体" w:hAnsi="宋体" w:eastAsia="宋体" w:cs="宋体"/>
          <w:color w:val="auto"/>
          <w:sz w:val="21"/>
          <w:szCs w:val="21"/>
          <w:highlight w:val="none"/>
        </w:rPr>
      </w:pPr>
    </w:p>
    <w:p>
      <w:pPr>
        <w:pStyle w:val="2"/>
        <w:tabs>
          <w:tab w:val="left" w:pos="3693"/>
        </w:tabs>
        <w:spacing w:line="242" w:lineRule="exact"/>
        <w:ind w:right="104"/>
        <w:jc w:val="right"/>
        <w:rPr>
          <w:rFonts w:hint="eastAsia" w:ascii="宋体" w:hAnsi="宋体" w:eastAsia="宋体" w:cs="宋体"/>
          <w:color w:val="auto"/>
          <w:sz w:val="21"/>
          <w:szCs w:val="21"/>
          <w:highlight w:val="none"/>
        </w:rPr>
      </w:pPr>
    </w:p>
    <w:p>
      <w:pPr>
        <w:pStyle w:val="2"/>
        <w:keepNext w:val="0"/>
        <w:keepLines w:val="0"/>
        <w:pageBreakBefore w:val="0"/>
        <w:widowControl w:val="0"/>
        <w:tabs>
          <w:tab w:val="left" w:pos="3693"/>
        </w:tabs>
        <w:kinsoku/>
        <w:wordWrap/>
        <w:overflowPunct/>
        <w:topLinePunct w:val="0"/>
        <w:autoSpaceDE/>
        <w:autoSpaceDN/>
        <w:bidi w:val="0"/>
        <w:adjustRightInd/>
        <w:snapToGrid/>
        <w:spacing w:before="0" w:line="480" w:lineRule="auto"/>
        <w:ind w:left="0" w:right="0"/>
        <w:jc w:val="right"/>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pStyle w:val="2"/>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192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lang w:val="en-US" w:eastAsia="zh-CN"/>
        </w:rPr>
        <w:t xml:space="preserve">                            </w:t>
      </w:r>
    </w:p>
    <w:p>
      <w:pPr>
        <w:pStyle w:val="2"/>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192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法定代表人（签字或盖章）：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pPr>
        <w:pStyle w:val="2"/>
        <w:keepNext w:val="0"/>
        <w:keepLines w:val="0"/>
        <w:pageBreakBefore w:val="0"/>
        <w:widowControl w:val="0"/>
        <w:tabs>
          <w:tab w:val="left" w:pos="2349"/>
        </w:tabs>
        <w:kinsoku/>
        <w:wordWrap/>
        <w:overflowPunct/>
        <w:topLinePunct w:val="0"/>
        <w:autoSpaceDE/>
        <w:autoSpaceDN/>
        <w:bidi w:val="0"/>
        <w:adjustRightInd/>
        <w:snapToGrid/>
        <w:spacing w:before="0" w:line="480" w:lineRule="auto"/>
        <w:ind w:left="0" w:right="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keepNext w:val="0"/>
        <w:keepLines w:val="0"/>
        <w:pageBreakBefore w:val="0"/>
        <w:widowControl w:val="0"/>
        <w:kinsoku/>
        <w:wordWrap/>
        <w:overflowPunct/>
        <w:topLinePunct w:val="0"/>
        <w:autoSpaceDE/>
        <w:autoSpaceDN/>
        <w:bidi w:val="0"/>
        <w:adjustRightInd/>
        <w:snapToGrid/>
        <w:spacing w:line="480" w:lineRule="auto"/>
        <w:ind w:left="0" w:right="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pStyle w:val="2"/>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spacing w:before="156" w:beforeLines="50" w:after="156" w:after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须附：法定代表人有效期内身份证复印件</w:t>
      </w:r>
    </w:p>
    <w:tbl>
      <w:tblPr>
        <w:tblStyle w:val="16"/>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99" w:hRule="atLeast"/>
          <w:jc w:val="center"/>
        </w:trPr>
        <w:tc>
          <w:tcPr>
            <w:tcW w:w="2500" w:type="pct"/>
            <w:vAlign w:val="center"/>
          </w:tcPr>
          <w:p>
            <w:pPr>
              <w:pStyle w:val="25"/>
              <w:spacing w:line="4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正面</w:t>
            </w:r>
          </w:p>
        </w:tc>
        <w:tc>
          <w:tcPr>
            <w:tcW w:w="2500" w:type="pct"/>
            <w:vAlign w:val="center"/>
          </w:tcPr>
          <w:p>
            <w:pPr>
              <w:pStyle w:val="25"/>
              <w:spacing w:line="4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背面</w:t>
            </w:r>
          </w:p>
        </w:tc>
      </w:tr>
    </w:tbl>
    <w:p>
      <w:pPr>
        <w:rPr>
          <w:rFonts w:hint="eastAsia"/>
          <w:color w:val="auto"/>
          <w:highlight w:val="none"/>
          <w:lang w:val="en-US" w:eastAsia="zh-CN"/>
        </w:rPr>
      </w:pPr>
      <w:r>
        <w:rPr>
          <w:rFonts w:hint="eastAsia"/>
          <w:color w:val="auto"/>
          <w:highlight w:val="none"/>
          <w:lang w:val="en-US" w:eastAsia="zh-CN"/>
        </w:rPr>
        <w:br w:type="page"/>
      </w:r>
    </w:p>
    <w:p>
      <w:pPr>
        <w:pStyle w:val="2"/>
        <w:rPr>
          <w:rFonts w:hint="eastAsia"/>
          <w:b/>
          <w:bCs/>
          <w:color w:val="auto"/>
          <w:highlight w:val="none"/>
          <w:lang w:val="en-US" w:eastAsia="zh-CN"/>
        </w:rPr>
      </w:pPr>
      <w:r>
        <w:rPr>
          <w:rFonts w:hint="eastAsia"/>
          <w:b/>
          <w:bCs/>
          <w:color w:val="auto"/>
          <w:highlight w:val="none"/>
          <w:lang w:val="en-US" w:eastAsia="zh-CN"/>
        </w:rPr>
        <w:t>格式五：</w:t>
      </w:r>
    </w:p>
    <w:p>
      <w:pPr>
        <w:bidi w:val="0"/>
        <w:jc w:val="center"/>
        <w:rPr>
          <w:b/>
          <w:bCs/>
          <w:color w:val="auto"/>
          <w:sz w:val="24"/>
          <w:szCs w:val="32"/>
          <w:highlight w:val="none"/>
        </w:rPr>
      </w:pPr>
      <w:r>
        <w:rPr>
          <w:b/>
          <w:bCs/>
          <w:color w:val="auto"/>
          <w:sz w:val="24"/>
          <w:szCs w:val="32"/>
          <w:highlight w:val="none"/>
        </w:rPr>
        <w:t>法定代表人授权书</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right="0" w:firstLine="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国顺招标有限公司</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本授权书声明：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是注册于</w:t>
      </w:r>
      <w:r>
        <w:rPr>
          <w:rFonts w:hint="eastAsia" w:ascii="宋体" w:hAnsi="宋体" w:eastAsia="宋体" w:cs="宋体"/>
          <w:color w:val="auto"/>
          <w:sz w:val="21"/>
          <w:szCs w:val="21"/>
          <w:highlight w:val="none"/>
          <w:u w:val="single"/>
          <w:lang w:eastAsia="zh-CN"/>
        </w:rPr>
        <w:t xml:space="preserve"> （国家或地区）</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u w:val="single"/>
          <w:lang w:eastAsia="zh-CN"/>
        </w:rPr>
        <w:t>（</w:t>
      </w:r>
      <w:r>
        <w:rPr>
          <w:rFonts w:hint="eastAsia"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lang w:eastAsia="zh-CN"/>
        </w:rPr>
        <w:t>名称）</w:t>
      </w:r>
      <w:r>
        <w:rPr>
          <w:rFonts w:hint="eastAsia" w:ascii="宋体" w:hAnsi="宋体" w:eastAsia="宋体" w:cs="宋体"/>
          <w:color w:val="auto"/>
          <w:sz w:val="21"/>
          <w:szCs w:val="21"/>
          <w:highlight w:val="none"/>
          <w:lang w:eastAsia="zh-CN"/>
        </w:rPr>
        <w:t>的法定代表人，现任</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职务，有效证件号码：</w:t>
      </w:r>
      <w:r>
        <w:rPr>
          <w:rFonts w:hint="eastAsia" w:ascii="宋体" w:hAnsi="宋体" w:eastAsia="宋体" w:cs="宋体"/>
          <w:color w:val="auto"/>
          <w:sz w:val="21"/>
          <w:szCs w:val="21"/>
          <w:highlight w:val="none"/>
          <w:u w:val="none"/>
          <w:lang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现授权</w:t>
      </w:r>
      <w:r>
        <w:rPr>
          <w:rFonts w:hint="eastAsia" w:ascii="宋体" w:hAnsi="宋体" w:eastAsia="宋体" w:cs="宋体"/>
          <w:color w:val="auto"/>
          <w:sz w:val="21"/>
          <w:szCs w:val="21"/>
          <w:highlight w:val="none"/>
          <w:u w:val="single"/>
          <w:lang w:eastAsia="zh-CN"/>
        </w:rPr>
        <w:t xml:space="preserve"> （姓名、职务） </w:t>
      </w:r>
      <w:r>
        <w:rPr>
          <w:rFonts w:hint="eastAsia" w:ascii="宋体" w:hAnsi="宋体" w:eastAsia="宋体" w:cs="宋体"/>
          <w:color w:val="auto"/>
          <w:sz w:val="21"/>
          <w:szCs w:val="21"/>
          <w:highlight w:val="none"/>
          <w:lang w:eastAsia="zh-CN"/>
        </w:rPr>
        <w:t>作为我公司的全权代理人，就</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项目</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u w:val="single"/>
          <w:lang w:eastAsia="zh-CN"/>
        </w:rPr>
        <w:t>[项目编号为</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lang w:eastAsia="zh-CN"/>
        </w:rPr>
        <w:t>的</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lang w:eastAsia="zh-CN"/>
        </w:rPr>
        <w:t>和合同执行，以我方的名义处理一切与之有关的事宜。</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本授权书于</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eastAsia="zh-CN"/>
        </w:rPr>
        <w:tab/>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eastAsia="zh-CN"/>
        </w:rPr>
        <w:tab/>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eastAsia="zh-CN"/>
        </w:rPr>
        <w:tab/>
      </w:r>
      <w:r>
        <w:rPr>
          <w:rFonts w:hint="eastAsia" w:ascii="宋体" w:hAnsi="宋体" w:eastAsia="宋体" w:cs="宋体"/>
          <w:color w:val="auto"/>
          <w:sz w:val="21"/>
          <w:szCs w:val="21"/>
          <w:highlight w:val="none"/>
          <w:lang w:eastAsia="zh-CN"/>
        </w:rPr>
        <w:t>日签字生效，特此声明。</w:t>
      </w:r>
    </w:p>
    <w:p>
      <w:pPr>
        <w:pStyle w:val="2"/>
        <w:keepNext w:val="0"/>
        <w:keepLines w:val="0"/>
        <w:pageBreakBefore w:val="0"/>
        <w:widowControl w:val="0"/>
        <w:tabs>
          <w:tab w:val="left" w:pos="10713"/>
        </w:tabs>
        <w:kinsoku/>
        <w:wordWrap/>
        <w:overflowPunct/>
        <w:topLinePunct w:val="0"/>
        <w:autoSpaceDE/>
        <w:autoSpaceDN/>
        <w:bidi w:val="0"/>
        <w:adjustRightInd/>
        <w:snapToGrid/>
        <w:spacing w:before="0" w:line="360" w:lineRule="auto"/>
        <w:ind w:left="0" w:right="0" w:firstLine="0"/>
        <w:jc w:val="right"/>
        <w:textAlignment w:val="auto"/>
        <w:rPr>
          <w:rFonts w:hint="eastAsia" w:ascii="宋体" w:hAnsi="宋体" w:eastAsia="宋体" w:cs="宋体"/>
          <w:color w:val="auto"/>
          <w:sz w:val="21"/>
          <w:szCs w:val="21"/>
          <w:highlight w:val="none"/>
        </w:rPr>
      </w:pPr>
    </w:p>
    <w:p>
      <w:pPr>
        <w:pStyle w:val="2"/>
        <w:keepNext w:val="0"/>
        <w:keepLines w:val="0"/>
        <w:pageBreakBefore w:val="0"/>
        <w:widowControl w:val="0"/>
        <w:tabs>
          <w:tab w:val="left" w:pos="10713"/>
        </w:tabs>
        <w:kinsoku/>
        <w:wordWrap/>
        <w:overflowPunct/>
        <w:topLinePunct w:val="0"/>
        <w:autoSpaceDE/>
        <w:autoSpaceDN/>
        <w:bidi w:val="0"/>
        <w:adjustRightInd/>
        <w:snapToGrid/>
        <w:spacing w:before="0" w:line="360" w:lineRule="auto"/>
        <w:ind w:left="0" w:right="0" w:firstLine="0"/>
        <w:jc w:val="right"/>
        <w:textAlignment w:val="auto"/>
        <w:rPr>
          <w:rFonts w:hint="eastAsia" w:ascii="宋体" w:hAnsi="宋体" w:eastAsia="宋体" w:cs="宋体"/>
          <w:color w:val="auto"/>
          <w:sz w:val="21"/>
          <w:szCs w:val="21"/>
          <w:highlight w:val="none"/>
        </w:rPr>
      </w:pPr>
    </w:p>
    <w:p>
      <w:pPr>
        <w:pStyle w:val="2"/>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名称</w:t>
      </w:r>
      <w:r>
        <w:rPr>
          <w:rFonts w:hint="eastAsia" w:ascii="宋体" w:hAnsi="宋体" w:eastAsia="宋体" w:cs="宋体"/>
          <w:color w:val="auto"/>
          <w:sz w:val="21"/>
          <w:szCs w:val="21"/>
          <w:highlight w:val="none"/>
        </w:rPr>
        <w:t>（盖章）：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u w:val="single"/>
          <w:lang w:val="en-US" w:eastAsia="zh-CN"/>
        </w:rPr>
        <w:t xml:space="preserve">              </w:t>
      </w:r>
    </w:p>
    <w:p>
      <w:pPr>
        <w:pStyle w:val="2"/>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lang w:val="en-US" w:eastAsia="zh-CN"/>
        </w:rPr>
        <w:t xml:space="preserve">                </w:t>
      </w:r>
    </w:p>
    <w:p>
      <w:pPr>
        <w:pStyle w:val="2"/>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法定代表人（签字或盖章）：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pPr>
        <w:pStyle w:val="2"/>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lang w:val="en-US" w:eastAsia="zh-CN"/>
        </w:rPr>
        <w:t xml:space="preserve">               </w:t>
      </w:r>
    </w:p>
    <w:p>
      <w:pPr>
        <w:pStyle w:val="2"/>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被授权人（签字或盖章）：</w:t>
      </w:r>
      <w:r>
        <w:rPr>
          <w:rFonts w:hint="eastAsia" w:ascii="宋体" w:hAnsi="宋体" w:eastAsia="宋体" w:cs="宋体"/>
          <w:color w:val="auto"/>
          <w:sz w:val="21"/>
          <w:szCs w:val="21"/>
          <w:highlight w:val="none"/>
          <w:u w:val="single"/>
          <w:lang w:val="en-US" w:eastAsia="zh-CN"/>
        </w:rPr>
        <w:t xml:space="preserve">               </w:t>
      </w:r>
    </w:p>
    <w:p>
      <w:pPr>
        <w:pStyle w:val="2"/>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pPr>
        <w:pStyle w:val="2"/>
        <w:keepNext w:val="0"/>
        <w:keepLines w:val="0"/>
        <w:pageBreakBefore w:val="0"/>
        <w:widowControl w:val="0"/>
        <w:tabs>
          <w:tab w:val="left" w:pos="2349"/>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日期： 年 月 日</w:t>
      </w:r>
      <w:r>
        <w:rPr>
          <w:rFonts w:hint="eastAsia" w:ascii="宋体" w:hAnsi="宋体" w:eastAsia="宋体" w:cs="宋体"/>
          <w:color w:val="auto"/>
          <w:sz w:val="21"/>
          <w:szCs w:val="21"/>
          <w:highlight w:val="none"/>
          <w:lang w:val="en-US" w:eastAsia="zh-CN"/>
        </w:rPr>
        <w:t xml:space="preserve">      </w:t>
      </w:r>
    </w:p>
    <w:p>
      <w:pPr>
        <w:pStyle w:val="2"/>
        <w:keepNext w:val="0"/>
        <w:keepLines w:val="0"/>
        <w:pageBreakBefore w:val="0"/>
        <w:widowControl w:val="0"/>
        <w:tabs>
          <w:tab w:val="left" w:pos="2349"/>
        </w:tabs>
        <w:kinsoku/>
        <w:wordWrap/>
        <w:overflowPunct/>
        <w:topLinePunct w:val="0"/>
        <w:autoSpaceDE/>
        <w:autoSpaceDN/>
        <w:bidi w:val="0"/>
        <w:adjustRightInd/>
        <w:snapToGrid/>
        <w:spacing w:before="0" w:line="480" w:lineRule="auto"/>
        <w:ind w:left="0" w:right="0" w:firstLine="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p>
      <w:pPr>
        <w:pStyle w:val="2"/>
        <w:keepNext w:val="0"/>
        <w:keepLines w:val="0"/>
        <w:pageBreakBefore w:val="0"/>
        <w:widowControl w:val="0"/>
        <w:tabs>
          <w:tab w:val="left" w:pos="2349"/>
        </w:tabs>
        <w:kinsoku/>
        <w:wordWrap/>
        <w:overflowPunct/>
        <w:topLinePunct w:val="0"/>
        <w:autoSpaceDE/>
        <w:autoSpaceDN/>
        <w:bidi w:val="0"/>
        <w:adjustRightInd/>
        <w:snapToGrid/>
        <w:spacing w:before="0" w:line="480" w:lineRule="auto"/>
        <w:ind w:left="0" w:right="0" w:firstLine="0"/>
        <w:jc w:val="left"/>
        <w:textAlignment w:val="auto"/>
        <w:rPr>
          <w:rFonts w:hint="eastAsia" w:ascii="宋体" w:hAnsi="宋体" w:eastAsia="宋体" w:cs="宋体"/>
          <w:color w:val="auto"/>
          <w:sz w:val="21"/>
          <w:szCs w:val="21"/>
          <w:highlight w:val="none"/>
          <w:lang w:val="en-US" w:eastAsia="zh-CN"/>
        </w:rPr>
      </w:pPr>
    </w:p>
    <w:p>
      <w:pPr>
        <w:spacing w:after="156" w:after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须附：被授权人有效期内身份证复印件</w:t>
      </w:r>
    </w:p>
    <w:tbl>
      <w:tblPr>
        <w:tblStyle w:val="16"/>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59" w:hRule="atLeast"/>
          <w:jc w:val="center"/>
        </w:trPr>
        <w:tc>
          <w:tcPr>
            <w:tcW w:w="2500" w:type="pct"/>
            <w:vAlign w:val="center"/>
          </w:tcPr>
          <w:p>
            <w:pPr>
              <w:pStyle w:val="25"/>
              <w:spacing w:line="4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正面</w:t>
            </w:r>
          </w:p>
        </w:tc>
        <w:tc>
          <w:tcPr>
            <w:tcW w:w="2500" w:type="pct"/>
            <w:vAlign w:val="center"/>
          </w:tcPr>
          <w:p>
            <w:pPr>
              <w:pStyle w:val="25"/>
              <w:spacing w:line="4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背面</w:t>
            </w:r>
          </w:p>
        </w:tc>
      </w:tr>
    </w:tbl>
    <w:p>
      <w:pPr>
        <w:pStyle w:val="2"/>
        <w:keepNext w:val="0"/>
        <w:keepLines w:val="0"/>
        <w:pageBreakBefore w:val="0"/>
        <w:widowControl w:val="0"/>
        <w:tabs>
          <w:tab w:val="left" w:pos="2349"/>
        </w:tabs>
        <w:kinsoku/>
        <w:wordWrap/>
        <w:overflowPunct/>
        <w:topLinePunct w:val="0"/>
        <w:autoSpaceDE/>
        <w:autoSpaceDN/>
        <w:bidi w:val="0"/>
        <w:adjustRightInd/>
        <w:snapToGrid/>
        <w:spacing w:before="0" w:line="480" w:lineRule="auto"/>
        <w:ind w:left="0" w:right="0" w:firstLine="0"/>
        <w:jc w:val="left"/>
        <w:textAlignment w:val="auto"/>
        <w:rPr>
          <w:rFonts w:hint="eastAsia"/>
          <w:color w:val="auto"/>
          <w:sz w:val="20"/>
          <w:szCs w:val="20"/>
          <w:highlight w:val="none"/>
          <w:lang w:val="en-US" w:eastAsia="zh-CN"/>
        </w:rPr>
      </w:pPr>
    </w:p>
    <w:p>
      <w:pPr>
        <w:rPr>
          <w:rFonts w:hint="eastAsia"/>
          <w:b/>
          <w:bCs/>
          <w:color w:val="auto"/>
          <w:sz w:val="24"/>
          <w:szCs w:val="24"/>
          <w:highlight w:val="none"/>
          <w:lang w:val="en-US" w:eastAsia="zh-CN"/>
        </w:rPr>
      </w:pPr>
      <w:r>
        <w:rPr>
          <w:rFonts w:hint="eastAsia"/>
          <w:b/>
          <w:bCs/>
          <w:color w:val="auto"/>
          <w:sz w:val="24"/>
          <w:szCs w:val="24"/>
          <w:highlight w:val="none"/>
          <w:lang w:val="en-US" w:eastAsia="zh-CN"/>
        </w:rPr>
        <w:br w:type="page"/>
      </w:r>
    </w:p>
    <w:p>
      <w:pPr>
        <w:rPr>
          <w:rFonts w:hint="eastAsia"/>
          <w:b/>
          <w:bCs/>
          <w:color w:val="auto"/>
          <w:sz w:val="24"/>
          <w:szCs w:val="24"/>
          <w:highlight w:val="none"/>
          <w:lang w:val="en-US" w:eastAsia="zh-CN"/>
        </w:rPr>
      </w:pPr>
      <w:r>
        <w:rPr>
          <w:rFonts w:hint="eastAsia"/>
          <w:b/>
          <w:bCs/>
          <w:color w:val="auto"/>
          <w:sz w:val="24"/>
          <w:szCs w:val="24"/>
          <w:highlight w:val="none"/>
          <w:lang w:val="en-US" w:eastAsia="zh-CN"/>
        </w:rPr>
        <w:t>格式六：</w:t>
      </w:r>
    </w:p>
    <w:p>
      <w:pPr>
        <w:jc w:val="left"/>
        <w:rPr>
          <w:rFonts w:hint="eastAsia"/>
          <w:b/>
          <w:bCs/>
          <w:color w:val="auto"/>
          <w:sz w:val="24"/>
          <w:szCs w:val="24"/>
          <w:highlight w:val="none"/>
          <w:lang w:val="en-US" w:eastAsia="zh-CN"/>
        </w:rPr>
      </w:pPr>
      <w:r>
        <w:rPr>
          <w:color w:val="auto"/>
          <w:sz w:val="20"/>
          <w:szCs w:val="20"/>
          <w:highlight w:val="none"/>
        </w:rPr>
        <w:t>（以下格式文件由</w:t>
      </w:r>
      <w:r>
        <w:rPr>
          <w:rFonts w:hint="eastAsia"/>
          <w:color w:val="auto"/>
          <w:sz w:val="20"/>
          <w:szCs w:val="20"/>
          <w:highlight w:val="none"/>
          <w:lang w:eastAsia="zh-CN"/>
        </w:rPr>
        <w:t>供应商</w:t>
      </w:r>
      <w:r>
        <w:rPr>
          <w:color w:val="auto"/>
          <w:sz w:val="20"/>
          <w:szCs w:val="20"/>
          <w:highlight w:val="none"/>
        </w:rPr>
        <w:t>根据需要选用）</w:t>
      </w:r>
    </w:p>
    <w:p>
      <w:pPr>
        <w:jc w:val="center"/>
        <w:rPr>
          <w:rFonts w:hint="eastAsia"/>
          <w:b/>
          <w:bCs/>
          <w:color w:val="auto"/>
          <w:sz w:val="24"/>
          <w:szCs w:val="24"/>
          <w:highlight w:val="none"/>
          <w:lang w:val="en-US" w:eastAsia="zh-CN"/>
        </w:rPr>
      </w:pPr>
      <w:r>
        <w:rPr>
          <w:rFonts w:hint="eastAsia"/>
          <w:b/>
          <w:bCs/>
          <w:color w:val="auto"/>
          <w:sz w:val="24"/>
          <w:szCs w:val="24"/>
          <w:highlight w:val="none"/>
          <w:lang w:val="en-US" w:eastAsia="zh-CN"/>
        </w:rPr>
        <w:t>响应保证金</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color w:val="auto"/>
          <w:sz w:val="21"/>
          <w:szCs w:val="21"/>
          <w:highlight w:val="none"/>
          <w:lang w:eastAsia="zh-CN"/>
        </w:rPr>
        <w:t>国顺招标有限</w:t>
      </w:r>
      <w:r>
        <w:rPr>
          <w:rFonts w:hint="eastAsia" w:ascii="宋体" w:hAnsi="宋体" w:eastAsia="宋体"/>
          <w:color w:val="auto"/>
          <w:sz w:val="21"/>
          <w:szCs w:val="21"/>
          <w:highlight w:val="none"/>
        </w:rPr>
        <w:t>公司：</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本单位已按</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项目</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包（项目编号：</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）的</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要求，于</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日前以</w:t>
      </w:r>
      <w:r>
        <w:rPr>
          <w:rFonts w:hint="eastAsia" w:ascii="宋体" w:hAnsi="宋体" w:eastAsia="宋体"/>
          <w:color w:val="auto"/>
          <w:sz w:val="21"/>
          <w:szCs w:val="21"/>
          <w:highlight w:val="none"/>
          <w:u w:val="single"/>
        </w:rPr>
        <w:t xml:space="preserve">           （付款形式）</w:t>
      </w:r>
      <w:r>
        <w:rPr>
          <w:rFonts w:hint="eastAsia" w:ascii="宋体" w:hAnsi="宋体" w:eastAsia="宋体"/>
          <w:color w:val="auto"/>
          <w:sz w:val="21"/>
          <w:szCs w:val="21"/>
          <w:highlight w:val="none"/>
        </w:rPr>
        <w:t>方式汇入指定</w:t>
      </w:r>
      <w:r>
        <w:rPr>
          <w:rFonts w:hint="eastAsia" w:ascii="宋体" w:hAnsi="宋体" w:eastAsia="宋体"/>
          <w:color w:val="auto"/>
          <w:sz w:val="21"/>
          <w:szCs w:val="21"/>
          <w:highlight w:val="none"/>
          <w:lang w:eastAsia="zh-CN"/>
        </w:rPr>
        <w:t>账</w:t>
      </w:r>
      <w:r>
        <w:rPr>
          <w:rFonts w:hint="eastAsia" w:ascii="宋体" w:hAnsi="宋体" w:eastAsia="宋体"/>
          <w:color w:val="auto"/>
          <w:sz w:val="21"/>
          <w:szCs w:val="21"/>
          <w:highlight w:val="none"/>
        </w:rPr>
        <w:t>户（</w:t>
      </w:r>
      <w:r>
        <w:rPr>
          <w:rFonts w:hint="eastAsia" w:ascii="宋体" w:hAnsi="宋体" w:eastAsia="宋体"/>
          <w:color w:val="auto"/>
          <w:sz w:val="21"/>
          <w:szCs w:val="21"/>
          <w:highlight w:val="none"/>
          <w:lang w:eastAsia="zh-CN"/>
        </w:rPr>
        <w:t>账</w:t>
      </w:r>
      <w:r>
        <w:rPr>
          <w:rFonts w:hint="eastAsia" w:ascii="宋体" w:hAnsi="宋体" w:eastAsia="宋体"/>
          <w:color w:val="auto"/>
          <w:sz w:val="21"/>
          <w:szCs w:val="21"/>
          <w:highlight w:val="none"/>
        </w:rPr>
        <w:t>户名称：</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账号</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,开户银行：</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本单位</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的汇款情况：（详见附件－</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汇款凭证）</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汇出时间：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日；</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汇款金额：（大写）人民币</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元（小写：￥</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元），</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汇款</w:t>
      </w:r>
      <w:r>
        <w:rPr>
          <w:rFonts w:hint="eastAsia" w:ascii="宋体" w:hAnsi="宋体" w:eastAsia="宋体"/>
          <w:color w:val="auto"/>
          <w:sz w:val="21"/>
          <w:szCs w:val="21"/>
          <w:highlight w:val="none"/>
          <w:lang w:eastAsia="zh-CN"/>
        </w:rPr>
        <w:t>账户</w:t>
      </w:r>
      <w:r>
        <w:rPr>
          <w:rFonts w:hint="eastAsia" w:ascii="宋体" w:hAnsi="宋体" w:eastAsia="宋体"/>
          <w:color w:val="auto"/>
          <w:sz w:val="21"/>
          <w:szCs w:val="21"/>
          <w:highlight w:val="none"/>
        </w:rPr>
        <w:t>名称：</w:t>
      </w:r>
      <w:r>
        <w:rPr>
          <w:rFonts w:hint="eastAsia" w:ascii="宋体" w:hAnsi="宋体" w:eastAsia="宋体"/>
          <w:color w:val="auto"/>
          <w:sz w:val="21"/>
          <w:szCs w:val="21"/>
          <w:highlight w:val="none"/>
          <w:u w:val="single"/>
        </w:rPr>
        <w:t xml:space="preserve">  （必须是</w:t>
      </w:r>
      <w:r>
        <w:rPr>
          <w:rFonts w:hint="eastAsia" w:ascii="宋体" w:hAnsi="宋体"/>
          <w:color w:val="auto"/>
          <w:sz w:val="21"/>
          <w:szCs w:val="21"/>
          <w:highlight w:val="none"/>
          <w:u w:val="single"/>
          <w:lang w:eastAsia="zh-CN"/>
        </w:rPr>
        <w:t>响应</w:t>
      </w:r>
      <w:r>
        <w:rPr>
          <w:rFonts w:hint="eastAsia" w:ascii="宋体" w:hAnsi="宋体" w:eastAsia="宋体"/>
          <w:color w:val="auto"/>
          <w:sz w:val="21"/>
          <w:szCs w:val="21"/>
          <w:highlight w:val="none"/>
          <w:u w:val="single"/>
        </w:rPr>
        <w:t>时使用的</w:t>
      </w:r>
      <w:r>
        <w:rPr>
          <w:rFonts w:hint="eastAsia" w:ascii="宋体" w:hAnsi="宋体" w:eastAsia="宋体"/>
          <w:color w:val="auto"/>
          <w:sz w:val="21"/>
          <w:szCs w:val="21"/>
          <w:highlight w:val="none"/>
          <w:u w:val="single"/>
          <w:lang w:eastAsia="zh-CN"/>
        </w:rPr>
        <w:t>账</w:t>
      </w:r>
      <w:r>
        <w:rPr>
          <w:rFonts w:hint="eastAsia" w:ascii="宋体" w:hAnsi="宋体" w:eastAsia="宋体"/>
          <w:color w:val="auto"/>
          <w:sz w:val="21"/>
          <w:szCs w:val="21"/>
          <w:highlight w:val="none"/>
          <w:u w:val="single"/>
        </w:rPr>
        <w:t xml:space="preserve">户名）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账</w:t>
      </w:r>
      <w:r>
        <w:rPr>
          <w:rFonts w:hint="eastAsia" w:ascii="宋体" w:hAnsi="宋体" w:eastAsia="宋体"/>
          <w:color w:val="auto"/>
          <w:sz w:val="21"/>
          <w:szCs w:val="21"/>
          <w:highlight w:val="none"/>
        </w:rPr>
        <w:t xml:space="preserve">        号：</w:t>
      </w:r>
      <w:r>
        <w:rPr>
          <w:rFonts w:hint="eastAsia" w:ascii="宋体" w:hAnsi="宋体" w:eastAsia="宋体"/>
          <w:color w:val="auto"/>
          <w:sz w:val="21"/>
          <w:szCs w:val="21"/>
          <w:highlight w:val="none"/>
          <w:u w:val="single"/>
        </w:rPr>
        <w:t xml:space="preserve">  （必须是</w:t>
      </w:r>
      <w:r>
        <w:rPr>
          <w:rFonts w:hint="eastAsia" w:ascii="宋体" w:hAnsi="宋体"/>
          <w:color w:val="auto"/>
          <w:sz w:val="21"/>
          <w:szCs w:val="21"/>
          <w:highlight w:val="none"/>
          <w:u w:val="single"/>
          <w:lang w:eastAsia="zh-CN"/>
        </w:rPr>
        <w:t>响应</w:t>
      </w:r>
      <w:r>
        <w:rPr>
          <w:rFonts w:hint="eastAsia" w:ascii="宋体" w:hAnsi="宋体" w:eastAsia="宋体"/>
          <w:color w:val="auto"/>
          <w:sz w:val="21"/>
          <w:szCs w:val="21"/>
          <w:highlight w:val="none"/>
          <w:u w:val="single"/>
        </w:rPr>
        <w:t>时使用的</w:t>
      </w:r>
      <w:r>
        <w:rPr>
          <w:rFonts w:hint="eastAsia" w:ascii="宋体" w:hAnsi="宋体" w:eastAsia="宋体"/>
          <w:color w:val="auto"/>
          <w:sz w:val="21"/>
          <w:szCs w:val="21"/>
          <w:highlight w:val="none"/>
          <w:u w:val="single"/>
          <w:lang w:eastAsia="zh-CN"/>
        </w:rPr>
        <w:t>账号</w:t>
      </w:r>
      <w:r>
        <w:rPr>
          <w:rFonts w:hint="eastAsia" w:ascii="宋体" w:hAnsi="宋体" w:eastAsia="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u w:val="single"/>
        </w:rPr>
      </w:pPr>
      <w:r>
        <w:rPr>
          <w:rFonts w:hint="eastAsia" w:ascii="宋体" w:hAnsi="宋体" w:eastAsia="宋体"/>
          <w:color w:val="auto"/>
          <w:sz w:val="21"/>
          <w:szCs w:val="21"/>
          <w:highlight w:val="none"/>
        </w:rPr>
        <w:t>开 户  银 行：</w:t>
      </w:r>
      <w:r>
        <w:rPr>
          <w:rFonts w:hint="eastAsia" w:ascii="宋体" w:hAnsi="宋体" w:eastAsia="宋体"/>
          <w:color w:val="auto"/>
          <w:sz w:val="21"/>
          <w:szCs w:val="21"/>
          <w:highlight w:val="none"/>
          <w:u w:val="single"/>
        </w:rPr>
        <w:t xml:space="preserve">  （      银行   分行  支行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本单位谨承诺上述资料是正确、真实的，如因上述证明与事实不符导致的一切损失，本单位保证承担赔偿等一切法律责任。</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退回时，请按上述资料退回。</w:t>
      </w:r>
    </w:p>
    <w:p>
      <w:pPr>
        <w:keepNext w:val="0"/>
        <w:keepLines w:val="0"/>
        <w:pageBreakBefore w:val="0"/>
        <w:widowControl w:val="0"/>
        <w:kinsoku/>
        <w:wordWrap/>
        <w:overflowPunct/>
        <w:topLinePunct w:val="0"/>
        <w:autoSpaceDE/>
        <w:autoSpaceDN/>
        <w:bidi w:val="0"/>
        <w:adjustRightInd/>
        <w:snapToGrid/>
        <w:spacing w:after="0" w:line="360" w:lineRule="auto"/>
        <w:ind w:right="844" w:rightChars="402"/>
        <w:jc w:val="righ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（单位公章）</w:t>
      </w:r>
    </w:p>
    <w:p>
      <w:pPr>
        <w:keepNext w:val="0"/>
        <w:keepLines w:val="0"/>
        <w:pageBreakBefore w:val="0"/>
        <w:widowControl w:val="0"/>
        <w:kinsoku/>
        <w:wordWrap/>
        <w:overflowPunct/>
        <w:topLinePunct w:val="0"/>
        <w:autoSpaceDE/>
        <w:autoSpaceDN/>
        <w:bidi w:val="0"/>
        <w:adjustRightInd/>
        <w:snapToGrid/>
        <w:spacing w:after="0" w:line="360" w:lineRule="auto"/>
        <w:ind w:right="628" w:rightChars="299"/>
        <w:jc w:val="righ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年 月 日</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单位名称：</w:t>
      </w:r>
      <w:r>
        <w:rPr>
          <w:rFonts w:hint="eastAsia" w:ascii="宋体" w:hAnsi="宋体" w:eastAsia="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单位地址：</w:t>
      </w:r>
      <w:r>
        <w:rPr>
          <w:rFonts w:hint="eastAsia" w:ascii="宋体" w:hAnsi="宋体" w:eastAsia="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联系人：</w:t>
      </w:r>
      <w:r>
        <w:rPr>
          <w:rFonts w:hint="eastAsia" w:ascii="宋体" w:hAnsi="宋体" w:eastAsia="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单位电话：</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联系人手机：</w:t>
      </w:r>
      <w:r>
        <w:rPr>
          <w:rFonts w:hint="eastAsia" w:ascii="宋体" w:hAnsi="宋体" w:eastAsia="宋体"/>
          <w:color w:val="auto"/>
          <w:sz w:val="21"/>
          <w:szCs w:val="21"/>
          <w:highlight w:val="none"/>
          <w:u w:val="single"/>
        </w:rPr>
        <w:t xml:space="preserve">              </w:t>
      </w:r>
    </w:p>
    <w:p>
      <w:pPr>
        <w:pageBreakBefore w:val="0"/>
        <w:kinsoku/>
        <w:topLinePunct w:val="0"/>
        <w:autoSpaceDE/>
        <w:autoSpaceDN/>
        <w:bidi w:val="0"/>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附：我方</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汇款凭证</w:t>
      </w:r>
    </w:p>
    <w:tbl>
      <w:tblPr>
        <w:tblStyle w:val="16"/>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5000" w:type="pct"/>
            <w:noWrap w:val="0"/>
            <w:vAlign w:val="center"/>
          </w:tcPr>
          <w:p>
            <w:pPr>
              <w:pageBreakBefore w:val="0"/>
              <w:tabs>
                <w:tab w:val="left" w:pos="3885"/>
              </w:tabs>
              <w:kinsoku/>
              <w:topLinePunct w:val="0"/>
              <w:autoSpaceDE/>
              <w:autoSpaceDN/>
              <w:bidi w:val="0"/>
              <w:spacing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（粘贴汇款单或转账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复印件，并在骑缝上加盖</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公章，或是直接把转账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复印到此张纸上）</w:t>
            </w:r>
          </w:p>
        </w:tc>
      </w:tr>
    </w:tbl>
    <w:p>
      <w:pPr>
        <w:bidi w:val="0"/>
        <w:rPr>
          <w:rFonts w:hint="eastAsia"/>
          <w:color w:val="auto"/>
          <w:highlight w:val="none"/>
          <w:lang w:val="en-US" w:eastAsia="zh-CN"/>
        </w:rPr>
      </w:pPr>
      <w:r>
        <w:rPr>
          <w:rFonts w:hint="eastAsia"/>
          <w:color w:val="auto"/>
          <w:highlight w:val="none"/>
          <w:lang w:val="en-US" w:eastAsia="zh-CN"/>
        </w:rPr>
        <w:br w:type="page"/>
      </w:r>
    </w:p>
    <w:p>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格式七：</w:t>
      </w:r>
    </w:p>
    <w:p>
      <w:pPr>
        <w:pStyle w:val="2"/>
        <w:jc w:val="center"/>
        <w:rPr>
          <w:rFonts w:hint="default"/>
          <w:b/>
          <w:bCs/>
          <w:color w:val="auto"/>
          <w:highlight w:val="none"/>
          <w:lang w:val="en-US" w:eastAsia="zh-CN"/>
        </w:rPr>
      </w:pPr>
      <w:r>
        <w:rPr>
          <w:rFonts w:hint="default"/>
          <w:b/>
          <w:bCs/>
          <w:color w:val="auto"/>
          <w:highlight w:val="none"/>
          <w:lang w:val="en-US" w:eastAsia="zh-CN"/>
        </w:rPr>
        <w:t>提供具有独立承担民事责任的能力的证明材料</w:t>
      </w:r>
    </w:p>
    <w:p>
      <w:pPr>
        <w:ind w:firstLine="420" w:firstLineChars="200"/>
        <w:rPr>
          <w:rFonts w:hint="eastAsia"/>
          <w:b w:val="0"/>
          <w:bCs w:val="0"/>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color w:val="auto"/>
          <w:highlight w:val="none"/>
          <w:lang w:val="en-US" w:eastAsia="zh-CN"/>
        </w:rPr>
      </w:pPr>
      <w:r>
        <w:rPr>
          <w:rFonts w:hint="eastAsia"/>
          <w:b w:val="0"/>
          <w:bCs w:val="0"/>
          <w:color w:val="auto"/>
          <w:highlight w:val="none"/>
          <w:lang w:val="en-US" w:eastAsia="zh-CN"/>
        </w:rPr>
        <w:t>（</w:t>
      </w:r>
      <w:r>
        <w:rPr>
          <w:b w:val="0"/>
          <w:bCs w:val="0"/>
          <w:color w:val="auto"/>
          <w:sz w:val="21"/>
          <w:szCs w:val="21"/>
          <w:highlight w:val="none"/>
        </w:rPr>
        <w:t>在中华人民共和国境内注册的法人或其他组织或自然人，投标（响应）时提交有效的营业执照（或事业法人登记证或身份证等相关证明）副本复印件。分支机构投标（响应）的，须提供总公司和分公司营业执照副本复印件，总公司出具给分支机构的授权书</w:t>
      </w:r>
      <w:r>
        <w:rPr>
          <w:b w:val="0"/>
          <w:bCs w:val="0"/>
          <w:color w:val="auto"/>
          <w:w w:val="101"/>
          <w:sz w:val="21"/>
          <w:szCs w:val="21"/>
          <w:highlight w:val="none"/>
        </w:rPr>
        <w:t>。</w:t>
      </w:r>
      <w:r>
        <w:rPr>
          <w:rFonts w:hint="eastAsia"/>
          <w:b w:val="0"/>
          <w:bCs w:val="0"/>
          <w:color w:val="auto"/>
          <w:highlight w:val="none"/>
          <w:lang w:val="en-US" w:eastAsia="zh-CN"/>
        </w:rPr>
        <w:t>）</w:t>
      </w:r>
    </w:p>
    <w:p>
      <w:pPr>
        <w:rPr>
          <w:rFonts w:hint="default"/>
          <w:b/>
          <w:bCs/>
          <w:color w:val="auto"/>
          <w:highlight w:val="none"/>
          <w:lang w:val="en-US" w:eastAsia="zh-CN"/>
        </w:rPr>
      </w:pPr>
      <w:r>
        <w:rPr>
          <w:rFonts w:hint="default"/>
          <w:b/>
          <w:bCs/>
          <w:color w:val="auto"/>
          <w:highlight w:val="none"/>
          <w:lang w:val="en-US" w:eastAsia="zh-CN"/>
        </w:rPr>
        <w:br w:type="page"/>
      </w:r>
    </w:p>
    <w:p>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格式八：</w:t>
      </w:r>
    </w:p>
    <w:p>
      <w:pPr>
        <w:pStyle w:val="2"/>
        <w:jc w:val="center"/>
        <w:rPr>
          <w:b/>
          <w:bCs w:val="0"/>
          <w:color w:val="auto"/>
          <w:sz w:val="24"/>
          <w:highlight w:val="none"/>
        </w:rPr>
      </w:pPr>
      <w:r>
        <w:rPr>
          <w:b/>
          <w:bCs w:val="0"/>
          <w:color w:val="auto"/>
          <w:sz w:val="24"/>
          <w:highlight w:val="none"/>
        </w:rPr>
        <w:t>资格性审查要求的其他资质证明文件</w:t>
      </w:r>
    </w:p>
    <w:p>
      <w:pPr>
        <w:keepNext w:val="0"/>
        <w:keepLines w:val="0"/>
        <w:pageBreakBefore w:val="0"/>
        <w:widowControl/>
        <w:kinsoku/>
        <w:wordWrap/>
        <w:overflowPunct/>
        <w:topLinePunct w:val="0"/>
        <w:autoSpaceDE/>
        <w:autoSpaceDN/>
        <w:bidi w:val="0"/>
        <w:adjustRightInd/>
        <w:snapToGrid/>
        <w:spacing w:after="0" w:line="360" w:lineRule="auto"/>
        <w:ind w:firstLine="0" w:firstLineChars="0"/>
        <w:textAlignment w:val="auto"/>
        <w:rPr>
          <w:rFonts w:hint="eastAsia" w:ascii="宋体" w:hAnsi="宋体"/>
          <w:color w:val="auto"/>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1、</w:t>
      </w:r>
      <w:r>
        <w:rPr>
          <w:rFonts w:hint="eastAsia" w:ascii="宋体" w:hAnsi="宋体" w:eastAsia="宋体"/>
          <w:color w:val="auto"/>
          <w:sz w:val="21"/>
          <w:szCs w:val="21"/>
          <w:highlight w:val="none"/>
        </w:rPr>
        <w:t>有依法缴纳税收和社会保障资金的良好记录：提供投标</w:t>
      </w:r>
      <w:r>
        <w:rPr>
          <w:b w:val="0"/>
          <w:bCs w:val="0"/>
          <w:color w:val="auto"/>
          <w:sz w:val="21"/>
          <w:szCs w:val="21"/>
          <w:highlight w:val="none"/>
        </w:rPr>
        <w:t>（响应）</w:t>
      </w:r>
      <w:r>
        <w:rPr>
          <w:rFonts w:hint="eastAsia" w:ascii="宋体" w:hAnsi="宋体" w:eastAsia="宋体"/>
          <w:color w:val="auto"/>
          <w:sz w:val="21"/>
          <w:szCs w:val="21"/>
          <w:highlight w:val="none"/>
        </w:rPr>
        <w:t>截止日前6个月内任意1个月依法缴纳税收和社会保障资金的相关材料。如依法免税或不需要缴纳社会保障资金的</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提供相应证明材料。</w:t>
      </w:r>
      <w:r>
        <w:rPr>
          <w:rFonts w:hint="eastAsia"/>
          <w:color w:val="auto"/>
          <w:sz w:val="20"/>
          <w:szCs w:val="24"/>
          <w:highlight w:val="none"/>
          <w:lang w:eastAsia="zh-CN"/>
        </w:rPr>
        <w:t>(或提供相关承诺函）</w:t>
      </w:r>
    </w:p>
    <w:p>
      <w:pPr>
        <w:keepNext w:val="0"/>
        <w:keepLines w:val="0"/>
        <w:pageBreakBefore w:val="0"/>
        <w:widowControl/>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eastAsia="宋体"/>
          <w:color w:val="auto"/>
          <w:sz w:val="21"/>
          <w:szCs w:val="21"/>
          <w:highlight w:val="none"/>
        </w:rPr>
        <w:t>具有良好的商业信誉和健全的财务会计制度</w:t>
      </w:r>
      <w:r>
        <w:rPr>
          <w:rFonts w:hint="eastAsia" w:ascii="宋体" w:hAnsi="宋体" w:eastAsia="宋体"/>
          <w:color w:val="auto"/>
          <w:sz w:val="21"/>
          <w:szCs w:val="21"/>
          <w:highlight w:val="none"/>
          <w:lang w:eastAsia="zh-CN"/>
        </w:rPr>
        <w:t>：供应商必须具有良好的商业信誉和健全的财务会计制度</w:t>
      </w:r>
      <w:r>
        <w:rPr>
          <w:rFonts w:hint="eastAsia" w:ascii="宋体" w:hAnsi="宋体" w:eastAsia="宋体"/>
          <w:color w:val="auto"/>
          <w:sz w:val="21"/>
          <w:szCs w:val="21"/>
          <w:highlight w:val="none"/>
        </w:rPr>
        <w:t>（提供2020年度</w:t>
      </w:r>
      <w:r>
        <w:rPr>
          <w:rFonts w:hint="eastAsia" w:ascii="宋体" w:hAnsi="宋体"/>
          <w:color w:val="auto"/>
          <w:sz w:val="21"/>
          <w:szCs w:val="21"/>
          <w:highlight w:val="none"/>
          <w:lang w:val="en-US" w:eastAsia="zh-CN"/>
        </w:rPr>
        <w:t>或2021年度</w:t>
      </w:r>
      <w:r>
        <w:rPr>
          <w:rFonts w:hint="eastAsia" w:ascii="宋体" w:hAnsi="宋体" w:eastAsia="宋体"/>
          <w:color w:val="auto"/>
          <w:sz w:val="21"/>
          <w:szCs w:val="21"/>
          <w:highlight w:val="none"/>
        </w:rPr>
        <w:t>财务状况报告或基本开户行出具的资信证明）。</w:t>
      </w:r>
      <w:r>
        <w:rPr>
          <w:rFonts w:hint="eastAsia"/>
          <w:color w:val="auto"/>
          <w:sz w:val="20"/>
          <w:szCs w:val="24"/>
          <w:highlight w:val="none"/>
          <w:lang w:eastAsia="zh-CN"/>
        </w:rPr>
        <w:t>(或提供相关承诺函）</w:t>
      </w:r>
    </w:p>
    <w:p>
      <w:pPr>
        <w:keepNext w:val="0"/>
        <w:keepLines w:val="0"/>
        <w:pageBreakBefore w:val="0"/>
        <w:widowControl/>
        <w:kinsoku/>
        <w:wordWrap/>
        <w:overflowPunct/>
        <w:topLinePunct w:val="0"/>
        <w:autoSpaceDE/>
        <w:autoSpaceDN/>
        <w:bidi w:val="0"/>
        <w:adjustRightInd/>
        <w:snapToGrid/>
        <w:spacing w:after="0" w:line="360" w:lineRule="auto"/>
        <w:ind w:firstLine="0" w:firstLineChars="0"/>
        <w:textAlignment w:val="auto"/>
        <w:rPr>
          <w:rFonts w:hint="eastAsia"/>
          <w:color w:val="auto"/>
          <w:sz w:val="20"/>
          <w:szCs w:val="24"/>
          <w:highlight w:val="none"/>
          <w:lang w:eastAsia="zh-CN"/>
        </w:rPr>
      </w:pPr>
      <w:r>
        <w:rPr>
          <w:rFonts w:hint="eastAsia" w:ascii="宋体" w:hAnsi="宋体"/>
          <w:color w:val="auto"/>
          <w:sz w:val="21"/>
          <w:szCs w:val="21"/>
          <w:highlight w:val="none"/>
          <w:lang w:val="en-US" w:eastAsia="zh-CN"/>
        </w:rPr>
        <w:t>3、</w:t>
      </w:r>
      <w:r>
        <w:rPr>
          <w:rFonts w:hint="eastAsia" w:ascii="宋体" w:hAnsi="宋体" w:eastAsia="宋体"/>
          <w:color w:val="auto"/>
          <w:sz w:val="21"/>
          <w:szCs w:val="21"/>
          <w:highlight w:val="none"/>
        </w:rPr>
        <w:t>履行合同所必须的设备和专业技术能力：填报设备及专业技术能力情况</w:t>
      </w:r>
      <w:r>
        <w:rPr>
          <w:rFonts w:hint="eastAsia" w:ascii="宋体" w:hAnsi="宋体" w:eastAsia="宋体"/>
          <w:color w:val="auto"/>
          <w:sz w:val="21"/>
          <w:szCs w:val="21"/>
          <w:highlight w:val="none"/>
          <w:lang w:eastAsia="zh-CN"/>
        </w:rPr>
        <w:t>，格式自拟</w:t>
      </w:r>
      <w:r>
        <w:rPr>
          <w:rFonts w:hint="eastAsia" w:ascii="宋体" w:hAnsi="宋体" w:eastAsia="宋体"/>
          <w:color w:val="auto"/>
          <w:sz w:val="21"/>
          <w:szCs w:val="21"/>
          <w:highlight w:val="none"/>
        </w:rPr>
        <w:t>。</w:t>
      </w:r>
      <w:r>
        <w:rPr>
          <w:rFonts w:hint="eastAsia"/>
          <w:color w:val="auto"/>
          <w:sz w:val="20"/>
          <w:szCs w:val="24"/>
          <w:highlight w:val="none"/>
          <w:lang w:eastAsia="zh-CN"/>
        </w:rPr>
        <w:t>(或提供相关承诺函）</w:t>
      </w:r>
    </w:p>
    <w:p>
      <w:pPr>
        <w:rPr>
          <w:rFonts w:hint="eastAsia"/>
          <w:color w:val="auto"/>
          <w:sz w:val="20"/>
          <w:szCs w:val="24"/>
          <w:highlight w:val="none"/>
          <w:lang w:eastAsia="zh-CN"/>
        </w:rPr>
      </w:pPr>
      <w:r>
        <w:rPr>
          <w:rFonts w:hint="eastAsia"/>
          <w:color w:val="auto"/>
          <w:sz w:val="20"/>
          <w:szCs w:val="24"/>
          <w:highlight w:val="none"/>
          <w:lang w:eastAsia="zh-CN"/>
        </w:rPr>
        <w:br w:type="page"/>
      </w:r>
    </w:p>
    <w:p>
      <w:pPr>
        <w:pStyle w:val="2"/>
        <w:rPr>
          <w:rFonts w:hint="eastAsia"/>
          <w:color w:val="auto"/>
          <w:highlight w:val="none"/>
          <w:lang w:eastAsia="zh-CN"/>
        </w:rPr>
      </w:pPr>
      <w:r>
        <w:rPr>
          <w:rFonts w:hint="eastAsia"/>
          <w:b/>
          <w:bCs/>
          <w:color w:val="auto"/>
          <w:highlight w:val="none"/>
          <w:lang w:eastAsia="zh-CN"/>
        </w:rPr>
        <w:t>格式九：</w:t>
      </w:r>
    </w:p>
    <w:p>
      <w:pPr>
        <w:rPr>
          <w:rFonts w:hint="eastAsia"/>
          <w:color w:val="auto"/>
          <w:highlight w:val="none"/>
          <w:lang w:eastAsia="zh-CN"/>
        </w:rPr>
      </w:pPr>
    </w:p>
    <w:p>
      <w:pPr>
        <w:bidi w:val="0"/>
        <w:jc w:val="center"/>
        <w:rPr>
          <w:rFonts w:hint="eastAsia"/>
          <w:b/>
          <w:bCs/>
          <w:color w:val="auto"/>
          <w:sz w:val="24"/>
          <w:szCs w:val="32"/>
          <w:highlight w:val="none"/>
        </w:rPr>
      </w:pPr>
      <w:r>
        <w:rPr>
          <w:rFonts w:hint="eastAsia"/>
          <w:b/>
          <w:bCs/>
          <w:color w:val="auto"/>
          <w:sz w:val="24"/>
          <w:szCs w:val="32"/>
          <w:highlight w:val="none"/>
        </w:rPr>
        <w:t>在经营活动中没有重大违法记录的书面声明</w:t>
      </w:r>
    </w:p>
    <w:p>
      <w:pPr>
        <w:bidi w:val="0"/>
        <w:rPr>
          <w:color w:val="auto"/>
          <w:highlight w:val="none"/>
        </w:rPr>
      </w:pP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cs="宋体"/>
          <w:color w:val="auto"/>
          <w:sz w:val="21"/>
          <w:szCs w:val="21"/>
          <w:highlight w:val="none"/>
          <w:lang w:eastAsia="zh-CN"/>
        </w:rPr>
        <w:t>国顺招标有限公司</w:t>
      </w:r>
      <w:r>
        <w:rPr>
          <w:rFonts w:hint="eastAsia" w:ascii="宋体" w:hAnsi="宋体" w:eastAsia="宋体" w:cs="宋体"/>
          <w:color w:val="auto"/>
          <w:sz w:val="21"/>
          <w:szCs w:val="21"/>
          <w:highlight w:val="none"/>
        </w:rPr>
        <w:t>：</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我公司郑重承诺：在参加“</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 （项目编号: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）政府采购活动前三年内（设立不满三年的从设立之日计算），在经营活动中没有因违法经营受到刑事处罚或者责令停产停业、吊销许可证或者执照、较大数额罚款等行政处罚。</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我公司以上承诺均为真实有效，绝无任何虚假、伪造的成份，否则，愿承担相应的后果和法律责任。</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p>
    <w:p>
      <w:pPr>
        <w:pageBreakBefore w:val="0"/>
        <w:kinsoku/>
        <w:topLinePunct w:val="0"/>
        <w:autoSpaceDE/>
        <w:autoSpaceDN/>
        <w:bidi w:val="0"/>
        <w:spacing w:after="0" w:line="360" w:lineRule="auto"/>
        <w:rPr>
          <w:rFonts w:ascii="宋体" w:hAnsi="宋体" w:eastAsia="宋体" w:cs="宋体"/>
          <w:color w:val="auto"/>
          <w:sz w:val="21"/>
          <w:szCs w:val="21"/>
          <w:highlight w:val="none"/>
        </w:rPr>
      </w:pP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名称（盖章）：</w:t>
      </w:r>
    </w:p>
    <w:p>
      <w:pPr>
        <w:pageBreakBefore w:val="0"/>
        <w:kinsoku/>
        <w:topLinePunct w:val="0"/>
        <w:autoSpaceDE/>
        <w:autoSpaceDN/>
        <w:bidi w:val="0"/>
        <w:spacing w:after="0" w:line="360" w:lineRule="auto"/>
        <w:rPr>
          <w:rFonts w:ascii="宋体" w:hAnsi="宋体" w:eastAsia="宋体" w:cs="宋体"/>
          <w:color w:val="auto"/>
          <w:sz w:val="21"/>
          <w:szCs w:val="21"/>
          <w:highlight w:val="none"/>
        </w:rPr>
      </w:pP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bidi w:val="0"/>
        <w:rPr>
          <w:color w:val="auto"/>
          <w:highlight w:val="none"/>
        </w:rPr>
      </w:pPr>
      <w:r>
        <w:rPr>
          <w:color w:val="auto"/>
          <w:highlight w:val="none"/>
        </w:rPr>
        <w:br w:type="page"/>
      </w:r>
    </w:p>
    <w:p>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格式十：</w:t>
      </w:r>
    </w:p>
    <w:p>
      <w:pPr>
        <w:pStyle w:val="2"/>
        <w:jc w:val="center"/>
        <w:rPr>
          <w:rFonts w:hint="default"/>
          <w:b/>
          <w:bCs/>
          <w:color w:val="auto"/>
          <w:highlight w:val="none"/>
          <w:lang w:val="en-US" w:eastAsia="zh-CN"/>
        </w:rPr>
      </w:pPr>
      <w:r>
        <w:rPr>
          <w:rFonts w:hint="eastAsia"/>
          <w:b/>
          <w:bCs/>
          <w:color w:val="auto"/>
          <w:highlight w:val="none"/>
          <w:lang w:val="en-US" w:eastAsia="zh-CN"/>
        </w:rPr>
        <w:t>供应商</w:t>
      </w:r>
      <w:r>
        <w:rPr>
          <w:rFonts w:hint="default"/>
          <w:b/>
          <w:bCs/>
          <w:color w:val="auto"/>
          <w:highlight w:val="none"/>
          <w:lang w:val="en-US" w:eastAsia="zh-CN"/>
        </w:rPr>
        <w:t>业绩情况表</w:t>
      </w:r>
    </w:p>
    <w:p>
      <w:pPr>
        <w:pStyle w:val="2"/>
        <w:spacing w:before="2" w:after="1"/>
        <w:rPr>
          <w:b/>
          <w:color w:val="auto"/>
          <w:sz w:val="17"/>
          <w:highlight w:val="none"/>
        </w:rPr>
      </w:pPr>
    </w:p>
    <w:tbl>
      <w:tblPr>
        <w:tblStyle w:val="16"/>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47"/>
        <w:gridCol w:w="917"/>
        <w:gridCol w:w="2585"/>
        <w:gridCol w:w="1297"/>
        <w:gridCol w:w="1666"/>
        <w:gridCol w:w="13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551" w:type="pct"/>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客户名称</w:t>
            </w:r>
          </w:p>
        </w:tc>
        <w:tc>
          <w:tcPr>
            <w:tcW w:w="1553" w:type="pct"/>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项目名称及合同金额（万元）</w:t>
            </w:r>
          </w:p>
        </w:tc>
        <w:tc>
          <w:tcPr>
            <w:tcW w:w="779" w:type="pct"/>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签订合同时间</w:t>
            </w:r>
          </w:p>
        </w:tc>
        <w:tc>
          <w:tcPr>
            <w:tcW w:w="1001" w:type="pct"/>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竣工验收报告时间</w:t>
            </w:r>
          </w:p>
        </w:tc>
        <w:tc>
          <w:tcPr>
            <w:tcW w:w="785" w:type="pct"/>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联系人及电话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1</w:t>
            </w:r>
          </w:p>
        </w:tc>
        <w:tc>
          <w:tcPr>
            <w:tcW w:w="551" w:type="pct"/>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2</w:t>
            </w:r>
          </w:p>
        </w:tc>
        <w:tc>
          <w:tcPr>
            <w:tcW w:w="551" w:type="pct"/>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3</w:t>
            </w:r>
          </w:p>
        </w:tc>
        <w:tc>
          <w:tcPr>
            <w:tcW w:w="551" w:type="pct"/>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4"/>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4</w:t>
            </w:r>
          </w:p>
        </w:tc>
        <w:tc>
          <w:tcPr>
            <w:tcW w:w="551" w:type="pct"/>
          </w:tcPr>
          <w:p>
            <w:pPr>
              <w:pStyle w:val="2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tcPr>
          <w:p>
            <w:pPr>
              <w:pStyle w:val="2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tcPr>
          <w:p>
            <w:pPr>
              <w:pStyle w:val="2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tcPr>
          <w:p>
            <w:pPr>
              <w:pStyle w:val="2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tcPr>
          <w:p>
            <w:pPr>
              <w:pStyle w:val="2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1"/>
                <w:sz w:val="21"/>
                <w:szCs w:val="21"/>
                <w:highlight w:val="none"/>
              </w:rPr>
              <w:t>…</w:t>
            </w:r>
          </w:p>
        </w:tc>
        <w:tc>
          <w:tcPr>
            <w:tcW w:w="551" w:type="pct"/>
          </w:tcPr>
          <w:p>
            <w:pPr>
              <w:pStyle w:val="2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tcPr>
          <w:p>
            <w:pPr>
              <w:pStyle w:val="2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tcPr>
          <w:p>
            <w:pPr>
              <w:pStyle w:val="2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tcPr>
          <w:p>
            <w:pPr>
              <w:pStyle w:val="2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tcPr>
          <w:p>
            <w:pPr>
              <w:pStyle w:val="2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bl>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根据上述业绩情况，按</w:t>
      </w:r>
      <w:r>
        <w:rPr>
          <w:rFonts w:hint="eastAsia" w:ascii="宋体" w:hAnsi="宋体" w:cs="宋体"/>
          <w:color w:val="auto"/>
          <w:sz w:val="21"/>
          <w:szCs w:val="21"/>
          <w:highlight w:val="none"/>
          <w:lang w:val="en-US" w:eastAsia="zh-CN"/>
        </w:rPr>
        <w:t>磋商文件</w:t>
      </w:r>
      <w:r>
        <w:rPr>
          <w:rFonts w:hint="eastAsia" w:ascii="宋体" w:hAnsi="宋体" w:eastAsia="宋体" w:cs="宋体"/>
          <w:color w:val="auto"/>
          <w:sz w:val="21"/>
          <w:szCs w:val="21"/>
          <w:highlight w:val="none"/>
        </w:rPr>
        <w:t>要求附销售或服务合同复印件及评审标准要求的证明材料。</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2"/>
        <w:rPr>
          <w:rFonts w:hint="eastAsia"/>
          <w:b/>
          <w:bCs/>
          <w:color w:val="auto"/>
          <w:highlight w:val="none"/>
          <w:lang w:val="en-US" w:eastAsia="zh-CN"/>
        </w:rPr>
      </w:pPr>
      <w:r>
        <w:rPr>
          <w:rFonts w:hint="eastAsia"/>
          <w:b/>
          <w:bCs/>
          <w:color w:val="auto"/>
          <w:highlight w:val="none"/>
          <w:lang w:val="en-US" w:eastAsia="zh-CN"/>
        </w:rPr>
        <w:t>格式十一：</w:t>
      </w:r>
    </w:p>
    <w:p>
      <w:pPr>
        <w:jc w:val="center"/>
        <w:rPr>
          <w:b/>
          <w:bCs/>
          <w:color w:val="auto"/>
          <w:sz w:val="24"/>
          <w:szCs w:val="32"/>
          <w:highlight w:val="none"/>
        </w:rPr>
      </w:pPr>
      <w:r>
        <w:rPr>
          <w:b/>
          <w:bCs/>
          <w:color w:val="auto"/>
          <w:sz w:val="24"/>
          <w:szCs w:val="32"/>
          <w:highlight w:val="none"/>
        </w:rPr>
        <w:t>技术要求响应表</w:t>
      </w:r>
    </w:p>
    <w:p>
      <w:pPr>
        <w:pStyle w:val="2"/>
        <w:rPr>
          <w:color w:val="auto"/>
          <w:highlight w:val="none"/>
          <w:lang w:val="en-US"/>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2907"/>
        <w:gridCol w:w="2551"/>
        <w:gridCol w:w="141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206"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磋商文件条目号</w:t>
            </w:r>
          </w:p>
        </w:tc>
        <w:tc>
          <w:tcPr>
            <w:tcW w:w="2907"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采购要求</w:t>
            </w:r>
          </w:p>
        </w:tc>
        <w:tc>
          <w:tcPr>
            <w:tcW w:w="2551"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响应规格</w:t>
            </w:r>
          </w:p>
        </w:tc>
        <w:tc>
          <w:tcPr>
            <w:tcW w:w="1418"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偏离情况</w:t>
            </w:r>
          </w:p>
        </w:tc>
        <w:tc>
          <w:tcPr>
            <w:tcW w:w="851"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rPr>
                <w:rFonts w:ascii="宋体" w:hAnsi="宋体"/>
                <w:b/>
                <w:color w:val="auto"/>
                <w:szCs w:val="21"/>
                <w:highlight w:val="none"/>
              </w:rPr>
            </w:pPr>
          </w:p>
        </w:tc>
        <w:tc>
          <w:tcPr>
            <w:tcW w:w="2907" w:type="dxa"/>
          </w:tcPr>
          <w:p>
            <w:pPr>
              <w:spacing w:line="360" w:lineRule="auto"/>
              <w:rPr>
                <w:rFonts w:ascii="宋体" w:hAnsi="宋体"/>
                <w:b/>
                <w:color w:val="auto"/>
                <w:szCs w:val="21"/>
                <w:highlight w:val="none"/>
              </w:rPr>
            </w:pPr>
          </w:p>
        </w:tc>
        <w:tc>
          <w:tcPr>
            <w:tcW w:w="2551" w:type="dxa"/>
          </w:tcPr>
          <w:p>
            <w:pPr>
              <w:spacing w:line="360" w:lineRule="auto"/>
              <w:rPr>
                <w:rFonts w:ascii="宋体" w:hAnsi="宋体"/>
                <w:b/>
                <w:color w:val="auto"/>
                <w:szCs w:val="21"/>
                <w:highlight w:val="none"/>
              </w:rPr>
            </w:pPr>
          </w:p>
        </w:tc>
        <w:tc>
          <w:tcPr>
            <w:tcW w:w="1418" w:type="dxa"/>
          </w:tcPr>
          <w:p>
            <w:pPr>
              <w:spacing w:line="360" w:lineRule="auto"/>
              <w:rPr>
                <w:rFonts w:ascii="宋体" w:hAnsi="宋体"/>
                <w:b/>
                <w:color w:val="auto"/>
                <w:szCs w:val="21"/>
                <w:highlight w:val="none"/>
              </w:rPr>
            </w:pPr>
          </w:p>
        </w:tc>
        <w:tc>
          <w:tcPr>
            <w:tcW w:w="851" w:type="dxa"/>
          </w:tcPr>
          <w:p>
            <w:pPr>
              <w:spacing w:line="360" w:lineRule="auto"/>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vAlign w:val="center"/>
          </w:tcPr>
          <w:p>
            <w:pPr>
              <w:spacing w:line="360" w:lineRule="auto"/>
              <w:rPr>
                <w:rFonts w:ascii="宋体" w:hAnsi="宋体" w:cs="宋体"/>
                <w:color w:val="auto"/>
                <w:szCs w:val="21"/>
                <w:highlight w:val="none"/>
              </w:rPr>
            </w:pPr>
          </w:p>
        </w:tc>
        <w:tc>
          <w:tcPr>
            <w:tcW w:w="2907" w:type="dxa"/>
            <w:vAlign w:val="center"/>
          </w:tcPr>
          <w:p>
            <w:pPr>
              <w:spacing w:line="360" w:lineRule="auto"/>
              <w:rPr>
                <w:rFonts w:ascii="宋体" w:hAnsi="宋体" w:cs="宋体"/>
                <w:color w:val="auto"/>
                <w:szCs w:val="21"/>
                <w:highlight w:val="none"/>
              </w:rPr>
            </w:pPr>
          </w:p>
        </w:tc>
        <w:tc>
          <w:tcPr>
            <w:tcW w:w="2551" w:type="dxa"/>
          </w:tcPr>
          <w:p>
            <w:pPr>
              <w:spacing w:line="360" w:lineRule="auto"/>
              <w:rPr>
                <w:rFonts w:ascii="宋体" w:hAnsi="宋体"/>
                <w:b/>
                <w:color w:val="auto"/>
                <w:szCs w:val="21"/>
                <w:highlight w:val="none"/>
              </w:rPr>
            </w:pPr>
          </w:p>
        </w:tc>
        <w:tc>
          <w:tcPr>
            <w:tcW w:w="1418" w:type="dxa"/>
          </w:tcPr>
          <w:p>
            <w:pPr>
              <w:spacing w:line="360" w:lineRule="auto"/>
              <w:rPr>
                <w:rFonts w:ascii="宋体" w:hAnsi="宋体"/>
                <w:b/>
                <w:color w:val="auto"/>
                <w:szCs w:val="21"/>
                <w:highlight w:val="none"/>
              </w:rPr>
            </w:pPr>
          </w:p>
        </w:tc>
        <w:tc>
          <w:tcPr>
            <w:tcW w:w="851" w:type="dxa"/>
          </w:tcPr>
          <w:p>
            <w:pPr>
              <w:spacing w:line="360" w:lineRule="auto"/>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rPr>
                <w:rFonts w:ascii="宋体" w:hAnsi="宋体"/>
                <w:b/>
                <w:color w:val="auto"/>
                <w:szCs w:val="21"/>
                <w:highlight w:val="none"/>
              </w:rPr>
            </w:pPr>
          </w:p>
        </w:tc>
        <w:tc>
          <w:tcPr>
            <w:tcW w:w="2907" w:type="dxa"/>
          </w:tcPr>
          <w:p>
            <w:pPr>
              <w:spacing w:line="360" w:lineRule="auto"/>
              <w:rPr>
                <w:rFonts w:ascii="宋体" w:hAnsi="宋体"/>
                <w:b/>
                <w:color w:val="auto"/>
                <w:szCs w:val="21"/>
                <w:highlight w:val="none"/>
              </w:rPr>
            </w:pPr>
          </w:p>
        </w:tc>
        <w:tc>
          <w:tcPr>
            <w:tcW w:w="2551" w:type="dxa"/>
          </w:tcPr>
          <w:p>
            <w:pPr>
              <w:spacing w:line="360" w:lineRule="auto"/>
              <w:rPr>
                <w:rFonts w:ascii="宋体" w:hAnsi="宋体"/>
                <w:b/>
                <w:color w:val="auto"/>
                <w:szCs w:val="21"/>
                <w:highlight w:val="none"/>
              </w:rPr>
            </w:pPr>
          </w:p>
        </w:tc>
        <w:tc>
          <w:tcPr>
            <w:tcW w:w="1418" w:type="dxa"/>
          </w:tcPr>
          <w:p>
            <w:pPr>
              <w:spacing w:line="360" w:lineRule="auto"/>
              <w:rPr>
                <w:rFonts w:ascii="宋体" w:hAnsi="宋体"/>
                <w:b/>
                <w:color w:val="auto"/>
                <w:szCs w:val="21"/>
                <w:highlight w:val="none"/>
              </w:rPr>
            </w:pPr>
          </w:p>
        </w:tc>
        <w:tc>
          <w:tcPr>
            <w:tcW w:w="851" w:type="dxa"/>
          </w:tcPr>
          <w:p>
            <w:pPr>
              <w:spacing w:line="360" w:lineRule="auto"/>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rPr>
                <w:rFonts w:ascii="宋体" w:hAnsi="宋体"/>
                <w:b/>
                <w:color w:val="auto"/>
                <w:szCs w:val="21"/>
                <w:highlight w:val="none"/>
              </w:rPr>
            </w:pPr>
          </w:p>
        </w:tc>
        <w:tc>
          <w:tcPr>
            <w:tcW w:w="2907" w:type="dxa"/>
          </w:tcPr>
          <w:p>
            <w:pPr>
              <w:spacing w:line="360" w:lineRule="auto"/>
              <w:rPr>
                <w:rFonts w:ascii="宋体" w:hAnsi="宋体"/>
                <w:b/>
                <w:color w:val="auto"/>
                <w:szCs w:val="21"/>
                <w:highlight w:val="none"/>
              </w:rPr>
            </w:pPr>
          </w:p>
        </w:tc>
        <w:tc>
          <w:tcPr>
            <w:tcW w:w="2551" w:type="dxa"/>
          </w:tcPr>
          <w:p>
            <w:pPr>
              <w:spacing w:line="360" w:lineRule="auto"/>
              <w:rPr>
                <w:rFonts w:ascii="宋体" w:hAnsi="宋体"/>
                <w:b/>
                <w:color w:val="auto"/>
                <w:szCs w:val="21"/>
                <w:highlight w:val="none"/>
              </w:rPr>
            </w:pPr>
          </w:p>
        </w:tc>
        <w:tc>
          <w:tcPr>
            <w:tcW w:w="1418" w:type="dxa"/>
          </w:tcPr>
          <w:p>
            <w:pPr>
              <w:spacing w:line="360" w:lineRule="auto"/>
              <w:rPr>
                <w:rFonts w:ascii="宋体" w:hAnsi="宋体"/>
                <w:b/>
                <w:color w:val="auto"/>
                <w:szCs w:val="21"/>
                <w:highlight w:val="none"/>
              </w:rPr>
            </w:pPr>
          </w:p>
        </w:tc>
        <w:tc>
          <w:tcPr>
            <w:tcW w:w="851" w:type="dxa"/>
          </w:tcPr>
          <w:p>
            <w:pPr>
              <w:spacing w:line="360" w:lineRule="auto"/>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rPr>
                <w:rFonts w:ascii="宋体" w:hAnsi="宋体"/>
                <w:b/>
                <w:color w:val="auto"/>
                <w:szCs w:val="21"/>
                <w:highlight w:val="none"/>
              </w:rPr>
            </w:pPr>
          </w:p>
        </w:tc>
        <w:tc>
          <w:tcPr>
            <w:tcW w:w="2907" w:type="dxa"/>
          </w:tcPr>
          <w:p>
            <w:pPr>
              <w:spacing w:line="360" w:lineRule="auto"/>
              <w:rPr>
                <w:rFonts w:ascii="宋体" w:hAnsi="宋体"/>
                <w:b/>
                <w:color w:val="auto"/>
                <w:szCs w:val="21"/>
                <w:highlight w:val="none"/>
              </w:rPr>
            </w:pPr>
          </w:p>
        </w:tc>
        <w:tc>
          <w:tcPr>
            <w:tcW w:w="2551" w:type="dxa"/>
          </w:tcPr>
          <w:p>
            <w:pPr>
              <w:spacing w:line="360" w:lineRule="auto"/>
              <w:rPr>
                <w:rFonts w:ascii="宋体" w:hAnsi="宋体"/>
                <w:b/>
                <w:color w:val="auto"/>
                <w:szCs w:val="21"/>
                <w:highlight w:val="none"/>
              </w:rPr>
            </w:pPr>
          </w:p>
        </w:tc>
        <w:tc>
          <w:tcPr>
            <w:tcW w:w="1418" w:type="dxa"/>
          </w:tcPr>
          <w:p>
            <w:pPr>
              <w:spacing w:line="360" w:lineRule="auto"/>
              <w:rPr>
                <w:rFonts w:ascii="宋体" w:hAnsi="宋体"/>
                <w:b/>
                <w:color w:val="auto"/>
                <w:szCs w:val="21"/>
                <w:highlight w:val="none"/>
              </w:rPr>
            </w:pPr>
          </w:p>
        </w:tc>
        <w:tc>
          <w:tcPr>
            <w:tcW w:w="851" w:type="dxa"/>
          </w:tcPr>
          <w:p>
            <w:pPr>
              <w:spacing w:line="360" w:lineRule="auto"/>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rPr>
                <w:rFonts w:ascii="宋体" w:hAnsi="宋体"/>
                <w:b/>
                <w:color w:val="auto"/>
                <w:szCs w:val="21"/>
                <w:highlight w:val="none"/>
              </w:rPr>
            </w:pPr>
          </w:p>
        </w:tc>
        <w:tc>
          <w:tcPr>
            <w:tcW w:w="2907" w:type="dxa"/>
          </w:tcPr>
          <w:p>
            <w:pPr>
              <w:spacing w:line="360" w:lineRule="auto"/>
              <w:rPr>
                <w:rFonts w:ascii="宋体" w:hAnsi="宋体"/>
                <w:b/>
                <w:color w:val="auto"/>
                <w:szCs w:val="21"/>
                <w:highlight w:val="none"/>
              </w:rPr>
            </w:pPr>
          </w:p>
        </w:tc>
        <w:tc>
          <w:tcPr>
            <w:tcW w:w="2551" w:type="dxa"/>
          </w:tcPr>
          <w:p>
            <w:pPr>
              <w:spacing w:line="360" w:lineRule="auto"/>
              <w:rPr>
                <w:rFonts w:ascii="宋体" w:hAnsi="宋体"/>
                <w:b/>
                <w:color w:val="auto"/>
                <w:szCs w:val="21"/>
                <w:highlight w:val="none"/>
              </w:rPr>
            </w:pPr>
          </w:p>
        </w:tc>
        <w:tc>
          <w:tcPr>
            <w:tcW w:w="1418" w:type="dxa"/>
          </w:tcPr>
          <w:p>
            <w:pPr>
              <w:spacing w:line="360" w:lineRule="auto"/>
              <w:rPr>
                <w:rFonts w:ascii="宋体" w:hAnsi="宋体"/>
                <w:b/>
                <w:color w:val="auto"/>
                <w:szCs w:val="21"/>
                <w:highlight w:val="none"/>
              </w:rPr>
            </w:pPr>
          </w:p>
        </w:tc>
        <w:tc>
          <w:tcPr>
            <w:tcW w:w="851" w:type="dxa"/>
          </w:tcPr>
          <w:p>
            <w:pPr>
              <w:spacing w:line="360" w:lineRule="auto"/>
              <w:rPr>
                <w:rFonts w:ascii="宋体" w:hAnsi="宋体"/>
                <w:b/>
                <w:color w:val="auto"/>
                <w:szCs w:val="21"/>
                <w:highlight w:val="none"/>
              </w:rPr>
            </w:pPr>
          </w:p>
        </w:tc>
      </w:tr>
    </w:tbl>
    <w:p>
      <w:pPr>
        <w:spacing w:line="360" w:lineRule="auto"/>
        <w:rPr>
          <w:rFonts w:ascii="宋体" w:hAnsi="宋体"/>
          <w:color w:val="auto"/>
          <w:szCs w:val="21"/>
          <w:highlight w:val="none"/>
        </w:rPr>
      </w:pPr>
    </w:p>
    <w:p>
      <w:pPr>
        <w:spacing w:line="360" w:lineRule="auto"/>
        <w:ind w:left="1012" w:leftChars="132" w:hanging="735" w:hangingChars="350"/>
        <w:rPr>
          <w:rFonts w:ascii="宋体" w:hAnsi="宋体"/>
          <w:b/>
          <w:bCs/>
          <w:color w:val="auto"/>
          <w:szCs w:val="21"/>
          <w:highlight w:val="none"/>
        </w:rPr>
      </w:pPr>
      <w:r>
        <w:rPr>
          <w:rFonts w:hint="eastAsia" w:ascii="宋体" w:hAnsi="宋体"/>
          <w:color w:val="auto"/>
          <w:szCs w:val="21"/>
          <w:highlight w:val="none"/>
        </w:rPr>
        <w:t>注：1）供应商应对照磋商文件“用户需求书”，如实地说明已对磋商文件“用户需求书”内容的响应情况，并说明与磋商文件的偏差和响应情况，若发现虚假填写，按无效</w:t>
      </w:r>
      <w:r>
        <w:rPr>
          <w:rFonts w:hint="eastAsia" w:ascii="宋体" w:hAnsi="宋体"/>
          <w:color w:val="auto"/>
          <w:szCs w:val="21"/>
          <w:highlight w:val="none"/>
          <w:lang w:val="en-US" w:eastAsia="zh-CN"/>
        </w:rPr>
        <w:t>响应</w:t>
      </w:r>
      <w:r>
        <w:rPr>
          <w:rFonts w:hint="eastAsia" w:ascii="宋体" w:hAnsi="宋体"/>
          <w:color w:val="auto"/>
          <w:szCs w:val="21"/>
          <w:highlight w:val="none"/>
        </w:rPr>
        <w:t>处理。</w:t>
      </w:r>
    </w:p>
    <w:p>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2）如供应商差异内容较多可另附页说明。</w:t>
      </w:r>
    </w:p>
    <w:p>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3）如供应商对“用户需求书”的条款全部响应的，也可以在表格下面用文字总括性的说明。</w:t>
      </w:r>
    </w:p>
    <w:p>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4）如有偏离，应在“偏离情况”栏内注明“有”，并在“说明”栏内予以说明；如无偏离，应在“偏离情况”栏内注明“无”。</w:t>
      </w:r>
    </w:p>
    <w:p>
      <w:pPr>
        <w:snapToGrid w:val="0"/>
        <w:spacing w:line="360" w:lineRule="auto"/>
        <w:rPr>
          <w:rFonts w:ascii="宋体" w:hAnsi="宋体"/>
          <w:color w:val="auto"/>
          <w:szCs w:val="21"/>
          <w:highlight w:val="none"/>
        </w:rPr>
      </w:pPr>
    </w:p>
    <w:p>
      <w:pPr>
        <w:snapToGrid w:val="0"/>
        <w:spacing w:line="360" w:lineRule="auto"/>
        <w:rPr>
          <w:rFonts w:ascii="宋体" w:hAnsi="宋体"/>
          <w:color w:val="auto"/>
          <w:szCs w:val="21"/>
          <w:highlight w:val="none"/>
        </w:rPr>
      </w:pP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供应商法定代表人（或法定代表人授权代表）签名：</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供应商名称（加盖公章）：</w:t>
      </w:r>
    </w:p>
    <w:p>
      <w:pPr>
        <w:snapToGrid w:val="0"/>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rPr>
        <w:t xml:space="preserve">日期： </w:t>
      </w:r>
    </w:p>
    <w:p>
      <w:pPr>
        <w:rPr>
          <w:rFonts w:hint="eastAsia" w:ascii="宋体" w:hAnsi="宋体" w:eastAsia="宋体" w:cs="宋体"/>
          <w:color w:val="auto"/>
          <w:w w:val="101"/>
          <w:sz w:val="20"/>
          <w:szCs w:val="20"/>
          <w:highlight w:val="none"/>
          <w:lang w:val="en-US" w:eastAsia="zh-CN"/>
        </w:rPr>
      </w:pPr>
      <w:r>
        <w:rPr>
          <w:rFonts w:hint="eastAsia" w:ascii="宋体" w:hAnsi="宋体" w:eastAsia="宋体" w:cs="宋体"/>
          <w:color w:val="auto"/>
          <w:w w:val="101"/>
          <w:sz w:val="20"/>
          <w:szCs w:val="20"/>
          <w:highlight w:val="none"/>
          <w:lang w:val="en-US" w:eastAsia="zh-CN"/>
        </w:rPr>
        <w:br w:type="page"/>
      </w:r>
    </w:p>
    <w:p>
      <w:pPr>
        <w:rPr>
          <w:rFonts w:hint="eastAsia"/>
          <w:b/>
          <w:bCs/>
          <w:color w:val="auto"/>
          <w:sz w:val="24"/>
          <w:szCs w:val="24"/>
          <w:highlight w:val="none"/>
          <w:lang w:val="en-US" w:eastAsia="zh-CN"/>
        </w:rPr>
      </w:pPr>
      <w:r>
        <w:rPr>
          <w:rFonts w:hint="eastAsia"/>
          <w:b/>
          <w:bCs/>
          <w:color w:val="auto"/>
          <w:sz w:val="24"/>
          <w:szCs w:val="24"/>
          <w:highlight w:val="none"/>
          <w:lang w:val="en-US" w:eastAsia="zh-CN"/>
        </w:rPr>
        <w:t>格式十二：</w:t>
      </w:r>
    </w:p>
    <w:p>
      <w:pPr>
        <w:pStyle w:val="2"/>
        <w:jc w:val="center"/>
        <w:rPr>
          <w:b/>
          <w:bCs/>
          <w:color w:val="auto"/>
          <w:highlight w:val="none"/>
        </w:rPr>
      </w:pPr>
      <w:r>
        <w:rPr>
          <w:b/>
          <w:bCs/>
          <w:color w:val="auto"/>
          <w:highlight w:val="none"/>
        </w:rPr>
        <w:t>商务</w:t>
      </w:r>
      <w:r>
        <w:rPr>
          <w:rFonts w:hint="eastAsia"/>
          <w:b/>
          <w:bCs/>
          <w:color w:val="auto"/>
          <w:highlight w:val="none"/>
        </w:rPr>
        <w:t>要求</w:t>
      </w:r>
      <w:r>
        <w:rPr>
          <w:b/>
          <w:bCs/>
          <w:color w:val="auto"/>
          <w:highlight w:val="none"/>
        </w:rPr>
        <w:t>响应表</w:t>
      </w:r>
    </w:p>
    <w:p>
      <w:pPr>
        <w:rPr>
          <w:b/>
          <w:bCs/>
          <w:color w:val="auto"/>
          <w:sz w:val="24"/>
          <w:highlight w:val="none"/>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2907"/>
        <w:gridCol w:w="2551"/>
        <w:gridCol w:w="141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206"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磋商文件条目号</w:t>
            </w:r>
          </w:p>
        </w:tc>
        <w:tc>
          <w:tcPr>
            <w:tcW w:w="2907"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采购要求</w:t>
            </w:r>
          </w:p>
        </w:tc>
        <w:tc>
          <w:tcPr>
            <w:tcW w:w="2551"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响应规格</w:t>
            </w:r>
          </w:p>
        </w:tc>
        <w:tc>
          <w:tcPr>
            <w:tcW w:w="1418"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偏离情况</w:t>
            </w:r>
          </w:p>
        </w:tc>
        <w:tc>
          <w:tcPr>
            <w:tcW w:w="851"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rPr>
                <w:rFonts w:ascii="宋体" w:hAnsi="宋体"/>
                <w:b/>
                <w:color w:val="auto"/>
                <w:szCs w:val="21"/>
                <w:highlight w:val="none"/>
              </w:rPr>
            </w:pPr>
          </w:p>
        </w:tc>
        <w:tc>
          <w:tcPr>
            <w:tcW w:w="2907" w:type="dxa"/>
          </w:tcPr>
          <w:p>
            <w:pPr>
              <w:spacing w:line="360" w:lineRule="auto"/>
              <w:rPr>
                <w:rFonts w:ascii="宋体" w:hAnsi="宋体"/>
                <w:b/>
                <w:color w:val="auto"/>
                <w:szCs w:val="21"/>
                <w:highlight w:val="none"/>
              </w:rPr>
            </w:pPr>
          </w:p>
        </w:tc>
        <w:tc>
          <w:tcPr>
            <w:tcW w:w="2551" w:type="dxa"/>
          </w:tcPr>
          <w:p>
            <w:pPr>
              <w:spacing w:line="360" w:lineRule="auto"/>
              <w:rPr>
                <w:rFonts w:ascii="宋体" w:hAnsi="宋体"/>
                <w:b/>
                <w:color w:val="auto"/>
                <w:szCs w:val="21"/>
                <w:highlight w:val="none"/>
              </w:rPr>
            </w:pPr>
          </w:p>
        </w:tc>
        <w:tc>
          <w:tcPr>
            <w:tcW w:w="1418" w:type="dxa"/>
          </w:tcPr>
          <w:p>
            <w:pPr>
              <w:spacing w:line="360" w:lineRule="auto"/>
              <w:rPr>
                <w:rFonts w:ascii="宋体" w:hAnsi="宋体"/>
                <w:b/>
                <w:color w:val="auto"/>
                <w:szCs w:val="21"/>
                <w:highlight w:val="none"/>
              </w:rPr>
            </w:pPr>
          </w:p>
        </w:tc>
        <w:tc>
          <w:tcPr>
            <w:tcW w:w="851" w:type="dxa"/>
          </w:tcPr>
          <w:p>
            <w:pPr>
              <w:spacing w:line="360" w:lineRule="auto"/>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vAlign w:val="center"/>
          </w:tcPr>
          <w:p>
            <w:pPr>
              <w:spacing w:line="360" w:lineRule="auto"/>
              <w:rPr>
                <w:rFonts w:ascii="宋体" w:hAnsi="宋体" w:cs="宋体"/>
                <w:color w:val="auto"/>
                <w:szCs w:val="21"/>
                <w:highlight w:val="none"/>
              </w:rPr>
            </w:pPr>
          </w:p>
        </w:tc>
        <w:tc>
          <w:tcPr>
            <w:tcW w:w="2907" w:type="dxa"/>
            <w:vAlign w:val="center"/>
          </w:tcPr>
          <w:p>
            <w:pPr>
              <w:spacing w:line="360" w:lineRule="auto"/>
              <w:rPr>
                <w:rFonts w:ascii="宋体" w:hAnsi="宋体" w:cs="宋体"/>
                <w:color w:val="auto"/>
                <w:szCs w:val="21"/>
                <w:highlight w:val="none"/>
              </w:rPr>
            </w:pPr>
          </w:p>
        </w:tc>
        <w:tc>
          <w:tcPr>
            <w:tcW w:w="2551" w:type="dxa"/>
          </w:tcPr>
          <w:p>
            <w:pPr>
              <w:spacing w:line="360" w:lineRule="auto"/>
              <w:rPr>
                <w:rFonts w:ascii="宋体" w:hAnsi="宋体"/>
                <w:b/>
                <w:color w:val="auto"/>
                <w:szCs w:val="21"/>
                <w:highlight w:val="none"/>
              </w:rPr>
            </w:pPr>
          </w:p>
        </w:tc>
        <w:tc>
          <w:tcPr>
            <w:tcW w:w="1418" w:type="dxa"/>
          </w:tcPr>
          <w:p>
            <w:pPr>
              <w:spacing w:line="360" w:lineRule="auto"/>
              <w:rPr>
                <w:rFonts w:ascii="宋体" w:hAnsi="宋体"/>
                <w:b/>
                <w:color w:val="auto"/>
                <w:szCs w:val="21"/>
                <w:highlight w:val="none"/>
              </w:rPr>
            </w:pPr>
          </w:p>
        </w:tc>
        <w:tc>
          <w:tcPr>
            <w:tcW w:w="851" w:type="dxa"/>
          </w:tcPr>
          <w:p>
            <w:pPr>
              <w:spacing w:line="360" w:lineRule="auto"/>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rPr>
                <w:rFonts w:ascii="宋体" w:hAnsi="宋体"/>
                <w:b/>
                <w:color w:val="auto"/>
                <w:szCs w:val="21"/>
                <w:highlight w:val="none"/>
              </w:rPr>
            </w:pPr>
          </w:p>
        </w:tc>
        <w:tc>
          <w:tcPr>
            <w:tcW w:w="2907" w:type="dxa"/>
          </w:tcPr>
          <w:p>
            <w:pPr>
              <w:spacing w:line="360" w:lineRule="auto"/>
              <w:rPr>
                <w:rFonts w:ascii="宋体" w:hAnsi="宋体"/>
                <w:b/>
                <w:color w:val="auto"/>
                <w:szCs w:val="21"/>
                <w:highlight w:val="none"/>
              </w:rPr>
            </w:pPr>
          </w:p>
        </w:tc>
        <w:tc>
          <w:tcPr>
            <w:tcW w:w="2551" w:type="dxa"/>
          </w:tcPr>
          <w:p>
            <w:pPr>
              <w:spacing w:line="360" w:lineRule="auto"/>
              <w:rPr>
                <w:rFonts w:ascii="宋体" w:hAnsi="宋体"/>
                <w:b/>
                <w:color w:val="auto"/>
                <w:szCs w:val="21"/>
                <w:highlight w:val="none"/>
              </w:rPr>
            </w:pPr>
          </w:p>
        </w:tc>
        <w:tc>
          <w:tcPr>
            <w:tcW w:w="1418" w:type="dxa"/>
          </w:tcPr>
          <w:p>
            <w:pPr>
              <w:spacing w:line="360" w:lineRule="auto"/>
              <w:rPr>
                <w:rFonts w:ascii="宋体" w:hAnsi="宋体"/>
                <w:b/>
                <w:color w:val="auto"/>
                <w:szCs w:val="21"/>
                <w:highlight w:val="none"/>
              </w:rPr>
            </w:pPr>
          </w:p>
        </w:tc>
        <w:tc>
          <w:tcPr>
            <w:tcW w:w="851" w:type="dxa"/>
          </w:tcPr>
          <w:p>
            <w:pPr>
              <w:spacing w:line="360" w:lineRule="auto"/>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rPr>
                <w:rFonts w:ascii="宋体" w:hAnsi="宋体"/>
                <w:b/>
                <w:color w:val="auto"/>
                <w:szCs w:val="21"/>
                <w:highlight w:val="none"/>
              </w:rPr>
            </w:pPr>
          </w:p>
        </w:tc>
        <w:tc>
          <w:tcPr>
            <w:tcW w:w="2907" w:type="dxa"/>
          </w:tcPr>
          <w:p>
            <w:pPr>
              <w:spacing w:line="360" w:lineRule="auto"/>
              <w:rPr>
                <w:rFonts w:ascii="宋体" w:hAnsi="宋体"/>
                <w:b/>
                <w:color w:val="auto"/>
                <w:szCs w:val="21"/>
                <w:highlight w:val="none"/>
              </w:rPr>
            </w:pPr>
          </w:p>
        </w:tc>
        <w:tc>
          <w:tcPr>
            <w:tcW w:w="2551" w:type="dxa"/>
          </w:tcPr>
          <w:p>
            <w:pPr>
              <w:spacing w:line="360" w:lineRule="auto"/>
              <w:rPr>
                <w:rFonts w:ascii="宋体" w:hAnsi="宋体"/>
                <w:b/>
                <w:color w:val="auto"/>
                <w:szCs w:val="21"/>
                <w:highlight w:val="none"/>
              </w:rPr>
            </w:pPr>
          </w:p>
        </w:tc>
        <w:tc>
          <w:tcPr>
            <w:tcW w:w="1418" w:type="dxa"/>
          </w:tcPr>
          <w:p>
            <w:pPr>
              <w:spacing w:line="360" w:lineRule="auto"/>
              <w:rPr>
                <w:rFonts w:ascii="宋体" w:hAnsi="宋体"/>
                <w:b/>
                <w:color w:val="auto"/>
                <w:szCs w:val="21"/>
                <w:highlight w:val="none"/>
              </w:rPr>
            </w:pPr>
          </w:p>
        </w:tc>
        <w:tc>
          <w:tcPr>
            <w:tcW w:w="851" w:type="dxa"/>
          </w:tcPr>
          <w:p>
            <w:pPr>
              <w:spacing w:line="360" w:lineRule="auto"/>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rPr>
                <w:rFonts w:ascii="宋体" w:hAnsi="宋体"/>
                <w:b/>
                <w:color w:val="auto"/>
                <w:szCs w:val="21"/>
                <w:highlight w:val="none"/>
              </w:rPr>
            </w:pPr>
          </w:p>
        </w:tc>
        <w:tc>
          <w:tcPr>
            <w:tcW w:w="2907" w:type="dxa"/>
          </w:tcPr>
          <w:p>
            <w:pPr>
              <w:spacing w:line="360" w:lineRule="auto"/>
              <w:rPr>
                <w:rFonts w:ascii="宋体" w:hAnsi="宋体"/>
                <w:b/>
                <w:color w:val="auto"/>
                <w:szCs w:val="21"/>
                <w:highlight w:val="none"/>
              </w:rPr>
            </w:pPr>
          </w:p>
        </w:tc>
        <w:tc>
          <w:tcPr>
            <w:tcW w:w="2551" w:type="dxa"/>
          </w:tcPr>
          <w:p>
            <w:pPr>
              <w:spacing w:line="360" w:lineRule="auto"/>
              <w:rPr>
                <w:rFonts w:ascii="宋体" w:hAnsi="宋体"/>
                <w:b/>
                <w:color w:val="auto"/>
                <w:szCs w:val="21"/>
                <w:highlight w:val="none"/>
              </w:rPr>
            </w:pPr>
          </w:p>
        </w:tc>
        <w:tc>
          <w:tcPr>
            <w:tcW w:w="1418" w:type="dxa"/>
          </w:tcPr>
          <w:p>
            <w:pPr>
              <w:spacing w:line="360" w:lineRule="auto"/>
              <w:rPr>
                <w:rFonts w:ascii="宋体" w:hAnsi="宋体"/>
                <w:b/>
                <w:color w:val="auto"/>
                <w:szCs w:val="21"/>
                <w:highlight w:val="none"/>
              </w:rPr>
            </w:pPr>
          </w:p>
        </w:tc>
        <w:tc>
          <w:tcPr>
            <w:tcW w:w="851" w:type="dxa"/>
          </w:tcPr>
          <w:p>
            <w:pPr>
              <w:spacing w:line="360" w:lineRule="auto"/>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rPr>
                <w:rFonts w:ascii="宋体" w:hAnsi="宋体"/>
                <w:b/>
                <w:color w:val="auto"/>
                <w:szCs w:val="21"/>
                <w:highlight w:val="none"/>
              </w:rPr>
            </w:pPr>
          </w:p>
        </w:tc>
        <w:tc>
          <w:tcPr>
            <w:tcW w:w="2907" w:type="dxa"/>
          </w:tcPr>
          <w:p>
            <w:pPr>
              <w:spacing w:line="360" w:lineRule="auto"/>
              <w:rPr>
                <w:rFonts w:ascii="宋体" w:hAnsi="宋体"/>
                <w:b/>
                <w:color w:val="auto"/>
                <w:szCs w:val="21"/>
                <w:highlight w:val="none"/>
              </w:rPr>
            </w:pPr>
          </w:p>
        </w:tc>
        <w:tc>
          <w:tcPr>
            <w:tcW w:w="2551" w:type="dxa"/>
          </w:tcPr>
          <w:p>
            <w:pPr>
              <w:spacing w:line="360" w:lineRule="auto"/>
              <w:rPr>
                <w:rFonts w:ascii="宋体" w:hAnsi="宋体"/>
                <w:b/>
                <w:color w:val="auto"/>
                <w:szCs w:val="21"/>
                <w:highlight w:val="none"/>
              </w:rPr>
            </w:pPr>
          </w:p>
        </w:tc>
        <w:tc>
          <w:tcPr>
            <w:tcW w:w="1418" w:type="dxa"/>
          </w:tcPr>
          <w:p>
            <w:pPr>
              <w:spacing w:line="360" w:lineRule="auto"/>
              <w:rPr>
                <w:rFonts w:ascii="宋体" w:hAnsi="宋体"/>
                <w:b/>
                <w:color w:val="auto"/>
                <w:szCs w:val="21"/>
                <w:highlight w:val="none"/>
              </w:rPr>
            </w:pPr>
          </w:p>
        </w:tc>
        <w:tc>
          <w:tcPr>
            <w:tcW w:w="851" w:type="dxa"/>
          </w:tcPr>
          <w:p>
            <w:pPr>
              <w:spacing w:line="360" w:lineRule="auto"/>
              <w:rPr>
                <w:rFonts w:ascii="宋体" w:hAnsi="宋体"/>
                <w:b/>
                <w:color w:val="auto"/>
                <w:szCs w:val="21"/>
                <w:highlight w:val="none"/>
              </w:rPr>
            </w:pPr>
          </w:p>
        </w:tc>
      </w:tr>
    </w:tbl>
    <w:p>
      <w:pPr>
        <w:spacing w:line="360" w:lineRule="auto"/>
        <w:rPr>
          <w:rFonts w:ascii="宋体" w:hAnsi="宋体"/>
          <w:color w:val="auto"/>
          <w:szCs w:val="21"/>
          <w:highlight w:val="none"/>
        </w:rPr>
      </w:pPr>
    </w:p>
    <w:p>
      <w:pPr>
        <w:spacing w:line="360" w:lineRule="auto"/>
        <w:ind w:left="1012" w:leftChars="132" w:hanging="735" w:hangingChars="350"/>
        <w:rPr>
          <w:rFonts w:ascii="宋体" w:hAnsi="宋体"/>
          <w:b/>
          <w:bCs/>
          <w:color w:val="auto"/>
          <w:szCs w:val="21"/>
          <w:highlight w:val="none"/>
        </w:rPr>
      </w:pPr>
      <w:r>
        <w:rPr>
          <w:rFonts w:hint="eastAsia" w:ascii="宋体" w:hAnsi="宋体"/>
          <w:color w:val="auto"/>
          <w:szCs w:val="21"/>
          <w:highlight w:val="none"/>
        </w:rPr>
        <w:t>注：1）供应商应对照磋商文件“用户需求书”，如实地说明已对磋商文件“用户需求书”内容的响应情况，并说明与磋商文件的偏差和响应情况，若发现虚假填写，按无效</w:t>
      </w:r>
      <w:r>
        <w:rPr>
          <w:rFonts w:hint="eastAsia" w:ascii="宋体" w:hAnsi="宋体"/>
          <w:color w:val="auto"/>
          <w:szCs w:val="21"/>
          <w:highlight w:val="none"/>
          <w:lang w:val="en-US" w:eastAsia="zh-CN"/>
        </w:rPr>
        <w:t>响应</w:t>
      </w:r>
      <w:r>
        <w:rPr>
          <w:rFonts w:hint="eastAsia" w:ascii="宋体" w:hAnsi="宋体"/>
          <w:color w:val="auto"/>
          <w:szCs w:val="21"/>
          <w:highlight w:val="none"/>
        </w:rPr>
        <w:t>处理。</w:t>
      </w:r>
    </w:p>
    <w:p>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2）如供应商差异内容较多可另附页说明。</w:t>
      </w:r>
    </w:p>
    <w:p>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3）如供应商对“用户需求书”的条款全部响应的，也可以在表格下面用文字总括性的说明。</w:t>
      </w:r>
    </w:p>
    <w:p>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4）如有偏离，应在“偏离情况”栏内注明“有”，并在“说明”栏内予以说明；如无偏离，应在“偏离情况”栏内注明“无”。</w:t>
      </w:r>
    </w:p>
    <w:p>
      <w:pPr>
        <w:snapToGrid w:val="0"/>
        <w:spacing w:line="360" w:lineRule="auto"/>
        <w:rPr>
          <w:rFonts w:ascii="宋体" w:hAnsi="宋体"/>
          <w:color w:val="auto"/>
          <w:szCs w:val="21"/>
          <w:highlight w:val="none"/>
        </w:rPr>
      </w:pPr>
    </w:p>
    <w:p>
      <w:pPr>
        <w:snapToGrid w:val="0"/>
        <w:spacing w:line="360" w:lineRule="auto"/>
        <w:rPr>
          <w:rFonts w:hint="eastAsia" w:ascii="宋体" w:hAnsi="宋体"/>
          <w:color w:val="auto"/>
          <w:szCs w:val="21"/>
          <w:highlight w:val="none"/>
        </w:rPr>
      </w:pP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供应商法定代表人（或法定代表人授权代表）签名：</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供应商名称（加盖公章）：</w:t>
      </w:r>
    </w:p>
    <w:p>
      <w:pPr>
        <w:snapToGrid w:val="0"/>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rPr>
        <w:t xml:space="preserve">日期： </w:t>
      </w:r>
    </w:p>
    <w:p>
      <w:pPr>
        <w:rPr>
          <w:rFonts w:hint="eastAsia" w:ascii="宋体" w:hAnsi="宋体" w:eastAsia="宋体" w:cs="宋体"/>
          <w:color w:val="auto"/>
          <w:w w:val="101"/>
          <w:sz w:val="20"/>
          <w:szCs w:val="20"/>
          <w:highlight w:val="none"/>
          <w:lang w:val="en-US" w:eastAsia="zh-CN"/>
        </w:rPr>
      </w:pPr>
      <w:r>
        <w:rPr>
          <w:rFonts w:hint="eastAsia" w:ascii="宋体" w:hAnsi="宋体" w:eastAsia="宋体" w:cs="宋体"/>
          <w:color w:val="auto"/>
          <w:w w:val="101"/>
          <w:sz w:val="20"/>
          <w:szCs w:val="20"/>
          <w:highlight w:val="none"/>
          <w:lang w:val="en-US" w:eastAsia="zh-CN"/>
        </w:rPr>
        <w:br w:type="page"/>
      </w:r>
    </w:p>
    <w:p>
      <w:pPr>
        <w:rPr>
          <w:rFonts w:hint="eastAsia"/>
          <w:b/>
          <w:bCs/>
          <w:color w:val="auto"/>
          <w:sz w:val="24"/>
          <w:szCs w:val="24"/>
          <w:highlight w:val="none"/>
          <w:lang w:val="en-US" w:eastAsia="zh-CN"/>
        </w:rPr>
      </w:pPr>
      <w:r>
        <w:rPr>
          <w:rFonts w:hint="eastAsia"/>
          <w:b/>
          <w:bCs/>
          <w:color w:val="auto"/>
          <w:sz w:val="24"/>
          <w:szCs w:val="24"/>
          <w:highlight w:val="none"/>
          <w:lang w:val="en-US" w:eastAsia="zh-CN"/>
        </w:rPr>
        <w:t>格式十三：</w:t>
      </w:r>
    </w:p>
    <w:p>
      <w:pPr>
        <w:pStyle w:val="2"/>
        <w:spacing w:before="114"/>
        <w:ind w:left="490"/>
        <w:rPr>
          <w:color w:val="auto"/>
          <w:sz w:val="21"/>
          <w:szCs w:val="21"/>
          <w:highlight w:val="none"/>
        </w:rPr>
      </w:pPr>
      <w:r>
        <w:rPr>
          <w:color w:val="auto"/>
          <w:sz w:val="21"/>
          <w:szCs w:val="21"/>
          <w:highlight w:val="none"/>
        </w:rPr>
        <w:t>（以下格式文件由</w:t>
      </w:r>
      <w:r>
        <w:rPr>
          <w:rFonts w:hint="eastAsia"/>
          <w:color w:val="auto"/>
          <w:sz w:val="21"/>
          <w:szCs w:val="21"/>
          <w:highlight w:val="none"/>
          <w:lang w:eastAsia="zh-CN"/>
        </w:rPr>
        <w:t>供应商</w:t>
      </w:r>
      <w:r>
        <w:rPr>
          <w:color w:val="auto"/>
          <w:sz w:val="21"/>
          <w:szCs w:val="21"/>
          <w:highlight w:val="none"/>
        </w:rPr>
        <w:t>根据需要选用）</w:t>
      </w:r>
    </w:p>
    <w:p>
      <w:pPr>
        <w:pStyle w:val="2"/>
        <w:spacing w:before="8"/>
        <w:rPr>
          <w:color w:val="auto"/>
          <w:sz w:val="13"/>
          <w:highlight w:val="none"/>
        </w:rPr>
      </w:pPr>
    </w:p>
    <w:p>
      <w:pPr>
        <w:pStyle w:val="4"/>
        <w:rPr>
          <w:color w:val="auto"/>
          <w:highlight w:val="none"/>
        </w:rPr>
      </w:pPr>
      <w:bookmarkStart w:id="315" w:name="_Toc10424"/>
      <w:bookmarkStart w:id="316" w:name="_Toc16713"/>
      <w:bookmarkStart w:id="317" w:name="_Toc27833"/>
      <w:bookmarkStart w:id="318" w:name="_Toc20098"/>
      <w:r>
        <w:rPr>
          <w:color w:val="auto"/>
          <w:highlight w:val="none"/>
        </w:rPr>
        <w:t>履约进度计划表</w:t>
      </w:r>
      <w:bookmarkEnd w:id="315"/>
      <w:bookmarkEnd w:id="316"/>
      <w:bookmarkEnd w:id="317"/>
      <w:bookmarkEnd w:id="318"/>
    </w:p>
    <w:p>
      <w:pPr>
        <w:pStyle w:val="2"/>
        <w:spacing w:before="2" w:after="1"/>
        <w:rPr>
          <w:b/>
          <w:color w:val="auto"/>
          <w:sz w:val="17"/>
          <w:highlight w:val="none"/>
        </w:rPr>
      </w:pPr>
    </w:p>
    <w:tbl>
      <w:tblPr>
        <w:tblStyle w:val="16"/>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47"/>
        <w:gridCol w:w="2829"/>
        <w:gridCol w:w="2490"/>
        <w:gridCol w:w="22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700" w:type="pct"/>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拟定时间安排</w:t>
            </w:r>
          </w:p>
        </w:tc>
        <w:tc>
          <w:tcPr>
            <w:tcW w:w="1496" w:type="pct"/>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计划完成的工作内容</w:t>
            </w:r>
          </w:p>
        </w:tc>
        <w:tc>
          <w:tcPr>
            <w:tcW w:w="1354" w:type="pct"/>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实施方建议或要求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1</w:t>
            </w:r>
          </w:p>
        </w:tc>
        <w:tc>
          <w:tcPr>
            <w:tcW w:w="1700" w:type="pct"/>
            <w:shd w:val="clear" w:color="auto" w:fill="FFFFFF" w:themeFill="background1"/>
            <w:vAlign w:val="top"/>
          </w:tcPr>
          <w:p>
            <w:pPr>
              <w:pStyle w:val="24"/>
              <w:keepNext w:val="0"/>
              <w:keepLines w:val="0"/>
              <w:pageBreakBefore w:val="0"/>
              <w:widowControl w:val="0"/>
              <w:tabs>
                <w:tab w:val="left" w:pos="772"/>
                <w:tab w:val="left" w:pos="1253"/>
                <w:tab w:val="left" w:pos="1733"/>
              </w:tabs>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tc>
        <w:tc>
          <w:tcPr>
            <w:tcW w:w="1496" w:type="pct"/>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签定合同并生效</w:t>
            </w:r>
          </w:p>
        </w:tc>
        <w:tc>
          <w:tcPr>
            <w:tcW w:w="1354" w:type="pct"/>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2</w:t>
            </w:r>
          </w:p>
        </w:tc>
        <w:tc>
          <w:tcPr>
            <w:tcW w:w="1700" w:type="pct"/>
            <w:shd w:val="clear" w:color="auto" w:fill="FFFFFF" w:themeFill="background1"/>
            <w:vAlign w:val="top"/>
          </w:tcPr>
          <w:p>
            <w:pPr>
              <w:pStyle w:val="24"/>
              <w:keepNext w:val="0"/>
              <w:keepLines w:val="0"/>
              <w:pageBreakBefore w:val="0"/>
              <w:widowControl w:val="0"/>
              <w:tabs>
                <w:tab w:val="left" w:pos="388"/>
                <w:tab w:val="left" w:pos="868"/>
                <w:tab w:val="left" w:pos="1541"/>
                <w:tab w:val="left" w:pos="2021"/>
              </w:tabs>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tc>
        <w:tc>
          <w:tcPr>
            <w:tcW w:w="1496" w:type="pct"/>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c>
          <w:tcPr>
            <w:tcW w:w="1354" w:type="pct"/>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3</w:t>
            </w:r>
          </w:p>
        </w:tc>
        <w:tc>
          <w:tcPr>
            <w:tcW w:w="1700" w:type="pct"/>
            <w:shd w:val="clear" w:color="auto" w:fill="FFFFFF" w:themeFill="background1"/>
            <w:vAlign w:val="top"/>
          </w:tcPr>
          <w:p>
            <w:pPr>
              <w:pStyle w:val="24"/>
              <w:keepNext w:val="0"/>
              <w:keepLines w:val="0"/>
              <w:pageBreakBefore w:val="0"/>
              <w:widowControl w:val="0"/>
              <w:tabs>
                <w:tab w:val="left" w:pos="388"/>
                <w:tab w:val="left" w:pos="868"/>
                <w:tab w:val="left" w:pos="1541"/>
                <w:tab w:val="left" w:pos="2021"/>
              </w:tabs>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tc>
        <w:tc>
          <w:tcPr>
            <w:tcW w:w="1496" w:type="pct"/>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c>
          <w:tcPr>
            <w:tcW w:w="1354" w:type="pct"/>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4</w:t>
            </w:r>
          </w:p>
        </w:tc>
        <w:tc>
          <w:tcPr>
            <w:tcW w:w="1700" w:type="pct"/>
            <w:shd w:val="clear" w:color="auto" w:fill="FFFFFF" w:themeFill="background1"/>
            <w:vAlign w:val="top"/>
          </w:tcPr>
          <w:p>
            <w:pPr>
              <w:pStyle w:val="24"/>
              <w:keepNext w:val="0"/>
              <w:keepLines w:val="0"/>
              <w:pageBreakBefore w:val="0"/>
              <w:widowControl w:val="0"/>
              <w:tabs>
                <w:tab w:val="left" w:pos="388"/>
                <w:tab w:val="left" w:pos="868"/>
                <w:tab w:val="left" w:pos="1541"/>
                <w:tab w:val="left" w:pos="2021"/>
              </w:tabs>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tc>
        <w:tc>
          <w:tcPr>
            <w:tcW w:w="1496" w:type="pct"/>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w:t>
            </w:r>
          </w:p>
        </w:tc>
        <w:tc>
          <w:tcPr>
            <w:tcW w:w="1354" w:type="pct"/>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r>
    </w:tbl>
    <w:p>
      <w:pPr>
        <w:rPr>
          <w:rFonts w:hint="eastAsia"/>
          <w:color w:val="auto"/>
          <w:highlight w:val="none"/>
          <w:lang w:val="en-US" w:eastAsia="zh-CN"/>
        </w:rPr>
      </w:pPr>
      <w:r>
        <w:rPr>
          <w:rFonts w:hint="eastAsia"/>
          <w:color w:val="auto"/>
          <w:highlight w:val="none"/>
          <w:lang w:val="en-US" w:eastAsia="zh-CN"/>
        </w:rPr>
        <w:br w:type="page"/>
      </w:r>
    </w:p>
    <w:p>
      <w:pPr>
        <w:outlineLvl w:val="1"/>
        <w:rPr>
          <w:rFonts w:hint="eastAsia"/>
          <w:b/>
          <w:bCs/>
          <w:color w:val="auto"/>
          <w:sz w:val="24"/>
          <w:szCs w:val="32"/>
          <w:highlight w:val="none"/>
          <w:lang w:val="en-US" w:eastAsia="zh-CN"/>
        </w:rPr>
      </w:pPr>
      <w:bookmarkStart w:id="319" w:name="_Toc7867"/>
      <w:bookmarkStart w:id="320" w:name="_Toc6564"/>
      <w:bookmarkStart w:id="321" w:name="_Toc2912"/>
      <w:bookmarkStart w:id="322" w:name="_Toc26415"/>
      <w:r>
        <w:rPr>
          <w:rFonts w:hint="eastAsia"/>
          <w:b/>
          <w:bCs/>
          <w:color w:val="auto"/>
          <w:sz w:val="24"/>
          <w:szCs w:val="32"/>
          <w:highlight w:val="none"/>
          <w:lang w:val="en-US" w:eastAsia="zh-CN"/>
        </w:rPr>
        <w:t>格式十四：</w:t>
      </w:r>
      <w:bookmarkEnd w:id="319"/>
      <w:bookmarkEnd w:id="320"/>
      <w:bookmarkEnd w:id="321"/>
      <w:bookmarkEnd w:id="322"/>
    </w:p>
    <w:p>
      <w:pPr>
        <w:pStyle w:val="2"/>
        <w:rPr>
          <w:color w:val="auto"/>
          <w:sz w:val="21"/>
          <w:szCs w:val="21"/>
          <w:highlight w:val="none"/>
        </w:rPr>
      </w:pPr>
      <w:r>
        <w:rPr>
          <w:color w:val="auto"/>
          <w:sz w:val="21"/>
          <w:szCs w:val="21"/>
          <w:highlight w:val="none"/>
        </w:rPr>
        <w:t>（以下格式文件由</w:t>
      </w:r>
      <w:r>
        <w:rPr>
          <w:rFonts w:hint="eastAsia"/>
          <w:color w:val="auto"/>
          <w:sz w:val="21"/>
          <w:szCs w:val="21"/>
          <w:highlight w:val="none"/>
          <w:lang w:eastAsia="zh-CN"/>
        </w:rPr>
        <w:t>供应商</w:t>
      </w:r>
      <w:r>
        <w:rPr>
          <w:color w:val="auto"/>
          <w:sz w:val="21"/>
          <w:szCs w:val="21"/>
          <w:highlight w:val="none"/>
        </w:rPr>
        <w:t>根据需要选用）</w:t>
      </w:r>
    </w:p>
    <w:p>
      <w:pPr>
        <w:rPr>
          <w:color w:val="auto"/>
          <w:sz w:val="20"/>
          <w:szCs w:val="20"/>
          <w:highlight w:val="none"/>
        </w:rPr>
      </w:pPr>
    </w:p>
    <w:p>
      <w:pPr>
        <w:pStyle w:val="2"/>
        <w:jc w:val="center"/>
        <w:rPr>
          <w:b/>
          <w:bCs/>
          <w:color w:val="auto"/>
          <w:highlight w:val="none"/>
        </w:rPr>
      </w:pPr>
      <w:r>
        <w:rPr>
          <w:b/>
          <w:bCs/>
          <w:color w:val="auto"/>
          <w:highlight w:val="none"/>
        </w:rPr>
        <w:t>各类证明材料</w:t>
      </w:r>
    </w:p>
    <w:p>
      <w:pPr>
        <w:pStyle w:val="22"/>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textAlignment w:val="auto"/>
        <w:outlineLvl w:val="1"/>
        <w:rPr>
          <w:rFonts w:hint="eastAsia" w:ascii="宋体" w:hAnsi="宋体" w:eastAsia="宋体" w:cs="宋体"/>
          <w:color w:val="auto"/>
          <w:sz w:val="21"/>
          <w:szCs w:val="21"/>
          <w:highlight w:val="none"/>
        </w:rPr>
      </w:pPr>
      <w:bookmarkStart w:id="323" w:name="_Toc3338"/>
      <w:bookmarkStart w:id="324" w:name="_Toc14919"/>
      <w:bookmarkStart w:id="325" w:name="_Toc10497"/>
      <w:bookmarkStart w:id="326" w:name="_Toc3436"/>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要求提供的其他资料。</w:t>
      </w:r>
      <w:bookmarkEnd w:id="323"/>
      <w:bookmarkEnd w:id="324"/>
      <w:bookmarkEnd w:id="325"/>
      <w:bookmarkEnd w:id="326"/>
    </w:p>
    <w:p>
      <w:pPr>
        <w:pStyle w:val="22"/>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textAlignment w:val="auto"/>
        <w:outlineLvl w:val="1"/>
        <w:rPr>
          <w:rFonts w:hint="eastAsia" w:ascii="宋体" w:hAnsi="宋体" w:eastAsia="宋体" w:cs="宋体"/>
          <w:color w:val="auto"/>
          <w:sz w:val="21"/>
          <w:szCs w:val="21"/>
          <w:highlight w:val="none"/>
        </w:rPr>
      </w:pPr>
      <w:bookmarkStart w:id="327" w:name="_Toc26846"/>
      <w:bookmarkStart w:id="328" w:name="_Toc2429"/>
      <w:bookmarkStart w:id="329" w:name="_Toc26572"/>
      <w:bookmarkStart w:id="330" w:name="_Toc7938"/>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认为需提供的其他资料。</w:t>
      </w:r>
      <w:bookmarkEnd w:id="327"/>
      <w:bookmarkEnd w:id="328"/>
      <w:bookmarkEnd w:id="329"/>
      <w:bookmarkEnd w:id="330"/>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22"/>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textAlignment w:val="auto"/>
        <w:outlineLvl w:val="1"/>
        <w:rPr>
          <w:rFonts w:hint="eastAsia" w:ascii="宋体" w:hAnsi="宋体" w:eastAsia="宋体" w:cs="宋体"/>
          <w:b/>
          <w:bCs/>
          <w:color w:val="auto"/>
          <w:sz w:val="24"/>
          <w:szCs w:val="24"/>
          <w:highlight w:val="none"/>
          <w:lang w:eastAsia="zh-CN"/>
        </w:rPr>
      </w:pPr>
      <w:bookmarkStart w:id="331" w:name="_Toc2436"/>
      <w:bookmarkStart w:id="332" w:name="_Toc30382"/>
      <w:bookmarkStart w:id="333" w:name="_Toc25195"/>
      <w:bookmarkStart w:id="334" w:name="_Toc27193"/>
      <w:r>
        <w:rPr>
          <w:rFonts w:hint="eastAsia" w:ascii="宋体" w:hAnsi="宋体" w:eastAsia="宋体" w:cs="宋体"/>
          <w:b/>
          <w:bCs/>
          <w:color w:val="auto"/>
          <w:sz w:val="24"/>
          <w:szCs w:val="24"/>
          <w:highlight w:val="none"/>
          <w:lang w:eastAsia="zh-CN"/>
        </w:rPr>
        <w:t>格式十五：</w:t>
      </w:r>
      <w:bookmarkEnd w:id="331"/>
      <w:bookmarkEnd w:id="332"/>
      <w:bookmarkEnd w:id="333"/>
      <w:bookmarkEnd w:id="334"/>
    </w:p>
    <w:p>
      <w:pPr>
        <w:pStyle w:val="22"/>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采购代理服务费支付承诺书</w:t>
      </w:r>
    </w:p>
    <w:p>
      <w:pPr>
        <w:bidi w:val="0"/>
        <w:rPr>
          <w:rFonts w:hint="eastAsia"/>
          <w:color w:val="auto"/>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国顺招标有限公司</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如果我方在贵采购代理机构组织的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w:t>
      </w:r>
      <w:r>
        <w:rPr>
          <w:rFonts w:hint="eastAsia" w:cs="宋体"/>
          <w:color w:val="auto"/>
          <w:sz w:val="21"/>
          <w:szCs w:val="21"/>
          <w:highlight w:val="none"/>
          <w:lang w:val="en-US" w:eastAsia="zh-CN"/>
        </w:rPr>
        <w:t>采购</w:t>
      </w:r>
      <w:r>
        <w:rPr>
          <w:rFonts w:hint="eastAsia" w:ascii="宋体" w:hAnsi="宋体" w:eastAsia="宋体" w:cs="宋体"/>
          <w:color w:val="auto"/>
          <w:sz w:val="21"/>
          <w:szCs w:val="21"/>
          <w:highlight w:val="none"/>
        </w:rPr>
        <w:t>中获</w:t>
      </w:r>
      <w:r>
        <w:rPr>
          <w:rFonts w:hint="eastAsia" w:cs="宋体"/>
          <w:color w:val="auto"/>
          <w:sz w:val="21"/>
          <w:szCs w:val="21"/>
          <w:highlight w:val="none"/>
          <w:lang w:val="en-US" w:eastAsia="zh-CN"/>
        </w:rPr>
        <w:t>成交</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w w:val="105"/>
          <w:sz w:val="21"/>
          <w:szCs w:val="21"/>
          <w:highlight w:val="none"/>
        </w:rPr>
        <w:t>），</w:t>
      </w:r>
      <w:r>
        <w:rPr>
          <w:rFonts w:hint="eastAsia" w:ascii="宋体" w:hAnsi="宋体" w:eastAsia="宋体" w:cs="宋体"/>
          <w:color w:val="auto"/>
          <w:sz w:val="21"/>
          <w:szCs w:val="21"/>
          <w:highlight w:val="none"/>
        </w:rPr>
        <w:t>我方保证在收取《</w:t>
      </w:r>
      <w:r>
        <w:rPr>
          <w:rFonts w:hint="eastAsia" w:cs="宋体"/>
          <w:color w:val="auto"/>
          <w:sz w:val="21"/>
          <w:szCs w:val="21"/>
          <w:highlight w:val="none"/>
          <w:lang w:val="en-US" w:eastAsia="zh-CN"/>
        </w:rPr>
        <w:t>成交</w:t>
      </w:r>
      <w:r>
        <w:rPr>
          <w:rFonts w:hint="eastAsia" w:ascii="宋体" w:hAnsi="宋体" w:eastAsia="宋体" w:cs="宋体"/>
          <w:color w:val="auto"/>
          <w:sz w:val="21"/>
          <w:szCs w:val="21"/>
          <w:highlight w:val="none"/>
        </w:rPr>
        <w:t>通知书》时，按</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对代理服务费支付方式的约定，承担本项目代理服务费。</w:t>
      </w:r>
    </w:p>
    <w:p>
      <w:pPr>
        <w:pStyle w:val="22"/>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我方如违约，愿凭贵单位开出的违约通知，从我方提交的</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中支付，不足部分由采购人在支付我方的</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合同款中代为扣付；以</w:t>
      </w:r>
      <w:r>
        <w:rPr>
          <w:rFonts w:hint="eastAsia" w:ascii="宋体" w:hAnsi="宋体" w:cs="宋体"/>
          <w:color w:val="auto"/>
          <w:sz w:val="21"/>
          <w:szCs w:val="21"/>
          <w:highlight w:val="none"/>
          <w:lang w:eastAsia="zh-CN"/>
        </w:rPr>
        <w:t>响应担保函</w:t>
      </w:r>
      <w:r>
        <w:rPr>
          <w:rFonts w:hint="eastAsia" w:ascii="宋体" w:hAnsi="宋体" w:eastAsia="宋体" w:cs="宋体"/>
          <w:color w:val="auto"/>
          <w:sz w:val="21"/>
          <w:szCs w:val="21"/>
          <w:highlight w:val="none"/>
        </w:rPr>
        <w:t>（或保险保函）方式提交</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时，同意和要求</w:t>
      </w:r>
      <w:r>
        <w:rPr>
          <w:rFonts w:hint="eastAsia" w:ascii="宋体" w:hAnsi="宋体" w:cs="宋体"/>
          <w:color w:val="auto"/>
          <w:sz w:val="21"/>
          <w:szCs w:val="21"/>
          <w:highlight w:val="none"/>
          <w:lang w:eastAsia="zh-CN"/>
        </w:rPr>
        <w:t>响应担保函</w:t>
      </w:r>
      <w:r>
        <w:rPr>
          <w:rFonts w:hint="eastAsia" w:ascii="宋体" w:hAnsi="宋体" w:eastAsia="宋体" w:cs="宋体"/>
          <w:color w:val="auto"/>
          <w:sz w:val="21"/>
          <w:szCs w:val="21"/>
          <w:highlight w:val="none"/>
        </w:rPr>
        <w:t>开立银行或担保机构、保险保函开立的保险机构应</w:t>
      </w:r>
      <w:r>
        <w:rPr>
          <w:rFonts w:hint="eastAsia" w:ascii="宋体" w:hAnsi="宋体" w:eastAsia="宋体" w:cs="宋体"/>
          <w:color w:val="auto"/>
          <w:sz w:val="21"/>
          <w:szCs w:val="21"/>
          <w:highlight w:val="none"/>
          <w:lang w:eastAsia="zh-CN"/>
        </w:rPr>
        <w:t>国顺招标有限公司</w:t>
      </w:r>
      <w:r>
        <w:rPr>
          <w:rFonts w:hint="eastAsia" w:ascii="宋体" w:hAnsi="宋体" w:eastAsia="宋体" w:cs="宋体"/>
          <w:color w:val="auto"/>
          <w:sz w:val="21"/>
          <w:szCs w:val="21"/>
          <w:highlight w:val="none"/>
        </w:rPr>
        <w:t>的要求办理支付手续。</w:t>
      </w:r>
    </w:p>
    <w:p>
      <w:pPr>
        <w:pStyle w:val="22"/>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lang w:eastAsia="zh-CN"/>
        </w:rPr>
      </w:pPr>
      <w:r>
        <w:rPr>
          <w:rFonts w:hint="eastAsia"/>
          <w:color w:val="auto"/>
          <w:highlight w:val="none"/>
          <w:lang w:eastAsia="zh-CN"/>
        </w:rPr>
        <w:t>供应商</w:t>
      </w:r>
      <w:r>
        <w:rPr>
          <w:rFonts w:hint="eastAsia"/>
          <w:color w:val="auto"/>
          <w:highlight w:val="none"/>
        </w:rPr>
        <w:t>法定名称（公章）</w:t>
      </w:r>
      <w:r>
        <w:rPr>
          <w:rFonts w:hint="eastAsia"/>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rPr>
      </w:pPr>
      <w:r>
        <w:rPr>
          <w:rFonts w:hint="eastAsia"/>
          <w:color w:val="auto"/>
          <w:highlight w:val="none"/>
          <w:lang w:eastAsia="zh-CN"/>
        </w:rPr>
        <w:t>供应商</w:t>
      </w:r>
      <w:r>
        <w:rPr>
          <w:rFonts w:hint="eastAsia"/>
          <w:color w:val="auto"/>
          <w:highlight w:val="none"/>
        </w:rPr>
        <w:t>法定地址：</w:t>
      </w:r>
    </w:p>
    <w:p>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rPr>
      </w:pPr>
      <w:r>
        <w:rPr>
          <w:rFonts w:hint="eastAsia"/>
          <w:color w:val="auto"/>
          <w:highlight w:val="none"/>
          <w:lang w:eastAsia="zh-CN"/>
        </w:rPr>
        <w:t>供应商</w:t>
      </w:r>
      <w:r>
        <w:rPr>
          <w:rFonts w:hint="eastAsia"/>
          <w:color w:val="auto"/>
          <w:highlight w:val="none"/>
        </w:rPr>
        <w:t>授权代表（签字或盖章）：</w:t>
      </w:r>
    </w:p>
    <w:p>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rPr>
      </w:pPr>
      <w:r>
        <w:rPr>
          <w:rFonts w:hint="eastAsia"/>
          <w:color w:val="auto"/>
          <w:highlight w:val="none"/>
        </w:rPr>
        <w:t>电 话：</w:t>
      </w:r>
    </w:p>
    <w:p>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rPr>
      </w:pPr>
      <w:r>
        <w:rPr>
          <w:rFonts w:hint="eastAsia"/>
          <w:color w:val="auto"/>
          <w:highlight w:val="none"/>
        </w:rPr>
        <w:t>传 真：</w:t>
      </w:r>
    </w:p>
    <w:p>
      <w:pPr>
        <w:pStyle w:val="22"/>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480" w:lineRule="auto"/>
        <w:ind w:left="0" w:leftChars="0" w:right="0" w:firstLine="420" w:firstLineChars="200"/>
        <w:textAlignment w:val="auto"/>
        <w:rPr>
          <w:rFonts w:hint="eastAsia"/>
          <w:color w:val="auto"/>
          <w:highlight w:val="none"/>
        </w:rPr>
      </w:pPr>
      <w:r>
        <w:rPr>
          <w:rFonts w:hint="eastAsia"/>
          <w:color w:val="auto"/>
          <w:highlight w:val="none"/>
        </w:rPr>
        <w:t>承诺日期：</w:t>
      </w:r>
    </w:p>
    <w:p>
      <w:pPr>
        <w:rPr>
          <w:rFonts w:hint="eastAsia"/>
          <w:color w:val="auto"/>
          <w:highlight w:val="none"/>
        </w:rPr>
      </w:pPr>
      <w:r>
        <w:rPr>
          <w:rFonts w:hint="eastAsia"/>
          <w:color w:val="auto"/>
          <w:highlight w:val="none"/>
        </w:rPr>
        <w:br w:type="page"/>
      </w:r>
    </w:p>
    <w:p>
      <w:pPr>
        <w:pStyle w:val="22"/>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textAlignment w:val="auto"/>
        <w:outlineLvl w:val="1"/>
        <w:rPr>
          <w:rFonts w:hint="eastAsia" w:ascii="宋体" w:hAnsi="宋体" w:eastAsia="宋体" w:cs="宋体"/>
          <w:b/>
          <w:bCs/>
          <w:color w:val="auto"/>
          <w:sz w:val="24"/>
          <w:szCs w:val="24"/>
          <w:highlight w:val="none"/>
          <w:lang w:eastAsia="zh-CN"/>
        </w:rPr>
      </w:pPr>
      <w:bookmarkStart w:id="335" w:name="_Toc3970"/>
      <w:bookmarkStart w:id="336" w:name="_Toc7693"/>
      <w:bookmarkStart w:id="337" w:name="_Toc28801"/>
      <w:bookmarkStart w:id="338" w:name="_Toc32108"/>
      <w:r>
        <w:rPr>
          <w:rFonts w:hint="eastAsia" w:ascii="宋体" w:hAnsi="宋体" w:eastAsia="宋体" w:cs="宋体"/>
          <w:b/>
          <w:bCs/>
          <w:color w:val="auto"/>
          <w:sz w:val="24"/>
          <w:szCs w:val="24"/>
          <w:highlight w:val="none"/>
          <w:lang w:eastAsia="zh-CN"/>
        </w:rPr>
        <w:t>格式十五：</w:t>
      </w:r>
      <w:bookmarkEnd w:id="335"/>
      <w:bookmarkEnd w:id="336"/>
      <w:bookmarkEnd w:id="337"/>
      <w:bookmarkEnd w:id="338"/>
    </w:p>
    <w:p>
      <w:pPr>
        <w:pStyle w:val="2"/>
        <w:keepNext w:val="0"/>
        <w:keepLines w:val="0"/>
        <w:pageBreakBefore w:val="0"/>
        <w:widowControl w:val="0"/>
        <w:kinsoku/>
        <w:wordWrap/>
        <w:overflowPunct/>
        <w:topLinePunct w:val="0"/>
        <w:autoSpaceDE/>
        <w:autoSpaceDN/>
        <w:bidi w:val="0"/>
        <w:adjustRightInd/>
        <w:snapToGrid/>
        <w:spacing w:before="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（以下格式文件由</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根据需要选用）</w:t>
      </w:r>
    </w:p>
    <w:p>
      <w:pPr>
        <w:pStyle w:val="2"/>
        <w:spacing w:before="8"/>
        <w:rPr>
          <w:rFonts w:hint="eastAsia" w:ascii="宋体" w:hAnsi="宋体" w:eastAsia="宋体" w:cs="宋体"/>
          <w:color w:val="auto"/>
          <w:sz w:val="21"/>
          <w:szCs w:val="21"/>
          <w:highlight w:val="none"/>
        </w:rPr>
      </w:pPr>
    </w:p>
    <w:p>
      <w:pPr>
        <w:bidi w:val="0"/>
        <w:jc w:val="center"/>
        <w:outlineLvl w:val="1"/>
        <w:rPr>
          <w:rFonts w:hint="eastAsia" w:ascii="宋体" w:hAnsi="宋体" w:eastAsia="宋体" w:cs="宋体"/>
          <w:b/>
          <w:bCs/>
          <w:color w:val="auto"/>
          <w:sz w:val="21"/>
          <w:szCs w:val="21"/>
          <w:highlight w:val="none"/>
        </w:rPr>
      </w:pPr>
      <w:bookmarkStart w:id="339" w:name="_Toc4401"/>
      <w:bookmarkStart w:id="340" w:name="_Toc31849"/>
      <w:bookmarkStart w:id="341" w:name="_Toc17430"/>
      <w:bookmarkStart w:id="342" w:name="_Toc11855"/>
      <w:r>
        <w:rPr>
          <w:rFonts w:hint="eastAsia" w:ascii="宋体" w:hAnsi="宋体" w:eastAsia="宋体" w:cs="宋体"/>
          <w:b/>
          <w:bCs/>
          <w:color w:val="auto"/>
          <w:sz w:val="21"/>
          <w:szCs w:val="21"/>
          <w:highlight w:val="none"/>
        </w:rPr>
        <w:t>需要</w:t>
      </w:r>
      <w:r>
        <w:rPr>
          <w:rFonts w:hint="eastAsia" w:ascii="宋体" w:hAnsi="宋体" w:cs="宋体"/>
          <w:b/>
          <w:bCs/>
          <w:color w:val="auto"/>
          <w:sz w:val="21"/>
          <w:szCs w:val="21"/>
          <w:highlight w:val="none"/>
          <w:lang w:eastAsia="zh-CN"/>
        </w:rPr>
        <w:t>采购人</w:t>
      </w:r>
      <w:r>
        <w:rPr>
          <w:rFonts w:hint="eastAsia" w:ascii="宋体" w:hAnsi="宋体" w:eastAsia="宋体" w:cs="宋体"/>
          <w:b/>
          <w:bCs/>
          <w:color w:val="auto"/>
          <w:sz w:val="21"/>
          <w:szCs w:val="21"/>
          <w:highlight w:val="none"/>
        </w:rPr>
        <w:t>提供的附加条件</w:t>
      </w:r>
      <w:bookmarkEnd w:id="339"/>
      <w:bookmarkEnd w:id="340"/>
      <w:bookmarkEnd w:id="341"/>
      <w:bookmarkEnd w:id="342"/>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b/>
          <w:color w:val="auto"/>
          <w:sz w:val="21"/>
          <w:szCs w:val="21"/>
          <w:highlight w:val="none"/>
        </w:rPr>
      </w:pPr>
    </w:p>
    <w:tbl>
      <w:tblPr>
        <w:tblStyle w:val="16"/>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05"/>
        <w:gridCol w:w="70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shd w:val="clear" w:color="auto" w:fill="F4F4F4"/>
          </w:tcPr>
          <w:p>
            <w:pPr>
              <w:pStyle w:val="24"/>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4215" w:type="pct"/>
            <w:shd w:val="clear" w:color="auto" w:fill="F4F4F4"/>
          </w:tcPr>
          <w:p>
            <w:pPr>
              <w:pStyle w:val="24"/>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供应商</w:t>
            </w:r>
            <w:r>
              <w:rPr>
                <w:rFonts w:hint="eastAsia" w:ascii="宋体" w:hAnsi="宋体" w:eastAsia="宋体" w:cs="宋体"/>
                <w:b/>
                <w:color w:val="auto"/>
                <w:sz w:val="21"/>
                <w:szCs w:val="21"/>
                <w:highlight w:val="none"/>
              </w:rPr>
              <w:t>需要</w:t>
            </w:r>
            <w:r>
              <w:rPr>
                <w:rFonts w:hint="eastAsia" w:ascii="宋体" w:hAnsi="宋体" w:cs="宋体"/>
                <w:b/>
                <w:color w:val="auto"/>
                <w:sz w:val="21"/>
                <w:szCs w:val="21"/>
                <w:highlight w:val="none"/>
                <w:lang w:eastAsia="zh-CN"/>
              </w:rPr>
              <w:t>采购人</w:t>
            </w:r>
            <w:r>
              <w:rPr>
                <w:rFonts w:hint="eastAsia" w:ascii="宋体" w:hAnsi="宋体" w:eastAsia="宋体" w:cs="宋体"/>
                <w:b/>
                <w:color w:val="auto"/>
                <w:sz w:val="21"/>
                <w:szCs w:val="21"/>
                <w:highlight w:val="none"/>
              </w:rPr>
              <w:t>提供的附加条件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4"/>
              <w:pageBreakBefore w:val="0"/>
              <w:widowControl w:val="0"/>
              <w:kinsoku/>
              <w:wordWrap/>
              <w:overflowPunct/>
              <w:topLinePunct w:val="0"/>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1</w:t>
            </w:r>
          </w:p>
        </w:tc>
        <w:tc>
          <w:tcPr>
            <w:tcW w:w="4215" w:type="pct"/>
          </w:tcPr>
          <w:p>
            <w:pPr>
              <w:pStyle w:val="24"/>
              <w:pageBreakBefore w:val="0"/>
              <w:widowControl w:val="0"/>
              <w:kinsoku/>
              <w:wordWrap/>
              <w:overflowPunct/>
              <w:topLinePunct w:val="0"/>
              <w:bidi w:val="0"/>
              <w:adjustRightInd/>
              <w:snapToGrid/>
              <w:spacing w:line="360" w:lineRule="auto"/>
              <w:ind w:lef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4"/>
              <w:pageBreakBefore w:val="0"/>
              <w:widowControl w:val="0"/>
              <w:kinsoku/>
              <w:wordWrap/>
              <w:overflowPunct/>
              <w:topLinePunct w:val="0"/>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2</w:t>
            </w:r>
          </w:p>
        </w:tc>
        <w:tc>
          <w:tcPr>
            <w:tcW w:w="4215" w:type="pct"/>
          </w:tcPr>
          <w:p>
            <w:pPr>
              <w:pStyle w:val="24"/>
              <w:pageBreakBefore w:val="0"/>
              <w:widowControl w:val="0"/>
              <w:kinsoku/>
              <w:wordWrap/>
              <w:overflowPunct/>
              <w:topLinePunct w:val="0"/>
              <w:bidi w:val="0"/>
              <w:adjustRightInd/>
              <w:snapToGrid/>
              <w:spacing w:line="360" w:lineRule="auto"/>
              <w:ind w:lef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4"/>
              <w:pageBreakBefore w:val="0"/>
              <w:widowControl w:val="0"/>
              <w:kinsoku/>
              <w:wordWrap/>
              <w:overflowPunct/>
              <w:topLinePunct w:val="0"/>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3</w:t>
            </w:r>
          </w:p>
        </w:tc>
        <w:tc>
          <w:tcPr>
            <w:tcW w:w="4215" w:type="pct"/>
          </w:tcPr>
          <w:p>
            <w:pPr>
              <w:pStyle w:val="24"/>
              <w:pageBreakBefore w:val="0"/>
              <w:widowControl w:val="0"/>
              <w:kinsoku/>
              <w:wordWrap/>
              <w:overflowPunct/>
              <w:topLinePunct w:val="0"/>
              <w:bidi w:val="0"/>
              <w:adjustRightInd/>
              <w:snapToGrid/>
              <w:spacing w:line="360" w:lineRule="auto"/>
              <w:ind w:left="0"/>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完成本项目需要</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配合或提供的条件必须在上表列出，否则将视为</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同意按现有条件完成本项目。如上表所列附加条件含有</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不能接受的，将被视为投标</w:t>
      </w:r>
      <w:r>
        <w:rPr>
          <w:b w:val="0"/>
          <w:bCs w:val="0"/>
          <w:color w:val="auto"/>
          <w:sz w:val="21"/>
          <w:szCs w:val="21"/>
          <w:highlight w:val="none"/>
        </w:rPr>
        <w:t>（响应）</w:t>
      </w:r>
      <w:r>
        <w:rPr>
          <w:rFonts w:hint="eastAsia" w:ascii="宋体" w:hAnsi="宋体" w:eastAsia="宋体" w:cs="宋体"/>
          <w:color w:val="auto"/>
          <w:sz w:val="21"/>
          <w:szCs w:val="21"/>
          <w:highlight w:val="none"/>
        </w:rPr>
        <w:t>无效。</w:t>
      </w:r>
    </w:p>
    <w:p>
      <w:pPr>
        <w:rPr>
          <w:color w:val="auto"/>
          <w:sz w:val="20"/>
          <w:szCs w:val="20"/>
          <w:highlight w:val="none"/>
        </w:rPr>
      </w:pPr>
      <w:r>
        <w:rPr>
          <w:color w:val="auto"/>
          <w:sz w:val="20"/>
          <w:szCs w:val="20"/>
          <w:highlight w:val="none"/>
        </w:rPr>
        <w:br w:type="page"/>
      </w:r>
    </w:p>
    <w:p>
      <w:pPr>
        <w:pStyle w:val="2"/>
        <w:outlineLvl w:val="1"/>
        <w:rPr>
          <w:rFonts w:hint="eastAsia"/>
          <w:b/>
          <w:bCs/>
          <w:color w:val="auto"/>
          <w:highlight w:val="none"/>
          <w:lang w:val="en-US" w:eastAsia="zh-CN"/>
        </w:rPr>
      </w:pPr>
      <w:bookmarkStart w:id="343" w:name="_Toc29916"/>
      <w:bookmarkStart w:id="344" w:name="_Toc29664"/>
      <w:bookmarkStart w:id="345" w:name="_Toc25747"/>
      <w:bookmarkStart w:id="346" w:name="_Toc2879"/>
      <w:r>
        <w:rPr>
          <w:rFonts w:hint="eastAsia"/>
          <w:b/>
          <w:bCs/>
          <w:color w:val="auto"/>
          <w:highlight w:val="none"/>
          <w:lang w:val="en-US" w:eastAsia="zh-CN"/>
        </w:rPr>
        <w:t>格式十六：</w:t>
      </w:r>
      <w:bookmarkEnd w:id="343"/>
      <w:bookmarkEnd w:id="344"/>
      <w:bookmarkEnd w:id="345"/>
      <w:bookmarkEnd w:id="346"/>
    </w:p>
    <w:p>
      <w:pPr>
        <w:pStyle w:val="2"/>
        <w:spacing w:before="114"/>
        <w:ind w:left="490"/>
        <w:rPr>
          <w:color w:val="auto"/>
          <w:sz w:val="21"/>
          <w:szCs w:val="21"/>
          <w:highlight w:val="none"/>
        </w:rPr>
      </w:pPr>
      <w:r>
        <w:rPr>
          <w:color w:val="auto"/>
          <w:sz w:val="21"/>
          <w:szCs w:val="21"/>
          <w:highlight w:val="none"/>
        </w:rPr>
        <w:t>（以下格式文件由</w:t>
      </w:r>
      <w:r>
        <w:rPr>
          <w:rFonts w:hint="eastAsia"/>
          <w:color w:val="auto"/>
          <w:sz w:val="20"/>
          <w:szCs w:val="20"/>
          <w:highlight w:val="none"/>
          <w:lang w:eastAsia="zh-CN"/>
        </w:rPr>
        <w:t>供应商</w:t>
      </w:r>
      <w:r>
        <w:rPr>
          <w:color w:val="auto"/>
          <w:sz w:val="21"/>
          <w:szCs w:val="21"/>
          <w:highlight w:val="none"/>
        </w:rPr>
        <w:t>根据需要选用）</w:t>
      </w:r>
    </w:p>
    <w:p>
      <w:pPr>
        <w:pStyle w:val="2"/>
        <w:spacing w:before="140"/>
        <w:ind w:left="490"/>
        <w:rPr>
          <w:color w:val="auto"/>
          <w:sz w:val="21"/>
          <w:szCs w:val="21"/>
          <w:highlight w:val="none"/>
        </w:rPr>
      </w:pPr>
      <w:r>
        <w:rPr>
          <w:color w:val="auto"/>
          <w:sz w:val="21"/>
          <w:szCs w:val="21"/>
          <w:highlight w:val="none"/>
        </w:rPr>
        <w:t>项目实施方案、质量保证及售后服务承诺等内容和格式自拟。</w:t>
      </w:r>
    </w:p>
    <w:p>
      <w:pPr>
        <w:rPr>
          <w:color w:val="auto"/>
          <w:sz w:val="21"/>
          <w:szCs w:val="21"/>
          <w:highlight w:val="none"/>
        </w:rPr>
      </w:pPr>
      <w:r>
        <w:rPr>
          <w:color w:val="auto"/>
          <w:sz w:val="21"/>
          <w:szCs w:val="21"/>
          <w:highlight w:val="none"/>
        </w:rPr>
        <w:br w:type="page"/>
      </w:r>
    </w:p>
    <w:p>
      <w:pPr>
        <w:pStyle w:val="3"/>
        <w:bidi w:val="0"/>
        <w:rPr>
          <w:rFonts w:hint="eastAsia"/>
          <w:color w:val="auto"/>
          <w:highlight w:val="none"/>
          <w:lang w:val="en-US" w:eastAsia="zh-CN"/>
        </w:rPr>
      </w:pPr>
      <w:bookmarkStart w:id="347" w:name="_Toc12503"/>
      <w:r>
        <w:rPr>
          <w:rFonts w:hint="eastAsia"/>
          <w:color w:val="auto"/>
          <w:highlight w:val="none"/>
          <w:lang w:eastAsia="zh-CN"/>
        </w:rPr>
        <w:t>第七篇</w:t>
      </w:r>
      <w:r>
        <w:rPr>
          <w:rFonts w:hint="eastAsia"/>
          <w:color w:val="auto"/>
          <w:highlight w:val="none"/>
          <w:lang w:val="en-US" w:eastAsia="zh-CN"/>
        </w:rPr>
        <w:t xml:space="preserve"> 报价文件格式</w:t>
      </w:r>
      <w:bookmarkEnd w:id="347"/>
    </w:p>
    <w:p>
      <w:pPr>
        <w:jc w:val="center"/>
        <w:outlineLvl w:val="1"/>
        <w:rPr>
          <w:rFonts w:hint="eastAsia"/>
          <w:b/>
          <w:bCs/>
          <w:color w:val="auto"/>
          <w:highlight w:val="none"/>
          <w:lang w:val="en-US" w:eastAsia="zh-CN"/>
        </w:rPr>
      </w:pPr>
      <w:bookmarkStart w:id="348" w:name="_Toc32249"/>
      <w:bookmarkStart w:id="349" w:name="_Toc11568"/>
      <w:bookmarkStart w:id="350" w:name="_Toc23654"/>
      <w:bookmarkStart w:id="351" w:name="_Toc29643"/>
      <w:r>
        <w:rPr>
          <w:rFonts w:hint="eastAsia"/>
          <w:b/>
          <w:bCs/>
          <w:color w:val="auto"/>
          <w:highlight w:val="none"/>
          <w:lang w:val="en-US" w:eastAsia="zh-CN"/>
        </w:rPr>
        <w:t>（封面格式仅供参考）</w:t>
      </w:r>
      <w:bookmarkEnd w:id="348"/>
      <w:bookmarkEnd w:id="349"/>
      <w:bookmarkEnd w:id="350"/>
      <w:bookmarkEnd w:id="351"/>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2"/>
        <w:rPr>
          <w:rFonts w:ascii="宋体" w:hAnsi="宋体" w:cs="宋体"/>
          <w:b/>
          <w:bCs w:val="0"/>
          <w:color w:val="auto"/>
          <w:kern w:val="0"/>
          <w:sz w:val="38"/>
          <w:szCs w:val="38"/>
          <w:highlight w:val="none"/>
          <w:lang w:val="zh-CN" w:bidi="zh-CN"/>
        </w:rPr>
      </w:pPr>
      <w:bookmarkStart w:id="352" w:name="_Toc24898"/>
      <w:bookmarkStart w:id="353" w:name="_Toc10015"/>
      <w:bookmarkStart w:id="354" w:name="_Toc5561"/>
      <w:bookmarkStart w:id="355" w:name="_Toc31076"/>
      <w:r>
        <w:rPr>
          <w:rFonts w:hint="eastAsia" w:ascii="宋体" w:hAnsi="宋体" w:cs="宋体"/>
          <w:b/>
          <w:bCs w:val="0"/>
          <w:color w:val="auto"/>
          <w:spacing w:val="10"/>
          <w:kern w:val="0"/>
          <w:sz w:val="38"/>
          <w:szCs w:val="38"/>
          <w:highlight w:val="none"/>
          <w:lang w:val="zh-CN" w:bidi="zh-CN"/>
        </w:rPr>
        <w:t>报价文件</w:t>
      </w:r>
      <w:r>
        <w:rPr>
          <w:rFonts w:ascii="宋体" w:hAnsi="宋体" w:cs="宋体"/>
          <w:b/>
          <w:bCs w:val="0"/>
          <w:color w:val="auto"/>
          <w:spacing w:val="10"/>
          <w:kern w:val="0"/>
          <w:sz w:val="38"/>
          <w:szCs w:val="38"/>
          <w:highlight w:val="none"/>
          <w:lang w:val="zh-CN" w:bidi="zh-CN"/>
        </w:rPr>
        <w:t>封面</w:t>
      </w:r>
      <w:bookmarkEnd w:id="352"/>
      <w:bookmarkEnd w:id="353"/>
      <w:bookmarkEnd w:id="354"/>
      <w:bookmarkEnd w:id="355"/>
    </w:p>
    <w:p>
      <w:pPr>
        <w:widowControl w:val="0"/>
        <w:autoSpaceDE w:val="0"/>
        <w:autoSpaceDN w:val="0"/>
        <w:spacing w:before="11"/>
        <w:jc w:val="center"/>
        <w:rPr>
          <w:rFonts w:ascii="宋体" w:hAnsi="宋体" w:eastAsia="宋体" w:cs="宋体"/>
          <w:b/>
          <w:color w:val="auto"/>
          <w:sz w:val="46"/>
          <w:szCs w:val="19"/>
          <w:highlight w:val="none"/>
          <w:lang w:val="zh-CN" w:eastAsia="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356" w:name="_Toc14351"/>
      <w:bookmarkStart w:id="357" w:name="_Toc28515"/>
      <w:bookmarkStart w:id="358" w:name="_Toc77"/>
      <w:bookmarkStart w:id="359" w:name="_Toc18186"/>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报价文件</w:t>
      </w:r>
      <w:r>
        <w:rPr>
          <w:rFonts w:ascii="宋体" w:hAnsi="宋体" w:cs="宋体"/>
          <w:b/>
          <w:color w:val="auto"/>
          <w:spacing w:val="7"/>
          <w:kern w:val="0"/>
          <w:sz w:val="38"/>
          <w:szCs w:val="22"/>
          <w:highlight w:val="none"/>
          <w:lang w:val="zh-CN" w:bidi="zh-CN"/>
        </w:rPr>
        <w:t>封面</w:t>
      </w:r>
      <w:bookmarkEnd w:id="356"/>
      <w:bookmarkEnd w:id="357"/>
      <w:bookmarkEnd w:id="358"/>
      <w:bookmarkEnd w:id="359"/>
    </w:p>
    <w:p>
      <w:pPr>
        <w:widowControl w:val="0"/>
        <w:autoSpaceDE w:val="0"/>
        <w:autoSpaceDN w:val="0"/>
        <w:spacing w:line="479" w:lineRule="exact"/>
        <w:ind w:left="0" w:right="0"/>
        <w:jc w:val="center"/>
        <w:outlineLvl w:val="9"/>
        <w:rPr>
          <w:rFonts w:ascii="宋体" w:hAnsi="宋体" w:eastAsia="宋体" w:cs="宋体"/>
          <w:b/>
          <w:bCs/>
          <w:color w:val="auto"/>
          <w:sz w:val="24"/>
          <w:szCs w:val="24"/>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spacing w:before="8"/>
        <w:jc w:val="center"/>
        <w:rPr>
          <w:rFonts w:ascii="宋体" w:hAnsi="宋体" w:eastAsia="宋体" w:cs="宋体"/>
          <w:b/>
          <w:color w:val="auto"/>
          <w:sz w:val="38"/>
          <w:szCs w:val="19"/>
          <w:highlight w:val="none"/>
          <w:lang w:val="zh-CN" w:eastAsia="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widowControl w:val="0"/>
        <w:autoSpaceDE w:val="0"/>
        <w:autoSpaceDN w:val="0"/>
        <w:jc w:val="center"/>
        <w:rPr>
          <w:rFonts w:ascii="宋体" w:hAnsi="宋体" w:eastAsia="宋体" w:cs="宋体"/>
          <w:b/>
          <w:color w:val="auto"/>
          <w:sz w:val="24"/>
          <w:szCs w:val="19"/>
          <w:highlight w:val="none"/>
          <w:lang w:val="zh-CN" w:eastAsia="zh-CN" w:bidi="zh-CN"/>
        </w:rPr>
      </w:pPr>
    </w:p>
    <w:p>
      <w:pPr>
        <w:widowControl w:val="0"/>
        <w:autoSpaceDE w:val="0"/>
        <w:autoSpaceDN w:val="0"/>
        <w:jc w:val="center"/>
        <w:rPr>
          <w:rFonts w:ascii="宋体" w:hAnsi="宋体" w:eastAsia="宋体" w:cs="宋体"/>
          <w:b/>
          <w:color w:val="auto"/>
          <w:sz w:val="24"/>
          <w:szCs w:val="19"/>
          <w:highlight w:val="none"/>
          <w:lang w:val="zh-CN" w:eastAsia="zh-CN" w:bidi="zh-CN"/>
        </w:rPr>
      </w:pPr>
    </w:p>
    <w:p>
      <w:pPr>
        <w:widowControl w:val="0"/>
        <w:autoSpaceDE w:val="0"/>
        <w:autoSpaceDN w:val="0"/>
        <w:jc w:val="center"/>
        <w:rPr>
          <w:rFonts w:ascii="宋体" w:hAnsi="宋体" w:eastAsia="宋体" w:cs="宋体"/>
          <w:b/>
          <w:color w:val="auto"/>
          <w:sz w:val="24"/>
          <w:szCs w:val="19"/>
          <w:highlight w:val="none"/>
          <w:lang w:val="zh-CN" w:eastAsia="zh-CN" w:bidi="zh-CN"/>
        </w:rPr>
      </w:pPr>
    </w:p>
    <w:p>
      <w:pPr>
        <w:widowControl w:val="0"/>
        <w:autoSpaceDE w:val="0"/>
        <w:autoSpaceDN w:val="0"/>
        <w:jc w:val="center"/>
        <w:rPr>
          <w:rFonts w:ascii="宋体" w:hAnsi="宋体" w:eastAsia="宋体" w:cs="宋体"/>
          <w:b/>
          <w:color w:val="auto"/>
          <w:sz w:val="24"/>
          <w:szCs w:val="19"/>
          <w:highlight w:val="none"/>
          <w:lang w:val="zh-CN" w:eastAsia="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w:t>
      </w:r>
      <w:r>
        <w:rPr>
          <w:rFonts w:hint="eastAsia" w:ascii="宋体" w:hAnsi="宋体" w:cs="宋体"/>
          <w:b/>
          <w:color w:val="auto"/>
          <w:kern w:val="0"/>
          <w:sz w:val="24"/>
          <w:szCs w:val="22"/>
          <w:highlight w:val="none"/>
          <w:lang w:val="zh-CN" w:bidi="zh-CN"/>
        </w:rPr>
        <w:t>供应商</w:t>
      </w:r>
      <w:r>
        <w:rPr>
          <w:rFonts w:ascii="宋体" w:hAnsi="宋体" w:cs="宋体"/>
          <w:b/>
          <w:color w:val="auto"/>
          <w:kern w:val="0"/>
          <w:sz w:val="24"/>
          <w:szCs w:val="22"/>
          <w:highlight w:val="none"/>
          <w:lang w:val="zh-CN" w:bidi="zh-CN"/>
        </w:rPr>
        <w:t xml:space="preserve">名称） </w:t>
      </w: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年</w:t>
      </w:r>
      <w:r>
        <w:rPr>
          <w:rFonts w:hint="eastAsia" w:ascii="宋体" w:hAnsi="宋体" w:cs="宋体"/>
          <w:b/>
          <w:color w:val="auto"/>
          <w:kern w:val="0"/>
          <w:sz w:val="24"/>
          <w:szCs w:val="22"/>
          <w:highlight w:val="none"/>
          <w:lang w:val="en-US" w:bidi="zh-CN"/>
        </w:rPr>
        <w:t xml:space="preserve">  </w:t>
      </w:r>
      <w:r>
        <w:rPr>
          <w:rFonts w:ascii="宋体" w:hAnsi="宋体" w:cs="宋体"/>
          <w:b/>
          <w:color w:val="auto"/>
          <w:kern w:val="0"/>
          <w:sz w:val="24"/>
          <w:szCs w:val="22"/>
          <w:highlight w:val="none"/>
          <w:lang w:val="zh-CN" w:bidi="zh-CN"/>
        </w:rPr>
        <w:t xml:space="preserve">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val="en-US" w:eastAsia="zh-CN" w:bidi="zh-CN"/>
        </w:rPr>
        <w:t xml:space="preserve"> </w:t>
      </w:r>
      <w:r>
        <w:rPr>
          <w:rFonts w:hint="eastAsia" w:ascii="宋体" w:hAnsi="宋体" w:cs="宋体"/>
          <w:b/>
          <w:color w:val="auto"/>
          <w:kern w:val="0"/>
          <w:sz w:val="24"/>
          <w:szCs w:val="22"/>
          <w:highlight w:val="none"/>
          <w:lang w:val="en-US"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pStyle w:val="2"/>
        <w:keepNext w:val="0"/>
        <w:keepLines w:val="0"/>
        <w:pageBreakBefore w:val="0"/>
        <w:widowControl w:val="0"/>
        <w:kinsoku/>
        <w:wordWrap/>
        <w:overflowPunct/>
        <w:topLinePunct w:val="0"/>
        <w:autoSpaceDE/>
        <w:autoSpaceDN/>
        <w:bidi w:val="0"/>
        <w:adjustRightInd/>
        <w:snapToGrid/>
        <w:spacing w:before="0" w:line="360" w:lineRule="auto"/>
        <w:ind w:left="0"/>
        <w:textAlignment w:val="auto"/>
        <w:rPr>
          <w:rFonts w:hint="eastAsia"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报价文件</w:t>
      </w:r>
      <w:r>
        <w:rPr>
          <w:rFonts w:hint="eastAsia" w:ascii="宋体" w:hAnsi="宋体" w:eastAsia="宋体" w:cs="宋体"/>
          <w:b/>
          <w:bCs/>
          <w:color w:val="auto"/>
          <w:sz w:val="21"/>
          <w:szCs w:val="21"/>
          <w:highlight w:val="none"/>
          <w:lang w:val="en-US" w:eastAsia="zh-CN"/>
        </w:rPr>
        <w:t>包括：</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60" w:name="_Toc31505"/>
      <w:bookmarkStart w:id="361" w:name="_Toc24484"/>
      <w:bookmarkStart w:id="362" w:name="_Toc7980"/>
      <w:bookmarkStart w:id="363" w:name="_Toc32100"/>
      <w:r>
        <w:rPr>
          <w:rFonts w:hint="eastAsia" w:ascii="宋体" w:hAnsi="宋体" w:eastAsia="宋体" w:cs="宋体"/>
          <w:b/>
          <w:bCs/>
          <w:color w:val="auto"/>
          <w:sz w:val="21"/>
          <w:szCs w:val="21"/>
          <w:highlight w:val="none"/>
          <w:lang w:val="en-US" w:eastAsia="zh-CN"/>
        </w:rPr>
        <w:t>1、</w:t>
      </w:r>
      <w:bookmarkEnd w:id="360"/>
      <w:bookmarkEnd w:id="361"/>
      <w:bookmarkEnd w:id="362"/>
      <w:bookmarkEnd w:id="363"/>
      <w:r>
        <w:rPr>
          <w:rFonts w:hint="eastAsia" w:cs="宋体"/>
          <w:b/>
          <w:bCs/>
          <w:color w:val="auto"/>
          <w:sz w:val="21"/>
          <w:szCs w:val="21"/>
          <w:highlight w:val="none"/>
          <w:lang w:val="en-US" w:eastAsia="zh-CN"/>
        </w:rPr>
        <w:t>首轮报价表</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64" w:name="_Toc29661"/>
      <w:bookmarkStart w:id="365" w:name="_Toc8054"/>
      <w:bookmarkStart w:id="366" w:name="_Toc20806"/>
      <w:bookmarkStart w:id="367" w:name="_Toc6563"/>
      <w:r>
        <w:rPr>
          <w:rFonts w:hint="eastAsia" w:ascii="宋体" w:hAnsi="宋体" w:eastAsia="宋体" w:cs="宋体"/>
          <w:b/>
          <w:bCs/>
          <w:color w:val="auto"/>
          <w:sz w:val="21"/>
          <w:szCs w:val="21"/>
          <w:highlight w:val="none"/>
          <w:lang w:val="en-US" w:eastAsia="zh-CN"/>
        </w:rPr>
        <w:t>2、分项报价表</w:t>
      </w:r>
      <w:bookmarkEnd w:id="364"/>
      <w:bookmarkEnd w:id="365"/>
      <w:bookmarkEnd w:id="366"/>
      <w:bookmarkEnd w:id="367"/>
    </w:p>
    <w:p>
      <w:pPr>
        <w:pStyle w:val="2"/>
        <w:keepNext w:val="0"/>
        <w:keepLines w:val="0"/>
        <w:pageBreakBefore w:val="0"/>
        <w:widowControl w:val="0"/>
        <w:kinsoku/>
        <w:wordWrap/>
        <w:overflowPunct/>
        <w:topLinePunct w:val="0"/>
        <w:autoSpaceDE/>
        <w:autoSpaceDN/>
        <w:bidi w:val="0"/>
        <w:adjustRightInd/>
        <w:snapToGrid/>
        <w:spacing w:before="0"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68" w:name="_Toc20631"/>
      <w:bookmarkStart w:id="369" w:name="_Toc13609"/>
      <w:bookmarkStart w:id="370" w:name="_Toc5011"/>
      <w:bookmarkStart w:id="371" w:name="_Toc3142"/>
      <w:r>
        <w:rPr>
          <w:rFonts w:hint="eastAsia" w:ascii="宋体" w:hAnsi="宋体" w:eastAsia="宋体" w:cs="宋体"/>
          <w:b/>
          <w:bCs/>
          <w:color w:val="auto"/>
          <w:sz w:val="21"/>
          <w:szCs w:val="21"/>
          <w:highlight w:val="none"/>
          <w:lang w:val="en-US" w:eastAsia="zh-CN"/>
        </w:rPr>
        <w:t>3、法定代表人证明书</w:t>
      </w:r>
      <w:bookmarkEnd w:id="368"/>
      <w:bookmarkEnd w:id="369"/>
      <w:bookmarkEnd w:id="370"/>
      <w:bookmarkEnd w:id="371"/>
    </w:p>
    <w:p>
      <w:pPr>
        <w:pStyle w:val="2"/>
        <w:keepNext w:val="0"/>
        <w:keepLines w:val="0"/>
        <w:pageBreakBefore w:val="0"/>
        <w:widowControl w:val="0"/>
        <w:kinsoku/>
        <w:wordWrap/>
        <w:overflowPunct/>
        <w:topLinePunct w:val="0"/>
        <w:autoSpaceDE/>
        <w:autoSpaceDN/>
        <w:bidi w:val="0"/>
        <w:adjustRightInd/>
        <w:snapToGrid/>
        <w:spacing w:before="0"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72" w:name="_Toc31054"/>
      <w:bookmarkStart w:id="373" w:name="_Toc27439"/>
      <w:bookmarkStart w:id="374" w:name="_Toc31223"/>
      <w:bookmarkStart w:id="375" w:name="_Toc17346"/>
      <w:r>
        <w:rPr>
          <w:rFonts w:hint="eastAsia" w:ascii="宋体" w:hAnsi="宋体" w:eastAsia="宋体" w:cs="宋体"/>
          <w:b/>
          <w:bCs/>
          <w:color w:val="auto"/>
          <w:sz w:val="21"/>
          <w:szCs w:val="21"/>
          <w:highlight w:val="none"/>
          <w:lang w:val="en-US" w:eastAsia="zh-CN"/>
        </w:rPr>
        <w:t>4、法定代表人授权书</w:t>
      </w:r>
      <w:bookmarkEnd w:id="372"/>
      <w:bookmarkEnd w:id="373"/>
      <w:bookmarkEnd w:id="374"/>
      <w:bookmarkEnd w:id="375"/>
    </w:p>
    <w:p>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76" w:name="_Toc16304"/>
      <w:bookmarkStart w:id="377" w:name="_Toc20213"/>
      <w:bookmarkStart w:id="378" w:name="_Toc29210"/>
      <w:bookmarkStart w:id="379" w:name="_Toc23814"/>
      <w:r>
        <w:rPr>
          <w:rFonts w:hint="eastAsia" w:ascii="宋体" w:hAnsi="宋体" w:eastAsia="宋体" w:cs="宋体"/>
          <w:b/>
          <w:bCs/>
          <w:color w:val="auto"/>
          <w:sz w:val="21"/>
          <w:szCs w:val="21"/>
          <w:highlight w:val="none"/>
          <w:lang w:val="en-US" w:eastAsia="zh-CN"/>
        </w:rPr>
        <w:t>5、</w:t>
      </w:r>
      <w:bookmarkEnd w:id="376"/>
      <w:r>
        <w:rPr>
          <w:rFonts w:hint="eastAsia" w:ascii="宋体" w:hAnsi="宋体" w:cs="宋体"/>
          <w:b/>
          <w:bCs/>
          <w:color w:val="auto"/>
          <w:sz w:val="21"/>
          <w:szCs w:val="21"/>
          <w:highlight w:val="none"/>
          <w:lang w:val="en-US" w:eastAsia="zh-CN"/>
        </w:rPr>
        <w:t>响应保证金</w:t>
      </w:r>
      <w:bookmarkEnd w:id="377"/>
      <w:bookmarkEnd w:id="378"/>
      <w:bookmarkEnd w:id="379"/>
    </w:p>
    <w:p>
      <w:pPr>
        <w:rPr>
          <w:rFonts w:hint="eastAsia"/>
          <w:color w:val="auto"/>
          <w:highlight w:val="none"/>
          <w:lang w:val="en-US" w:eastAsia="zh-CN"/>
        </w:rPr>
      </w:pPr>
    </w:p>
    <w:p>
      <w:pPr>
        <w:pStyle w:val="2"/>
        <w:rPr>
          <w:rFonts w:hint="eastAsia"/>
          <w:color w:val="auto"/>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20" w:firstLineChars="200"/>
        <w:jc w:val="both"/>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eastAsia="zh-CN"/>
        </w:rPr>
        <w:t>注：</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应将</w:t>
      </w:r>
      <w:r>
        <w:rPr>
          <w:rFonts w:hint="eastAsia" w:ascii="宋体" w:hAnsi="宋体"/>
          <w:color w:val="auto"/>
          <w:sz w:val="21"/>
          <w:szCs w:val="21"/>
          <w:highlight w:val="none"/>
          <w:lang w:eastAsia="zh-CN"/>
        </w:rPr>
        <w:t>首轮报价表</w:t>
      </w:r>
      <w:r>
        <w:rPr>
          <w:rFonts w:hint="eastAsia" w:ascii="宋体" w:hAnsi="宋体" w:eastAsia="宋体"/>
          <w:color w:val="auto"/>
          <w:sz w:val="21"/>
          <w:szCs w:val="21"/>
          <w:highlight w:val="none"/>
        </w:rPr>
        <w:t>、分项报价表</w:t>
      </w:r>
      <w:r>
        <w:rPr>
          <w:rFonts w:hint="eastAsia" w:ascii="宋体" w:hAnsi="宋体" w:eastAsia="宋体"/>
          <w:color w:val="auto"/>
          <w:sz w:val="21"/>
          <w:szCs w:val="21"/>
          <w:highlight w:val="none"/>
          <w:lang w:eastAsia="zh-CN"/>
        </w:rPr>
        <w:t>、法人代表证明书、法定代表人授权书（法人</w:t>
      </w:r>
      <w:r>
        <w:rPr>
          <w:rFonts w:hint="eastAsia" w:ascii="宋体" w:hAnsi="宋体"/>
          <w:color w:val="auto"/>
          <w:sz w:val="21"/>
          <w:szCs w:val="21"/>
          <w:highlight w:val="none"/>
          <w:lang w:val="en-US" w:eastAsia="zh-CN"/>
        </w:rPr>
        <w:t>响应</w:t>
      </w:r>
      <w:r>
        <w:rPr>
          <w:rFonts w:hint="eastAsia" w:ascii="宋体" w:hAnsi="宋体" w:eastAsia="宋体"/>
          <w:color w:val="auto"/>
          <w:sz w:val="21"/>
          <w:szCs w:val="21"/>
          <w:highlight w:val="none"/>
          <w:lang w:eastAsia="zh-CN"/>
        </w:rPr>
        <w:t>无需提交授权书）、</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（加盖公章）</w:t>
      </w:r>
      <w:r>
        <w:rPr>
          <w:rFonts w:hint="eastAsia" w:ascii="宋体" w:hAnsi="宋体" w:eastAsia="宋体"/>
          <w:color w:val="auto"/>
          <w:sz w:val="21"/>
          <w:szCs w:val="21"/>
          <w:highlight w:val="none"/>
          <w:lang w:eastAsia="zh-CN"/>
        </w:rPr>
        <w:t>和</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支付凭证银行汇款底单（复印件加盖公章）单独密封提交，并在信封上标明“</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”字样。“</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”份数及签章等要求与</w:t>
      </w:r>
      <w:r>
        <w:rPr>
          <w:rFonts w:hint="eastAsia" w:ascii="宋体" w:hAnsi="宋体"/>
          <w:color w:val="auto"/>
          <w:sz w:val="21"/>
          <w:szCs w:val="21"/>
          <w:highlight w:val="none"/>
          <w:lang w:eastAsia="zh-CN"/>
        </w:rPr>
        <w:t>响应文件</w:t>
      </w:r>
      <w:r>
        <w:rPr>
          <w:rFonts w:hint="eastAsia" w:ascii="宋体" w:hAnsi="宋体" w:eastAsia="宋体"/>
          <w:color w:val="auto"/>
          <w:sz w:val="21"/>
          <w:szCs w:val="21"/>
          <w:highlight w:val="none"/>
        </w:rPr>
        <w:t>正本相同（1份）。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若</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lang w:eastAsia="zh-CN"/>
        </w:rPr>
        <w:t>采用担保函形式的，则无需密封在“</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lang w:eastAsia="zh-CN"/>
        </w:rPr>
        <w:t>”内，</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lang w:eastAsia="zh-CN"/>
        </w:rPr>
        <w:t>需在开标时间截止前将原件提交至</w:t>
      </w:r>
      <w:r>
        <w:rPr>
          <w:rFonts w:hint="eastAsia" w:ascii="宋体" w:hAnsi="宋体"/>
          <w:color w:val="auto"/>
          <w:sz w:val="21"/>
          <w:szCs w:val="21"/>
          <w:highlight w:val="none"/>
          <w:lang w:eastAsia="zh-CN"/>
        </w:rPr>
        <w:t>采购代理机构</w:t>
      </w:r>
      <w:r>
        <w:rPr>
          <w:rFonts w:hint="eastAsia" w:ascii="宋体" w:hAnsi="宋体" w:eastAsia="宋体"/>
          <w:color w:val="auto"/>
          <w:sz w:val="21"/>
          <w:szCs w:val="21"/>
          <w:highlight w:val="none"/>
          <w:lang w:eastAsia="zh-CN"/>
        </w:rPr>
        <w:t>。</w:t>
      </w:r>
    </w:p>
    <w:p>
      <w:pP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br w:type="page"/>
      </w:r>
    </w:p>
    <w:p>
      <w:pPr>
        <w:pStyle w:val="3"/>
        <w:bidi w:val="0"/>
        <w:rPr>
          <w:rFonts w:hint="eastAsia"/>
          <w:color w:val="auto"/>
          <w:highlight w:val="none"/>
          <w:lang w:val="en-US" w:eastAsia="zh-CN"/>
        </w:rPr>
      </w:pPr>
      <w:bookmarkStart w:id="380" w:name="_Toc30888"/>
      <w:r>
        <w:rPr>
          <w:rFonts w:hint="eastAsia"/>
          <w:color w:val="auto"/>
          <w:highlight w:val="none"/>
          <w:lang w:val="en-US" w:eastAsia="zh-CN"/>
        </w:rPr>
        <w:t>第八篇 其它文件格式（如有需要）</w:t>
      </w:r>
      <w:bookmarkEnd w:id="380"/>
    </w:p>
    <w:p>
      <w:pPr>
        <w:rPr>
          <w:rFonts w:hint="eastAsia"/>
          <w:b/>
          <w:bCs/>
          <w:color w:val="auto"/>
          <w:highlight w:val="none"/>
          <w:lang w:val="en-US" w:eastAsia="zh-CN"/>
        </w:rPr>
      </w:pPr>
      <w:r>
        <w:rPr>
          <w:rFonts w:hint="eastAsia"/>
          <w:b/>
          <w:bCs/>
          <w:color w:val="auto"/>
          <w:highlight w:val="none"/>
          <w:lang w:val="en-US" w:eastAsia="zh-CN"/>
        </w:rPr>
        <w:t>格式一：</w:t>
      </w:r>
    </w:p>
    <w:p>
      <w:pPr>
        <w:bidi w:val="0"/>
        <w:jc w:val="center"/>
        <w:rPr>
          <w:b/>
          <w:bCs/>
          <w:color w:val="auto"/>
          <w:highlight w:val="none"/>
        </w:rPr>
      </w:pPr>
      <w:r>
        <w:rPr>
          <w:b/>
          <w:bCs/>
          <w:color w:val="auto"/>
          <w:highlight w:val="none"/>
        </w:rPr>
        <w:t>询问函、质疑函格式</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说明：本部分格式为</w:t>
      </w:r>
      <w:r>
        <w:rPr>
          <w:rFonts w:hint="eastAsia"/>
          <w:color w:val="auto"/>
          <w:sz w:val="21"/>
          <w:szCs w:val="21"/>
          <w:highlight w:val="none"/>
          <w:lang w:eastAsia="zh-CN"/>
        </w:rPr>
        <w:t>供应商</w:t>
      </w:r>
      <w:r>
        <w:rPr>
          <w:color w:val="auto"/>
          <w:sz w:val="21"/>
          <w:szCs w:val="21"/>
          <w:highlight w:val="none"/>
        </w:rPr>
        <w:t>提交询问函、质疑函时使用，不属于</w:t>
      </w:r>
      <w:r>
        <w:rPr>
          <w:rFonts w:hint="eastAsia"/>
          <w:color w:val="auto"/>
          <w:sz w:val="21"/>
          <w:szCs w:val="21"/>
          <w:highlight w:val="none"/>
          <w:lang w:eastAsia="zh-CN"/>
        </w:rPr>
        <w:t>响应文件</w:t>
      </w:r>
      <w:r>
        <w:rPr>
          <w:color w:val="auto"/>
          <w:sz w:val="21"/>
          <w:szCs w:val="21"/>
          <w:highlight w:val="none"/>
        </w:rPr>
        <w:t>格式的组成部分。</w:t>
      </w:r>
    </w:p>
    <w:p>
      <w:pPr>
        <w:bidi w:val="0"/>
        <w:jc w:val="center"/>
        <w:rPr>
          <w:b/>
          <w:bCs/>
          <w:color w:val="auto"/>
          <w:highlight w:val="none"/>
        </w:rPr>
      </w:pPr>
      <w:r>
        <w:rPr>
          <w:b/>
          <w:bCs/>
          <w:color w:val="auto"/>
          <w:highlight w:val="none"/>
        </w:rPr>
        <w:t>询问函</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rFonts w:hint="eastAsia"/>
          <w:color w:val="auto"/>
          <w:sz w:val="21"/>
          <w:szCs w:val="21"/>
          <w:highlight w:val="none"/>
          <w:lang w:eastAsia="zh-CN"/>
        </w:rPr>
        <w:t>国顺招标有限</w:t>
      </w:r>
      <w:r>
        <w:rPr>
          <w:color w:val="auto"/>
          <w:sz w:val="21"/>
          <w:szCs w:val="21"/>
          <w:highlight w:val="none"/>
        </w:rPr>
        <w:t>公司</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我单位已登记并准备参与</w:t>
      </w:r>
      <w:r>
        <w:rPr>
          <w:rFonts w:hint="eastAsia"/>
          <w:color w:val="auto"/>
          <w:sz w:val="21"/>
          <w:szCs w:val="21"/>
          <w:highlight w:val="none"/>
          <w:u w:val="single"/>
          <w:lang w:val="en-US" w:eastAsia="zh-CN"/>
        </w:rPr>
        <w:t xml:space="preserve">    </w:t>
      </w:r>
      <w:r>
        <w:rPr>
          <w:color w:val="auto"/>
          <w:sz w:val="21"/>
          <w:szCs w:val="21"/>
          <w:highlight w:val="none"/>
        </w:rPr>
        <w:t>项目（项目编号：</w:t>
      </w:r>
      <w:r>
        <w:rPr>
          <w:rFonts w:hint="eastAsia"/>
          <w:color w:val="auto"/>
          <w:sz w:val="21"/>
          <w:szCs w:val="21"/>
          <w:highlight w:val="none"/>
          <w:u w:val="single"/>
          <w:lang w:val="en-US" w:eastAsia="zh-CN"/>
        </w:rPr>
        <w:t xml:space="preserve">    </w:t>
      </w:r>
      <w:r>
        <w:rPr>
          <w:color w:val="auto"/>
          <w:sz w:val="21"/>
          <w:szCs w:val="21"/>
          <w:highlight w:val="none"/>
        </w:rPr>
        <w:t>）的</w:t>
      </w:r>
      <w:r>
        <w:rPr>
          <w:rFonts w:hint="eastAsia"/>
          <w:color w:val="auto"/>
          <w:sz w:val="21"/>
          <w:szCs w:val="21"/>
          <w:highlight w:val="none"/>
          <w:lang w:val="en-US" w:eastAsia="zh-CN"/>
        </w:rPr>
        <w:t>响应</w:t>
      </w:r>
      <w:r>
        <w:rPr>
          <w:color w:val="auto"/>
          <w:sz w:val="21"/>
          <w:szCs w:val="21"/>
          <w:highlight w:val="none"/>
        </w:rPr>
        <w:t>活动，现有以下几个内容（或条款）存在疑问（或无法理解），特提出询问。</w:t>
      </w:r>
    </w:p>
    <w:p>
      <w:pPr>
        <w:pStyle w:val="2"/>
        <w:keepNext w:val="0"/>
        <w:keepLines w:val="0"/>
        <w:pageBreakBefore w:val="0"/>
        <w:widowControl w:val="0"/>
        <w:tabs>
          <w:tab w:val="left" w:pos="2890"/>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（事项一）</w:t>
      </w:r>
    </w:p>
    <w:p>
      <w:pPr>
        <w:pStyle w:val="22"/>
        <w:keepNext w:val="0"/>
        <w:keepLines w:val="0"/>
        <w:pageBreakBefore w:val="0"/>
        <w:widowControl w:val="0"/>
        <w:numPr>
          <w:ilvl w:val="0"/>
          <w:numId w:val="0"/>
        </w:numPr>
        <w:tabs>
          <w:tab w:val="left" w:pos="996"/>
          <w:tab w:val="left" w:pos="2914"/>
        </w:tabs>
        <w:kinsoku/>
        <w:wordWrap/>
        <w:overflowPunct/>
        <w:topLinePunct w:val="0"/>
        <w:autoSpaceDE w:val="0"/>
        <w:autoSpaceDN w:val="0"/>
        <w:bidi w:val="0"/>
        <w:adjustRightInd/>
        <w:snapToGrid/>
        <w:spacing w:line="360" w:lineRule="auto"/>
        <w:ind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zh-CN" w:eastAsia="zh-CN" w:bidi="zh-CN"/>
        </w:rPr>
        <w:t>（</w:t>
      </w:r>
      <w:r>
        <w:rPr>
          <w:rFonts w:hint="eastAsia" w:ascii="宋体" w:hAnsi="宋体" w:eastAsia="宋体" w:cs="宋体"/>
          <w:color w:val="auto"/>
          <w:sz w:val="21"/>
          <w:szCs w:val="21"/>
          <w:highlight w:val="none"/>
          <w:u w:val="none"/>
          <w:lang w:val="en-US" w:eastAsia="zh-CN" w:bidi="zh-CN"/>
        </w:rPr>
        <w:t>1</w:t>
      </w:r>
      <w:r>
        <w:rPr>
          <w:rFonts w:hint="eastAsia" w:ascii="宋体" w:hAnsi="宋体" w:eastAsia="宋体" w:cs="宋体"/>
          <w:color w:val="auto"/>
          <w:sz w:val="21"/>
          <w:szCs w:val="21"/>
          <w:highlight w:val="none"/>
          <w:u w:val="none"/>
          <w:lang w:val="zh-CN" w:eastAsia="zh-CN" w:bidi="zh-CN"/>
        </w:rPr>
        <w:t>）</w:t>
      </w: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（问题或条款内容）</w:t>
      </w:r>
    </w:p>
    <w:p>
      <w:pPr>
        <w:pStyle w:val="22"/>
        <w:keepNext w:val="0"/>
        <w:keepLines w:val="0"/>
        <w:pageBreakBefore w:val="0"/>
        <w:widowControl w:val="0"/>
        <w:numPr>
          <w:ilvl w:val="0"/>
          <w:numId w:val="0"/>
        </w:numPr>
        <w:tabs>
          <w:tab w:val="left" w:pos="996"/>
          <w:tab w:val="left" w:pos="2914"/>
        </w:tabs>
        <w:kinsoku/>
        <w:wordWrap/>
        <w:overflowPunct/>
        <w:topLinePunct w:val="0"/>
        <w:autoSpaceDE w:val="0"/>
        <w:autoSpaceDN w:val="0"/>
        <w:bidi w:val="0"/>
        <w:adjustRightInd/>
        <w:snapToGrid/>
        <w:spacing w:line="360" w:lineRule="auto"/>
        <w:ind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zh-CN" w:eastAsia="zh-CN" w:bidi="zh-CN"/>
        </w:rPr>
        <w:t>（</w:t>
      </w:r>
      <w:r>
        <w:rPr>
          <w:rFonts w:hint="eastAsia" w:ascii="宋体" w:hAnsi="宋体" w:eastAsia="宋体" w:cs="宋体"/>
          <w:color w:val="auto"/>
          <w:sz w:val="21"/>
          <w:szCs w:val="21"/>
          <w:highlight w:val="none"/>
          <w:u w:val="none"/>
          <w:lang w:val="en-US" w:eastAsia="zh-CN" w:bidi="zh-CN"/>
        </w:rPr>
        <w:t>2</w:t>
      </w:r>
      <w:r>
        <w:rPr>
          <w:rFonts w:hint="eastAsia" w:ascii="宋体" w:hAnsi="宋体" w:eastAsia="宋体" w:cs="宋体"/>
          <w:color w:val="auto"/>
          <w:sz w:val="21"/>
          <w:szCs w:val="21"/>
          <w:highlight w:val="none"/>
          <w:u w:val="none"/>
          <w:lang w:val="zh-CN" w:eastAsia="zh-CN" w:bidi="zh-CN"/>
        </w:rPr>
        <w:t>）</w:t>
      </w: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（说明疑问或无法理解原因）</w:t>
      </w:r>
    </w:p>
    <w:p>
      <w:pPr>
        <w:pStyle w:val="2"/>
        <w:keepNext w:val="0"/>
        <w:keepLines w:val="0"/>
        <w:pageBreakBefore w:val="0"/>
        <w:widowControl w:val="0"/>
        <w:tabs>
          <w:tab w:val="left" w:pos="2890"/>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 xml:space="preserve">（建议） </w:t>
      </w:r>
    </w:p>
    <w:p>
      <w:pPr>
        <w:pStyle w:val="2"/>
        <w:keepNext w:val="0"/>
        <w:keepLines w:val="0"/>
        <w:pageBreakBefore w:val="0"/>
        <w:widowControl w:val="0"/>
        <w:tabs>
          <w:tab w:val="left" w:pos="2890"/>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（事项二</w:t>
      </w:r>
      <w:r>
        <w:rPr>
          <w:rFonts w:hint="eastAsia" w:ascii="宋体" w:hAnsi="宋体" w:eastAsia="宋体" w:cs="宋体"/>
          <w:color w:val="auto"/>
          <w:spacing w:val="-17"/>
          <w:sz w:val="21"/>
          <w:szCs w:val="21"/>
          <w:highlight w:val="none"/>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314" w:firstLineChars="200"/>
        <w:jc w:val="left"/>
        <w:textAlignment w:val="auto"/>
        <w:rPr>
          <w:color w:val="auto"/>
          <w:sz w:val="21"/>
          <w:szCs w:val="21"/>
          <w:highlight w:val="none"/>
        </w:rPr>
      </w:pPr>
      <w:r>
        <w:rPr>
          <w:color w:val="auto"/>
          <w:w w:val="75"/>
          <w:sz w:val="21"/>
          <w:szCs w:val="21"/>
          <w:highlight w:val="none"/>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随附相关证明材料如下：（目录）</w:t>
      </w:r>
    </w:p>
    <w:p>
      <w:pPr>
        <w:pStyle w:val="2"/>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p>
    <w:p>
      <w:pPr>
        <w:pStyle w:val="2"/>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询问人（公章）：</w:t>
      </w:r>
    </w:p>
    <w:p>
      <w:pPr>
        <w:pStyle w:val="2"/>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法定代表人或授权代表（签字或盖章）：</w:t>
      </w:r>
    </w:p>
    <w:p>
      <w:pPr>
        <w:pStyle w:val="2"/>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地址/邮编：</w:t>
      </w:r>
    </w:p>
    <w:p>
      <w:pPr>
        <w:pStyle w:val="2"/>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rFonts w:ascii="Times New Roman" w:eastAsia="Times New Roman"/>
          <w:color w:val="auto"/>
          <w:sz w:val="21"/>
          <w:szCs w:val="21"/>
          <w:highlight w:val="none"/>
        </w:rPr>
      </w:pPr>
      <w:r>
        <w:rPr>
          <w:color w:val="auto"/>
          <w:sz w:val="21"/>
          <w:szCs w:val="21"/>
          <w:highlight w:val="none"/>
        </w:rPr>
        <w:t>电话/传真：</w:t>
      </w:r>
    </w:p>
    <w:p>
      <w:pPr>
        <w:pStyle w:val="2"/>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日期： 年 月 日</w:t>
      </w:r>
    </w:p>
    <w:p>
      <w:pPr>
        <w:rPr>
          <w:color w:val="auto"/>
          <w:sz w:val="21"/>
          <w:szCs w:val="21"/>
          <w:highlight w:val="none"/>
        </w:rPr>
      </w:pPr>
      <w:r>
        <w:rPr>
          <w:color w:val="auto"/>
          <w:sz w:val="21"/>
          <w:szCs w:val="21"/>
          <w:highlight w:val="none"/>
        </w:rPr>
        <w:br w:type="page"/>
      </w:r>
    </w:p>
    <w:p>
      <w:pPr>
        <w:bidi w:val="0"/>
        <w:jc w:val="center"/>
        <w:rPr>
          <w:b/>
          <w:bCs/>
          <w:color w:val="auto"/>
          <w:highlight w:val="none"/>
        </w:rPr>
      </w:pPr>
      <w:r>
        <w:rPr>
          <w:b/>
          <w:bCs/>
          <w:color w:val="auto"/>
          <w:highlight w:val="none"/>
        </w:rPr>
        <w:t>质疑函</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一、质疑供应商基本信息质疑供应商：</w:t>
      </w:r>
    </w:p>
    <w:p>
      <w:pPr>
        <w:pStyle w:val="2"/>
        <w:keepNext w:val="0"/>
        <w:keepLines w:val="0"/>
        <w:pageBreakBefore w:val="0"/>
        <w:widowControl w:val="0"/>
        <w:tabs>
          <w:tab w:val="left" w:pos="3082"/>
          <w:tab w:val="left" w:pos="5720"/>
        </w:tabs>
        <w:kinsoku/>
        <w:wordWrap/>
        <w:overflowPunct/>
        <w:topLinePunct w:val="0"/>
        <w:autoSpaceDE w:val="0"/>
        <w:autoSpaceDN w:val="0"/>
        <w:bidi w:val="0"/>
        <w:adjustRightInd/>
        <w:snapToGrid/>
        <w:spacing w:line="360" w:lineRule="auto"/>
        <w:ind w:left="0" w:right="0" w:firstLine="420" w:firstLineChars="200"/>
        <w:jc w:val="left"/>
        <w:textAlignment w:val="auto"/>
        <w:rPr>
          <w:rFonts w:ascii="Times New Roman" w:eastAsia="Times New Roman"/>
          <w:color w:val="auto"/>
          <w:sz w:val="21"/>
          <w:szCs w:val="21"/>
          <w:highlight w:val="non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2"/>
        <w:keepNext w:val="0"/>
        <w:keepLines w:val="0"/>
        <w:pageBreakBefore w:val="0"/>
        <w:widowControl w:val="0"/>
        <w:tabs>
          <w:tab w:val="left" w:pos="3082"/>
          <w:tab w:val="left" w:pos="3511"/>
          <w:tab w:val="left" w:pos="6104"/>
        </w:tabs>
        <w:kinsoku/>
        <w:wordWrap/>
        <w:overflowPunct/>
        <w:topLinePunct w:val="0"/>
        <w:autoSpaceDE w:val="0"/>
        <w:autoSpaceDN w:val="0"/>
        <w:bidi w:val="0"/>
        <w:adjustRightInd/>
        <w:snapToGrid/>
        <w:spacing w:line="360" w:lineRule="auto"/>
        <w:ind w:left="0" w:right="0" w:firstLine="420" w:firstLineChars="200"/>
        <w:jc w:val="left"/>
        <w:textAlignment w:val="auto"/>
        <w:rPr>
          <w:rFonts w:hint="default" w:eastAsia="宋体"/>
          <w:color w:val="auto"/>
          <w:sz w:val="21"/>
          <w:szCs w:val="21"/>
          <w:highlight w:val="none"/>
          <w:u w:val="single"/>
          <w:lang w:val="en-US" w:eastAsia="zh-CN"/>
        </w:rPr>
      </w:pPr>
      <w:r>
        <w:rPr>
          <w:color w:val="auto"/>
          <w:sz w:val="21"/>
          <w:szCs w:val="21"/>
          <w:highlight w:val="none"/>
        </w:rPr>
        <w:t>联系：</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联系电话：</w:t>
      </w:r>
      <w:r>
        <w:rPr>
          <w:rFonts w:hint="eastAsia"/>
          <w:color w:val="auto"/>
          <w:sz w:val="21"/>
          <w:szCs w:val="21"/>
          <w:highlight w:val="none"/>
          <w:u w:val="single"/>
          <w:lang w:val="en-US" w:eastAsia="zh-CN"/>
        </w:rPr>
        <w:t xml:space="preserve">               </w:t>
      </w:r>
    </w:p>
    <w:p>
      <w:pPr>
        <w:pStyle w:val="2"/>
        <w:keepNext w:val="0"/>
        <w:keepLines w:val="0"/>
        <w:pageBreakBefore w:val="0"/>
        <w:widowControl w:val="0"/>
        <w:tabs>
          <w:tab w:val="left" w:pos="3082"/>
          <w:tab w:val="left" w:pos="3511"/>
          <w:tab w:val="left" w:pos="6104"/>
        </w:tabs>
        <w:kinsoku/>
        <w:wordWrap/>
        <w:overflowPunct/>
        <w:topLinePunct w:val="0"/>
        <w:autoSpaceDE w:val="0"/>
        <w:autoSpaceDN w:val="0"/>
        <w:bidi w:val="0"/>
        <w:adjustRightInd/>
        <w:snapToGrid/>
        <w:spacing w:line="360" w:lineRule="auto"/>
        <w:ind w:left="0" w:right="0" w:firstLine="420" w:firstLineChars="200"/>
        <w:jc w:val="left"/>
        <w:textAlignment w:val="auto"/>
        <w:rPr>
          <w:rFonts w:hint="default" w:ascii="Times New Roman" w:eastAsia="宋体"/>
          <w:color w:val="auto"/>
          <w:sz w:val="21"/>
          <w:szCs w:val="21"/>
          <w:highlight w:val="none"/>
          <w:lang w:val="en-US" w:eastAsia="zh-CN"/>
        </w:rPr>
      </w:pPr>
      <w:r>
        <w:rPr>
          <w:color w:val="auto"/>
          <w:sz w:val="21"/>
          <w:szCs w:val="21"/>
          <w:highlight w:val="none"/>
        </w:rPr>
        <w:t>授权代表：</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联系电话：</w:t>
      </w:r>
      <w:r>
        <w:rPr>
          <w:rFonts w:hint="eastAsia" w:ascii="Times New Roman" w:eastAsia="宋体"/>
          <w:color w:val="auto"/>
          <w:sz w:val="21"/>
          <w:szCs w:val="21"/>
          <w:highlight w:val="none"/>
          <w:u w:val="single"/>
          <w:lang w:val="en-US" w:eastAsia="zh-CN"/>
        </w:rPr>
        <w:t xml:space="preserve">  </w:t>
      </w:r>
      <w:r>
        <w:rPr>
          <w:rFonts w:hint="eastAsia" w:ascii="Times New Roman"/>
          <w:color w:val="auto"/>
          <w:sz w:val="21"/>
          <w:szCs w:val="21"/>
          <w:highlight w:val="none"/>
          <w:u w:val="single"/>
          <w:lang w:val="en-US" w:eastAsia="zh-CN"/>
        </w:rPr>
        <w:t xml:space="preserve">            </w:t>
      </w:r>
      <w:r>
        <w:rPr>
          <w:rFonts w:hint="eastAsia" w:ascii="Times New Roman" w:eastAsia="宋体"/>
          <w:color w:val="auto"/>
          <w:sz w:val="21"/>
          <w:szCs w:val="21"/>
          <w:highlight w:val="none"/>
          <w:u w:val="single"/>
          <w:lang w:val="en-US" w:eastAsia="zh-CN"/>
        </w:rPr>
        <w:t xml:space="preserve"> </w:t>
      </w:r>
    </w:p>
    <w:p>
      <w:pPr>
        <w:pStyle w:val="2"/>
        <w:keepNext w:val="0"/>
        <w:keepLines w:val="0"/>
        <w:pageBreakBefore w:val="0"/>
        <w:widowControl w:val="0"/>
        <w:tabs>
          <w:tab w:val="left" w:pos="3082"/>
          <w:tab w:val="left" w:pos="572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color w:val="auto"/>
          <w:sz w:val="21"/>
          <w:szCs w:val="21"/>
          <w:highlight w:val="none"/>
          <w:u w:val="single"/>
        </w:rPr>
        <w:tab/>
      </w:r>
      <w:r>
        <w:rPr>
          <w:color w:val="auto"/>
          <w:sz w:val="21"/>
          <w:szCs w:val="21"/>
          <w:highlight w:val="none"/>
          <w:u w:val="single"/>
        </w:rPr>
        <w:t xml:space="preserve">       </w:t>
      </w:r>
    </w:p>
    <w:p>
      <w:pPr>
        <w:pStyle w:val="2"/>
        <w:keepNext w:val="0"/>
        <w:keepLines w:val="0"/>
        <w:pageBreakBefore w:val="0"/>
        <w:widowControl w:val="0"/>
        <w:tabs>
          <w:tab w:val="left" w:pos="3082"/>
          <w:tab w:val="left" w:pos="572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二、质疑项目基本情况</w:t>
      </w:r>
    </w:p>
    <w:p>
      <w:pPr>
        <w:pStyle w:val="2"/>
        <w:keepNext w:val="0"/>
        <w:keepLines w:val="0"/>
        <w:pageBreakBefore w:val="0"/>
        <w:widowControl w:val="0"/>
        <w:tabs>
          <w:tab w:val="left" w:pos="4088"/>
        </w:tabs>
        <w:kinsoku/>
        <w:wordWrap/>
        <w:overflowPunct/>
        <w:topLinePunct w:val="0"/>
        <w:autoSpaceDE w:val="0"/>
        <w:autoSpaceDN w:val="0"/>
        <w:bidi w:val="0"/>
        <w:adjustRightInd/>
        <w:snapToGrid/>
        <w:spacing w:line="360" w:lineRule="auto"/>
        <w:ind w:left="0" w:right="0" w:firstLine="420" w:firstLineChars="200"/>
        <w:jc w:val="left"/>
        <w:textAlignment w:val="auto"/>
        <w:rPr>
          <w:rFonts w:ascii="Times New Roman" w:eastAsia="Times New Roman"/>
          <w:color w:val="auto"/>
          <w:sz w:val="21"/>
          <w:szCs w:val="21"/>
          <w:highlight w:val="none"/>
        </w:rPr>
      </w:pPr>
      <w:r>
        <w:rPr>
          <w:color w:val="auto"/>
          <w:sz w:val="21"/>
          <w:szCs w:val="21"/>
          <w:highlight w:val="none"/>
        </w:rPr>
        <w:t>质疑项目的名称：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2"/>
        <w:keepNext w:val="0"/>
        <w:keepLines w:val="0"/>
        <w:pageBreakBefore w:val="0"/>
        <w:widowControl w:val="0"/>
        <w:tabs>
          <w:tab w:val="left" w:pos="3703"/>
          <w:tab w:val="left" w:pos="4088"/>
          <w:tab w:val="left" w:pos="674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质疑项目的编号：</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u w:val="single"/>
        </w:rPr>
        <w:tab/>
      </w:r>
      <w:r>
        <w:rPr>
          <w:color w:val="auto"/>
          <w:sz w:val="21"/>
          <w:szCs w:val="21"/>
          <w:highlight w:val="none"/>
        </w:rPr>
        <w:t>包号：</w:t>
      </w:r>
      <w:r>
        <w:rPr>
          <w:rFonts w:hint="eastAsia"/>
          <w:color w:val="auto"/>
          <w:sz w:val="21"/>
          <w:szCs w:val="21"/>
          <w:highlight w:val="none"/>
          <w:u w:val="single"/>
          <w:lang w:val="en-US" w:eastAsia="zh-CN"/>
        </w:rPr>
        <w:t xml:space="preserve">  </w:t>
      </w:r>
      <w:r>
        <w:rPr>
          <w:color w:val="auto"/>
          <w:sz w:val="21"/>
          <w:szCs w:val="21"/>
          <w:highlight w:val="none"/>
          <w:u w:val="single"/>
        </w:rPr>
        <w:t xml:space="preserve">      </w:t>
      </w:r>
    </w:p>
    <w:p>
      <w:pPr>
        <w:pStyle w:val="2"/>
        <w:keepNext w:val="0"/>
        <w:keepLines w:val="0"/>
        <w:pageBreakBefore w:val="0"/>
        <w:widowControl w:val="0"/>
        <w:tabs>
          <w:tab w:val="left" w:pos="3703"/>
          <w:tab w:val="left" w:pos="4088"/>
          <w:tab w:val="left" w:pos="674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采购人名称：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rFonts w:hint="eastAsia" w:eastAsia="宋体"/>
          <w:color w:val="auto"/>
          <w:sz w:val="21"/>
          <w:szCs w:val="21"/>
          <w:highlight w:val="none"/>
          <w:lang w:eastAsia="zh-CN"/>
        </w:rPr>
        <w:t>磋商文件</w:t>
      </w:r>
      <w:r>
        <w:rPr>
          <w:color w:val="auto"/>
          <w:sz w:val="21"/>
          <w:szCs w:val="21"/>
          <w:highlight w:val="none"/>
        </w:rPr>
        <w:t>获取日期：</w:t>
      </w:r>
      <w:r>
        <w:rPr>
          <w:color w:val="auto"/>
          <w:sz w:val="21"/>
          <w:szCs w:val="21"/>
          <w:highlight w:val="none"/>
          <w:u w:val="single"/>
        </w:rPr>
        <w:tab/>
      </w:r>
      <w:r>
        <w:rPr>
          <w:color w:val="auto"/>
          <w:sz w:val="21"/>
          <w:szCs w:val="21"/>
          <w:highlight w:val="none"/>
          <w:u w:val="single"/>
        </w:rPr>
        <w:t xml:space="preserve">      </w:t>
      </w:r>
    </w:p>
    <w:p>
      <w:pPr>
        <w:pStyle w:val="2"/>
        <w:keepNext w:val="0"/>
        <w:keepLines w:val="0"/>
        <w:pageBreakBefore w:val="0"/>
        <w:widowControl w:val="0"/>
        <w:tabs>
          <w:tab w:val="left" w:pos="428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三、质疑事项具体内容</w:t>
      </w:r>
    </w:p>
    <w:p>
      <w:pPr>
        <w:pStyle w:val="2"/>
        <w:keepNext w:val="0"/>
        <w:keepLines w:val="0"/>
        <w:pageBreakBefore w:val="0"/>
        <w:widowControl w:val="0"/>
        <w:tabs>
          <w:tab w:val="left" w:pos="3511"/>
          <w:tab w:val="left" w:pos="3631"/>
        </w:tabs>
        <w:kinsoku/>
        <w:wordWrap/>
        <w:overflowPunct/>
        <w:topLinePunct w:val="0"/>
        <w:autoSpaceDE w:val="0"/>
        <w:autoSpaceDN w:val="0"/>
        <w:bidi w:val="0"/>
        <w:adjustRightInd/>
        <w:snapToGrid/>
        <w:spacing w:line="360" w:lineRule="auto"/>
        <w:ind w:left="0" w:right="0" w:firstLine="408" w:firstLineChars="200"/>
        <w:jc w:val="left"/>
        <w:textAlignment w:val="auto"/>
        <w:rPr>
          <w:color w:val="auto"/>
          <w:sz w:val="21"/>
          <w:szCs w:val="21"/>
          <w:highlight w:val="none"/>
          <w:u w:val="single"/>
        </w:rPr>
      </w:pPr>
      <w:r>
        <w:rPr>
          <w:color w:val="auto"/>
          <w:spacing w:val="-3"/>
          <w:sz w:val="21"/>
          <w:szCs w:val="21"/>
          <w:highlight w:val="none"/>
        </w:rPr>
        <w:t>质疑事项1：</w:t>
      </w:r>
      <w:r>
        <w:rPr>
          <w:color w:val="auto"/>
          <w:spacing w:val="-3"/>
          <w:sz w:val="21"/>
          <w:szCs w:val="21"/>
          <w:highlight w:val="none"/>
          <w:u w:val="single"/>
        </w:rPr>
        <w:tab/>
      </w:r>
      <w:r>
        <w:rPr>
          <w:color w:val="auto"/>
          <w:spacing w:val="-3"/>
          <w:sz w:val="21"/>
          <w:szCs w:val="21"/>
          <w:highlight w:val="none"/>
          <w:u w:val="single"/>
        </w:rPr>
        <w:tab/>
      </w:r>
      <w:r>
        <w:rPr>
          <w:color w:val="auto"/>
          <w:sz w:val="21"/>
          <w:szCs w:val="21"/>
          <w:highlight w:val="none"/>
          <w:u w:val="single"/>
        </w:rPr>
        <w:t xml:space="preserve">                    </w:t>
      </w:r>
    </w:p>
    <w:p>
      <w:pPr>
        <w:pStyle w:val="2"/>
        <w:keepNext w:val="0"/>
        <w:keepLines w:val="0"/>
        <w:pageBreakBefore w:val="0"/>
        <w:widowControl w:val="0"/>
        <w:tabs>
          <w:tab w:val="left" w:pos="3511"/>
          <w:tab w:val="left" w:pos="3631"/>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事实依据：</w:t>
      </w:r>
      <w:r>
        <w:rPr>
          <w:color w:val="auto"/>
          <w:sz w:val="21"/>
          <w:szCs w:val="21"/>
          <w:highlight w:val="none"/>
          <w:u w:val="single"/>
        </w:rPr>
        <w:tab/>
      </w:r>
      <w:r>
        <w:rPr>
          <w:color w:val="auto"/>
          <w:sz w:val="21"/>
          <w:szCs w:val="21"/>
          <w:highlight w:val="none"/>
          <w:u w:val="single"/>
        </w:rPr>
        <w:t xml:space="preserve">                    </w:t>
      </w:r>
    </w:p>
    <w:p>
      <w:pPr>
        <w:pStyle w:val="2"/>
        <w:keepNext w:val="0"/>
        <w:keepLines w:val="0"/>
        <w:pageBreakBefore w:val="0"/>
        <w:widowControl w:val="0"/>
        <w:tabs>
          <w:tab w:val="left" w:pos="3511"/>
          <w:tab w:val="left" w:pos="3631"/>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pacing w:val="60"/>
          <w:sz w:val="21"/>
          <w:szCs w:val="21"/>
          <w:highlight w:val="none"/>
          <w:u w:val="single"/>
        </w:rPr>
      </w:pPr>
      <w:r>
        <w:rPr>
          <w:color w:val="auto"/>
          <w:sz w:val="21"/>
          <w:szCs w:val="21"/>
          <w:highlight w:val="none"/>
        </w:rPr>
        <w:t>法律依据：</w:t>
      </w:r>
      <w:r>
        <w:rPr>
          <w:color w:val="auto"/>
          <w:sz w:val="21"/>
          <w:szCs w:val="21"/>
          <w:highlight w:val="none"/>
          <w:u w:val="single"/>
        </w:rPr>
        <w:tab/>
      </w:r>
      <w:r>
        <w:rPr>
          <w:color w:val="auto"/>
          <w:spacing w:val="-3"/>
          <w:sz w:val="21"/>
          <w:szCs w:val="21"/>
          <w:highlight w:val="none"/>
          <w:u w:val="single"/>
        </w:rPr>
        <w:t xml:space="preserve">                    </w:t>
      </w:r>
      <w:r>
        <w:rPr>
          <w:color w:val="auto"/>
          <w:spacing w:val="60"/>
          <w:sz w:val="21"/>
          <w:szCs w:val="21"/>
          <w:highlight w:val="none"/>
          <w:u w:val="single"/>
        </w:rPr>
        <w:t xml:space="preserve"> </w:t>
      </w:r>
    </w:p>
    <w:p>
      <w:pPr>
        <w:pStyle w:val="2"/>
        <w:keepNext w:val="0"/>
        <w:keepLines w:val="0"/>
        <w:pageBreakBefore w:val="0"/>
        <w:widowControl w:val="0"/>
        <w:tabs>
          <w:tab w:val="left" w:pos="3511"/>
          <w:tab w:val="left" w:pos="3631"/>
        </w:tabs>
        <w:kinsoku/>
        <w:wordWrap/>
        <w:overflowPunct/>
        <w:topLinePunct w:val="0"/>
        <w:autoSpaceDE w:val="0"/>
        <w:autoSpaceDN w:val="0"/>
        <w:bidi w:val="0"/>
        <w:adjustRightInd/>
        <w:snapToGrid/>
        <w:spacing w:line="360" w:lineRule="auto"/>
        <w:ind w:left="0" w:right="0" w:firstLine="408" w:firstLineChars="200"/>
        <w:jc w:val="left"/>
        <w:textAlignment w:val="auto"/>
        <w:rPr>
          <w:rFonts w:ascii="Times New Roman" w:eastAsia="Times New Roman"/>
          <w:color w:val="auto"/>
          <w:sz w:val="21"/>
          <w:szCs w:val="21"/>
          <w:highlight w:val="none"/>
        </w:rPr>
      </w:pPr>
      <w:r>
        <w:rPr>
          <w:color w:val="auto"/>
          <w:spacing w:val="-3"/>
          <w:sz w:val="21"/>
          <w:szCs w:val="21"/>
          <w:highlight w:val="none"/>
        </w:rPr>
        <w:t>质疑事项2：</w:t>
      </w:r>
      <w:r>
        <w:rPr>
          <w:rFonts w:ascii="Times New Roman" w:eastAsia="Times New Roman"/>
          <w:color w:val="auto"/>
          <w:spacing w:val="-3"/>
          <w:sz w:val="21"/>
          <w:szCs w:val="21"/>
          <w:highlight w:val="none"/>
          <w:u w:val="single"/>
        </w:rPr>
        <w:t xml:space="preserve"> </w:t>
      </w:r>
      <w:r>
        <w:rPr>
          <w:rFonts w:ascii="Times New Roman" w:eastAsia="Times New Roman"/>
          <w:color w:val="auto"/>
          <w:spacing w:val="-3"/>
          <w:sz w:val="21"/>
          <w:szCs w:val="21"/>
          <w:highlight w:val="none"/>
          <w:u w:val="single"/>
        </w:rPr>
        <w:tab/>
      </w:r>
      <w:r>
        <w:rPr>
          <w:rFonts w:ascii="Times New Roman" w:eastAsia="Times New Roman"/>
          <w:color w:val="auto"/>
          <w:spacing w:val="-3"/>
          <w:sz w:val="21"/>
          <w:szCs w:val="21"/>
          <w:highlight w:val="none"/>
          <w:u w:val="single"/>
        </w:rPr>
        <w:tab/>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四、与质疑事项相关的质疑请求</w:t>
      </w:r>
    </w:p>
    <w:p>
      <w:pPr>
        <w:pStyle w:val="2"/>
        <w:keepNext w:val="0"/>
        <w:keepLines w:val="0"/>
        <w:pageBreakBefore w:val="0"/>
        <w:widowControl w:val="0"/>
        <w:tabs>
          <w:tab w:val="left" w:pos="5144"/>
        </w:tabs>
        <w:kinsoku/>
        <w:wordWrap/>
        <w:overflowPunct/>
        <w:topLinePunct w:val="0"/>
        <w:autoSpaceDE w:val="0"/>
        <w:autoSpaceDN w:val="0"/>
        <w:bidi w:val="0"/>
        <w:adjustRightInd/>
        <w:snapToGrid/>
        <w:spacing w:line="360" w:lineRule="auto"/>
        <w:ind w:left="0" w:right="0" w:firstLine="420" w:firstLineChars="200"/>
        <w:jc w:val="left"/>
        <w:textAlignment w:val="auto"/>
        <w:rPr>
          <w:rFonts w:hint="default" w:ascii="Times New Roman" w:eastAsia="宋体"/>
          <w:color w:val="auto"/>
          <w:sz w:val="21"/>
          <w:szCs w:val="21"/>
          <w:highlight w:val="none"/>
          <w:lang w:val="en-US" w:eastAsia="zh-CN"/>
        </w:rPr>
      </w:pPr>
      <w:r>
        <w:rPr>
          <w:color w:val="auto"/>
          <w:sz w:val="21"/>
          <w:szCs w:val="21"/>
          <w:highlight w:val="none"/>
        </w:rPr>
        <w:t>请求：</w:t>
      </w:r>
      <w:r>
        <w:rPr>
          <w:rFonts w:ascii="Times New Roman" w:eastAsia="Times New Roman"/>
          <w:color w:val="auto"/>
          <w:sz w:val="21"/>
          <w:szCs w:val="21"/>
          <w:highlight w:val="none"/>
          <w:u w:val="single"/>
        </w:rPr>
        <w:t xml:space="preserve"> </w:t>
      </w:r>
      <w:r>
        <w:rPr>
          <w:rFonts w:hint="eastAsia" w:ascii="Times New Roman" w:eastAsia="宋体"/>
          <w:color w:val="auto"/>
          <w:sz w:val="21"/>
          <w:szCs w:val="21"/>
          <w:highlight w:val="none"/>
          <w:u w:val="single"/>
          <w:lang w:val="en-US" w:eastAsia="zh-CN"/>
        </w:rPr>
        <w:t xml:space="preserve">                                           </w:t>
      </w:r>
    </w:p>
    <w:p>
      <w:pPr>
        <w:pStyle w:val="2"/>
        <w:keepNext w:val="0"/>
        <w:keepLines w:val="0"/>
        <w:pageBreakBefore w:val="0"/>
        <w:widowControl w:val="0"/>
        <w:tabs>
          <w:tab w:val="left" w:pos="3165"/>
          <w:tab w:val="left" w:pos="5818"/>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p>
    <w:p>
      <w:pPr>
        <w:pStyle w:val="2"/>
        <w:keepNext w:val="0"/>
        <w:keepLines w:val="0"/>
        <w:pageBreakBefore w:val="0"/>
        <w:widowControl w:val="0"/>
        <w:tabs>
          <w:tab w:val="left" w:pos="3165"/>
          <w:tab w:val="left" w:pos="5818"/>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签字</w:t>
      </w:r>
      <w:r>
        <w:rPr>
          <w:color w:val="auto"/>
          <w:spacing w:val="-3"/>
          <w:sz w:val="21"/>
          <w:szCs w:val="21"/>
          <w:highlight w:val="none"/>
        </w:rPr>
        <w:t>(</w:t>
      </w:r>
      <w:r>
        <w:rPr>
          <w:color w:val="auto"/>
          <w:sz w:val="21"/>
          <w:szCs w:val="21"/>
          <w:highlight w:val="none"/>
        </w:rPr>
        <w:t>签章)：</w:t>
      </w:r>
      <w:r>
        <w:rPr>
          <w:color w:val="auto"/>
          <w:sz w:val="21"/>
          <w:szCs w:val="21"/>
          <w:highlight w:val="none"/>
          <w:u w:val="single"/>
        </w:rPr>
        <w:t xml:space="preserve"> </w:t>
      </w:r>
      <w:r>
        <w:rPr>
          <w:color w:val="auto"/>
          <w:sz w:val="21"/>
          <w:szCs w:val="21"/>
          <w:highlight w:val="none"/>
          <w:u w:val="single"/>
        </w:rPr>
        <w:tab/>
      </w:r>
    </w:p>
    <w:p>
      <w:pPr>
        <w:pStyle w:val="2"/>
        <w:keepNext w:val="0"/>
        <w:keepLines w:val="0"/>
        <w:pageBreakBefore w:val="0"/>
        <w:widowControl w:val="0"/>
        <w:tabs>
          <w:tab w:val="left" w:pos="3165"/>
          <w:tab w:val="left" w:pos="5818"/>
        </w:tabs>
        <w:kinsoku/>
        <w:wordWrap/>
        <w:overflowPunct/>
        <w:topLinePunct w:val="0"/>
        <w:autoSpaceDE w:val="0"/>
        <w:autoSpaceDN w:val="0"/>
        <w:bidi w:val="0"/>
        <w:adjustRightInd/>
        <w:snapToGrid/>
        <w:spacing w:line="360" w:lineRule="auto"/>
        <w:ind w:left="0" w:right="0" w:firstLine="420" w:firstLineChars="200"/>
        <w:jc w:val="left"/>
        <w:textAlignment w:val="auto"/>
        <w:rPr>
          <w:rFonts w:ascii="Times New Roman" w:eastAsia="Times New Roman"/>
          <w:color w:val="auto"/>
          <w:sz w:val="21"/>
          <w:szCs w:val="21"/>
          <w:highlight w:val="none"/>
        </w:rPr>
      </w:pPr>
      <w:r>
        <w:rPr>
          <w:color w:val="auto"/>
          <w:sz w:val="21"/>
          <w:szCs w:val="21"/>
          <w:highlight w:val="none"/>
        </w:rPr>
        <w:t>公章：</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日期： 年 月 日</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质疑函制作说明：</w:t>
      </w:r>
    </w:p>
    <w:p>
      <w:pPr>
        <w:pStyle w:val="22"/>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1、</w:t>
      </w:r>
      <w:r>
        <w:rPr>
          <w:color w:val="auto"/>
          <w:sz w:val="21"/>
          <w:szCs w:val="21"/>
          <w:highlight w:val="none"/>
        </w:rPr>
        <w:t>供应商提出质疑时，应提交质疑函和必要的证明材料。</w:t>
      </w:r>
    </w:p>
    <w:p>
      <w:pPr>
        <w:pStyle w:val="22"/>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2、</w:t>
      </w:r>
      <w:r>
        <w:rPr>
          <w:color w:val="auto"/>
          <w:sz w:val="21"/>
          <w:szCs w:val="21"/>
          <w:highlight w:val="none"/>
        </w:rPr>
        <w:t>质疑供应商若委托代理人进行质疑的，质疑函应按要求列明</w:t>
      </w:r>
      <w:r>
        <w:rPr>
          <w:color w:val="auto"/>
          <w:spacing w:val="-4"/>
          <w:w w:val="80"/>
          <w:sz w:val="21"/>
          <w:szCs w:val="21"/>
          <w:highlight w:val="none"/>
        </w:rPr>
        <w:t>“</w:t>
      </w:r>
      <w:r>
        <w:rPr>
          <w:color w:val="auto"/>
          <w:sz w:val="21"/>
          <w:szCs w:val="21"/>
          <w:highlight w:val="none"/>
        </w:rPr>
        <w:t>授权代表</w:t>
      </w:r>
      <w:r>
        <w:rPr>
          <w:color w:val="auto"/>
          <w:spacing w:val="-4"/>
          <w:w w:val="80"/>
          <w:sz w:val="21"/>
          <w:szCs w:val="21"/>
          <w:highlight w:val="none"/>
        </w:rPr>
        <w:t>”</w:t>
      </w:r>
      <w:r>
        <w:rPr>
          <w:color w:val="auto"/>
          <w:spacing w:val="-1"/>
          <w:sz w:val="21"/>
          <w:szCs w:val="21"/>
          <w:highlight w:val="none"/>
        </w:rPr>
        <w:t>的有关内容，并在附件中提交由质疑供应商签署</w:t>
      </w:r>
      <w:r>
        <w:rPr>
          <w:color w:val="auto"/>
          <w:sz w:val="21"/>
          <w:szCs w:val="21"/>
          <w:highlight w:val="none"/>
        </w:rPr>
        <w:t>的授权委托书。授权委托书应载明代理人的姓名或者名称、代理事项、具体权限、期限和相关事项。</w:t>
      </w:r>
    </w:p>
    <w:p>
      <w:pPr>
        <w:pStyle w:val="22"/>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3、</w:t>
      </w:r>
      <w:r>
        <w:rPr>
          <w:color w:val="auto"/>
          <w:sz w:val="21"/>
          <w:szCs w:val="21"/>
          <w:highlight w:val="none"/>
        </w:rPr>
        <w:t>质疑供应商若对项目的某一分包进行质疑，质疑函中应列明具体采购包号。</w:t>
      </w:r>
    </w:p>
    <w:p>
      <w:pPr>
        <w:pStyle w:val="22"/>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4、</w:t>
      </w:r>
      <w:r>
        <w:rPr>
          <w:color w:val="auto"/>
          <w:sz w:val="21"/>
          <w:szCs w:val="21"/>
          <w:highlight w:val="none"/>
        </w:rPr>
        <w:t>质疑函的质疑事项应具体、明确，并有必要的事实依据和法律依据。</w:t>
      </w:r>
    </w:p>
    <w:p>
      <w:pPr>
        <w:pStyle w:val="22"/>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5、</w:t>
      </w:r>
      <w:r>
        <w:rPr>
          <w:color w:val="auto"/>
          <w:sz w:val="21"/>
          <w:szCs w:val="21"/>
          <w:highlight w:val="none"/>
        </w:rPr>
        <w:t>质疑函的质疑请求应与质疑事项相关。</w:t>
      </w:r>
    </w:p>
    <w:p>
      <w:pPr>
        <w:pStyle w:val="22"/>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pacing w:val="-1"/>
          <w:sz w:val="21"/>
          <w:szCs w:val="21"/>
          <w:highlight w:val="none"/>
        </w:rPr>
      </w:pPr>
      <w:r>
        <w:rPr>
          <w:color w:val="auto"/>
          <w:spacing w:val="-1"/>
          <w:sz w:val="21"/>
          <w:szCs w:val="21"/>
          <w:highlight w:val="none"/>
        </w:rPr>
        <w:t>质疑供应商为自然人的，质疑函应由本人签字；质疑供应商为法人或者其他组织的，质疑函应由法定代表人、主要负责人，或者其授权代表签字或者盖章，并加盖公章。</w:t>
      </w:r>
    </w:p>
    <w:p>
      <w:pPr>
        <w:rPr>
          <w:color w:val="auto"/>
          <w:sz w:val="21"/>
          <w:szCs w:val="21"/>
          <w:highlight w:val="none"/>
        </w:rPr>
      </w:pPr>
      <w:r>
        <w:rPr>
          <w:color w:val="auto"/>
          <w:sz w:val="21"/>
          <w:szCs w:val="21"/>
          <w:highlight w:val="none"/>
        </w:rPr>
        <w:br w:type="page"/>
      </w:r>
    </w:p>
    <w:p>
      <w:pPr>
        <w:pStyle w:val="2"/>
        <w:rPr>
          <w:rFonts w:hint="eastAsia"/>
          <w:b/>
          <w:bCs/>
          <w:color w:val="auto"/>
          <w:highlight w:val="none"/>
          <w:lang w:eastAsia="zh-CN"/>
        </w:rPr>
      </w:pPr>
      <w:r>
        <w:rPr>
          <w:rFonts w:hint="eastAsia"/>
          <w:b/>
          <w:bCs/>
          <w:color w:val="auto"/>
          <w:highlight w:val="none"/>
          <w:lang w:eastAsia="zh-CN"/>
        </w:rPr>
        <w:t>格式二：</w:t>
      </w:r>
    </w:p>
    <w:p>
      <w:pPr>
        <w:bidi w:val="0"/>
        <w:jc w:val="center"/>
        <w:rPr>
          <w:rFonts w:hint="eastAsia" w:eastAsia="宋体"/>
          <w:b/>
          <w:bCs/>
          <w:color w:val="auto"/>
          <w:highlight w:val="none"/>
          <w:lang w:eastAsia="zh-CN"/>
        </w:rPr>
      </w:pPr>
      <w:r>
        <w:rPr>
          <w:rFonts w:hint="eastAsia"/>
          <w:b/>
          <w:bCs/>
          <w:color w:val="auto"/>
          <w:highlight w:val="none"/>
          <w:lang w:eastAsia="zh-CN"/>
        </w:rPr>
        <w:t>响应担保函</w:t>
      </w:r>
    </w:p>
    <w:p>
      <w:pPr>
        <w:pageBreakBefore w:val="0"/>
        <w:kinsoku/>
        <w:wordWrap w:val="0"/>
        <w:topLinePunct w:val="0"/>
        <w:autoSpaceDE/>
        <w:autoSpaceDN/>
        <w:bidi w:val="0"/>
        <w:spacing w:line="360" w:lineRule="auto"/>
        <w:jc w:val="right"/>
        <w:rPr>
          <w:rFonts w:ascii="仿宋_GB2312" w:eastAsia="仿宋_GB2312"/>
          <w:color w:val="auto"/>
          <w:sz w:val="32"/>
          <w:szCs w:val="32"/>
          <w:highlight w:val="none"/>
        </w:rPr>
      </w:pPr>
      <w:r>
        <w:rPr>
          <w:rFonts w:hint="eastAsia" w:ascii="宋体" w:hAnsi="宋体" w:eastAsia="宋体" w:cs="宋体"/>
          <w:color w:val="auto"/>
          <w:sz w:val="21"/>
          <w:szCs w:val="21"/>
          <w:highlight w:val="none"/>
        </w:rPr>
        <w:t xml:space="preserve"> 编号：</w:t>
      </w:r>
      <w:r>
        <w:rPr>
          <w:rFonts w:hint="eastAsia" w:ascii="仿宋_GB2312" w:eastAsia="仿宋_GB2312"/>
          <w:color w:val="auto"/>
          <w:sz w:val="28"/>
          <w:szCs w:val="28"/>
          <w:highlight w:val="none"/>
        </w:rPr>
        <w:t xml:space="preserve"> </w:t>
      </w:r>
      <w:r>
        <w:rPr>
          <w:rFonts w:hint="eastAsia" w:ascii="仿宋_GB2312" w:eastAsia="仿宋_GB2312"/>
          <w:color w:val="auto"/>
          <w:sz w:val="32"/>
          <w:szCs w:val="32"/>
          <w:highlight w:val="none"/>
        </w:rPr>
        <w:t xml:space="preserve">     </w:t>
      </w:r>
    </w:p>
    <w:p>
      <w:pPr>
        <w:pageBreakBefore w:val="0"/>
        <w:kinsoku/>
        <w:topLinePunct w:val="0"/>
        <w:autoSpaceDE/>
        <w:autoSpaceDN/>
        <w:bidi w:val="0"/>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或</w:t>
      </w:r>
      <w:r>
        <w:rPr>
          <w:rFonts w:hint="eastAsia" w:ascii="宋体" w:hAnsi="宋体" w:cs="宋体"/>
          <w:color w:val="auto"/>
          <w:sz w:val="21"/>
          <w:szCs w:val="21"/>
          <w:highlight w:val="none"/>
          <w:lang w:eastAsia="zh-CN"/>
        </w:rPr>
        <w:t>采购代理机构</w:t>
      </w:r>
      <w:r>
        <w:rPr>
          <w:rFonts w:hint="eastAsia" w:ascii="宋体" w:hAnsi="宋体" w:eastAsia="宋体" w:cs="宋体"/>
          <w:color w:val="auto"/>
          <w:sz w:val="21"/>
          <w:szCs w:val="21"/>
          <w:highlight w:val="none"/>
        </w:rPr>
        <w:t>）：</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鉴于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（以下简称“</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”）拟参加编号为</w:t>
      </w:r>
      <w:r>
        <w:rPr>
          <w:rFonts w:hint="eastAsia" w:ascii="宋体" w:hAnsi="宋体" w:eastAsia="宋体" w:cs="宋体"/>
          <w:color w:val="auto"/>
          <w:sz w:val="21"/>
          <w:szCs w:val="21"/>
          <w:highlight w:val="none"/>
          <w:u w:val="single"/>
        </w:rPr>
        <w:t xml:space="preserve">            的</w:t>
      </w:r>
    </w:p>
    <w:p>
      <w:pPr>
        <w:pageBreakBefore w:val="0"/>
        <w:kinsoku/>
        <w:topLinePunct w:val="0"/>
        <w:autoSpaceDE/>
        <w:autoSpaceDN/>
        <w:bidi w:val="0"/>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项目（以下简称“本项目”）</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，根据本项目</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，供应商参加</w:t>
      </w:r>
      <w:r>
        <w:rPr>
          <w:rFonts w:hint="eastAsia" w:ascii="宋体" w:hAnsi="宋体" w:cs="宋体"/>
          <w:color w:val="auto"/>
          <w:sz w:val="21"/>
          <w:szCs w:val="21"/>
          <w:highlight w:val="none"/>
          <w:lang w:eastAsia="zh-CN"/>
        </w:rPr>
        <w:t>响应</w:t>
      </w:r>
      <w:r>
        <w:rPr>
          <w:rFonts w:hint="eastAsia" w:ascii="宋体" w:hAnsi="宋体" w:eastAsia="宋体" w:cs="宋体"/>
          <w:color w:val="auto"/>
          <w:sz w:val="21"/>
          <w:szCs w:val="21"/>
          <w:highlight w:val="none"/>
        </w:rPr>
        <w:t>时应向你方交纳</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，且可以</w:t>
      </w:r>
      <w:r>
        <w:rPr>
          <w:rFonts w:hint="eastAsia" w:ascii="宋体" w:hAnsi="宋体" w:cs="宋体"/>
          <w:color w:val="auto"/>
          <w:sz w:val="21"/>
          <w:szCs w:val="21"/>
          <w:highlight w:val="none"/>
          <w:lang w:eastAsia="zh-CN"/>
        </w:rPr>
        <w:t>响应担保函</w:t>
      </w:r>
      <w:r>
        <w:rPr>
          <w:rFonts w:hint="eastAsia" w:ascii="宋体" w:hAnsi="宋体" w:eastAsia="宋体" w:cs="宋体"/>
          <w:color w:val="auto"/>
          <w:sz w:val="21"/>
          <w:szCs w:val="21"/>
          <w:highlight w:val="none"/>
        </w:rPr>
        <w:t>的形式交纳</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。应供应商的申请，我方以保证的方式向你方提供如下</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担保：</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一、保证责任的情形及保证金额</w:t>
      </w:r>
    </w:p>
    <w:p>
      <w:pPr>
        <w:pageBreakBefore w:val="0"/>
        <w:kinsoku/>
        <w:topLinePunct w:val="0"/>
        <w:autoSpaceDE/>
        <w:autoSpaceDN/>
        <w:bidi w:val="0"/>
        <w:spacing w:after="0" w:line="36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（一）在</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出现下列情形之一时，我方承担保证责任：</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1．中标后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无正当理由不与</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或者</w:t>
      </w:r>
      <w:r>
        <w:rPr>
          <w:rFonts w:hint="eastAsia" w:ascii="宋体" w:hAnsi="宋体" w:cs="宋体"/>
          <w:color w:val="auto"/>
          <w:sz w:val="21"/>
          <w:szCs w:val="21"/>
          <w:highlight w:val="none"/>
          <w:lang w:eastAsia="zh-CN"/>
        </w:rPr>
        <w:t>采购代理机构</w:t>
      </w:r>
      <w:r>
        <w:rPr>
          <w:rFonts w:hint="eastAsia" w:ascii="宋体" w:hAnsi="宋体" w:eastAsia="宋体" w:cs="宋体"/>
          <w:color w:val="auto"/>
          <w:sz w:val="21"/>
          <w:szCs w:val="21"/>
          <w:highlight w:val="none"/>
        </w:rPr>
        <w:t>签订合同；</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规定的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应当缴纳保证金的其他情形。</w:t>
      </w:r>
    </w:p>
    <w:p>
      <w:pPr>
        <w:pageBreakBefore w:val="0"/>
        <w:kinsoku/>
        <w:topLinePunct w:val="0"/>
        <w:autoSpaceDE/>
        <w:autoSpaceDN/>
        <w:bidi w:val="0"/>
        <w:spacing w:after="0" w:line="36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（二）我方承担保证责任的最高金额为人民币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），即本项目的</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金额。</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二、保证的方式及保证期间</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我方的保证期间为：自本保函生效之日起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个月止。</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三、承担保证责任的程序</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1．你方要求我方承担保证责任的，应在本保函保证期间内向我方发出书面索赔通知。索赔通知应写明要求索赔的金额，支付款项应到达的账号，并附有证明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发生我方应承担保证责任情形的事实材料。</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2．我方在收到索赔通知及相关证明材料后，在</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个工作日内进行审查，符合应承担保证责任情形的，我方应按照你方的要求代</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向你方支付</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四、保证责任的终止</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1．保证期间届满你方未向我方书面主张保证责任的，自保证期间届满次日起，我方保证责任自动终止。</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2．我方按照本保函向你贵方履行了保证责任后，自我方向你贵方支付款项（支付款项从我方账户划出）之日起，保证责任终止。</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3．按照法律法规的规定或出现我方保证责任终止的其它情形的，我方在本保函项下的保证责任亦终止。</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五、免责条款</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1．依照法律规定或你方与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的另行约定，全部或者部分免除</w:t>
      </w:r>
      <w:r>
        <w:rPr>
          <w:rFonts w:hint="eastAsia" w:ascii="宋体" w:hAnsi="宋体" w:cs="宋体"/>
          <w:color w:val="auto"/>
          <w:sz w:val="21"/>
          <w:szCs w:val="21"/>
          <w:highlight w:val="none"/>
          <w:lang w:eastAsia="zh-CN"/>
        </w:rPr>
        <w:t>供应商响应保证金</w:t>
      </w:r>
      <w:r>
        <w:rPr>
          <w:rFonts w:hint="eastAsia" w:ascii="宋体" w:hAnsi="宋体" w:eastAsia="宋体" w:cs="宋体"/>
          <w:color w:val="auto"/>
          <w:sz w:val="21"/>
          <w:szCs w:val="21"/>
          <w:highlight w:val="none"/>
        </w:rPr>
        <w:t>义务时，我方亦免除相应的保证责任。</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2．因你方原因致使</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发生本保函第一条第（一）款约定情形的，我方不承担保证责任。</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3．因不可抗力造成</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发生本保函第一条约定情形的，我方不承担保证责任。</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4．你方或其他有权机关对</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进行任何澄清或修改，加重我方保证责任的，我方对加重部分不承担保证责任，但该澄清或修改经我方事先书面同意的除外。</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六、争议的解决</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因本保函发生的纠纷，由你我双方协商解决，协商不成的，通过诉讼程序解决，诉讼管辖地法院为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法院。</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七、保函的生效</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本保函自我方加盖公章之日起生效。</w:t>
      </w:r>
    </w:p>
    <w:p>
      <w:pPr>
        <w:pageBreakBefore w:val="0"/>
        <w:kinsoku/>
        <w:topLinePunct w:val="0"/>
        <w:autoSpaceDE/>
        <w:autoSpaceDN/>
        <w:bidi w:val="0"/>
        <w:spacing w:after="0" w:line="36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保证人：（公章）</w:t>
      </w:r>
    </w:p>
    <w:p>
      <w:pPr>
        <w:pageBreakBefore w:val="0"/>
        <w:kinsoku/>
        <w:topLinePunct w:val="0"/>
        <w:autoSpaceDE/>
        <w:autoSpaceDN/>
        <w:bidi w:val="0"/>
        <w:spacing w:after="0"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pageBreakBefore w:val="0"/>
        <w:kinsoku/>
        <w:topLinePunct w:val="0"/>
        <w:autoSpaceDE/>
        <w:autoSpaceDN/>
        <w:bidi w:val="0"/>
        <w:spacing w:after="0" w:line="360" w:lineRule="auto"/>
        <w:jc w:val="left"/>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注：</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lang w:eastAsia="zh-CN"/>
        </w:rPr>
        <w:t>）若</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lang w:eastAsia="zh-CN"/>
        </w:rPr>
        <w:t>不以</w:t>
      </w:r>
      <w:r>
        <w:rPr>
          <w:rFonts w:hint="eastAsia" w:ascii="宋体" w:hAnsi="宋体"/>
          <w:color w:val="auto"/>
          <w:sz w:val="21"/>
          <w:szCs w:val="21"/>
          <w:highlight w:val="none"/>
          <w:lang w:eastAsia="zh-CN"/>
        </w:rPr>
        <w:t>响应担保函</w:t>
      </w:r>
      <w:r>
        <w:rPr>
          <w:rFonts w:hint="eastAsia" w:ascii="宋体" w:hAnsi="宋体" w:eastAsia="宋体" w:cs="宋体"/>
          <w:color w:val="auto"/>
          <w:sz w:val="21"/>
          <w:szCs w:val="21"/>
          <w:highlight w:val="none"/>
          <w:lang w:eastAsia="zh-CN"/>
        </w:rPr>
        <w:t>形式</w:t>
      </w:r>
      <w:r>
        <w:rPr>
          <w:rFonts w:hint="eastAsia" w:ascii="宋体" w:hAnsi="宋体" w:eastAsia="宋体"/>
          <w:color w:val="auto"/>
          <w:sz w:val="21"/>
          <w:szCs w:val="21"/>
          <w:highlight w:val="none"/>
          <w:lang w:eastAsia="zh-CN"/>
        </w:rPr>
        <w:t>提交</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lang w:eastAsia="zh-CN"/>
        </w:rPr>
        <w:t>，则无需在</w:t>
      </w:r>
      <w:r>
        <w:rPr>
          <w:rFonts w:hint="eastAsia" w:ascii="宋体" w:hAnsi="宋体"/>
          <w:color w:val="auto"/>
          <w:sz w:val="21"/>
          <w:szCs w:val="21"/>
          <w:highlight w:val="none"/>
          <w:lang w:eastAsia="zh-CN"/>
        </w:rPr>
        <w:t>响应文件</w:t>
      </w:r>
      <w:r>
        <w:rPr>
          <w:rFonts w:hint="eastAsia" w:ascii="宋体" w:hAnsi="宋体" w:eastAsia="宋体"/>
          <w:color w:val="auto"/>
          <w:sz w:val="21"/>
          <w:szCs w:val="21"/>
          <w:highlight w:val="none"/>
          <w:lang w:eastAsia="zh-CN"/>
        </w:rPr>
        <w:t>中提供此格式。</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lang w:eastAsia="zh-CN"/>
        </w:rPr>
        <w:t>）若</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lang w:eastAsia="zh-CN"/>
        </w:rPr>
        <w:t>以</w:t>
      </w:r>
      <w:r>
        <w:rPr>
          <w:rFonts w:hint="eastAsia" w:ascii="宋体" w:hAnsi="宋体"/>
          <w:color w:val="auto"/>
          <w:sz w:val="21"/>
          <w:szCs w:val="21"/>
          <w:highlight w:val="none"/>
          <w:lang w:eastAsia="zh-CN"/>
        </w:rPr>
        <w:t>响应担保函</w:t>
      </w:r>
      <w:r>
        <w:rPr>
          <w:rFonts w:hint="eastAsia" w:ascii="宋体" w:hAnsi="宋体" w:eastAsia="宋体"/>
          <w:color w:val="auto"/>
          <w:sz w:val="21"/>
          <w:szCs w:val="21"/>
          <w:highlight w:val="none"/>
          <w:lang w:eastAsia="zh-CN"/>
        </w:rPr>
        <w:t>形式提交</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lang w:eastAsia="zh-CN"/>
        </w:rPr>
        <w:t>，则应将</w:t>
      </w:r>
      <w:r>
        <w:rPr>
          <w:rFonts w:hint="eastAsia" w:ascii="宋体" w:hAnsi="宋体"/>
          <w:color w:val="auto"/>
          <w:sz w:val="21"/>
          <w:szCs w:val="21"/>
          <w:highlight w:val="none"/>
          <w:lang w:eastAsia="zh-CN"/>
        </w:rPr>
        <w:t>响应担保函</w:t>
      </w:r>
      <w:r>
        <w:rPr>
          <w:rFonts w:hint="eastAsia" w:ascii="宋体" w:hAnsi="宋体" w:eastAsia="宋体"/>
          <w:color w:val="auto"/>
          <w:sz w:val="21"/>
          <w:szCs w:val="21"/>
          <w:highlight w:val="none"/>
          <w:lang w:eastAsia="zh-CN"/>
        </w:rPr>
        <w:t>原件交予</w:t>
      </w:r>
      <w:r>
        <w:rPr>
          <w:rFonts w:hint="eastAsia" w:ascii="宋体" w:hAnsi="宋体"/>
          <w:color w:val="auto"/>
          <w:sz w:val="21"/>
          <w:szCs w:val="21"/>
          <w:highlight w:val="none"/>
          <w:lang w:eastAsia="zh-CN"/>
        </w:rPr>
        <w:t>采购代理机构</w:t>
      </w:r>
      <w:r>
        <w:rPr>
          <w:rFonts w:hint="eastAsia" w:ascii="宋体" w:hAnsi="宋体" w:eastAsia="宋体"/>
          <w:color w:val="auto"/>
          <w:sz w:val="21"/>
          <w:szCs w:val="21"/>
          <w:highlight w:val="none"/>
          <w:lang w:eastAsia="zh-CN"/>
        </w:rPr>
        <w:t>。</w:t>
      </w:r>
    </w:p>
    <w:p>
      <w:pP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br w:type="page"/>
      </w:r>
    </w:p>
    <w:p>
      <w:pPr>
        <w:pStyle w:val="2"/>
        <w:rPr>
          <w:rFonts w:hint="eastAsia"/>
          <w:b/>
          <w:bCs/>
          <w:color w:val="auto"/>
          <w:highlight w:val="none"/>
          <w:lang w:eastAsia="zh-CN"/>
        </w:rPr>
      </w:pPr>
      <w:r>
        <w:rPr>
          <w:rFonts w:hint="eastAsia"/>
          <w:b/>
          <w:bCs/>
          <w:color w:val="auto"/>
          <w:highlight w:val="none"/>
          <w:lang w:eastAsia="zh-CN"/>
        </w:rPr>
        <w:t>格式三：</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履约担保函</w:t>
      </w:r>
    </w:p>
    <w:p>
      <w:pPr>
        <w:keepNext w:val="0"/>
        <w:keepLines w:val="0"/>
        <w:pageBreakBefore w:val="0"/>
        <w:widowControl w:val="0"/>
        <w:kinsoku/>
        <w:wordWrap/>
        <w:overflowPunct/>
        <w:topLinePunct w:val="0"/>
        <w:autoSpaceDE/>
        <w:autoSpaceDN/>
        <w:bidi w:val="0"/>
        <w:adjustRightInd/>
        <w:snapToGrid/>
        <w:spacing w:line="360" w:lineRule="auto"/>
        <w:ind w:firstLine="3512" w:firstLineChars="1666"/>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______________________(</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鉴于你方与________________（以下简称供应商）于_____年_____月_____日签定编号为 的 《_____________政府采购合同》（以下简称主合同），且依据该合同的约定，供应商应在_____年_____月_____日前向你方交纳履约保证金，且可以履约担保函的形式交纳履约保证金。应供应商的申请，我方以保证的方式向你方提供如下履约保证金担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一、保证责任的情形及保证金额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(一)在供应商出现下列情形之一时，我方承担保证责任：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1.将中标项目转让给他人，或者在</w:t>
      </w: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中未说明，且未经采购招标机构人同意，将中标项目分包给他人的；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2.主合同约定的应 当缴纳履约保证金的情形: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(1）未按主合同约定的质量、数量和期限供应货物／提供服务／完成工程的；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(二)我方的保证范围是主合同约定的合同价款总额的______%数额为_______元（大写</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__________），币种为__________。（即主合同履约保证金金额）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二、保证的方式及保证期间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我方保证的期间为：自本合同生效之日起至供应商按照主合同约定的供货／完工期限届满后______日内。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如果供应商未按主合同约定向贵方供应货物／提供服务／完成工程的，由我方在保证金额内向你方支付上述款项。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三、承担保证责任的程序</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1.你方要求我方承担保证责任的 ，应在本保函保证期间内向我方发出书面索赔通知。索赔通知应写明要求索赔的金额，支付款项应到达的帐号。并附有证明供应商违约事实的证明材料。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你方与供应商因货物质量问题产生争议，你方还需同时提供________部门出具的质量检测报告，或经诉讼（仲裁）程序裁决后的裁决书、调解书，本保证人即按照检测结果或裁决书、调解书决定是否承担保证责任。</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2.我方收到你方的书面索赔通知及相应证明材料，在_____工作日内进行核定后按照本保函的承诺承担保证责任。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四、保证责任的终止</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2.我方按照本保函向你方履行了保证责任后，自我方向你方支付款项（支付款项从我方账户划出）之日起，保证责任即终止。</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3.按照法律法规的规定或出现应终止我方保证责任的其它情形的，我方在本保函项下的保证责任亦终止。</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你方与供应商修改主合同，加重我方保证责任的，我方对加重部分不承担保证责任，但该等修改事先经我方书面同意的除外；你方与供应离修改主合同履行期限，我方保证期间仍依修改前的履行期限计算，但该等修改事先经我方书面同意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五、免责条款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1.因你方违反主合同约定致使供应商不能履行义务的，我方不承担保证责任。</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2.依照法律法规的规定或你方与供应商的另行约定，全部或者部分免除供应商应缴纳的保证金义务的，我方亦免除相应的保证责任。</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3.因不可抗力造成供应商不能履行供货义务的，我方不承担保证责任。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六、争议的解决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因本保函发生的纠纷，由你我双方协商解决，协商不成的，通过诉讼程序解决,诉讼管辖地法院为_______________法院。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七、保函的生效</w:t>
      </w:r>
    </w:p>
    <w:p>
      <w:pPr>
        <w:keepNext w:val="0"/>
        <w:keepLines w:val="0"/>
        <w:pageBreakBefore w:val="0"/>
        <w:widowControl w:val="0"/>
        <w:kinsoku/>
        <w:wordWrap/>
        <w:overflowPunct/>
        <w:topLinePunct w:val="0"/>
        <w:autoSpaceDE/>
        <w:autoSpaceDN/>
        <w:bidi w:val="0"/>
        <w:adjustRightInd/>
        <w:snapToGrid/>
        <w:spacing w:line="360" w:lineRule="auto"/>
        <w:ind w:firstLine="40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本保函自我方加盖公章之日起生效。</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保证人：（公章） </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2"/>
        <w:rPr>
          <w:rFonts w:hint="eastAsia"/>
          <w:b/>
          <w:bCs/>
          <w:color w:val="auto"/>
          <w:highlight w:val="none"/>
          <w:lang w:eastAsia="zh-CN"/>
        </w:rPr>
      </w:pPr>
      <w:r>
        <w:rPr>
          <w:rFonts w:hint="eastAsia"/>
          <w:b/>
          <w:bCs/>
          <w:color w:val="auto"/>
          <w:highlight w:val="none"/>
          <w:lang w:eastAsia="zh-CN"/>
        </w:rPr>
        <w:t>格式四：</w:t>
      </w:r>
    </w:p>
    <w:p>
      <w:pPr>
        <w:bidi w:val="0"/>
        <w:jc w:val="center"/>
        <w:rPr>
          <w:rFonts w:hint="eastAsia"/>
          <w:b/>
          <w:bCs/>
          <w:color w:val="auto"/>
          <w:highlight w:val="none"/>
        </w:rPr>
      </w:pPr>
      <w:r>
        <w:rPr>
          <w:rFonts w:hint="eastAsia"/>
          <w:b/>
          <w:bCs/>
          <w:color w:val="auto"/>
          <w:highlight w:val="none"/>
        </w:rPr>
        <w:t>联合体共同</w:t>
      </w:r>
      <w:r>
        <w:rPr>
          <w:rFonts w:hint="eastAsia"/>
          <w:b/>
          <w:bCs/>
          <w:color w:val="auto"/>
          <w:highlight w:val="none"/>
          <w:lang w:val="en-US" w:eastAsia="zh-CN"/>
        </w:rPr>
        <w:t>响应</w:t>
      </w:r>
      <w:r>
        <w:rPr>
          <w:rFonts w:hint="eastAsia"/>
          <w:b/>
          <w:bCs/>
          <w:color w:val="auto"/>
          <w:highlight w:val="none"/>
        </w:rPr>
        <w:t>协议书</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立约方：（甲公司全称）</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（乙公司全称）</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（……公司全称）</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（甲公司全称）、（乙公司全称）、（……公司全称）自愿组成联合体，以一个</w:t>
      </w:r>
      <w:r>
        <w:rPr>
          <w:rFonts w:hint="eastAsia" w:ascii="宋体" w:hAnsi="宋体"/>
          <w:color w:val="auto"/>
          <w:sz w:val="21"/>
          <w:szCs w:val="21"/>
          <w:highlight w:val="none"/>
          <w:lang w:val="en-US" w:eastAsia="zh-CN"/>
        </w:rPr>
        <w:t>响应</w:t>
      </w:r>
      <w:r>
        <w:rPr>
          <w:rFonts w:hint="eastAsia" w:ascii="宋体" w:hAnsi="宋体" w:eastAsia="宋体"/>
          <w:color w:val="auto"/>
          <w:sz w:val="21"/>
          <w:szCs w:val="21"/>
          <w:highlight w:val="none"/>
          <w:lang w:eastAsia="zh-CN"/>
        </w:rPr>
        <w:t>供应商的身份共同参加（采购项目名称） （采购项目编号）的响应活动。经各方充分协商一致，就项目的响应和合同实施阶段的有关事务协商一致订立协议如下：</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一、联合体各方关系</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（甲公司全称）、（乙公司全称）、（……公司全称）共同组成一个联合体，以一个</w:t>
      </w:r>
      <w:r>
        <w:rPr>
          <w:rFonts w:hint="eastAsia" w:ascii="宋体" w:hAnsi="宋体"/>
          <w:color w:val="auto"/>
          <w:sz w:val="21"/>
          <w:szCs w:val="21"/>
          <w:highlight w:val="none"/>
          <w:lang w:val="en-US" w:eastAsia="zh-CN"/>
        </w:rPr>
        <w:t>响应</w:t>
      </w:r>
      <w:r>
        <w:rPr>
          <w:rFonts w:hint="eastAsia" w:ascii="宋体" w:hAnsi="宋体" w:eastAsia="宋体"/>
          <w:color w:val="auto"/>
          <w:sz w:val="21"/>
          <w:szCs w:val="21"/>
          <w:highlight w:val="none"/>
          <w:lang w:eastAsia="zh-CN"/>
        </w:rPr>
        <w:t>供应商的身份共同参加本项目的响应。（甲公司全称）、（乙公司全称）、（……公司全称）作为联合体成员，若中标，联合体各方共同与（采购人）签订政府采购合同。</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二、联合体内部有关事项约定如下：</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1.作为联合体的牵头单位，代表联合体双方负责</w:t>
      </w:r>
      <w:r>
        <w:rPr>
          <w:rFonts w:hint="eastAsia" w:ascii="宋体" w:hAnsi="宋体"/>
          <w:color w:val="auto"/>
          <w:sz w:val="21"/>
          <w:szCs w:val="21"/>
          <w:highlight w:val="none"/>
          <w:lang w:eastAsia="zh-CN"/>
        </w:rPr>
        <w:t>响应</w:t>
      </w:r>
      <w:r>
        <w:rPr>
          <w:rFonts w:hint="eastAsia" w:ascii="宋体" w:hAnsi="宋体" w:eastAsia="宋体"/>
          <w:color w:val="auto"/>
          <w:sz w:val="21"/>
          <w:szCs w:val="21"/>
          <w:highlight w:val="none"/>
          <w:lang w:eastAsia="zh-CN"/>
        </w:rPr>
        <w:t>和合同实施阶段的主办、协调工作。</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 联合体将严格按照文件的各项要求，递交</w:t>
      </w:r>
      <w:r>
        <w:rPr>
          <w:rFonts w:hint="eastAsia" w:ascii="宋体" w:hAnsi="宋体"/>
          <w:color w:val="auto"/>
          <w:sz w:val="21"/>
          <w:szCs w:val="21"/>
          <w:highlight w:val="none"/>
          <w:lang w:eastAsia="zh-CN"/>
        </w:rPr>
        <w:t>响应文件</w:t>
      </w:r>
      <w:r>
        <w:rPr>
          <w:rFonts w:hint="eastAsia" w:ascii="宋体" w:hAnsi="宋体" w:eastAsia="宋体"/>
          <w:color w:val="auto"/>
          <w:sz w:val="21"/>
          <w:szCs w:val="21"/>
          <w:highlight w:val="none"/>
          <w:lang w:eastAsia="zh-CN"/>
        </w:rPr>
        <w:t>，切实执行一切合同文件，共同承担合同规定的一切义务和责任，同时按照内部职责的划分，承担自身所负的责任和风险，在法律在承担连带责任。</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 如果本联合体中标，（甲公司全称）负责本项目            部分，（乙公司全称）负责本项目              部分。</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4.如中标，联合体各方共同与（采购人）签订合同书，并就中标项目向采购人负责有连带的和各自的法律责任；</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5.联合体成员　（公司全称）　为（请填写：小型、微型）企业，将承担合同总金额　　%的工作内容（联合体成员中有小型、微型企业时适用）。</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四、联合体如因违约过失责任而导致采购人经济损失或被索赔时，本联合体任何一方均同意无条件优先清偿采购人的一切债务和经济赔偿。</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五、本协议在自签署之日起生效，有效期内有效，如获中标资格，合同有效期延续至合同履行完毕之日。</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六、本协议书正本一式  份，随</w:t>
      </w:r>
      <w:r>
        <w:rPr>
          <w:rFonts w:hint="eastAsia" w:ascii="宋体" w:hAnsi="宋体"/>
          <w:color w:val="auto"/>
          <w:sz w:val="21"/>
          <w:szCs w:val="21"/>
          <w:highlight w:val="none"/>
          <w:lang w:eastAsia="zh-CN"/>
        </w:rPr>
        <w:t>响应文件</w:t>
      </w:r>
      <w:r>
        <w:rPr>
          <w:rFonts w:hint="eastAsia" w:ascii="宋体" w:hAnsi="宋体" w:eastAsia="宋体"/>
          <w:color w:val="auto"/>
          <w:sz w:val="21"/>
          <w:szCs w:val="21"/>
          <w:highlight w:val="none"/>
          <w:lang w:eastAsia="zh-CN"/>
        </w:rPr>
        <w:t>装订   份，送采购人   份，联合体成员各一份；副本一式   份，联合体成员各执    份。</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甲公司全称：（盖章） </w:t>
      </w:r>
      <w:r>
        <w:rPr>
          <w:rFonts w:hint="eastAsia" w:ascii="宋体" w:hAnsi="宋体" w:eastAsia="宋体"/>
          <w:color w:val="auto"/>
          <w:sz w:val="21"/>
          <w:szCs w:val="21"/>
          <w:highlight w:val="none"/>
          <w:lang w:eastAsia="zh-CN"/>
        </w:rPr>
        <w:tab/>
      </w:r>
      <w:r>
        <w:rPr>
          <w:rFonts w:hint="eastAsia" w:ascii="宋体" w:hAnsi="宋体"/>
          <w:color w:val="auto"/>
          <w:sz w:val="21"/>
          <w:szCs w:val="21"/>
          <w:highlight w:val="none"/>
          <w:lang w:val="en-US" w:eastAsia="zh-CN"/>
        </w:rPr>
        <w:t xml:space="preserve">  </w:t>
      </w:r>
      <w:r>
        <w:rPr>
          <w:rFonts w:hint="eastAsia" w:ascii="宋体" w:hAnsi="宋体" w:eastAsia="宋体"/>
          <w:color w:val="auto"/>
          <w:sz w:val="21"/>
          <w:szCs w:val="21"/>
          <w:highlight w:val="none"/>
          <w:lang w:eastAsia="zh-CN"/>
        </w:rPr>
        <w:t>乙公司全称：（盖章）</w:t>
      </w:r>
      <w:r>
        <w:rPr>
          <w:rFonts w:hint="eastAsia" w:ascii="宋体" w:hAnsi="宋体" w:eastAsia="宋体"/>
          <w:color w:val="auto"/>
          <w:sz w:val="21"/>
          <w:szCs w:val="21"/>
          <w:highlight w:val="none"/>
          <w:lang w:eastAsia="zh-CN"/>
        </w:rPr>
        <w:tab/>
      </w:r>
      <w:r>
        <w:rPr>
          <w:rFonts w:hint="eastAsia" w:ascii="宋体" w:hAnsi="宋体"/>
          <w:color w:val="auto"/>
          <w:sz w:val="21"/>
          <w:szCs w:val="21"/>
          <w:highlight w:val="none"/>
          <w:lang w:val="en-US" w:eastAsia="zh-CN"/>
        </w:rPr>
        <w:t xml:space="preserve">        </w:t>
      </w:r>
      <w:r>
        <w:rPr>
          <w:rFonts w:hint="eastAsia" w:ascii="宋体" w:hAnsi="宋体" w:eastAsia="宋体"/>
          <w:color w:val="auto"/>
          <w:sz w:val="21"/>
          <w:szCs w:val="21"/>
          <w:highlight w:val="none"/>
          <w:lang w:eastAsia="zh-CN"/>
        </w:rPr>
        <w:t>……公司全称（盖章）</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法定代表人：（签字或盖章）</w:t>
      </w:r>
      <w:r>
        <w:rPr>
          <w:rFonts w:hint="eastAsia" w:ascii="宋体" w:hAnsi="宋体"/>
          <w:color w:val="auto"/>
          <w:sz w:val="21"/>
          <w:szCs w:val="21"/>
          <w:highlight w:val="none"/>
          <w:lang w:val="en-US" w:eastAsia="zh-CN"/>
        </w:rPr>
        <w:t xml:space="preserve"> </w:t>
      </w:r>
      <w:r>
        <w:rPr>
          <w:rFonts w:hint="eastAsia" w:ascii="宋体" w:hAnsi="宋体" w:eastAsia="宋体"/>
          <w:color w:val="auto"/>
          <w:sz w:val="21"/>
          <w:szCs w:val="21"/>
          <w:highlight w:val="none"/>
          <w:lang w:eastAsia="zh-CN"/>
        </w:rPr>
        <w:t>法定代表人（签字或盖章）</w:t>
      </w:r>
      <w:r>
        <w:rPr>
          <w:rFonts w:hint="eastAsia" w:ascii="宋体" w:hAnsi="宋体" w:eastAsia="宋体"/>
          <w:color w:val="auto"/>
          <w:sz w:val="21"/>
          <w:szCs w:val="21"/>
          <w:highlight w:val="none"/>
          <w:lang w:eastAsia="zh-CN"/>
        </w:rPr>
        <w:tab/>
      </w:r>
      <w:r>
        <w:rPr>
          <w:rFonts w:hint="eastAsia" w:ascii="宋体" w:hAnsi="宋体" w:eastAsia="宋体"/>
          <w:color w:val="auto"/>
          <w:sz w:val="21"/>
          <w:szCs w:val="21"/>
          <w:highlight w:val="none"/>
          <w:lang w:eastAsia="zh-CN"/>
        </w:rPr>
        <w:t xml:space="preserve"> 法定代表人（签字或盖章）</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年　　月　　日</w:t>
      </w:r>
      <w:r>
        <w:rPr>
          <w:rFonts w:hint="eastAsia" w:ascii="宋体" w:hAnsi="宋体" w:eastAsia="宋体"/>
          <w:color w:val="auto"/>
          <w:sz w:val="21"/>
          <w:szCs w:val="21"/>
          <w:highlight w:val="none"/>
          <w:lang w:eastAsia="zh-CN"/>
        </w:rPr>
        <w:tab/>
      </w:r>
      <w:r>
        <w:rPr>
          <w:rFonts w:hint="eastAsia" w:ascii="宋体" w:hAnsi="宋体" w:eastAsia="宋体"/>
          <w:color w:val="auto"/>
          <w:sz w:val="21"/>
          <w:szCs w:val="21"/>
          <w:highlight w:val="none"/>
          <w:lang w:eastAsia="zh-CN"/>
        </w:rPr>
        <w:t>　　年　　月　　日</w:t>
      </w:r>
      <w:r>
        <w:rPr>
          <w:rFonts w:hint="eastAsia" w:ascii="宋体" w:hAnsi="宋体" w:eastAsia="宋体"/>
          <w:color w:val="auto"/>
          <w:sz w:val="21"/>
          <w:szCs w:val="21"/>
          <w:highlight w:val="none"/>
          <w:lang w:eastAsia="zh-CN"/>
        </w:rPr>
        <w:tab/>
      </w:r>
      <w:r>
        <w:rPr>
          <w:rFonts w:hint="eastAsia" w:ascii="宋体" w:hAnsi="宋体" w:eastAsia="宋体"/>
          <w:color w:val="auto"/>
          <w:sz w:val="21"/>
          <w:szCs w:val="21"/>
          <w:highlight w:val="none"/>
          <w:lang w:eastAsia="zh-CN"/>
        </w:rPr>
        <w:t>　　年　　月　　日</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注：1．联合</w:t>
      </w:r>
      <w:r>
        <w:rPr>
          <w:rFonts w:hint="eastAsia" w:ascii="宋体" w:hAnsi="宋体"/>
          <w:color w:val="auto"/>
          <w:sz w:val="21"/>
          <w:szCs w:val="21"/>
          <w:highlight w:val="none"/>
          <w:lang w:eastAsia="zh-CN"/>
        </w:rPr>
        <w:t>响应</w:t>
      </w:r>
      <w:r>
        <w:rPr>
          <w:rFonts w:hint="eastAsia" w:ascii="宋体" w:hAnsi="宋体" w:eastAsia="宋体"/>
          <w:color w:val="auto"/>
          <w:sz w:val="21"/>
          <w:szCs w:val="21"/>
          <w:highlight w:val="none"/>
          <w:lang w:eastAsia="zh-CN"/>
        </w:rPr>
        <w:t>时需签本协议，联合体各方成员应在本协议上共同盖章确认。</w:t>
      </w:r>
    </w:p>
    <w:p>
      <w:pPr>
        <w:ind w:firstLine="840" w:firstLineChars="400"/>
        <w:rPr>
          <w:rFonts w:hint="eastAsia"/>
          <w:color w:val="auto"/>
          <w:highlight w:val="none"/>
          <w:lang w:eastAsia="zh-CN"/>
        </w:rPr>
      </w:pPr>
      <w:r>
        <w:rPr>
          <w:rFonts w:hint="eastAsia" w:ascii="宋体" w:hAnsi="宋体" w:eastAsia="宋体"/>
          <w:color w:val="auto"/>
          <w:sz w:val="21"/>
          <w:szCs w:val="21"/>
          <w:highlight w:val="none"/>
          <w:lang w:eastAsia="zh-CN"/>
        </w:rPr>
        <w:t>2．本协议内容不得擅自修改。此协议将作为签订合同的附件之一。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imes">
    <w:altName w:val="Times New Roman"/>
    <w:panose1 w:val="02020603050405020304"/>
    <w:charset w:val="00"/>
    <w:family w:val="roman"/>
    <w:pitch w:val="default"/>
    <w:sig w:usb0="00000000" w:usb1="00000000" w:usb2="00000000" w:usb3="00000000" w:csb0="00000093"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思源黑体 CN Heavy">
    <w:altName w:val="黑体"/>
    <w:panose1 w:val="020B0A00000000000000"/>
    <w:charset w:val="80"/>
    <w:family w:val="swiss"/>
    <w:pitch w:val="default"/>
    <w:sig w:usb0="00000000" w:usb1="00000000" w:usb2="00000016" w:usb3="00000000" w:csb0="60060107"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jc w:val="center"/>
      <w:rPr>
        <w:rFonts w:hint="default" w:eastAsia="宋体"/>
        <w:lang w:val="en-US" w:eastAsia="zh-CN"/>
      </w:rPr>
    </w:pPr>
    <w:r>
      <w:rPr>
        <w:rFonts w:hint="eastAsia"/>
        <w:lang w:val="en-US" w:eastAsia="zh-CN"/>
      </w:rPr>
      <w:t>东莞市德懋机电有限公司增资扩产监理项目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941E3F"/>
    <w:multiLevelType w:val="singleLevel"/>
    <w:tmpl w:val="8A941E3F"/>
    <w:lvl w:ilvl="0" w:tentative="0">
      <w:start w:val="3"/>
      <w:numFmt w:val="chineseCounting"/>
      <w:suff w:val="nothing"/>
      <w:lvlText w:val="（%1）"/>
      <w:lvlJc w:val="left"/>
      <w:rPr>
        <w:rFonts w:hint="eastAsia"/>
      </w:rPr>
    </w:lvl>
  </w:abstractNum>
  <w:abstractNum w:abstractNumId="1">
    <w:nsid w:val="99073AA4"/>
    <w:multiLevelType w:val="singleLevel"/>
    <w:tmpl w:val="99073AA4"/>
    <w:lvl w:ilvl="0" w:tentative="0">
      <w:start w:val="1"/>
      <w:numFmt w:val="chineseCounting"/>
      <w:suff w:val="space"/>
      <w:lvlText w:val="第%1篇"/>
      <w:lvlJc w:val="left"/>
      <w:rPr>
        <w:rFonts w:hint="eastAsia"/>
      </w:rPr>
    </w:lvl>
  </w:abstractNum>
  <w:abstractNum w:abstractNumId="2">
    <w:nsid w:val="BAA12ADA"/>
    <w:multiLevelType w:val="singleLevel"/>
    <w:tmpl w:val="BAA12ADA"/>
    <w:lvl w:ilvl="0" w:tentative="0">
      <w:start w:val="1"/>
      <w:numFmt w:val="decimal"/>
      <w:suff w:val="nothing"/>
      <w:lvlText w:val="（%1）"/>
      <w:lvlJc w:val="left"/>
      <w:pPr>
        <w:ind w:left="660"/>
      </w:pPr>
    </w:lvl>
  </w:abstractNum>
  <w:abstractNum w:abstractNumId="3">
    <w:nsid w:val="E55BFF18"/>
    <w:multiLevelType w:val="singleLevel"/>
    <w:tmpl w:val="E55BFF18"/>
    <w:lvl w:ilvl="0" w:tentative="0">
      <w:start w:val="1"/>
      <w:numFmt w:val="decimal"/>
      <w:suff w:val="nothing"/>
      <w:lvlText w:val="（%1）"/>
      <w:lvlJc w:val="left"/>
    </w:lvl>
  </w:abstractNum>
  <w:abstractNum w:abstractNumId="4">
    <w:nsid w:val="F3851CDE"/>
    <w:multiLevelType w:val="singleLevel"/>
    <w:tmpl w:val="F3851CDE"/>
    <w:lvl w:ilvl="0" w:tentative="0">
      <w:start w:val="2"/>
      <w:numFmt w:val="chineseCounting"/>
      <w:suff w:val="nothing"/>
      <w:lvlText w:val="%1、"/>
      <w:lvlJc w:val="left"/>
      <w:rPr>
        <w:rFonts w:hint="eastAsia"/>
      </w:rPr>
    </w:lvl>
  </w:abstractNum>
  <w:abstractNum w:abstractNumId="5">
    <w:nsid w:val="F73DC5D7"/>
    <w:multiLevelType w:val="singleLevel"/>
    <w:tmpl w:val="F73DC5D7"/>
    <w:lvl w:ilvl="0" w:tentative="0">
      <w:start w:val="1"/>
      <w:numFmt w:val="decimal"/>
      <w:suff w:val="nothing"/>
      <w:lvlText w:val="（%1）"/>
      <w:lvlJc w:val="left"/>
      <w:pPr>
        <w:ind w:left="660"/>
      </w:pPr>
    </w:lvl>
  </w:abstractNum>
  <w:abstractNum w:abstractNumId="6">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206CABF7"/>
    <w:multiLevelType w:val="singleLevel"/>
    <w:tmpl w:val="206CABF7"/>
    <w:lvl w:ilvl="0" w:tentative="0">
      <w:start w:val="1"/>
      <w:numFmt w:val="decimal"/>
      <w:suff w:val="nothing"/>
      <w:lvlText w:val="（%1）"/>
      <w:lvlJc w:val="left"/>
    </w:lvl>
  </w:abstractNum>
  <w:abstractNum w:abstractNumId="8">
    <w:nsid w:val="32E25990"/>
    <w:multiLevelType w:val="singleLevel"/>
    <w:tmpl w:val="32E25990"/>
    <w:lvl w:ilvl="0" w:tentative="0">
      <w:start w:val="1"/>
      <w:numFmt w:val="decimal"/>
      <w:suff w:val="nothing"/>
      <w:lvlText w:val="%1、"/>
      <w:lvlJc w:val="left"/>
    </w:lvl>
  </w:abstractNum>
  <w:abstractNum w:abstractNumId="9">
    <w:nsid w:val="3F88662E"/>
    <w:multiLevelType w:val="singleLevel"/>
    <w:tmpl w:val="3F88662E"/>
    <w:lvl w:ilvl="0" w:tentative="0">
      <w:start w:val="1"/>
      <w:numFmt w:val="decimal"/>
      <w:suff w:val="space"/>
      <w:lvlText w:val="%1)"/>
      <w:lvlJc w:val="left"/>
    </w:lvl>
  </w:abstractNum>
  <w:num w:numId="1">
    <w:abstractNumId w:val="1"/>
  </w:num>
  <w:num w:numId="2">
    <w:abstractNumId w:val="8"/>
  </w:num>
  <w:num w:numId="3">
    <w:abstractNumId w:val="3"/>
  </w:num>
  <w:num w:numId="4">
    <w:abstractNumId w:val="4"/>
  </w:num>
  <w:num w:numId="5">
    <w:abstractNumId w:val="6"/>
  </w:num>
  <w:num w:numId="6">
    <w:abstractNumId w:val="9"/>
  </w:num>
  <w:num w:numId="7">
    <w:abstractNumId w:val="7"/>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3MzEzNDcxZTMzNDQ1N2QwMGE5ZWYzOTZlYTcyNDMifQ=="/>
  </w:docVars>
  <w:rsids>
    <w:rsidRoot w:val="0B696582"/>
    <w:rsid w:val="02880AAC"/>
    <w:rsid w:val="03C618A1"/>
    <w:rsid w:val="0548041A"/>
    <w:rsid w:val="074100C5"/>
    <w:rsid w:val="08DB5114"/>
    <w:rsid w:val="094A084B"/>
    <w:rsid w:val="0A4036B4"/>
    <w:rsid w:val="0AA575BB"/>
    <w:rsid w:val="0B696582"/>
    <w:rsid w:val="0BE32B7B"/>
    <w:rsid w:val="0C545EC4"/>
    <w:rsid w:val="0FA75340"/>
    <w:rsid w:val="13256801"/>
    <w:rsid w:val="13EB22ED"/>
    <w:rsid w:val="1415573E"/>
    <w:rsid w:val="19BB08C0"/>
    <w:rsid w:val="19C92056"/>
    <w:rsid w:val="1B046FEA"/>
    <w:rsid w:val="1B5A74F3"/>
    <w:rsid w:val="1CE123EB"/>
    <w:rsid w:val="29A20A66"/>
    <w:rsid w:val="2A213986"/>
    <w:rsid w:val="2C250F65"/>
    <w:rsid w:val="2E69728F"/>
    <w:rsid w:val="2EF83FF0"/>
    <w:rsid w:val="304A47CF"/>
    <w:rsid w:val="3320692B"/>
    <w:rsid w:val="339D5B51"/>
    <w:rsid w:val="33E12E57"/>
    <w:rsid w:val="39C27E7C"/>
    <w:rsid w:val="3A123017"/>
    <w:rsid w:val="3CEB14FD"/>
    <w:rsid w:val="3F53097E"/>
    <w:rsid w:val="414A030F"/>
    <w:rsid w:val="466D59AC"/>
    <w:rsid w:val="4B5B3ECB"/>
    <w:rsid w:val="4C22418B"/>
    <w:rsid w:val="4DD477D5"/>
    <w:rsid w:val="4E6A7DE2"/>
    <w:rsid w:val="4E862B87"/>
    <w:rsid w:val="4E9C6EA6"/>
    <w:rsid w:val="51593AA1"/>
    <w:rsid w:val="51ED4F85"/>
    <w:rsid w:val="549178FF"/>
    <w:rsid w:val="55206652"/>
    <w:rsid w:val="57961A49"/>
    <w:rsid w:val="59F20A8D"/>
    <w:rsid w:val="5DE26737"/>
    <w:rsid w:val="5DE85889"/>
    <w:rsid w:val="5E2A2E41"/>
    <w:rsid w:val="5F8F1E39"/>
    <w:rsid w:val="64677E69"/>
    <w:rsid w:val="648F7060"/>
    <w:rsid w:val="64D3048A"/>
    <w:rsid w:val="67520D2F"/>
    <w:rsid w:val="67880920"/>
    <w:rsid w:val="68402491"/>
    <w:rsid w:val="6DCB42B6"/>
    <w:rsid w:val="6E003853"/>
    <w:rsid w:val="735656B0"/>
    <w:rsid w:val="739B0891"/>
    <w:rsid w:val="74951BFB"/>
    <w:rsid w:val="79533EEE"/>
    <w:rsid w:val="7AEF48EE"/>
    <w:rsid w:val="7FC30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left"/>
    </w:pPr>
    <w:rPr>
      <w:rFonts w:eastAsia="宋体" w:asciiTheme="minorAscii" w:hAnsiTheme="minorAscii" w:cstheme="minorBidi"/>
      <w:kern w:val="2"/>
      <w:sz w:val="21"/>
      <w:szCs w:val="24"/>
      <w:lang w:val="en-US" w:eastAsia="zh-CN" w:bidi="ar-SA"/>
    </w:rPr>
  </w:style>
  <w:style w:type="paragraph" w:styleId="3">
    <w:name w:val="heading 1"/>
    <w:basedOn w:val="1"/>
    <w:next w:val="1"/>
    <w:link w:val="23"/>
    <w:qFormat/>
    <w:uiPriority w:val="0"/>
    <w:pPr>
      <w:keepNext/>
      <w:keepLines/>
      <w:spacing w:before="340" w:beforeLines="0" w:beforeAutospacing="0" w:after="330" w:afterLines="0" w:afterAutospacing="0" w:line="576" w:lineRule="auto"/>
      <w:jc w:val="center"/>
      <w:outlineLvl w:val="0"/>
    </w:pPr>
    <w:rPr>
      <w:b/>
      <w:kern w:val="44"/>
      <w:sz w:val="30"/>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b/>
      <w:sz w:val="28"/>
    </w:rPr>
  </w:style>
  <w:style w:type="paragraph" w:styleId="5">
    <w:name w:val="heading 3"/>
    <w:basedOn w:val="1"/>
    <w:next w:val="1"/>
    <w:unhideWhenUsed/>
    <w:qFormat/>
    <w:uiPriority w:val="0"/>
    <w:pPr>
      <w:keepNext/>
      <w:keepLines/>
      <w:spacing w:beforeLines="0" w:beforeAutospacing="0" w:afterLines="0" w:afterAutospacing="0" w:line="360" w:lineRule="auto"/>
      <w:outlineLvl w:val="2"/>
    </w:pPr>
    <w:rPr>
      <w:rFonts w:eastAsia="宋体"/>
      <w:b/>
    </w:rPr>
  </w:style>
  <w:style w:type="paragraph" w:styleId="6">
    <w:name w:val="heading 4"/>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spacing w:before="161"/>
      <w:ind w:left="120"/>
    </w:pPr>
    <w:rPr>
      <w:rFonts w:ascii="宋体" w:hAnsi="宋体" w:eastAsia="宋体" w:cs="宋体"/>
      <w:sz w:val="24"/>
      <w:lang w:val="zh-CN" w:bidi="zh-CN"/>
    </w:rPr>
  </w:style>
  <w:style w:type="paragraph" w:styleId="7">
    <w:name w:val="table of authorities"/>
    <w:basedOn w:val="1"/>
    <w:next w:val="1"/>
    <w:qFormat/>
    <w:uiPriority w:val="0"/>
    <w:pPr>
      <w:ind w:left="420" w:leftChars="200"/>
    </w:pPr>
  </w:style>
  <w:style w:type="paragraph" w:styleId="8">
    <w:name w:val="annotation text"/>
    <w:basedOn w:val="1"/>
    <w:qFormat/>
    <w:uiPriority w:val="0"/>
    <w:pPr>
      <w:jc w:val="left"/>
    </w:p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eastAsiaTheme="minorEastAsia" w:cstheme="minorBidi"/>
      <w:szCs w:val="22"/>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Emphasis"/>
    <w:basedOn w:val="18"/>
    <w:qFormat/>
    <w:uiPriority w:val="0"/>
    <w:rPr>
      <w:i/>
    </w:rPr>
  </w:style>
  <w:style w:type="character" w:styleId="20">
    <w:name w:val="Hyperlink"/>
    <w:qFormat/>
    <w:uiPriority w:val="99"/>
    <w:rPr>
      <w:color w:val="0000FF"/>
      <w:u w:val="single"/>
    </w:rPr>
  </w:style>
  <w:style w:type="paragraph" w:customStyle="1" w:styleId="21">
    <w:name w:val="表格文字"/>
    <w:basedOn w:val="1"/>
    <w:qFormat/>
    <w:uiPriority w:val="0"/>
    <w:pPr>
      <w:spacing w:before="25" w:after="25" w:line="300" w:lineRule="auto"/>
    </w:pPr>
    <w:rPr>
      <w:rFonts w:ascii="Times" w:hAnsi="Times"/>
      <w:spacing w:val="10"/>
      <w:kern w:val="0"/>
      <w:sz w:val="24"/>
      <w:szCs w:val="20"/>
    </w:rPr>
  </w:style>
  <w:style w:type="paragraph" w:styleId="22">
    <w:name w:val="List Paragraph"/>
    <w:basedOn w:val="1"/>
    <w:qFormat/>
    <w:uiPriority w:val="34"/>
    <w:pPr>
      <w:ind w:firstLine="420" w:firstLineChars="200"/>
    </w:pPr>
  </w:style>
  <w:style w:type="character" w:customStyle="1" w:styleId="23">
    <w:name w:val="标题 1 Char"/>
    <w:link w:val="3"/>
    <w:qFormat/>
    <w:uiPriority w:val="0"/>
    <w:rPr>
      <w:b/>
      <w:kern w:val="44"/>
      <w:sz w:val="30"/>
    </w:rPr>
  </w:style>
  <w:style w:type="paragraph" w:customStyle="1" w:styleId="24">
    <w:name w:val="Table Paragraph"/>
    <w:basedOn w:val="1"/>
    <w:qFormat/>
    <w:uiPriority w:val="1"/>
  </w:style>
  <w:style w:type="paragraph" w:customStyle="1" w:styleId="25">
    <w:name w:val="正文缩进2格"/>
    <w:basedOn w:val="1"/>
    <w:qFormat/>
    <w:uiPriority w:val="0"/>
    <w:pPr>
      <w:widowControl w:val="0"/>
      <w:adjustRightInd/>
      <w:snapToGrid/>
      <w:spacing w:after="0" w:line="600" w:lineRule="exact"/>
      <w:ind w:firstLine="639" w:firstLineChars="206"/>
      <w:jc w:val="both"/>
    </w:pPr>
    <w:rPr>
      <w:rFonts w:ascii="仿宋_GB2312" w:hAnsi="宋体" w:eastAsia="仿宋_GB2312"/>
      <w:kern w:val="2"/>
      <w:sz w:val="31"/>
    </w:rPr>
  </w:style>
  <w:style w:type="paragraph" w:customStyle="1" w:styleId="26">
    <w:name w:val="WPSOffice手动目录 1"/>
    <w:qFormat/>
    <w:uiPriority w:val="0"/>
    <w:pPr>
      <w:ind w:leftChars="0"/>
    </w:pPr>
    <w:rPr>
      <w:rFonts w:asciiTheme="minorHAnsi" w:hAnsiTheme="minorHAnsi" w:eastAsiaTheme="minorEastAsia" w:cstheme="minorBidi"/>
      <w:sz w:val="20"/>
      <w:szCs w:val="20"/>
    </w:rPr>
  </w:style>
  <w:style w:type="paragraph" w:customStyle="1" w:styleId="27">
    <w:name w:val="WPSOffice手动目录 2"/>
    <w:qFormat/>
    <w:uiPriority w:val="0"/>
    <w:pPr>
      <w:ind w:leftChars="200"/>
    </w:pPr>
    <w:rPr>
      <w:rFonts w:asciiTheme="minorHAnsi" w:hAnsiTheme="minorHAnsi" w:eastAsiaTheme="minorEastAsia" w:cstheme="minorBidi"/>
      <w:sz w:val="20"/>
      <w:szCs w:val="20"/>
    </w:rPr>
  </w:style>
  <w:style w:type="paragraph" w:customStyle="1" w:styleId="28">
    <w:name w:val="WPSOffice手动目录 3"/>
    <w:qFormat/>
    <w:uiPriority w:val="0"/>
    <w:pPr>
      <w:ind w:leftChars="400"/>
    </w:pPr>
    <w:rPr>
      <w:rFonts w:asciiTheme="minorHAnsi" w:hAnsiTheme="minorHAnsi" w:eastAsiaTheme="minorEastAsia" w:cstheme="minorBidi"/>
      <w:sz w:val="20"/>
      <w:szCs w:val="20"/>
    </w:rPr>
  </w:style>
  <w:style w:type="paragraph" w:customStyle="1" w:styleId="29">
    <w:name w:val="_Style 4"/>
    <w:basedOn w:val="1"/>
    <w:qFormat/>
    <w:uiPriority w:val="0"/>
    <w:pPr>
      <w:spacing w:line="360" w:lineRule="auto"/>
      <w:ind w:firstLine="420" w:firstLineChars="200"/>
    </w:pPr>
    <w:rPr>
      <w:rFonts w:ascii="Calibri" w:hAnsi="Calibri"/>
      <w:szCs w:val="22"/>
    </w:rPr>
  </w:style>
  <w:style w:type="character" w:customStyle="1" w:styleId="30">
    <w:name w:val="font61"/>
    <w:basedOn w:val="18"/>
    <w:qFormat/>
    <w:uiPriority w:val="0"/>
    <w:rPr>
      <w:rFonts w:hint="default" w:ascii="Times New Roman" w:hAnsi="Times New Roman" w:cs="Times New Roman"/>
      <w:color w:val="000000"/>
      <w:sz w:val="20"/>
      <w:szCs w:val="20"/>
      <w:u w:val="none"/>
    </w:rPr>
  </w:style>
  <w:style w:type="character" w:customStyle="1" w:styleId="31">
    <w:name w:val="font41"/>
    <w:basedOn w:val="18"/>
    <w:qFormat/>
    <w:uiPriority w:val="0"/>
    <w:rPr>
      <w:rFonts w:hint="eastAsia" w:ascii="宋体" w:hAnsi="宋体" w:eastAsia="宋体" w:cs="宋体"/>
      <w:color w:val="000000"/>
      <w:sz w:val="20"/>
      <w:szCs w:val="20"/>
      <w:u w:val="none"/>
    </w:rPr>
  </w:style>
  <w:style w:type="character" w:customStyle="1" w:styleId="32">
    <w:name w:val="font71"/>
    <w:basedOn w:val="18"/>
    <w:qFormat/>
    <w:uiPriority w:val="0"/>
    <w:rPr>
      <w:rFonts w:hint="eastAsia" w:ascii="宋体" w:hAnsi="宋体" w:eastAsia="宋体" w:cs="宋体"/>
      <w:color w:val="000000"/>
      <w:sz w:val="20"/>
      <w:szCs w:val="20"/>
      <w:u w:val="none"/>
      <w:vertAlign w:val="superscript"/>
    </w:rPr>
  </w:style>
  <w:style w:type="character" w:customStyle="1" w:styleId="33">
    <w:name w:val="font31"/>
    <w:basedOn w:val="18"/>
    <w:qFormat/>
    <w:uiPriority w:val="0"/>
    <w:rPr>
      <w:rFonts w:hint="eastAsia" w:ascii="宋体" w:hAnsi="宋体" w:eastAsia="宋体" w:cs="宋体"/>
      <w:color w:val="000000"/>
      <w:sz w:val="20"/>
      <w:szCs w:val="20"/>
      <w:u w:val="none"/>
    </w:rPr>
  </w:style>
  <w:style w:type="character" w:customStyle="1" w:styleId="34">
    <w:name w:val="font01"/>
    <w:basedOn w:val="18"/>
    <w:qFormat/>
    <w:uiPriority w:val="0"/>
    <w:rPr>
      <w:rFonts w:hint="default" w:ascii="Times New Roman" w:hAnsi="Times New Roman" w:cs="Times New Roman"/>
      <w:color w:val="000000"/>
      <w:sz w:val="20"/>
      <w:szCs w:val="20"/>
      <w:u w:val="none"/>
      <w:vertAlign w:val="superscript"/>
    </w:rPr>
  </w:style>
  <w:style w:type="character" w:customStyle="1" w:styleId="35">
    <w:name w:val="font11"/>
    <w:basedOn w:val="18"/>
    <w:qFormat/>
    <w:uiPriority w:val="0"/>
    <w:rPr>
      <w:rFonts w:hint="eastAsia" w:ascii="宋体" w:hAnsi="宋体" w:eastAsia="宋体" w:cs="宋体"/>
      <w:color w:val="000000"/>
      <w:sz w:val="20"/>
      <w:szCs w:val="20"/>
      <w:u w:val="none"/>
    </w:rPr>
  </w:style>
  <w:style w:type="character" w:customStyle="1" w:styleId="36">
    <w:name w:val="font51"/>
    <w:basedOn w:val="18"/>
    <w:qFormat/>
    <w:uiPriority w:val="0"/>
    <w:rPr>
      <w:rFonts w:hint="eastAsia" w:ascii="宋体" w:hAnsi="宋体" w:eastAsia="宋体" w:cs="宋体"/>
      <w:color w:val="000000"/>
      <w:sz w:val="20"/>
      <w:szCs w:val="20"/>
      <w:u w:val="none"/>
    </w:rPr>
  </w:style>
  <w:style w:type="character" w:customStyle="1" w:styleId="37">
    <w:name w:val="font81"/>
    <w:basedOn w:val="18"/>
    <w:qFormat/>
    <w:uiPriority w:val="0"/>
    <w:rPr>
      <w:rFonts w:hint="default" w:ascii="Times New Roman" w:hAnsi="Times New Roman" w:cs="Times New Roman"/>
      <w:color w:val="000000"/>
      <w:sz w:val="20"/>
      <w:szCs w:val="20"/>
      <w:u w:val="none"/>
      <w:vertAlign w:val="superscript"/>
    </w:rPr>
  </w:style>
  <w:style w:type="paragraph" w:customStyle="1" w:styleId="38">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sz w:val="28"/>
      <w:szCs w:val="20"/>
    </w:rPr>
  </w:style>
  <w:style w:type="paragraph" w:customStyle="1" w:styleId="39">
    <w:name w:val="xl44"/>
    <w:basedOn w:val="1"/>
    <w:qFormat/>
    <w:uiPriority w:val="0"/>
    <w:pPr>
      <w:widowControl/>
      <w:pBdr>
        <w:left w:val="single" w:color="auto" w:sz="4" w:space="0"/>
        <w:right w:val="single" w:color="auto" w:sz="4" w:space="0"/>
      </w:pBdr>
      <w:spacing w:before="100" w:beforeAutospacing="1" w:after="100" w:afterAutospacing="1" w:line="360" w:lineRule="auto"/>
      <w:jc w:val="center"/>
    </w:pPr>
    <w:rPr>
      <w:rFonts w:hint="eastAsia"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30803</Words>
  <Characters>31767</Characters>
  <Lines>0</Lines>
  <Paragraphs>0</Paragraphs>
  <TotalTime>0</TotalTime>
  <ScaleCrop>false</ScaleCrop>
  <LinksUpToDate>false</LinksUpToDate>
  <CharactersWithSpaces>33441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2022-03-25T07:20:00Z</dcterms:created>
  <dc:creator>国顺-陈锦涛</dc:creator>
  <cp:lastModifiedBy>国顺</cp:lastModifiedBy>
  <cp:lastPrinted>2022-07-22T06:56:00Z</cp:lastPrinted>
  <dcterms:modified xsi:type="dcterms:W3CDTF">2023-04-17T11:00:06Z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84C96FE2A6024A2EB91BE71CE1914772</vt:lpwstr>
  </property>
</Properties>
</file>