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243"/>
      <w:bookmarkStart w:id="1" w:name="_Toc16489"/>
      <w:bookmarkStart w:id="2" w:name="_Toc25865"/>
      <w:bookmarkStart w:id="3" w:name="_Toc7942"/>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15158"/>
      <w:bookmarkStart w:id="6" w:name="_Toc8734"/>
      <w:bookmarkStart w:id="7" w:name="_Toc2063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东莞市德懋机电有限公司增资扩产检测项目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东莞市石排镇下沙刘屋股份经济合作社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4164"/>
      <w:bookmarkStart w:id="9" w:name="_Toc17050"/>
      <w:bookmarkStart w:id="10" w:name="_Toc18278"/>
      <w:bookmarkStart w:id="11" w:name="_Toc5265"/>
      <w:r>
        <w:rPr>
          <w:rFonts w:hint="eastAsia" w:ascii="黑体" w:hAnsi="黑体" w:eastAsia="黑体" w:cs="黑体"/>
          <w:color w:val="auto"/>
          <w:sz w:val="30"/>
          <w:szCs w:val="30"/>
          <w:highlight w:val="none"/>
          <w:lang w:val="en-US" w:eastAsia="zh-CN"/>
        </w:rPr>
        <w:t>2023年5月18日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bookmarkStart w:id="369" w:name="_GoBack"/>
          <w:bookmarkEnd w:id="369"/>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东莞市德懋机电有限公司增资扩产检测项目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29</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8359002"/>
      <w:bookmarkStart w:id="14" w:name="_Toc13782"/>
      <w:bookmarkStart w:id="15" w:name="_Toc35393790"/>
      <w:bookmarkStart w:id="16" w:name="_Toc2169"/>
      <w:bookmarkStart w:id="17" w:name="_Toc28359079"/>
      <w:bookmarkStart w:id="18" w:name="_Toc35393621"/>
      <w:bookmarkStart w:id="19" w:name="_Toc26796"/>
      <w:bookmarkStart w:id="20" w:name="_Toc31624"/>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GSDG2023-010C</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东莞市德懋机电有限公司增资扩产检测项目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¥675,148.09元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东莞市德懋机电有限公司增资扩产检测项目采购一项</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5198"/>
      <w:bookmarkStart w:id="23" w:name="_Toc28359003"/>
      <w:bookmarkStart w:id="24" w:name="_Toc35393791"/>
      <w:bookmarkStart w:id="25" w:name="_Toc28359080"/>
      <w:bookmarkStart w:id="26" w:name="_Toc35393622"/>
      <w:bookmarkStart w:id="27" w:name="_Toc31691"/>
      <w:bookmarkStart w:id="28" w:name="_Toc28625"/>
      <w:bookmarkStart w:id="29" w:name="_Toc13371"/>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7315"/>
      <w:bookmarkStart w:id="31" w:name="_Toc29919"/>
      <w:bookmarkStart w:id="32" w:name="_Toc8265"/>
      <w:bookmarkStart w:id="33" w:name="_Toc16211"/>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26119"/>
      <w:bookmarkStart w:id="38" w:name="_Toc16617"/>
      <w:bookmarkStart w:id="39" w:name="_Toc4071"/>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bookmarkStart w:id="40" w:name="_Toc173"/>
      <w:bookmarkStart w:id="41" w:name="_Toc35393623"/>
      <w:bookmarkStart w:id="42" w:name="_Toc35393792"/>
      <w:bookmarkStart w:id="43" w:name="_Toc27443"/>
      <w:bookmarkStart w:id="44" w:name="_Toc18578"/>
      <w:bookmarkStart w:id="45" w:name="_Toc2137"/>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w:t>
      </w:r>
      <w:r>
        <w:rPr>
          <w:rFonts w:hint="eastAsia" w:ascii="宋体" w:hAnsi="宋体" w:eastAsia="宋体"/>
          <w:color w:val="auto"/>
          <w:sz w:val="21"/>
          <w:szCs w:val="21"/>
          <w:highlight w:val="none"/>
          <w:lang w:eastAsia="zh-CN"/>
        </w:rPr>
        <w:t>具备建设行政主管部门颁发的在有效期内的建设工程质量检测机构的资质证书（提供相关证明材料）。</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28435"/>
      <w:bookmarkStart w:id="49" w:name="_Toc27404"/>
      <w:bookmarkStart w:id="50" w:name="_Toc10322"/>
      <w:bookmarkStart w:id="51" w:name="_Toc28585"/>
      <w:bookmarkStart w:id="52" w:name="_Toc35393793"/>
      <w:bookmarkStart w:id="53" w:name="_Toc35393624"/>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29</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bCs/>
          <w:color w:val="auto"/>
          <w:sz w:val="21"/>
          <w:szCs w:val="21"/>
          <w:highlight w:val="none"/>
          <w:lang w:eastAsia="zh-CN"/>
        </w:rPr>
        <w:t>东莞市石排镇政务服务中心一楼培训室</w:t>
      </w:r>
      <w:r>
        <w:rPr>
          <w:rFonts w:hint="eastAsia" w:ascii="宋体" w:hAnsi="宋体"/>
          <w:bCs/>
          <w:color w:val="auto"/>
          <w:sz w:val="21"/>
          <w:szCs w:val="21"/>
          <w:highlight w:val="none"/>
          <w:lang w:eastAsia="zh-CN"/>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35393625"/>
      <w:bookmarkStart w:id="55" w:name="_Toc35393794"/>
      <w:bookmarkStart w:id="56" w:name="_Toc26299"/>
      <w:bookmarkStart w:id="57" w:name="_Toc1202"/>
      <w:bookmarkStart w:id="58" w:name="_Toc25695"/>
      <w:bookmarkStart w:id="59" w:name="_Toc28359084"/>
      <w:bookmarkStart w:id="60" w:name="_Toc17857"/>
      <w:bookmarkStart w:id="61" w:name="_Toc2835900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6612"/>
      <w:bookmarkStart w:id="63" w:name="_Toc35393626"/>
      <w:bookmarkStart w:id="64" w:name="_Toc1519"/>
      <w:bookmarkStart w:id="65" w:name="_Toc35393795"/>
      <w:bookmarkStart w:id="66" w:name="_Toc9116"/>
      <w:bookmarkStart w:id="67" w:name="_Toc25010"/>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08"/>
      <w:bookmarkStart w:id="69" w:name="_Toc35393627"/>
      <w:bookmarkStart w:id="70" w:name="_Toc35393796"/>
      <w:bookmarkStart w:id="71" w:name="_Toc28359085"/>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5139"/>
      <w:bookmarkStart w:id="73" w:name="_Toc22586"/>
      <w:bookmarkStart w:id="74" w:name="_Toc8358"/>
      <w:bookmarkStart w:id="75" w:name="_Toc12281"/>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30277"/>
      <w:bookmarkStart w:id="78" w:name="_Toc30615"/>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东莞市石排镇下沙刘屋股份经济合作社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olor w:val="auto"/>
          <w:sz w:val="21"/>
          <w:szCs w:val="21"/>
          <w:highlight w:val="none"/>
        </w:rPr>
        <w:t>东莞市石排镇下沙社区</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eastAsia="宋体"/>
          <w:color w:val="auto"/>
          <w:sz w:val="21"/>
          <w:szCs w:val="21"/>
          <w:highlight w:val="none"/>
          <w:lang w:val="en-US" w:eastAsia="zh-CN"/>
        </w:rPr>
        <w:t>王</w:t>
      </w:r>
      <w:r>
        <w:rPr>
          <w:rFonts w:hint="eastAsia" w:ascii="宋体" w:hAnsi="宋体" w:eastAsia="宋体"/>
          <w:color w:val="auto"/>
          <w:sz w:val="21"/>
          <w:szCs w:val="21"/>
          <w:highlight w:val="none"/>
        </w:rPr>
        <w:t>小姐</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olor w:val="auto"/>
          <w:sz w:val="21"/>
          <w:szCs w:val="21"/>
          <w:highlight w:val="none"/>
        </w:rPr>
        <w:t>0769-86521020</w:t>
      </w:r>
      <w:r>
        <w:rPr>
          <w:rFonts w:hint="eastAsia" w:ascii="宋体" w:hAnsi="宋体" w:eastAsia="宋体" w:cs="宋体"/>
          <w:color w:val="auto"/>
          <w:sz w:val="21"/>
          <w:szCs w:val="21"/>
          <w:highlight w:val="none"/>
          <w:u w:val="none"/>
        </w:rPr>
        <w:t xml:space="preserve">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1561"/>
      <w:bookmarkStart w:id="83" w:name="_Toc4580"/>
      <w:bookmarkStart w:id="84" w:name="_Toc25259"/>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5543"/>
      <w:bookmarkStart w:id="89" w:name="_Toc18257"/>
      <w:bookmarkStart w:id="90" w:name="_Toc9440"/>
      <w:bookmarkStart w:id="91" w:name="_Toc28659"/>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413402429"/>
      <w:bookmarkStart w:id="95" w:name="_Toc497983494"/>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不需要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2"/>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4"/>
        <w:bidi w:val="0"/>
        <w:rPr>
          <w:color w:val="auto"/>
          <w:highlight w:val="none"/>
          <w:lang w:val="en-US" w:eastAsia="zh-CN"/>
        </w:rPr>
      </w:pPr>
      <w:bookmarkStart w:id="98" w:name="_Toc10658"/>
      <w:bookmarkStart w:id="99" w:name="_Toc8083"/>
      <w:bookmarkStart w:id="100" w:name="_Toc30834"/>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01" w:name="_Toc720"/>
      <w:bookmarkStart w:id="102" w:name="_Toc7271"/>
      <w:bookmarkStart w:id="103" w:name="_Toc25237"/>
      <w:r>
        <w:rPr>
          <w:rFonts w:hint="eastAsia" w:eastAsia="宋体"/>
          <w:color w:val="auto"/>
          <w:highlight w:val="none"/>
          <w:lang w:val="en-US" w:eastAsia="zh-CN"/>
        </w:rPr>
        <w:t>2.</w:t>
      </w:r>
      <w:bookmarkStart w:id="104" w:name="_Toc303084246"/>
      <w:bookmarkStart w:id="105" w:name="_Toc298847174"/>
      <w:bookmarkStart w:id="106" w:name="_Toc1530"/>
      <w:bookmarkStart w:id="107" w:name="_Toc382049092"/>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08" w:name="_Toc9030"/>
      <w:bookmarkStart w:id="109" w:name="_Toc24019"/>
      <w:bookmarkStart w:id="110" w:name="_Toc3037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12" w:name="_Toc18277"/>
      <w:bookmarkStart w:id="113" w:name="_Toc8119"/>
      <w:bookmarkStart w:id="114" w:name="_Toc14543"/>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15" w:name="_Toc25254"/>
      <w:bookmarkStart w:id="116" w:name="_Toc32220"/>
      <w:bookmarkStart w:id="117" w:name="_Toc24793"/>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18" w:name="_Toc13064"/>
      <w:bookmarkStart w:id="119" w:name="_Toc30779"/>
      <w:bookmarkStart w:id="120" w:name="_Toc31725"/>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21" w:name="_Toc18142"/>
      <w:bookmarkStart w:id="122" w:name="_Toc23688"/>
      <w:bookmarkStart w:id="123" w:name="_Toc27755"/>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25" w:name="_Toc29774"/>
      <w:bookmarkStart w:id="126" w:name="_Toc5596"/>
      <w:bookmarkStart w:id="127" w:name="_Toc19660"/>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28" w:name="_Toc3812"/>
      <w:bookmarkStart w:id="129" w:name="_Toc20046"/>
      <w:bookmarkStart w:id="130" w:name="_Toc2807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31" w:name="_Toc28595"/>
      <w:bookmarkStart w:id="132" w:name="_Toc5431"/>
      <w:bookmarkStart w:id="133" w:name="_Toc17507"/>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34" w:name="_Toc17694"/>
      <w:bookmarkStart w:id="135" w:name="_Toc25080"/>
      <w:bookmarkStart w:id="136" w:name="_Toc307934854"/>
      <w:bookmarkStart w:id="137" w:name="_Toc303084256"/>
      <w:bookmarkStart w:id="138" w:name="_Toc382049103"/>
      <w:bookmarkStart w:id="139" w:name="_Toc21308"/>
      <w:bookmarkStart w:id="140" w:name="_Toc28866"/>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1" w:name="_Toc28835"/>
      <w:bookmarkStart w:id="142" w:name="_Toc23396"/>
      <w:bookmarkStart w:id="143" w:name="_Toc26322"/>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5" w:name="_Toc11253"/>
      <w:bookmarkStart w:id="146" w:name="_Toc29388"/>
      <w:bookmarkStart w:id="147" w:name="_Toc10449"/>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8" w:name="_Toc28006"/>
      <w:bookmarkStart w:id="149" w:name="_Toc29860"/>
      <w:bookmarkStart w:id="150" w:name="_Toc18749"/>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4"/>
        <w:bidi w:val="0"/>
        <w:rPr>
          <w:rFonts w:hint="eastAsia" w:eastAsia="宋体"/>
          <w:color w:val="auto"/>
          <w:highlight w:val="none"/>
          <w:lang w:val="en-US" w:eastAsia="zh-CN"/>
        </w:rPr>
      </w:pPr>
      <w:bookmarkStart w:id="153" w:name="_Toc20435"/>
      <w:bookmarkStart w:id="154" w:name="_Toc12457"/>
      <w:bookmarkStart w:id="155" w:name="_Toc4792"/>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56" w:name="_Toc28431"/>
      <w:bookmarkStart w:id="157" w:name="_Toc11339"/>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0" w:name="_Toc303084264"/>
      <w:bookmarkStart w:id="161" w:name="_Toc24997"/>
      <w:bookmarkStart w:id="162" w:name="_Toc382049111"/>
      <w:bookmarkStart w:id="163" w:name="_Toc5055"/>
      <w:bookmarkStart w:id="164" w:name="_Toc21699"/>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6" w:name="_Toc1911"/>
      <w:bookmarkStart w:id="167" w:name="_Toc3249"/>
      <w:bookmarkStart w:id="168" w:name="_Toc14913"/>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9" w:name="_Toc22059"/>
      <w:bookmarkStart w:id="170" w:name="_Toc8387"/>
      <w:bookmarkStart w:id="171" w:name="_Toc13946"/>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72" w:name="_Toc303084265"/>
      <w:bookmarkStart w:id="173" w:name="_Toc518"/>
      <w:bookmarkStart w:id="174" w:name="_Toc9777"/>
      <w:bookmarkStart w:id="175" w:name="_Toc24777"/>
      <w:bookmarkStart w:id="176" w:name="_Toc382049112"/>
      <w:bookmarkStart w:id="177" w:name="_Toc1364"/>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78" w:name="_Toc14390"/>
      <w:bookmarkStart w:id="179" w:name="_Toc4603"/>
      <w:bookmarkStart w:id="180" w:name="_Toc28776"/>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4"/>
        <w:bidi w:val="0"/>
        <w:rPr>
          <w:rFonts w:hint="eastAsia" w:eastAsia="宋体"/>
          <w:color w:val="auto"/>
          <w:highlight w:val="none"/>
          <w:lang w:val="en-US" w:eastAsia="zh-CN"/>
        </w:rPr>
      </w:pPr>
      <w:bookmarkStart w:id="181" w:name="_Toc11914"/>
      <w:bookmarkStart w:id="182" w:name="_Toc14512"/>
      <w:bookmarkStart w:id="183" w:name="_Toc191"/>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84" w:name="_Toc13823"/>
      <w:bookmarkStart w:id="185" w:name="_Toc31198"/>
      <w:bookmarkStart w:id="186" w:name="_Toc19811"/>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87" w:name="_Toc9540"/>
      <w:bookmarkStart w:id="188" w:name="_Toc3525"/>
      <w:bookmarkStart w:id="189" w:name="_Toc20823"/>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90" w:name="_Toc15479"/>
      <w:bookmarkStart w:id="191" w:name="_Toc18014"/>
      <w:bookmarkStart w:id="192" w:name="_Toc7072"/>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4"/>
        <w:bidi w:val="0"/>
        <w:rPr>
          <w:rFonts w:hint="eastAsia" w:eastAsia="宋体"/>
          <w:color w:val="auto"/>
          <w:highlight w:val="none"/>
          <w:lang w:val="en-US" w:eastAsia="zh-CN"/>
        </w:rPr>
      </w:pPr>
      <w:bookmarkStart w:id="193" w:name="_Toc4041"/>
      <w:bookmarkStart w:id="194" w:name="_Toc9736"/>
      <w:bookmarkStart w:id="195" w:name="_Toc16157"/>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4"/>
        <w:bidi w:val="0"/>
        <w:rPr>
          <w:rFonts w:hint="eastAsia" w:eastAsia="宋体"/>
          <w:color w:val="auto"/>
          <w:highlight w:val="none"/>
          <w:lang w:val="en-US" w:eastAsia="zh-CN"/>
        </w:rPr>
      </w:pPr>
      <w:bookmarkStart w:id="196" w:name="_Toc316375620"/>
      <w:bookmarkStart w:id="197" w:name="_Toc20328"/>
      <w:bookmarkStart w:id="198" w:name="_Toc30573"/>
      <w:bookmarkStart w:id="199" w:name="_Toc382049120"/>
      <w:bookmarkStart w:id="200" w:name="_Toc25030"/>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206" w:name="_Toc508284013"/>
      <w:bookmarkStart w:id="207" w:name="_Toc6459"/>
      <w:bookmarkStart w:id="208" w:name="_Toc2468"/>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210" w:name="_Toc1555"/>
      <w:bookmarkStart w:id="211" w:name="_Toc18733"/>
      <w:bookmarkStart w:id="212" w:name="_Toc7001"/>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4"/>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7855"/>
      <w:bookmarkStart w:id="217" w:name="_Toc27180"/>
      <w:bookmarkStart w:id="218" w:name="_Toc16006"/>
      <w:bookmarkStart w:id="219" w:name="_Toc18002"/>
      <w:r>
        <w:rPr>
          <w:rFonts w:hint="eastAsia"/>
          <w:b/>
          <w:bCs/>
          <w:color w:val="auto"/>
          <w:sz w:val="28"/>
          <w:szCs w:val="36"/>
          <w:highlight w:val="none"/>
          <w:lang w:eastAsia="zh-CN"/>
        </w:rPr>
        <w:t>商务要求</w:t>
      </w:r>
      <w:bookmarkEnd w:id="216"/>
      <w:bookmarkEnd w:id="217"/>
      <w:bookmarkEnd w:id="218"/>
      <w:bookmarkEnd w:id="219"/>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294" w:type="dxa"/>
            <w:noWrap w:val="0"/>
            <w:vAlign w:val="center"/>
          </w:tcPr>
          <w:p>
            <w:pPr>
              <w:jc w:val="center"/>
              <w:rPr>
                <w:rFonts w:ascii="宋体" w:hAnsi="宋体"/>
                <w:color w:val="auto"/>
                <w:szCs w:val="21"/>
                <w:highlight w:val="none"/>
              </w:rPr>
            </w:pPr>
            <w:r>
              <w:rPr>
                <w:rFonts w:hint="eastAsia" w:ascii="宋体" w:hAnsi="宋体" w:eastAsia="宋体"/>
                <w:color w:val="auto"/>
                <w:szCs w:val="21"/>
                <w:highlight w:val="none"/>
              </w:rPr>
              <w:t>★完工期</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olor w:val="auto"/>
                <w:szCs w:val="21"/>
                <w:highlight w:val="none"/>
                <w:lang w:eastAsia="zh-CN"/>
              </w:rPr>
              <w:t>自合同签收后，检测工作分不同检测项目完成时间进行，等采购人正式通知入场开始检测。每项检测项目在采购人正式通知后</w:t>
            </w:r>
            <w:r>
              <w:rPr>
                <w:rFonts w:hint="eastAsia" w:ascii="宋体" w:hAnsi="宋体" w:eastAsia="宋体"/>
                <w:color w:val="auto"/>
                <w:szCs w:val="21"/>
                <w:highlight w:val="none"/>
                <w:lang w:val="en-US" w:eastAsia="zh-CN"/>
              </w:rPr>
              <w:t>30</w:t>
            </w:r>
            <w:r>
              <w:rPr>
                <w:rFonts w:hint="eastAsia" w:ascii="宋体" w:hAnsi="宋体" w:eastAsia="宋体"/>
                <w:color w:val="auto"/>
                <w:szCs w:val="21"/>
                <w:highlight w:val="none"/>
                <w:lang w:eastAsia="zh-CN"/>
              </w:rPr>
              <w:t>天内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或双方约定的时间</w:t>
            </w:r>
            <w:r>
              <w:rPr>
                <w:rFonts w:hint="eastAsia" w:ascii="宋体" w:hAnsi="宋体"/>
                <w:color w:val="auto"/>
                <w:szCs w:val="21"/>
                <w:highlight w:val="none"/>
                <w:lang w:eastAsia="zh-CN"/>
              </w:rPr>
              <w:t>）</w:t>
            </w:r>
            <w:r>
              <w:rPr>
                <w:rFonts w:hint="eastAsia" w:ascii="宋体" w:hAnsi="宋体" w:eastAsia="宋体"/>
                <w:color w:val="auto"/>
                <w:szCs w:val="21"/>
                <w:highlight w:val="none"/>
                <w:lang w:eastAsia="zh-CN"/>
              </w:rPr>
              <w:t>完成所有工作（包含检测、提交报告等工作）</w:t>
            </w:r>
            <w:r>
              <w:rPr>
                <w:rFonts w:hint="eastAsia" w:ascii="宋体" w:hAnsi="宋体"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9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1、有效报价范围：0%≤投标下浮率≤100%。供应商所报的投标下浮率须在有效的报价范围内，否则视为无效投标。投标下浮率必须为固定的报价（如5%），不得存在区间值（如 5～10%）。</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2、统一对本项目《检测项目</w:t>
            </w:r>
            <w:r>
              <w:rPr>
                <w:rFonts w:hint="eastAsia" w:ascii="宋体" w:hAnsi="宋体" w:cs="宋体"/>
                <w:color w:val="auto"/>
                <w:sz w:val="21"/>
                <w:szCs w:val="21"/>
                <w:highlight w:val="none"/>
                <w:lang w:val="en-US" w:eastAsia="zh-CN"/>
              </w:rPr>
              <w:t>清单</w:t>
            </w:r>
            <w:r>
              <w:rPr>
                <w:rFonts w:hint="eastAsia" w:ascii="宋体" w:hAnsi="宋体" w:eastAsia="宋体" w:cs="宋体"/>
                <w:color w:val="auto"/>
                <w:sz w:val="21"/>
                <w:szCs w:val="21"/>
                <w:highlight w:val="none"/>
              </w:rPr>
              <w:t>》报固定投标下浮率，不接受有选择性报价。供应商考虑自身企业实力，项目实际情况，市场因素及其它不可预见等因素自行报价。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注：上述依据固定投标下浮率已包括成交人为完成该项任务所需的全部施工费用、利润、各项税费及一切不可预计费等全部费用。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294" w:type="dxa"/>
            <w:noWrap w:val="0"/>
            <w:vAlign w:val="center"/>
          </w:tcPr>
          <w:p>
            <w:pPr>
              <w:jc w:val="center"/>
              <w:rPr>
                <w:rFonts w:hint="eastAsia" w:ascii="宋体"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付款</w:t>
            </w:r>
            <w:r>
              <w:rPr>
                <w:rFonts w:hint="eastAsia" w:hAnsi="宋体"/>
                <w:color w:val="auto"/>
                <w:szCs w:val="21"/>
                <w:highlight w:val="none"/>
              </w:rPr>
              <w:t>方式</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zh-CN"/>
              </w:rPr>
              <w:t>检测费用分不同检测项目结算，成交单位每完成</w:t>
            </w:r>
            <w:r>
              <w:rPr>
                <w:rFonts w:hint="eastAsia" w:ascii="宋体" w:hAnsi="宋体" w:cs="宋体"/>
                <w:color w:val="auto"/>
                <w:sz w:val="21"/>
                <w:szCs w:val="21"/>
                <w:highlight w:val="none"/>
                <w:lang w:val="en-US" w:eastAsia="zh-CN" w:bidi="zh-CN"/>
              </w:rPr>
              <w:t>单项</w:t>
            </w:r>
            <w:r>
              <w:rPr>
                <w:rFonts w:hint="eastAsia" w:ascii="宋体" w:hAnsi="宋体" w:eastAsia="宋体" w:cs="宋体"/>
                <w:color w:val="auto"/>
                <w:sz w:val="21"/>
                <w:szCs w:val="21"/>
                <w:highlight w:val="none"/>
                <w:lang w:val="en-US" w:eastAsia="zh-CN" w:bidi="zh-CN"/>
              </w:rPr>
              <w:t>检测工作后，采购人根据成交单位实际检测数量和下浮后综合单价进行结算并</w:t>
            </w:r>
            <w:r>
              <w:rPr>
                <w:rFonts w:hint="eastAsia" w:ascii="宋体" w:hAnsi="宋体" w:cs="宋体"/>
                <w:color w:val="auto"/>
                <w:sz w:val="21"/>
                <w:szCs w:val="21"/>
                <w:highlight w:val="none"/>
                <w:lang w:val="en-US" w:eastAsia="zh-CN" w:bidi="zh-CN"/>
              </w:rPr>
              <w:t>10日内</w:t>
            </w:r>
            <w:r>
              <w:rPr>
                <w:rFonts w:hint="eastAsia" w:ascii="宋体" w:hAnsi="宋体" w:eastAsia="宋体" w:cs="宋体"/>
                <w:color w:val="auto"/>
                <w:sz w:val="21"/>
                <w:szCs w:val="21"/>
                <w:highlight w:val="none"/>
                <w:lang w:val="en-US" w:eastAsia="zh-CN" w:bidi="zh-CN"/>
              </w:rPr>
              <w:t>支付对应检测费用。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noWrap w:val="0"/>
            <w:vAlign w:val="center"/>
          </w:tcPr>
          <w:p>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其它要求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合同条款</w:t>
            </w:r>
          </w:p>
        </w:tc>
        <w:tc>
          <w:tcPr>
            <w:tcW w:w="6728" w:type="dxa"/>
            <w:noWrap w:val="0"/>
            <w:vAlign w:val="top"/>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Cs w:val="21"/>
                <w:highlight w:val="none"/>
              </w:rPr>
            </w:pPr>
            <w:r>
              <w:rPr>
                <w:rFonts w:hint="eastAsia" w:ascii="宋体" w:hAnsi="宋体" w:eastAsia="宋体" w:cs="宋体"/>
                <w:color w:val="auto"/>
                <w:sz w:val="21"/>
                <w:szCs w:val="21"/>
                <w:highlight w:val="none"/>
              </w:rPr>
              <w:t>供应商实质响应合同各条款。</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4445"/>
      <w:bookmarkStart w:id="221" w:name="_Toc4572"/>
      <w:bookmarkStart w:id="222" w:name="_Toc3714"/>
      <w:bookmarkStart w:id="223" w:name="_Toc16983"/>
      <w:r>
        <w:rPr>
          <w:rFonts w:hint="eastAsia" w:eastAsia="宋体"/>
          <w:b/>
          <w:bCs/>
          <w:color w:val="auto"/>
          <w:sz w:val="28"/>
          <w:szCs w:val="36"/>
          <w:highlight w:val="none"/>
          <w:lang w:eastAsia="zh-CN"/>
        </w:rPr>
        <w:t>技术要求</w:t>
      </w:r>
      <w:bookmarkEnd w:id="220"/>
      <w:bookmarkEnd w:id="221"/>
      <w:bookmarkEnd w:id="222"/>
      <w:bookmarkEnd w:id="223"/>
    </w:p>
    <w:p>
      <w:pPr>
        <w:pStyle w:val="38"/>
        <w:jc w:val="left"/>
        <w:outlineLvl w:val="0"/>
        <w:rPr>
          <w:rFonts w:hint="default" w:ascii="宋体" w:hAnsi="宋体" w:eastAsia="宋体"/>
          <w:b/>
          <w:color w:val="auto"/>
          <w:sz w:val="21"/>
          <w:szCs w:val="21"/>
          <w:highlight w:val="none"/>
          <w:lang w:val="en-US" w:eastAsia="zh-CN"/>
        </w:rPr>
      </w:pPr>
      <w:bookmarkStart w:id="224" w:name="_Toc42033153"/>
      <w:bookmarkStart w:id="225" w:name="_Toc476901034"/>
      <w:bookmarkStart w:id="226" w:name="_Toc485835248"/>
      <w:bookmarkStart w:id="227" w:name="_Toc17699252"/>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w:t>
      </w:r>
      <w:bookmarkEnd w:id="224"/>
      <w:bookmarkEnd w:id="225"/>
      <w:r>
        <w:rPr>
          <w:rFonts w:hint="eastAsia" w:ascii="宋体" w:hAnsi="宋体"/>
          <w:b/>
          <w:color w:val="auto"/>
          <w:sz w:val="21"/>
          <w:szCs w:val="21"/>
          <w:highlight w:val="none"/>
          <w:lang w:val="en-US" w:eastAsia="zh-CN"/>
        </w:rPr>
        <w:t>检测项目清单</w:t>
      </w:r>
    </w:p>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（一）基坑支护</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735"/>
        <w:gridCol w:w="735"/>
        <w:gridCol w:w="2936"/>
        <w:gridCol w:w="782"/>
        <w:gridCol w:w="735"/>
        <w:gridCol w:w="523"/>
        <w:gridCol w:w="103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检测部位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检测频率</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总工程量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检测数量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喷锚厚度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每500㎡墙面积1组，每组不少于3点进行钻芯检测。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（二）工程基桩部分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3"/>
        <w:gridCol w:w="495"/>
        <w:gridCol w:w="581"/>
        <w:gridCol w:w="897"/>
        <w:gridCol w:w="2269"/>
        <w:gridCol w:w="576"/>
        <w:gridCol w:w="599"/>
        <w:gridCol w:w="81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44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检测部位</w:t>
            </w:r>
          </w:p>
        </w:tc>
        <w:tc>
          <w:tcPr>
            <w:tcW w:w="58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总工程量</w:t>
            </w:r>
          </w:p>
        </w:tc>
        <w:tc>
          <w:tcPr>
            <w:tcW w:w="89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226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检测频率</w:t>
            </w:r>
          </w:p>
        </w:tc>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检测数量</w:t>
            </w:r>
          </w:p>
        </w:tc>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8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试桩</w:t>
            </w:r>
          </w:p>
        </w:tc>
        <w:tc>
          <w:tcPr>
            <w:tcW w:w="5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8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单桩竖向抗压静载</w:t>
            </w:r>
          </w:p>
        </w:tc>
        <w:tc>
          <w:tcPr>
            <w:tcW w:w="2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管桩基础工程应在正式开工前按不小于1%工程桩数量且不少于3根</w:t>
            </w:r>
          </w:p>
        </w:tc>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34500</w:t>
            </w:r>
          </w:p>
        </w:tc>
        <w:tc>
          <w:tcPr>
            <w:tcW w:w="18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最大试验荷载设计要求为特征值的2.3倍，则承载力为2000*2.3=4600kN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4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9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1号厂房</w:t>
            </w:r>
          </w:p>
        </w:tc>
        <w:tc>
          <w:tcPr>
            <w:tcW w:w="58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8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低应变</w:t>
            </w:r>
          </w:p>
        </w:tc>
        <w:tc>
          <w:tcPr>
            <w:tcW w:w="2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1、地基基础设计等级为甲级的桩基工程抽检数量不应少于总桩数的30%，其余桩基工程检测数量不少于总桩数的20％，且不少于10 根。</w:t>
            </w:r>
          </w:p>
        </w:tc>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8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43"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95"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81"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8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单桩竖向抗压静载</w:t>
            </w:r>
          </w:p>
        </w:tc>
        <w:tc>
          <w:tcPr>
            <w:tcW w:w="2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抽检数量不应少于总桩数的 1％，且不得少于 3 根； 当总桩数在 50 根以内时，不得少于 2 根；</w:t>
            </w:r>
          </w:p>
        </w:tc>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c>
          <w:tcPr>
            <w:tcW w:w="18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Q=4000kN</w:t>
            </w:r>
            <w:r>
              <w:rPr>
                <w:rFonts w:hint="eastAsia" w:ascii="宋体" w:hAnsi="宋体" w:eastAsia="宋体" w:cs="宋体"/>
                <w:i w:val="0"/>
                <w:iCs w:val="0"/>
                <w:color w:val="auto"/>
                <w:kern w:val="0"/>
                <w:sz w:val="20"/>
                <w:szCs w:val="20"/>
                <w:highlight w:val="none"/>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43"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95"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81"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8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单桩竖向抗拔静载</w:t>
            </w:r>
          </w:p>
        </w:tc>
        <w:tc>
          <w:tcPr>
            <w:tcW w:w="2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抽检数量不应少于总桩数的 1％，且不得少于 3 根； 当总桩数在 50 根以内时，不得少于 2 根；</w:t>
            </w:r>
          </w:p>
        </w:tc>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8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Q=800kN</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（三）主体结构</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490"/>
        <w:gridCol w:w="615"/>
        <w:gridCol w:w="3733"/>
        <w:gridCol w:w="490"/>
        <w:gridCol w:w="490"/>
        <w:gridCol w:w="448"/>
        <w:gridCol w:w="983"/>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1号厂房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钻芯法检测混凝土强度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每个单位工程抽测竖向构件1 组，水平构件1 组（每组3 个芯样，下同）。房建工程中层数超过20 层（含）或者建筑面积超过20000 ㎡ 的，每个单位工程抽测竖向构件2组，水平构件2 组。财政投资项目和保障性住房项目，每个单位工程竖向构件的每个混凝土设计强度等级抽测1 组，对应楼层水平构件抽测1 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芯样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C45、C40、C35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抗拔检测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植筋锚固质量的非破损检验：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对重要结构构件及生命线工程的非结构构件，应取每一检验批植筋总数的3％且不少于5 件进行检验；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对一般结构构件，应取每一检验批植筋总数的1％且不少于3 件进行检验；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对非生命线工程的非结构构件，应取每一检验批锚固件总数的0．1％且不少于3 件进行检验。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楼板厚度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当监督抽测楼板厚度未达到设计楼板厚度90%时，本层原则上按1 个构件厚度检测不合格复检测1 组（每组3 个构件，下同），同时应对相邻或重要的两个检验批（楼层）进行随机抽查各1 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（四）市政基础设施</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1"/>
        <w:gridCol w:w="539"/>
        <w:gridCol w:w="856"/>
        <w:gridCol w:w="799"/>
        <w:gridCol w:w="1121"/>
        <w:gridCol w:w="947"/>
        <w:gridCol w:w="841"/>
        <w:gridCol w:w="442"/>
        <w:gridCol w:w="8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检测路段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检测部位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检测频率</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总工程量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检测数量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雨水管道</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DN200管道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管底压实度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管侧压实度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管顶50cm以内压实度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管顶50cm以上压实度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DN300管道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管底压实度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管侧压实度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管顶50cm以内压实度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管顶50cm以上压实度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DN400管道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管底压实度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管侧压实度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管顶50cm以内压实度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管顶50cm以上压实度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每层每测两井之前或1000㎡测1点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闭水试验</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全检</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165.24m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《给水排水管道工程施工及验收规范》GB 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给水管道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水压试验</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全检</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338.11m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《给水排水管道工程施工及验收规范》GB 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透水铺装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土路基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567.54㎡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50厚中砂垫层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567.54㎡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6%水泥稳定碎石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567.54㎡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10cm厚透水混凝土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567.54㎡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雨水花园绿地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土路基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301.38㎡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消防车道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土路基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917.21㎡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天然级配砂石垫层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917.21㎡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C30混凝土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917.21㎡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室外园建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土路基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每1000㎡检测3点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1105.51㎡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6%水泥石粉渣</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1105.51㎡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C30混凝土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每1000㎡检测1点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1105.51㎡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基础回填</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1号厂房</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每50-100㎡检测1点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1734.53㎡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《城镇道路工程施工与质量验收规范》CJJ 1-2008</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（五）节能检测</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596"/>
        <w:gridCol w:w="1010"/>
        <w:gridCol w:w="3287"/>
        <w:gridCol w:w="596"/>
        <w:gridCol w:w="596"/>
        <w:gridCol w:w="477"/>
        <w:gridCol w:w="1006"/>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1号厂房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外墙节能构造钻芯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外墙取样数量为一个单位工程每种节能保温做法至少取3个芯样。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建筑外门窗玻璃节能性能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按设计要求，不同节能参数要求的各种样式玻璃不少于1组；不同结构及规格的中空玻璃露点不少于一组；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（六）室内环境</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1198"/>
        <w:gridCol w:w="903"/>
        <w:gridCol w:w="575"/>
        <w:gridCol w:w="956"/>
        <w:gridCol w:w="956"/>
        <w:gridCol w:w="956"/>
        <w:gridCol w:w="1032"/>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房间户型/用途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房间总数（间）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抽检数量（间）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检测数量（点）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室内空气中氡、甲醛、氨、苯、甲苯、二甲苯、TVOC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每增加1000㎡增设1个检测点,增加面积不足1000㎡时按增加1000㎡计算。</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（七）防雷检测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2295"/>
        <w:gridCol w:w="1683"/>
        <w:gridCol w:w="1846"/>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防雷检测</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14065.68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r>
    </w:tbl>
    <w:p>
      <w:pPr>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（八）消防检测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2362"/>
        <w:gridCol w:w="1681"/>
        <w:gridCol w:w="189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消防检测</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14065.68</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（九）原材料检测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8"/>
        <w:gridCol w:w="621"/>
        <w:gridCol w:w="621"/>
        <w:gridCol w:w="4598"/>
        <w:gridCol w:w="523"/>
        <w:gridCol w:w="439"/>
        <w:gridCol w:w="843"/>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检测项目类别</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检测项目参数（元）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检测数量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0" w:type="auto"/>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比表面积（200）、筛余（150）、用水量（100）、凝结时间（100）、安定性（100）、强度（400）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建筑用砂</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表观密度（100）、堆积密度（100）、紧密密度（100）、含泥量（150）、泥块含量（150）、颗粒级配（200）、氯离子含量（300）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建筑用石</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表观密度（100）、堆积密度（100）、紧密密度（100）、含泥量（150）、泥块含量（150）、颗粒级配（200）、针片状颗粒含量（200）、压碎指标（300）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钢材及钢筋</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拉伸、弯曲（150）、重量偏差（50）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钢材及钢筋焊接连头</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抗拉强度（100）、弯曲（50）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钢筋机械连接</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抗拉强度（120）、机械连接（500）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拉伸、弯曲（500）、压扁（500）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混凝土外加剂</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减水率（200）、凝结时间差（500）、抗压强度比（800）、含固量（200）、含水率（150）、氯离子含量（300）、含气量（500）、细度（150）、凝结时间（200)、限制膨胀率(1000)、抗压强度(300)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混凝土掺合料</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需水量比（200）、含水量（150）、细度（150）、三氧化硫（300）、烧失量（300）、活性指数（800）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砂浆（普通）</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抗压强度(50)、配合比(600)、保水率(400)、2h稠度损失率(400)、拉伸粘结强度(500)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gridSpan w:val="2"/>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混凝土抗渗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混凝土配合比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砌墙砖</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抗折强度（300）、抗压强度（300）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砌砖</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抗压强度（500）、干密度（300）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陶瓷砖</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尺寸偏差（300）、表面质量（300）、吸水率（300）、破坏强度（400）、断裂模数（200）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预应力钢绞线</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规定非比例延伸力、整根钢绞线最大力、最大力总伸长率</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预应力筋用锚具、夹具和连接器</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静载锚固性能（锚具效率系数、总应变） 1500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建筑涂料</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容器中状态（100）、涂膜外观（50）、耐水性（200）、耐碱性（200）、耐洗刷性（250）、干燥时间（200）、透水性（250）、低温稳定性（250）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防水涂料</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含固量(200)、拉伸性能、断裂延伸率(500)、不透水性(300）、涂膜干燥时间（100）、耐热度（300）、粘结强度、粘结力（500）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拉伸性能（拉力、延伸率）（400）、拉伸强度/拉断伸长率（400）、撕裂强（300）、耐热性（300）、不透水性（300）、抗穿孔性/抗冲击性能（300）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gridSpan w:val="2"/>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建筑外窗</w:t>
            </w:r>
          </w:p>
        </w:tc>
        <w:tc>
          <w:tcPr>
            <w:tcW w:w="0" w:type="auto"/>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气密性能、水密性能、抗风压性能</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gridSpan w:val="2"/>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铝合金型材</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尺寸（厚度）（100）、膜厚（200）、涂膜硬度（200）、基材硬度（200）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建筑用密封胶</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附件与密封胶相容性（3000）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基材与密封胶粘结性（1500）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0" w:type="auto"/>
            <w:gridSpan w:val="7"/>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结构尺寸(50)、标志检验（50）、导体电阻（150）、不延燃试验（1000）、电压试验（150）、绝缘电阻（150）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结构尺寸(50)、标志检验（50）、导体电阻（150）、不延燃试验（1000）、电压试验（150）、绝缘电阻（150）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开关插座</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漏电开关</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剩余电流动作特性(600)、过电流动作特性(600)、介电性能(500)、.温升(200)、电气间隙（100）、爬电距离(100)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空气开关</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动作特性(600)、介电性能(500)、温升(200)、电气间隙（100）、爬电距离(100)、功耗(200)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面板开关</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温升(200)、电气间隙（100）、爬电距离(100)、防触电保护(150)、防潮(300)、绝缘电阻(150)、工频耐压(150)。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shd w:val="clear" w:color="auto" w:fill="auto"/>
            <w:vAlign w:val="center"/>
          </w:tcPr>
          <w:p>
            <w:pPr>
              <w:rPr>
                <w:rFonts w:hint="eastAsia" w:ascii="宋体" w:hAnsi="宋体" w:eastAsia="宋体" w:cs="宋体"/>
                <w:i w:val="0"/>
                <w:iCs w:val="0"/>
                <w:color w:val="auto"/>
                <w:sz w:val="18"/>
                <w:szCs w:val="18"/>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插头插座</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温升(200)、电气间隙（100）、爬电距离(100)、防触电保护(150)、绝缘电阻(150)、接地措施(150)、耐潮(300)、电气强度(150)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塑料管材管件</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外观（50）、尺寸（100）、维卡软化温度（250）、纵向回缩率（200）、拉伸屈服强度、断裂伸长率（400）、简支梁冲击试验（200）、落锤冲击试验(300)、烘箱试验(200)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坠落试验(200)、液压试验（20℃ 1h）(1000)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波纹管</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外观、尺寸(100)、环刚度（600）、环柔性(400)、烘箱试验/纵向回缩率(200)、缝的拉伸强度/熔接缝的拉伸强度(300)、落锤冲击试验(300)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电缆导管</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外观(50)、尺寸(100)、维卡软化温度(200)、环段热压缩力(300)、落锤冲击试验(200)、纵向回缩率(300)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外观(500)、尺寸(500)、外压荷载(2000)、内水压试验(1000)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胶粘剂</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溶解性（100）、粘度（300）、粘结强度（300）、水压爆破强度（600）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0" w:type="auto"/>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安全防护类用品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钢管脚手架扣件</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抗滑(1600)、抗拉性能(800)、抗破坏(1600)、扭转刚(800)、扭力矩试压(800)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耐贯穿性（800）、耐冲击性（800）、阻燃性能（400）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br w:type="page"/>
      </w:r>
    </w:p>
    <w:bookmarkEnd w:id="226"/>
    <w:bookmarkEnd w:id="227"/>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8" w:name="_Toc29929"/>
      <w:r>
        <w:rPr>
          <w:rFonts w:hint="eastAsia"/>
          <w:color w:val="auto"/>
          <w:highlight w:val="none"/>
          <w:lang w:val="en-US" w:eastAsia="zh-CN"/>
        </w:rPr>
        <w:t>详细评审</w:t>
      </w:r>
      <w:bookmarkEnd w:id="228"/>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40分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供应商自2020年1月1日以来承接</w:t>
            </w:r>
            <w:r>
              <w:rPr>
                <w:rFonts w:hint="eastAsia" w:ascii="宋体" w:hAnsi="宋体" w:eastAsia="宋体" w:cs="宋体"/>
                <w:bCs/>
                <w:color w:val="auto"/>
                <w:sz w:val="21"/>
                <w:szCs w:val="21"/>
                <w:highlight w:val="none"/>
                <w:lang w:val="zh-CN"/>
              </w:rPr>
              <w:t>的</w:t>
            </w:r>
            <w:r>
              <w:rPr>
                <w:rFonts w:hint="eastAsia" w:ascii="宋体" w:hAnsi="宋体" w:cs="宋体"/>
                <w:bCs/>
                <w:color w:val="auto"/>
                <w:sz w:val="21"/>
                <w:szCs w:val="21"/>
                <w:highlight w:val="none"/>
                <w:lang w:val="en-US" w:eastAsia="zh-CN"/>
              </w:rPr>
              <w:t>检测</w:t>
            </w:r>
            <w:r>
              <w:rPr>
                <w:rFonts w:hint="eastAsia" w:ascii="宋体" w:hAnsi="宋体" w:eastAsia="宋体" w:cs="宋体"/>
                <w:bCs/>
                <w:color w:val="auto"/>
                <w:sz w:val="21"/>
                <w:szCs w:val="21"/>
                <w:highlight w:val="none"/>
                <w:lang w:val="zh-CN"/>
              </w:rPr>
              <w:t>类项目业绩，每提供一个合同业绩得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分。本项最高得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注：须提供合同复印件并同时加盖</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lang w:val="en-US" w:eastAsia="zh-CN"/>
              </w:rPr>
              <w:t>企业荣誉</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lang w:val="en-US" w:eastAsia="zh-CN"/>
              </w:rPr>
            </w:pPr>
            <w:r>
              <w:rPr>
                <w:rFonts w:hint="eastAsia" w:ascii="宋体" w:hAnsi="宋体"/>
                <w:color w:val="auto"/>
                <w:szCs w:val="21"/>
                <w:highlight w:val="none"/>
                <w:lang w:val="en-US" w:eastAsia="zh-CN"/>
              </w:rPr>
              <w:t>2</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供应商自2020年1月1日以来</w:t>
            </w:r>
            <w:r>
              <w:rPr>
                <w:rFonts w:hint="eastAsia" w:ascii="宋体" w:hAnsi="宋体" w:eastAsia="宋体" w:cs="宋体"/>
                <w:bCs/>
                <w:color w:val="auto"/>
                <w:sz w:val="21"/>
                <w:szCs w:val="21"/>
                <w:highlight w:val="none"/>
                <w:lang w:val="zh-CN"/>
              </w:rPr>
              <w:t>获得市级（或以上）行政主管部门颁发的荣誉证书的，得2分；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0"/>
                <w:szCs w:val="21"/>
                <w:highlight w:val="none"/>
              </w:rPr>
              <w:t>注：须提供相关有效证明文件扫描件。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restart"/>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lang w:val="en-US" w:eastAsia="zh-CN"/>
              </w:rPr>
            </w:pPr>
            <w:r>
              <w:rPr>
                <w:rFonts w:hint="eastAsia" w:ascii="宋体" w:hAnsi="宋体" w:eastAsia="宋体" w:cs="宋体"/>
                <w:color w:val="auto"/>
                <w:kern w:val="0"/>
                <w:szCs w:val="21"/>
                <w:highlight w:val="none"/>
              </w:rPr>
              <w:t>检测能力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Cs w:val="21"/>
                <w:highlight w:val="none"/>
                <w:lang w:val="en-US" w:eastAsia="zh-CN"/>
              </w:rPr>
            </w:pPr>
            <w:r>
              <w:rPr>
                <w:rFonts w:hint="eastAsia" w:ascii="宋体" w:hAnsi="宋体" w:eastAsia="宋体" w:cs="宋体"/>
                <w:color w:val="auto"/>
                <w:kern w:val="0"/>
                <w:szCs w:val="21"/>
                <w:highlight w:val="none"/>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供应商获得过检测类专利证书的，每提供1项得 0.5 分，最高得 8分。</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 xml:space="preserve">   注：须提供相关有效证明文件扫描件。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lang w:val="en-US" w:eastAsia="zh-CN"/>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Cs w:val="21"/>
                <w:highlight w:val="none"/>
                <w:lang w:val="en-US" w:eastAsia="zh-CN"/>
              </w:rPr>
            </w:pPr>
            <w:r>
              <w:rPr>
                <w:rFonts w:hint="eastAsia" w:ascii="宋体" w:hAnsi="宋体" w:eastAsia="宋体" w:cs="宋体"/>
                <w:color w:val="auto"/>
                <w:kern w:val="0"/>
                <w:szCs w:val="21"/>
                <w:highlight w:val="none"/>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供应商获得过检测类软件著作权证书的，每提供1项得 0.5 分，最高得 3 分。</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 xml:space="preserve">   注：须提供相关有效证明文件扫描件。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restart"/>
            <w:tcBorders>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vMerge w:val="restart"/>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lang w:val="en-US" w:eastAsia="zh-CN"/>
              </w:rPr>
            </w:pPr>
            <w:r>
              <w:rPr>
                <w:rFonts w:hint="eastAsia" w:ascii="宋体" w:hAnsi="宋体" w:eastAsia="宋体" w:cs="宋体"/>
                <w:color w:val="auto"/>
                <w:kern w:val="0"/>
                <w:szCs w:val="21"/>
                <w:highlight w:val="none"/>
              </w:rPr>
              <w:t>拟投入人员情况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项目负责人：</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同时具有注册土木工程师（岩土）资质的和一级注册结构工程师资质的，得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 xml:space="preserve">分； </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注：须提供相关证书扫描件，注册类证书须注册于投标人本单位作为评审依据，否则不得分。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lang w:val="en-US" w:eastAsia="zh-CN"/>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right="0" w:rightChars="0"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技术负责人：</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right="0" w:rightChars="0"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同时具有高级工程师职称资质的和一级注册结构工程师资质的，得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 xml:space="preserve">分； </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right="0" w:rightChars="0"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注：须</w:t>
            </w:r>
            <w:r>
              <w:rPr>
                <w:rFonts w:hint="eastAsia" w:ascii="宋体" w:eastAsia="宋体" w:cs="宋体"/>
                <w:bCs/>
                <w:color w:val="auto"/>
                <w:sz w:val="21"/>
                <w:szCs w:val="21"/>
                <w:highlight w:val="none"/>
                <w:lang w:val="en-US" w:eastAsia="zh-CN"/>
              </w:rPr>
              <w:t>提供有效人员证书</w:t>
            </w:r>
            <w:r>
              <w:rPr>
                <w:rFonts w:hint="eastAsia" w:ascii="宋体" w:eastAsia="宋体" w:cs="宋体"/>
                <w:color w:val="auto"/>
                <w:sz w:val="21"/>
                <w:szCs w:val="21"/>
                <w:highlight w:val="none"/>
                <w:lang w:val="zh-CN"/>
              </w:rPr>
              <w:t>和社会保障部门出具的近半年内任意</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lang w:val="zh-CN"/>
              </w:rPr>
              <w:t>个月（不含开标当月）在供应商单位缴纳社会养老保险的有效凭证的复印件</w:t>
            </w:r>
            <w:r>
              <w:rPr>
                <w:rFonts w:hint="eastAsia" w:ascii="宋体" w:hAnsi="宋体" w:eastAsia="宋体" w:cs="宋体"/>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lang w:val="en-US" w:eastAsia="zh-CN"/>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其他投入人员（不含项目负责人、技术负责人）：</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（1）拟投入人员具有一级注册结构师的每人得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分，本子项最高得 </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（2）拟投入人员具有高级工程师职称的每人得 1.5 分，具有中级工程师职称的每人得1分，本子项最高得 10分；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注：以上人员不得重复得分，须提供有效人员证书</w:t>
            </w:r>
            <w:r>
              <w:rPr>
                <w:rFonts w:hint="eastAsia" w:ascii="宋体" w:eastAsia="宋体" w:cs="宋体"/>
                <w:color w:val="auto"/>
                <w:sz w:val="21"/>
                <w:szCs w:val="21"/>
                <w:highlight w:val="none"/>
                <w:lang w:val="zh-CN"/>
              </w:rPr>
              <w:t>和社会保障部门出具的近半年内任意</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lang w:val="zh-CN"/>
              </w:rPr>
              <w:t>个月（不含开标当月）在供应商单位缴纳社会养老保险的有效凭证的复印件。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rPr>
              <w:t>对本检测项目 的理解和分析</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根据供应商对本检测项目 的理解和分析进行评分：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对本检测项目 的理解和分析准确、透彻，基础资料调查详尽、清晰及完整的，得10分；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对本检测项目 的理解和分析正确、完整，基础资料调查齐全、基本清晰及完整的，得7分；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对本检测项目 的理解和分析基本正确，基础资料调查有缺漏、不完整的，得4分；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对本检测项目 的理解和分析不正确，未提供基础资料调查的，得1分。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未供现状了解的，得0分。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5"/>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rPr>
              <w:t>检测方法、措施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根据供应商制定的检测方法、措施等综合评审：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制定的检测方法、措施可行性、完备性高，方案所采用的设计思路、技术路线、措施先进，得10分；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制定的检测方法、措施可行性、完备性较高，方案所采用的设计思路、技术路线、措施合理，得7分；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制定的检测方法、措施可行性、完备性一般，得4分；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制定的检测方法、措施可行性、完备性差，得1分；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rPr>
              <w:t>进度控制措施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根据供应商制定的进度措施控制措施综合评审：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进度控制措施可行性、完备性高，进度保证高效，得10分；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进度控制措施可行性、完备性较高，进度保证较高效，得7分；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进度控制措施可行性、完备性一般，进度保证一般，得4分；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进度控制措施可行性、完备性较差，进度保证较差，得1分；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rPr>
              <w:t>质量控制</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根据供应商制定的质量控制措施等综合评审：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质量控制措施可行性、完备性高，质量要求高，得10分；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质量控制措施可行性、完备性较高，质量要求较高，得7分；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质量控制措施可行性、完备性一般，质量要求一般，得4分；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质量控制措施可行性、完备性较差，质量要求较低，得1分；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5"/>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pPr>
              <w:pStyle w:val="25"/>
              <w:spacing w:line="36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信息管理</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5"/>
              <w:spacing w:line="360" w:lineRule="exact"/>
              <w:ind w:firstLine="0" w:firstLineChars="0"/>
              <w:jc w:val="center"/>
              <w:rPr>
                <w:rFonts w:hint="default" w:ascii="宋体" w:hAnsi="宋体" w:eastAsia="宋体" w:cs="宋体"/>
                <w:color w:val="auto"/>
                <w:kern w:val="2"/>
                <w:sz w:val="21"/>
                <w:szCs w:val="21"/>
                <w:highlight w:val="none"/>
                <w:lang w:val="en-US"/>
              </w:rPr>
            </w:pPr>
            <w:r>
              <w:rPr>
                <w:rFonts w:hint="eastAsia" w:ascii="宋体" w:eastAsia="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根据供应商提供的信息管理方案进行评分：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信息管理规范完善，措施有力合理，得5分；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信息管理较规范完善，措施较有力，得3分；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信息管理规范性一般，完善性一般，措施合理性一般，得1分；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5"/>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right w:val="single" w:color="auto" w:sz="4" w:space="0"/>
            </w:tcBorders>
            <w:noWrap w:val="0"/>
            <w:vAlign w:val="center"/>
          </w:tcPr>
          <w:p>
            <w:pPr>
              <w:pStyle w:val="25"/>
              <w:spacing w:line="36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安全文明生产及环保措施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5"/>
              <w:spacing w:line="36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根据供应商提供的安全文明生产及环保措施进行评分：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安全文明生产及环保措施完善，措施有力合理，责任分明，得5分；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安全文明生产及环保措施基本完善，措施较有力，责任较明确，得3分；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安全文明生产及环保措施完善性一般，措施合理性一般，责任划分模糊，得1分；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价格分计算方法：满足招标文件要求且投标报价最低（即最大下浮率）的投标报价为评标基准价，其价格分为满分。其他</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的价格分统一按照下列公式计算：投标报价得分=[(1-最大下浮率)／(1-投标下浮率)] ×价格权重</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9" w:name="_Toc20102"/>
      <w:r>
        <w:rPr>
          <w:rFonts w:hint="eastAsia"/>
          <w:color w:val="auto"/>
          <w:highlight w:val="none"/>
          <w:lang w:val="en-US" w:eastAsia="zh-CN"/>
        </w:rPr>
        <w:t>合同文本参考格式</w:t>
      </w:r>
      <w:bookmarkEnd w:id="229"/>
    </w:p>
    <w:p>
      <w:pPr>
        <w:jc w:val="center"/>
        <w:outlineLvl w:val="1"/>
        <w:rPr>
          <w:rFonts w:hint="eastAsia"/>
          <w:color w:val="auto"/>
          <w:sz w:val="18"/>
          <w:szCs w:val="21"/>
          <w:highlight w:val="none"/>
          <w:lang w:val="en-US" w:eastAsia="zh-CN"/>
        </w:rPr>
      </w:pPr>
      <w:bookmarkStart w:id="230" w:name="_Toc1541"/>
      <w:bookmarkStart w:id="231" w:name="_Toc27897"/>
      <w:bookmarkStart w:id="232" w:name="_Toc20453"/>
      <w:bookmarkStart w:id="233"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64"/>
      <w:bookmarkStart w:id="235" w:name="_Toc21895"/>
      <w:bookmarkStart w:id="236" w:name="_Toc14994"/>
      <w:bookmarkStart w:id="237" w:name="_Toc3633"/>
      <w:r>
        <w:rPr>
          <w:rFonts w:hint="eastAsia"/>
          <w:b/>
          <w:bCs/>
          <w:color w:val="auto"/>
          <w:highlight w:val="none"/>
          <w:lang w:val="en-US" w:eastAsia="zh-CN"/>
        </w:rPr>
        <w:t>一、合同金额</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8673"/>
      <w:bookmarkStart w:id="239" w:name="_Toc32599"/>
      <w:bookmarkStart w:id="240" w:name="_Toc31907"/>
      <w:bookmarkStart w:id="241" w:name="_Toc8984"/>
      <w:r>
        <w:rPr>
          <w:rFonts w:hint="eastAsia"/>
          <w:b/>
          <w:bCs/>
          <w:color w:val="auto"/>
          <w:highlight w:val="none"/>
          <w:lang w:val="en-US" w:eastAsia="zh-CN"/>
        </w:rPr>
        <w:t>二、服务范围</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2159"/>
      <w:bookmarkStart w:id="243" w:name="_Toc23270"/>
      <w:bookmarkStart w:id="244" w:name="_Toc28304"/>
      <w:bookmarkStart w:id="245" w:name="_Toc9958"/>
      <w:r>
        <w:rPr>
          <w:rFonts w:hint="eastAsia"/>
          <w:b/>
          <w:bCs/>
          <w:color w:val="auto"/>
          <w:highlight w:val="none"/>
          <w:lang w:val="en-US" w:eastAsia="zh-CN"/>
        </w:rPr>
        <w:t>三、甲方乙方的权利和义务</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3949"/>
      <w:bookmarkStart w:id="247" w:name="_Toc31228"/>
      <w:bookmarkStart w:id="248" w:name="_Toc29743"/>
      <w:bookmarkStart w:id="249" w:name="_Toc13843"/>
      <w:r>
        <w:rPr>
          <w:rFonts w:hint="eastAsia"/>
          <w:b/>
          <w:bCs/>
          <w:color w:val="auto"/>
          <w:highlight w:val="none"/>
          <w:lang w:val="en-US" w:eastAsia="zh-CN"/>
        </w:rPr>
        <w:t>四、服务期间（项目完成期限）</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30401"/>
      <w:bookmarkStart w:id="251" w:name="_Toc26555"/>
      <w:bookmarkStart w:id="252" w:name="_Toc3509"/>
      <w:bookmarkStart w:id="253" w:name="_Toc1315"/>
      <w:r>
        <w:rPr>
          <w:rFonts w:hint="eastAsia"/>
          <w:b/>
          <w:bCs/>
          <w:color w:val="auto"/>
          <w:highlight w:val="none"/>
          <w:lang w:val="en-US" w:eastAsia="zh-CN"/>
        </w:rPr>
        <w:t>五、付款方式</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29016"/>
      <w:bookmarkStart w:id="255" w:name="_Toc25049"/>
      <w:bookmarkStart w:id="256" w:name="_Toc27026"/>
      <w:bookmarkStart w:id="257" w:name="_Toc28728"/>
      <w:r>
        <w:rPr>
          <w:rFonts w:hint="eastAsia"/>
          <w:b/>
          <w:bCs/>
          <w:color w:val="auto"/>
          <w:highlight w:val="none"/>
          <w:lang w:val="en-US" w:eastAsia="zh-CN"/>
        </w:rPr>
        <w:t>六、知识产权</w:t>
      </w:r>
      <w:r>
        <w:rPr>
          <w:rFonts w:hint="eastAsia"/>
          <w:b/>
          <w:bCs/>
          <w:color w:val="auto"/>
          <w:highlight w:val="none"/>
        </w:rPr>
        <w:t>归属</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8" w:name="_Toc491"/>
      <w:bookmarkStart w:id="259" w:name="_Toc25037"/>
      <w:bookmarkStart w:id="260" w:name="_Toc16011"/>
      <w:bookmarkStart w:id="261" w:name="_Toc15194"/>
      <w:r>
        <w:rPr>
          <w:rFonts w:hint="eastAsia"/>
          <w:b/>
          <w:bCs/>
          <w:color w:val="auto"/>
          <w:highlight w:val="none"/>
          <w:lang w:val="en-US" w:eastAsia="zh-CN"/>
        </w:rPr>
        <w:t>七、保密</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4319"/>
      <w:bookmarkStart w:id="263" w:name="_Toc28189"/>
      <w:bookmarkStart w:id="264" w:name="_Toc5642"/>
      <w:bookmarkStart w:id="265" w:name="_Toc8277"/>
      <w:r>
        <w:rPr>
          <w:rFonts w:hint="eastAsia"/>
          <w:b/>
          <w:bCs/>
          <w:color w:val="auto"/>
          <w:highlight w:val="none"/>
          <w:lang w:val="en-US" w:eastAsia="zh-CN"/>
        </w:rPr>
        <w:t>八、违约责任与赔偿损失</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30679"/>
      <w:bookmarkStart w:id="267" w:name="_Toc24754"/>
      <w:bookmarkStart w:id="268" w:name="_Toc18504"/>
      <w:bookmarkStart w:id="269" w:name="_Toc23187"/>
      <w:r>
        <w:rPr>
          <w:rFonts w:hint="eastAsia"/>
          <w:b/>
          <w:bCs/>
          <w:color w:val="auto"/>
          <w:highlight w:val="none"/>
          <w:lang w:val="en-US" w:eastAsia="zh-CN"/>
        </w:rPr>
        <w:t>九、争议的解决</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0074"/>
      <w:bookmarkStart w:id="271" w:name="_Toc23085"/>
      <w:bookmarkStart w:id="272" w:name="_Toc26856"/>
      <w:bookmarkStart w:id="273" w:name="_Toc21080"/>
      <w:r>
        <w:rPr>
          <w:rFonts w:hint="eastAsia"/>
          <w:b/>
          <w:bCs/>
          <w:color w:val="auto"/>
          <w:highlight w:val="none"/>
          <w:lang w:val="en-US" w:eastAsia="zh-CN"/>
        </w:rPr>
        <w:t>十、不可抗力</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2495"/>
      <w:bookmarkStart w:id="275" w:name="_Toc16247"/>
      <w:bookmarkStart w:id="276" w:name="_Toc12645"/>
      <w:bookmarkStart w:id="277" w:name="_Toc29236"/>
      <w:r>
        <w:rPr>
          <w:rFonts w:hint="eastAsia"/>
          <w:b/>
          <w:bCs/>
          <w:color w:val="auto"/>
          <w:highlight w:val="none"/>
          <w:lang w:val="en-US" w:eastAsia="zh-CN"/>
        </w:rPr>
        <w:t>十一、税费</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7253"/>
      <w:bookmarkStart w:id="279" w:name="_Toc1974"/>
      <w:bookmarkStart w:id="280" w:name="_Toc14065"/>
      <w:bookmarkStart w:id="281" w:name="_Toc16429"/>
      <w:r>
        <w:rPr>
          <w:rFonts w:hint="eastAsia"/>
          <w:b/>
          <w:bCs/>
          <w:color w:val="auto"/>
          <w:highlight w:val="none"/>
          <w:lang w:val="en-US" w:eastAsia="zh-CN"/>
        </w:rPr>
        <w:t>十二、其它</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2" w:name="_Toc13763"/>
      <w:bookmarkStart w:id="283" w:name="_Toc22153"/>
      <w:bookmarkStart w:id="284" w:name="_Toc31822"/>
      <w:bookmarkStart w:id="285" w:name="_Toc15369"/>
      <w:r>
        <w:rPr>
          <w:rFonts w:hint="eastAsia"/>
          <w:b/>
          <w:bCs/>
          <w:color w:val="auto"/>
          <w:highlight w:val="none"/>
          <w:lang w:val="en-US" w:eastAsia="zh-CN"/>
        </w:rPr>
        <w:t>十三、合同生效</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6" w:name="_Toc2896"/>
      <w:r>
        <w:rPr>
          <w:rFonts w:hint="eastAsia"/>
          <w:color w:val="auto"/>
          <w:highlight w:val="none"/>
          <w:lang w:val="en-US" w:eastAsia="zh-CN"/>
        </w:rPr>
        <w:t>第六篇 响应文件格式</w:t>
      </w:r>
      <w:bookmarkEnd w:id="286"/>
    </w:p>
    <w:p>
      <w:pPr>
        <w:rPr>
          <w:rFonts w:hint="eastAsia"/>
          <w:b/>
          <w:bCs/>
          <w:color w:val="auto"/>
          <w:highlight w:val="none"/>
          <w:lang w:val="en-US" w:eastAsia="zh-CN"/>
        </w:rPr>
      </w:pPr>
      <w:r>
        <w:rPr>
          <w:rFonts w:hint="eastAsia"/>
          <w:b/>
          <w:bCs/>
          <w:color w:val="auto"/>
          <w:highlight w:val="none"/>
          <w:lang w:val="en-US" w:eastAsia="zh-CN"/>
        </w:rPr>
        <w:t>注意事项：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7" w:name="_Toc712"/>
      <w:bookmarkStart w:id="288" w:name="_Toc23380"/>
      <w:bookmarkStart w:id="289" w:name="_Toc32213"/>
      <w:bookmarkStart w:id="290" w:name="_Toc7065"/>
      <w:r>
        <w:rPr>
          <w:rFonts w:hint="eastAsia"/>
          <w:b/>
          <w:bCs/>
          <w:color w:val="auto"/>
          <w:highlight w:val="none"/>
          <w:lang w:val="en-US" w:eastAsia="zh-CN"/>
        </w:rPr>
        <w:t>（封面格式仅供参考）</w:t>
      </w:r>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91" w:name="_Toc14748"/>
      <w:bookmarkStart w:id="292" w:name="_Toc26688"/>
      <w:bookmarkStart w:id="293" w:name="_Toc24171"/>
      <w:bookmarkStart w:id="294" w:name="_Toc4650"/>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91"/>
      <w:bookmarkEnd w:id="292"/>
      <w:bookmarkEnd w:id="293"/>
      <w:bookmarkEnd w:id="294"/>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5" w:name="_Toc17848"/>
      <w:bookmarkStart w:id="296" w:name="_Toc25136"/>
      <w:bookmarkStart w:id="297" w:name="_Toc6353"/>
      <w:bookmarkStart w:id="298"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5"/>
      <w:bookmarkEnd w:id="296"/>
      <w:bookmarkEnd w:id="297"/>
      <w:bookmarkEnd w:id="298"/>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8"/>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2"/>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2"/>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8"/>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w:t>
            </w:r>
            <w:r>
              <w:rPr>
                <w:rFonts w:hint="eastAsia" w:ascii="宋体" w:hAnsi="宋体" w:cs="宋体"/>
                <w:b/>
                <w:color w:val="auto"/>
                <w:sz w:val="21"/>
                <w:szCs w:val="21"/>
                <w:highlight w:val="none"/>
                <w:lang w:val="en-US" w:eastAsia="zh-CN"/>
              </w:rPr>
              <w:t>下浮率</w:t>
            </w:r>
            <w:r>
              <w:rPr>
                <w:rFonts w:hint="eastAsia" w:ascii="宋体" w:hAnsi="宋体" w:cs="宋体"/>
                <w:b/>
                <w:color w:val="auto"/>
                <w:sz w:val="21"/>
                <w:szCs w:val="21"/>
                <w:highlight w:val="none"/>
                <w:lang w:val="zh-CN"/>
              </w:rPr>
              <w:t>（</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格式四：</w:t>
      </w:r>
    </w:p>
    <w:p>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9" w:name="_Toc23039"/>
      <w:bookmarkStart w:id="300" w:name="_Toc4452"/>
      <w:bookmarkStart w:id="301" w:name="_Toc19106"/>
      <w:bookmarkStart w:id="302" w:name="_Toc17533"/>
      <w:r>
        <w:rPr>
          <w:color w:val="auto"/>
          <w:sz w:val="24"/>
          <w:szCs w:val="24"/>
          <w:highlight w:val="none"/>
        </w:rPr>
        <w:t>法定代表人证明书</w:t>
      </w:r>
      <w:bookmarkEnd w:id="299"/>
      <w:bookmarkEnd w:id="300"/>
      <w:bookmarkEnd w:id="301"/>
      <w:bookmarkEnd w:id="302"/>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8"/>
        <w:rPr>
          <w:rFonts w:hint="eastAsia"/>
          <w:color w:val="auto"/>
          <w:highlight w:val="none"/>
          <w:lang w:val="en-US" w:eastAsia="zh-CN"/>
        </w:rPr>
      </w:pPr>
    </w:p>
    <w:p>
      <w:pPr>
        <w:rPr>
          <w:rFonts w:hint="eastAsia"/>
          <w:color w:val="auto"/>
          <w:highlight w:val="none"/>
          <w:lang w:val="en-US" w:eastAsia="zh-CN"/>
        </w:rPr>
      </w:pPr>
    </w:p>
    <w:p>
      <w:pPr>
        <w:pStyle w:val="8"/>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8"/>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8"/>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8"/>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8"/>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303" w:name="_Toc16713"/>
      <w:bookmarkStart w:id="304" w:name="_Toc10424"/>
      <w:bookmarkStart w:id="305" w:name="_Toc27833"/>
      <w:bookmarkStart w:id="306" w:name="_Toc20098"/>
      <w:r>
        <w:rPr>
          <w:color w:val="auto"/>
          <w:highlight w:val="none"/>
        </w:rPr>
        <w:t>履约进度计划表</w:t>
      </w:r>
      <w:bookmarkEnd w:id="303"/>
      <w:bookmarkEnd w:id="304"/>
      <w:bookmarkEnd w:id="305"/>
      <w:bookmarkEnd w:id="306"/>
    </w:p>
    <w:p>
      <w:pPr>
        <w:pStyle w:val="8"/>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4"/>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7" w:name="_Toc7867"/>
      <w:bookmarkStart w:id="308" w:name="_Toc2912"/>
      <w:bookmarkStart w:id="309" w:name="_Toc6564"/>
      <w:bookmarkStart w:id="310" w:name="_Toc26415"/>
      <w:r>
        <w:rPr>
          <w:rFonts w:hint="eastAsia"/>
          <w:b/>
          <w:bCs/>
          <w:color w:val="auto"/>
          <w:sz w:val="24"/>
          <w:szCs w:val="32"/>
          <w:highlight w:val="none"/>
          <w:lang w:val="en-US" w:eastAsia="zh-CN"/>
        </w:rPr>
        <w:t>格式十四：</w:t>
      </w:r>
      <w:bookmarkEnd w:id="307"/>
      <w:bookmarkEnd w:id="308"/>
      <w:bookmarkEnd w:id="309"/>
      <w:bookmarkEnd w:id="310"/>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3436"/>
      <w:bookmarkStart w:id="312" w:name="_Toc14919"/>
      <w:bookmarkStart w:id="313" w:name="_Toc10497"/>
      <w:bookmarkStart w:id="314"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11"/>
      <w:bookmarkEnd w:id="312"/>
      <w:bookmarkEnd w:id="313"/>
      <w:bookmarkEnd w:id="314"/>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5" w:name="_Toc7938"/>
      <w:bookmarkStart w:id="316" w:name="_Toc26572"/>
      <w:bookmarkStart w:id="317" w:name="_Toc2429"/>
      <w:bookmarkStart w:id="318"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5"/>
      <w:bookmarkEnd w:id="316"/>
      <w:bookmarkEnd w:id="317"/>
      <w:bookmarkEnd w:id="318"/>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25195"/>
      <w:bookmarkStart w:id="320" w:name="_Toc27193"/>
      <w:bookmarkStart w:id="321" w:name="_Toc30382"/>
      <w:bookmarkStart w:id="322" w:name="_Toc2436"/>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23" w:name="_Toc28801"/>
      <w:bookmarkStart w:id="324" w:name="_Toc3970"/>
      <w:bookmarkStart w:id="325" w:name="_Toc32108"/>
      <w:bookmarkStart w:id="326" w:name="_Toc7693"/>
      <w:r>
        <w:rPr>
          <w:rFonts w:hint="eastAsia" w:ascii="宋体" w:hAnsi="宋体" w:eastAsia="宋体" w:cs="宋体"/>
          <w:b/>
          <w:bCs/>
          <w:color w:val="auto"/>
          <w:sz w:val="24"/>
          <w:szCs w:val="24"/>
          <w:highlight w:val="none"/>
          <w:lang w:eastAsia="zh-CN"/>
        </w:rPr>
        <w:t>格式十五：</w:t>
      </w:r>
      <w:bookmarkEnd w:id="323"/>
      <w:bookmarkEnd w:id="324"/>
      <w:bookmarkEnd w:id="325"/>
      <w:bookmarkEnd w:id="326"/>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8"/>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7" w:name="_Toc31849"/>
      <w:bookmarkStart w:id="328" w:name="_Toc11855"/>
      <w:bookmarkStart w:id="329" w:name="_Toc17430"/>
      <w:bookmarkStart w:id="330"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7"/>
      <w:bookmarkEnd w:id="328"/>
      <w:bookmarkEnd w:id="329"/>
      <w:bookmarkEnd w:id="330"/>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8"/>
        <w:outlineLvl w:val="1"/>
        <w:rPr>
          <w:rFonts w:hint="eastAsia"/>
          <w:b/>
          <w:bCs/>
          <w:color w:val="auto"/>
          <w:highlight w:val="none"/>
          <w:lang w:val="en-US" w:eastAsia="zh-CN"/>
        </w:rPr>
      </w:pPr>
      <w:bookmarkStart w:id="331" w:name="_Toc29916"/>
      <w:bookmarkStart w:id="332" w:name="_Toc25747"/>
      <w:bookmarkStart w:id="333" w:name="_Toc2879"/>
      <w:bookmarkStart w:id="334" w:name="_Toc29664"/>
      <w:r>
        <w:rPr>
          <w:rFonts w:hint="eastAsia"/>
          <w:b/>
          <w:bCs/>
          <w:color w:val="auto"/>
          <w:highlight w:val="none"/>
          <w:lang w:val="en-US" w:eastAsia="zh-CN"/>
        </w:rPr>
        <w:t>格式十六：</w:t>
      </w:r>
      <w:bookmarkEnd w:id="331"/>
      <w:bookmarkEnd w:id="332"/>
      <w:bookmarkEnd w:id="333"/>
      <w:bookmarkEnd w:id="334"/>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5"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5"/>
    </w:p>
    <w:p>
      <w:pPr>
        <w:jc w:val="center"/>
        <w:outlineLvl w:val="1"/>
        <w:rPr>
          <w:rFonts w:hint="eastAsia"/>
          <w:b/>
          <w:bCs/>
          <w:color w:val="auto"/>
          <w:highlight w:val="none"/>
          <w:lang w:val="en-US" w:eastAsia="zh-CN"/>
        </w:rPr>
      </w:pPr>
      <w:bookmarkStart w:id="336" w:name="_Toc29643"/>
      <w:bookmarkStart w:id="337" w:name="_Toc32249"/>
      <w:bookmarkStart w:id="338" w:name="_Toc11568"/>
      <w:bookmarkStart w:id="339" w:name="_Toc23654"/>
      <w:r>
        <w:rPr>
          <w:rFonts w:hint="eastAsia"/>
          <w:b/>
          <w:bCs/>
          <w:color w:val="auto"/>
          <w:highlight w:val="none"/>
          <w:lang w:val="en-US" w:eastAsia="zh-CN"/>
        </w:rPr>
        <w:t>（封面格式仅供参考）</w:t>
      </w:r>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40" w:name="_Toc24898"/>
      <w:bookmarkStart w:id="341" w:name="_Toc10015"/>
      <w:bookmarkStart w:id="342" w:name="_Toc31076"/>
      <w:bookmarkStart w:id="343"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40"/>
      <w:bookmarkEnd w:id="341"/>
      <w:bookmarkEnd w:id="342"/>
      <w:bookmarkEnd w:id="343"/>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4" w:name="_Toc18186"/>
      <w:bookmarkStart w:id="345" w:name="_Toc77"/>
      <w:bookmarkStart w:id="346" w:name="_Toc14351"/>
      <w:bookmarkStart w:id="347" w:name="_Toc28515"/>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4"/>
      <w:bookmarkEnd w:id="345"/>
      <w:bookmarkEnd w:id="346"/>
      <w:bookmarkEnd w:id="347"/>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4484"/>
      <w:bookmarkStart w:id="349" w:name="_Toc7980"/>
      <w:bookmarkStart w:id="350" w:name="_Toc31505"/>
      <w:bookmarkStart w:id="351" w:name="_Toc32100"/>
      <w:r>
        <w:rPr>
          <w:rFonts w:hint="eastAsia" w:ascii="宋体" w:hAnsi="宋体" w:eastAsia="宋体" w:cs="宋体"/>
          <w:b/>
          <w:bCs/>
          <w:color w:val="auto"/>
          <w:sz w:val="21"/>
          <w:szCs w:val="21"/>
          <w:highlight w:val="none"/>
          <w:lang w:val="en-US" w:eastAsia="zh-CN"/>
        </w:rPr>
        <w:t>1、</w:t>
      </w:r>
      <w:bookmarkEnd w:id="348"/>
      <w:bookmarkEnd w:id="349"/>
      <w:bookmarkEnd w:id="350"/>
      <w:bookmarkEnd w:id="351"/>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20806"/>
      <w:bookmarkStart w:id="353" w:name="_Toc6563"/>
      <w:bookmarkStart w:id="354" w:name="_Toc8054"/>
      <w:bookmarkStart w:id="355" w:name="_Toc29661"/>
      <w:r>
        <w:rPr>
          <w:rFonts w:hint="eastAsia" w:ascii="宋体" w:hAnsi="宋体" w:eastAsia="宋体" w:cs="宋体"/>
          <w:b/>
          <w:bCs/>
          <w:color w:val="auto"/>
          <w:sz w:val="21"/>
          <w:szCs w:val="21"/>
          <w:highlight w:val="none"/>
          <w:lang w:val="en-US" w:eastAsia="zh-CN"/>
        </w:rPr>
        <w:t>2、分项报价表</w:t>
      </w:r>
      <w:bookmarkEnd w:id="352"/>
      <w:bookmarkEnd w:id="353"/>
      <w:bookmarkEnd w:id="354"/>
      <w:bookmarkEnd w:id="355"/>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5011"/>
      <w:bookmarkStart w:id="357" w:name="_Toc13609"/>
      <w:bookmarkStart w:id="358" w:name="_Toc20631"/>
      <w:bookmarkStart w:id="359" w:name="_Toc3142"/>
      <w:r>
        <w:rPr>
          <w:rFonts w:hint="eastAsia" w:ascii="宋体" w:hAnsi="宋体" w:eastAsia="宋体" w:cs="宋体"/>
          <w:b/>
          <w:bCs/>
          <w:color w:val="auto"/>
          <w:sz w:val="21"/>
          <w:szCs w:val="21"/>
          <w:highlight w:val="none"/>
          <w:lang w:val="en-US" w:eastAsia="zh-CN"/>
        </w:rPr>
        <w:t>3、法定代表人证明书</w:t>
      </w:r>
      <w:bookmarkEnd w:id="356"/>
      <w:bookmarkEnd w:id="357"/>
      <w:bookmarkEnd w:id="358"/>
      <w:bookmarkEnd w:id="359"/>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31054"/>
      <w:bookmarkStart w:id="361" w:name="_Toc17346"/>
      <w:bookmarkStart w:id="362" w:name="_Toc27439"/>
      <w:bookmarkStart w:id="363" w:name="_Toc31223"/>
      <w:r>
        <w:rPr>
          <w:rFonts w:hint="eastAsia" w:ascii="宋体" w:hAnsi="宋体" w:eastAsia="宋体" w:cs="宋体"/>
          <w:b/>
          <w:bCs/>
          <w:color w:val="auto"/>
          <w:sz w:val="21"/>
          <w:szCs w:val="21"/>
          <w:highlight w:val="none"/>
          <w:lang w:val="en-US" w:eastAsia="zh-CN"/>
        </w:rPr>
        <w:t>4、法定代表人授权书</w:t>
      </w:r>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4" w:name="_Toc16304"/>
      <w:bookmarkStart w:id="365" w:name="_Toc23814"/>
      <w:bookmarkStart w:id="366" w:name="_Toc20213"/>
      <w:bookmarkStart w:id="367" w:name="_Toc29210"/>
      <w:r>
        <w:rPr>
          <w:rFonts w:hint="eastAsia" w:ascii="宋体" w:hAnsi="宋体" w:eastAsia="宋体" w:cs="宋体"/>
          <w:b/>
          <w:bCs/>
          <w:color w:val="auto"/>
          <w:sz w:val="21"/>
          <w:szCs w:val="21"/>
          <w:highlight w:val="none"/>
          <w:lang w:val="en-US" w:eastAsia="zh-CN"/>
        </w:rPr>
        <w:t>5、</w:t>
      </w:r>
      <w:bookmarkEnd w:id="364"/>
      <w:r>
        <w:rPr>
          <w:rFonts w:hint="eastAsia" w:ascii="宋体" w:hAnsi="宋体" w:cs="宋体"/>
          <w:b/>
          <w:bCs/>
          <w:color w:val="auto"/>
          <w:sz w:val="21"/>
          <w:szCs w:val="21"/>
          <w:highlight w:val="none"/>
          <w:lang w:val="en-US" w:eastAsia="zh-CN"/>
        </w:rPr>
        <w:t>响应保证金</w:t>
      </w:r>
      <w:bookmarkEnd w:id="365"/>
      <w:bookmarkEnd w:id="366"/>
      <w:bookmarkEnd w:id="367"/>
    </w:p>
    <w:p>
      <w:pPr>
        <w:rPr>
          <w:rFonts w:hint="eastAsia"/>
          <w:color w:val="auto"/>
          <w:highlight w:val="none"/>
          <w:lang w:val="en-US" w:eastAsia="zh-CN"/>
        </w:rPr>
      </w:pPr>
    </w:p>
    <w:p>
      <w:pPr>
        <w:pStyle w:val="8"/>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8" w:name="_Toc30888"/>
      <w:r>
        <w:rPr>
          <w:rFonts w:hint="eastAsia"/>
          <w:color w:val="auto"/>
          <w:highlight w:val="none"/>
          <w:lang w:val="en-US" w:eastAsia="zh-CN"/>
        </w:rPr>
        <w:t>第八篇 其它文件格式（如有需要）</w:t>
      </w:r>
      <w:bookmarkEnd w:id="368"/>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2"/>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2"/>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8"/>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lang w:val="en-US" w:eastAsia="zh-CN"/>
      </w:rPr>
    </w:pPr>
    <w:r>
      <w:rPr>
        <w:rFonts w:hint="eastAsia"/>
        <w:lang w:val="en-US" w:eastAsia="zh-CN"/>
      </w:rPr>
      <w:t>东莞市德懋机电有限公司增资扩产检测项目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1BE7323"/>
    <w:rsid w:val="024829A0"/>
    <w:rsid w:val="02880AAC"/>
    <w:rsid w:val="03C618A1"/>
    <w:rsid w:val="043807E7"/>
    <w:rsid w:val="0548041A"/>
    <w:rsid w:val="074100C5"/>
    <w:rsid w:val="08DB5114"/>
    <w:rsid w:val="094A084B"/>
    <w:rsid w:val="0A4036B4"/>
    <w:rsid w:val="0AA575BB"/>
    <w:rsid w:val="0B696582"/>
    <w:rsid w:val="0BE32B7B"/>
    <w:rsid w:val="0C545EC4"/>
    <w:rsid w:val="0CB21F77"/>
    <w:rsid w:val="0FA75340"/>
    <w:rsid w:val="13256801"/>
    <w:rsid w:val="13EB22ED"/>
    <w:rsid w:val="1415573E"/>
    <w:rsid w:val="152E568B"/>
    <w:rsid w:val="19BB08C0"/>
    <w:rsid w:val="19C92056"/>
    <w:rsid w:val="1B046FEA"/>
    <w:rsid w:val="1B5A74F3"/>
    <w:rsid w:val="1CE123EB"/>
    <w:rsid w:val="1CEE19EB"/>
    <w:rsid w:val="28CE4B49"/>
    <w:rsid w:val="29A20A66"/>
    <w:rsid w:val="2A213986"/>
    <w:rsid w:val="2AC4758F"/>
    <w:rsid w:val="2C250F65"/>
    <w:rsid w:val="2E69728F"/>
    <w:rsid w:val="2EF83FF0"/>
    <w:rsid w:val="304A47CF"/>
    <w:rsid w:val="3320692B"/>
    <w:rsid w:val="339D5B51"/>
    <w:rsid w:val="33E12E57"/>
    <w:rsid w:val="341076F7"/>
    <w:rsid w:val="39C27E7C"/>
    <w:rsid w:val="3A123017"/>
    <w:rsid w:val="3CEB14FD"/>
    <w:rsid w:val="3F53097E"/>
    <w:rsid w:val="414A030F"/>
    <w:rsid w:val="460F2D8E"/>
    <w:rsid w:val="466D59AC"/>
    <w:rsid w:val="494E7FD2"/>
    <w:rsid w:val="4B5B3ECB"/>
    <w:rsid w:val="4C22418B"/>
    <w:rsid w:val="4DD477D5"/>
    <w:rsid w:val="4E6A7DE2"/>
    <w:rsid w:val="4E862B87"/>
    <w:rsid w:val="4E9C6EA6"/>
    <w:rsid w:val="51593AA1"/>
    <w:rsid w:val="51ED4F85"/>
    <w:rsid w:val="549178FF"/>
    <w:rsid w:val="55206652"/>
    <w:rsid w:val="57961A49"/>
    <w:rsid w:val="59F20A8D"/>
    <w:rsid w:val="5DE26737"/>
    <w:rsid w:val="5DE85889"/>
    <w:rsid w:val="5E2A2E41"/>
    <w:rsid w:val="5F8F1E39"/>
    <w:rsid w:val="64677E69"/>
    <w:rsid w:val="648F7060"/>
    <w:rsid w:val="64D3048A"/>
    <w:rsid w:val="67520D2F"/>
    <w:rsid w:val="67880920"/>
    <w:rsid w:val="68402491"/>
    <w:rsid w:val="6A7F3B49"/>
    <w:rsid w:val="6DCB42B6"/>
    <w:rsid w:val="6E003853"/>
    <w:rsid w:val="735656B0"/>
    <w:rsid w:val="739B0891"/>
    <w:rsid w:val="74951BFB"/>
    <w:rsid w:val="785C7CED"/>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w:basedOn w:val="1"/>
    <w:next w:val="1"/>
    <w:qFormat/>
    <w:uiPriority w:val="1"/>
    <w:pPr>
      <w:spacing w:before="161"/>
      <w:ind w:left="120"/>
    </w:pPr>
    <w:rPr>
      <w:rFonts w:ascii="宋体" w:hAnsi="宋体" w:eastAsia="宋体" w:cs="宋体"/>
      <w:sz w:val="24"/>
      <w:lang w:val="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character" w:styleId="20">
    <w:name w:val="Hyperlink"/>
    <w:qFormat/>
    <w:uiPriority w:val="99"/>
    <w:rPr>
      <w:color w:val="0000FF"/>
      <w:u w:val="single"/>
    </w:rPr>
  </w:style>
  <w:style w:type="paragraph" w:customStyle="1" w:styleId="21">
    <w:name w:val="表格文字"/>
    <w:basedOn w:val="1"/>
    <w:qFormat/>
    <w:uiPriority w:val="0"/>
    <w:pPr>
      <w:spacing w:before="25" w:after="25" w:line="300" w:lineRule="auto"/>
    </w:pPr>
    <w:rPr>
      <w:rFonts w:ascii="Times" w:hAnsi="Times"/>
      <w:spacing w:val="10"/>
      <w:kern w:val="0"/>
      <w:sz w:val="24"/>
      <w:szCs w:val="20"/>
    </w:rPr>
  </w:style>
  <w:style w:type="paragraph" w:styleId="22">
    <w:name w:val="List Paragraph"/>
    <w:basedOn w:val="1"/>
    <w:qFormat/>
    <w:uiPriority w:val="34"/>
    <w:pPr>
      <w:ind w:firstLine="420" w:firstLineChars="200"/>
    </w:pPr>
  </w:style>
  <w:style w:type="character" w:customStyle="1" w:styleId="23">
    <w:name w:val="标题 1 Char"/>
    <w:link w:val="3"/>
    <w:qFormat/>
    <w:uiPriority w:val="0"/>
    <w:rPr>
      <w:b/>
      <w:kern w:val="44"/>
      <w:sz w:val="30"/>
    </w:rPr>
  </w:style>
  <w:style w:type="paragraph" w:customStyle="1" w:styleId="24">
    <w:name w:val="Table Paragraph"/>
    <w:basedOn w:val="1"/>
    <w:qFormat/>
    <w:uiPriority w:val="1"/>
  </w:style>
  <w:style w:type="paragraph" w:customStyle="1" w:styleId="25">
    <w:name w:val="正文缩进2格"/>
    <w:basedOn w:val="1"/>
    <w:next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 w:type="paragraph" w:customStyle="1" w:styleId="28">
    <w:name w:val="WPSOffice手动目录 3"/>
    <w:qFormat/>
    <w:uiPriority w:val="0"/>
    <w:pPr>
      <w:ind w:leftChars="400"/>
    </w:pPr>
    <w:rPr>
      <w:rFonts w:asciiTheme="minorHAnsi" w:hAnsiTheme="minorHAnsi" w:eastAsiaTheme="minorEastAsia" w:cstheme="minorBidi"/>
      <w:sz w:val="20"/>
      <w:szCs w:val="20"/>
    </w:rPr>
  </w:style>
  <w:style w:type="paragraph" w:customStyle="1" w:styleId="29">
    <w:name w:val="_Style 4"/>
    <w:basedOn w:val="1"/>
    <w:qFormat/>
    <w:uiPriority w:val="0"/>
    <w:pPr>
      <w:spacing w:line="360" w:lineRule="auto"/>
      <w:ind w:firstLine="420" w:firstLineChars="200"/>
    </w:pPr>
    <w:rPr>
      <w:rFonts w:ascii="Calibri" w:hAnsi="Calibri"/>
      <w:szCs w:val="22"/>
    </w:rPr>
  </w:style>
  <w:style w:type="character" w:customStyle="1" w:styleId="30">
    <w:name w:val="font61"/>
    <w:basedOn w:val="18"/>
    <w:qFormat/>
    <w:uiPriority w:val="0"/>
    <w:rPr>
      <w:rFonts w:hint="default" w:ascii="Times New Roman" w:hAnsi="Times New Roman" w:cs="Times New Roman"/>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0"/>
      <w:szCs w:val="20"/>
      <w:u w:val="none"/>
    </w:rPr>
  </w:style>
  <w:style w:type="character" w:customStyle="1" w:styleId="32">
    <w:name w:val="font71"/>
    <w:basedOn w:val="18"/>
    <w:qFormat/>
    <w:uiPriority w:val="0"/>
    <w:rPr>
      <w:rFonts w:hint="eastAsia" w:ascii="宋体" w:hAnsi="宋体" w:eastAsia="宋体" w:cs="宋体"/>
      <w:color w:val="000000"/>
      <w:sz w:val="20"/>
      <w:szCs w:val="20"/>
      <w:u w:val="none"/>
      <w:vertAlign w:val="superscript"/>
    </w:rPr>
  </w:style>
  <w:style w:type="character" w:customStyle="1" w:styleId="33">
    <w:name w:val="font31"/>
    <w:basedOn w:val="18"/>
    <w:qFormat/>
    <w:uiPriority w:val="0"/>
    <w:rPr>
      <w:rFonts w:hint="eastAsia" w:ascii="宋体" w:hAnsi="宋体" w:eastAsia="宋体" w:cs="宋体"/>
      <w:color w:val="000000"/>
      <w:sz w:val="20"/>
      <w:szCs w:val="20"/>
      <w:u w:val="none"/>
    </w:rPr>
  </w:style>
  <w:style w:type="character" w:customStyle="1" w:styleId="34">
    <w:name w:val="font01"/>
    <w:basedOn w:val="18"/>
    <w:qFormat/>
    <w:uiPriority w:val="0"/>
    <w:rPr>
      <w:rFonts w:hint="default" w:ascii="Times New Roman" w:hAnsi="Times New Roman" w:cs="Times New Roman"/>
      <w:color w:val="000000"/>
      <w:sz w:val="20"/>
      <w:szCs w:val="20"/>
      <w:u w:val="none"/>
      <w:vertAlign w:val="superscript"/>
    </w:rPr>
  </w:style>
  <w:style w:type="character" w:customStyle="1" w:styleId="35">
    <w:name w:val="font11"/>
    <w:basedOn w:val="18"/>
    <w:qFormat/>
    <w:uiPriority w:val="0"/>
    <w:rPr>
      <w:rFonts w:hint="eastAsia" w:ascii="宋体" w:hAnsi="宋体" w:eastAsia="宋体" w:cs="宋体"/>
      <w:color w:val="000000"/>
      <w:sz w:val="20"/>
      <w:szCs w:val="20"/>
      <w:u w:val="none"/>
    </w:rPr>
  </w:style>
  <w:style w:type="character" w:customStyle="1" w:styleId="36">
    <w:name w:val="font51"/>
    <w:basedOn w:val="18"/>
    <w:qFormat/>
    <w:uiPriority w:val="0"/>
    <w:rPr>
      <w:rFonts w:hint="eastAsia" w:ascii="宋体" w:hAnsi="宋体" w:eastAsia="宋体" w:cs="宋体"/>
      <w:color w:val="000000"/>
      <w:sz w:val="20"/>
      <w:szCs w:val="20"/>
      <w:u w:val="none"/>
    </w:rPr>
  </w:style>
  <w:style w:type="character" w:customStyle="1" w:styleId="37">
    <w:name w:val="font81"/>
    <w:basedOn w:val="18"/>
    <w:qFormat/>
    <w:uiPriority w:val="0"/>
    <w:rPr>
      <w:rFonts w:hint="default" w:ascii="Times New Roman" w:hAnsi="Times New Roman" w:cs="Times New Roman"/>
      <w:color w:val="000000"/>
      <w:sz w:val="20"/>
      <w:szCs w:val="20"/>
      <w:u w:val="none"/>
      <w:vertAlign w:val="superscript"/>
    </w:rPr>
  </w:style>
  <w:style w:type="paragraph" w:customStyle="1" w:styleId="3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 w:type="paragraph" w:customStyle="1" w:styleId="39">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33067</Words>
  <Characters>35177</Characters>
  <Lines>0</Lines>
  <Paragraphs>0</Paragraphs>
  <TotalTime>68</TotalTime>
  <ScaleCrop>false</ScaleCrop>
  <LinksUpToDate>false</LinksUpToDate>
  <CharactersWithSpaces>36847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2023-05-18T02:32:57Z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3F5993741F1842408E5E075829502A17_13</vt:lpwstr>
  </property>
</Properties>
</file>