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highlight w:val="none"/>
        </w:rPr>
      </w:pPr>
    </w:p>
    <w:p>
      <w:pPr>
        <w:jc w:val="center"/>
        <w:rPr>
          <w:color w:val="auto"/>
          <w:highlight w:val="none"/>
        </w:rPr>
      </w:pPr>
    </w:p>
    <w:p>
      <w:pPr>
        <w:jc w:val="center"/>
        <w:rPr>
          <w:color w:val="auto"/>
          <w:highlight w:val="none"/>
        </w:rPr>
      </w:pPr>
    </w:p>
    <w:p>
      <w:pPr>
        <w:spacing w:beforeLines="50" w:afterLines="50"/>
        <w:jc w:val="center"/>
        <w:outlineLvl w:val="0"/>
        <w:rPr>
          <w:b/>
          <w:bCs/>
          <w:color w:val="auto"/>
          <w:sz w:val="52"/>
          <w:szCs w:val="72"/>
          <w:highlight w:val="none"/>
        </w:rPr>
      </w:pPr>
      <w:bookmarkStart w:id="0" w:name="_Toc7243"/>
      <w:r>
        <w:rPr>
          <w:rFonts w:hint="eastAsia"/>
          <w:b/>
          <w:bCs/>
          <w:color w:val="auto"/>
          <w:sz w:val="52"/>
          <w:szCs w:val="72"/>
          <w:highlight w:val="none"/>
        </w:rPr>
        <w:t>国内采购</w:t>
      </w:r>
      <w:bookmarkEnd w:id="0"/>
    </w:p>
    <w:p>
      <w:pPr>
        <w:spacing w:beforeLines="50" w:afterLines="50"/>
        <w:jc w:val="center"/>
        <w:outlineLvl w:val="0"/>
        <w:rPr>
          <w:b/>
          <w:bCs/>
          <w:color w:val="auto"/>
          <w:sz w:val="52"/>
          <w:szCs w:val="72"/>
          <w:highlight w:val="none"/>
        </w:rPr>
      </w:pPr>
      <w:bookmarkStart w:id="1" w:name="_Toc8734"/>
      <w:r>
        <w:rPr>
          <w:rFonts w:hint="eastAsia"/>
          <w:b/>
          <w:bCs/>
          <w:color w:val="auto"/>
          <w:sz w:val="52"/>
          <w:szCs w:val="72"/>
          <w:highlight w:val="none"/>
        </w:rPr>
        <w:t>公开招标文件</w:t>
      </w:r>
      <w:bookmarkEnd w:id="1"/>
    </w:p>
    <w:p>
      <w:pPr>
        <w:spacing w:beforeLines="50" w:afterLines="50"/>
        <w:jc w:val="center"/>
        <w:rPr>
          <w:b/>
          <w:bCs/>
          <w:color w:val="auto"/>
          <w:sz w:val="96"/>
          <w:szCs w:val="160"/>
          <w:highlight w:val="none"/>
        </w:rPr>
      </w:pPr>
      <w:r>
        <w:rPr>
          <w:b/>
          <w:bCs/>
          <w:color w:val="auto"/>
          <w:sz w:val="96"/>
          <w:szCs w:val="160"/>
          <w:highlight w:val="none"/>
        </w:rPr>
        <w:drawing>
          <wp:inline distT="0" distB="0" distL="114300" distR="114300">
            <wp:extent cx="1563370" cy="1588135"/>
            <wp:effectExtent l="0" t="0" r="17780" b="12065"/>
            <wp:docPr id="1" name="图片 1" descr="国顺图形logo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顺图形logo_00"/>
                    <pic:cNvPicPr>
                      <a:picLocks noChangeAspect="1"/>
                    </pic:cNvPicPr>
                  </pic:nvPicPr>
                  <pic:blipFill>
                    <a:blip r:embed="rId9" cstate="print"/>
                    <a:stretch>
                      <a:fillRect/>
                    </a:stretch>
                  </pic:blipFill>
                  <pic:spPr>
                    <a:xfrm>
                      <a:off x="0" y="0"/>
                      <a:ext cx="1563370" cy="1588135"/>
                    </a:xfrm>
                    <a:prstGeom prst="rect">
                      <a:avLst/>
                    </a:prstGeom>
                  </pic:spPr>
                </pic:pic>
              </a:graphicData>
            </a:graphic>
          </wp:inline>
        </w:drawing>
      </w:r>
      <w:bookmarkStart w:id="188" w:name="_GoBack"/>
      <w:bookmarkEnd w:id="188"/>
    </w:p>
    <w:p>
      <w:pPr>
        <w:rPr>
          <w:color w:val="auto"/>
          <w:highlight w:val="none"/>
        </w:rPr>
      </w:pPr>
    </w:p>
    <w:p>
      <w:pPr>
        <w:rPr>
          <w:color w:val="auto"/>
          <w:highlight w:val="none"/>
        </w:rPr>
      </w:pPr>
    </w:p>
    <w:p>
      <w:pPr>
        <w:rPr>
          <w:color w:val="auto"/>
          <w:highlight w:val="none"/>
        </w:rPr>
      </w:pPr>
    </w:p>
    <w:tbl>
      <w:tblPr>
        <w:tblStyle w:val="1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6"/>
        <w:gridCol w:w="5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项目名称：</w:t>
            </w:r>
          </w:p>
        </w:tc>
        <w:tc>
          <w:tcPr>
            <w:tcW w:w="3370" w:type="pct"/>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东莞市塘厦镇第三幼儿园饭堂食材配送项目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项目编号：</w:t>
            </w:r>
          </w:p>
        </w:tc>
        <w:tc>
          <w:tcPr>
            <w:tcW w:w="3370" w:type="pct"/>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GSDG2023-013C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招标人：</w:t>
            </w:r>
          </w:p>
        </w:tc>
        <w:tc>
          <w:tcPr>
            <w:tcW w:w="3370" w:type="pct"/>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 xml:space="preserve">东莞市塘厦镇第三幼儿园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招标代理机构：</w:t>
            </w:r>
          </w:p>
        </w:tc>
        <w:tc>
          <w:tcPr>
            <w:tcW w:w="3370"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国顺招标有限公司</w:t>
            </w:r>
          </w:p>
        </w:tc>
      </w:tr>
    </w:tbl>
    <w:p>
      <w:pPr>
        <w:rPr>
          <w:color w:val="auto"/>
          <w:highlight w:val="none"/>
        </w:rPr>
      </w:pPr>
    </w:p>
    <w:p>
      <w:pPr>
        <w:rPr>
          <w:color w:val="auto"/>
          <w:highlight w:val="none"/>
        </w:rPr>
      </w:pPr>
    </w:p>
    <w:p>
      <w:pPr>
        <w:jc w:val="center"/>
        <w:rPr>
          <w:color w:val="auto"/>
          <w:sz w:val="24"/>
          <w:szCs w:val="32"/>
          <w:highlight w:val="none"/>
        </w:rPr>
      </w:pPr>
    </w:p>
    <w:p>
      <w:pPr>
        <w:jc w:val="center"/>
        <w:rPr>
          <w:color w:val="auto"/>
          <w:sz w:val="24"/>
          <w:szCs w:val="32"/>
          <w:highlight w:val="none"/>
        </w:rPr>
      </w:pPr>
    </w:p>
    <w:p>
      <w:pPr>
        <w:jc w:val="center"/>
        <w:outlineLvl w:val="0"/>
        <w:rPr>
          <w:rFonts w:ascii="黑体" w:hAnsi="黑体" w:eastAsia="黑体" w:cs="黑体"/>
          <w:color w:val="auto"/>
          <w:sz w:val="30"/>
          <w:szCs w:val="30"/>
          <w:highlight w:val="none"/>
        </w:rPr>
        <w:sectPr>
          <w:headerReference r:id="rId3" w:type="default"/>
          <w:headerReference r:id="rId4" w:type="even"/>
          <w:footerReference r:id="rId5" w:type="even"/>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pPr>
      <w:bookmarkStart w:id="2" w:name="_Toc5265"/>
      <w:r>
        <w:rPr>
          <w:rFonts w:hint="eastAsia" w:ascii="黑体" w:hAnsi="黑体" w:eastAsia="黑体" w:cs="黑体"/>
          <w:color w:val="auto"/>
          <w:sz w:val="30"/>
          <w:szCs w:val="30"/>
          <w:highlight w:val="none"/>
        </w:rPr>
        <w:t>202</w:t>
      </w:r>
      <w:r>
        <w:rPr>
          <w:rFonts w:hint="eastAsia" w:ascii="黑体" w:hAnsi="黑体" w:eastAsia="黑体" w:cs="黑体"/>
          <w:color w:val="auto"/>
          <w:sz w:val="30"/>
          <w:szCs w:val="30"/>
          <w:highlight w:val="none"/>
          <w:lang w:val="en-US" w:eastAsia="zh-CN"/>
        </w:rPr>
        <w:t>3</w:t>
      </w:r>
      <w:r>
        <w:rPr>
          <w:rFonts w:hint="eastAsia" w:ascii="黑体" w:hAnsi="黑体" w:eastAsia="黑体" w:cs="黑体"/>
          <w:color w:val="auto"/>
          <w:sz w:val="30"/>
          <w:szCs w:val="30"/>
          <w:highlight w:val="none"/>
        </w:rPr>
        <w:t>年</w:t>
      </w:r>
      <w:r>
        <w:rPr>
          <w:rFonts w:hint="eastAsia" w:ascii="黑体" w:hAnsi="黑体" w:eastAsia="黑体" w:cs="黑体"/>
          <w:color w:val="auto"/>
          <w:sz w:val="30"/>
          <w:szCs w:val="30"/>
          <w:highlight w:val="none"/>
          <w:lang w:val="en-US" w:eastAsia="zh-CN"/>
        </w:rPr>
        <w:t>6</w:t>
      </w:r>
      <w:r>
        <w:rPr>
          <w:rFonts w:hint="eastAsia" w:ascii="黑体" w:hAnsi="黑体" w:eastAsia="黑体" w:cs="黑体"/>
          <w:color w:val="auto"/>
          <w:sz w:val="30"/>
          <w:szCs w:val="30"/>
          <w:highlight w:val="none"/>
        </w:rPr>
        <w:t>月</w:t>
      </w:r>
      <w:r>
        <w:rPr>
          <w:rFonts w:hint="eastAsia" w:ascii="黑体" w:hAnsi="黑体" w:eastAsia="黑体" w:cs="黑体"/>
          <w:color w:val="auto"/>
          <w:sz w:val="30"/>
          <w:szCs w:val="30"/>
          <w:highlight w:val="none"/>
          <w:lang w:val="en-US" w:eastAsia="zh-CN"/>
        </w:rPr>
        <w:t>19</w:t>
      </w:r>
      <w:r>
        <w:rPr>
          <w:rFonts w:hint="eastAsia" w:ascii="黑体" w:hAnsi="黑体" w:eastAsia="黑体" w:cs="黑体"/>
          <w:color w:val="auto"/>
          <w:sz w:val="30"/>
          <w:szCs w:val="30"/>
          <w:highlight w:val="none"/>
        </w:rPr>
        <w:t>日</w:t>
      </w:r>
      <w:bookmarkEnd w:id="2"/>
    </w:p>
    <w:sdt>
      <w:sdtPr>
        <w:rPr>
          <w:rFonts w:ascii="宋体" w:hAnsi="宋体"/>
          <w:b/>
          <w:bCs/>
          <w:color w:val="auto"/>
          <w:sz w:val="24"/>
          <w:szCs w:val="32"/>
          <w:highlight w:val="none"/>
        </w:rPr>
        <w:id w:val="147458796"/>
        <w:docPartObj>
          <w:docPartGallery w:val="Table of Contents"/>
          <w:docPartUnique/>
        </w:docPartObj>
      </w:sdtPr>
      <w:sdtEndPr>
        <w:rPr>
          <w:rFonts w:hint="eastAsia" w:ascii="黑体" w:hAnsi="黑体" w:eastAsia="黑体" w:cs="黑体"/>
          <w:b/>
          <w:bCs/>
          <w:color w:val="auto"/>
          <w:sz w:val="21"/>
          <w:szCs w:val="30"/>
          <w:highlight w:val="none"/>
        </w:rPr>
      </w:sdtEndPr>
      <w:sdtContent>
        <w:p>
          <w:pPr>
            <w:jc w:val="center"/>
            <w:rPr>
              <w:b/>
              <w:bCs/>
              <w:color w:val="auto"/>
              <w:sz w:val="24"/>
              <w:szCs w:val="32"/>
              <w:highlight w:val="none"/>
            </w:rPr>
          </w:pPr>
          <w:r>
            <w:rPr>
              <w:rFonts w:ascii="宋体" w:hAnsi="宋体"/>
              <w:b/>
              <w:bCs/>
              <w:color w:val="auto"/>
              <w:sz w:val="24"/>
              <w:szCs w:val="32"/>
              <w:highlight w:val="none"/>
            </w:rPr>
            <w:t>目录</w:t>
          </w:r>
        </w:p>
        <w:p>
          <w:pPr>
            <w:pStyle w:val="24"/>
            <w:tabs>
              <w:tab w:val="right" w:leader="dot" w:pos="8306"/>
            </w:tabs>
            <w:rPr>
              <w:color w:val="auto"/>
              <w:highlight w:val="none"/>
            </w:rPr>
          </w:pPr>
          <w:r>
            <w:rPr>
              <w:rFonts w:hint="eastAsia" w:ascii="黑体" w:hAnsi="黑体" w:eastAsia="黑体" w:cs="黑体"/>
              <w:color w:val="auto"/>
              <w:sz w:val="30"/>
              <w:szCs w:val="30"/>
              <w:highlight w:val="none"/>
            </w:rPr>
            <w:fldChar w:fldCharType="begin"/>
          </w:r>
          <w:r>
            <w:rPr>
              <w:rFonts w:hint="eastAsia" w:ascii="黑体" w:hAnsi="黑体" w:eastAsia="黑体" w:cs="黑体"/>
              <w:color w:val="auto"/>
              <w:sz w:val="30"/>
              <w:szCs w:val="30"/>
              <w:highlight w:val="none"/>
            </w:rPr>
            <w:instrText xml:space="preserve">TOC \o "1-3" \h \u </w:instrText>
          </w:r>
          <w:r>
            <w:rPr>
              <w:rFonts w:hint="eastAsia" w:ascii="黑体" w:hAnsi="黑体" w:eastAsia="黑体" w:cs="黑体"/>
              <w:color w:val="auto"/>
              <w:sz w:val="30"/>
              <w:szCs w:val="30"/>
              <w:highlight w:val="none"/>
            </w:rPr>
            <w:fldChar w:fldCharType="separate"/>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"_Toc6185" </w:instrText>
          </w:r>
          <w:r>
            <w:rPr>
              <w:color w:val="auto"/>
              <w:highlight w:val="none"/>
            </w:rPr>
            <w:fldChar w:fldCharType="separate"/>
          </w:r>
          <w:r>
            <w:rPr>
              <w:rFonts w:hint="eastAsia"/>
              <w:color w:val="auto"/>
              <w:highlight w:val="none"/>
            </w:rPr>
            <w:t>第一篇 投标邀请</w:t>
          </w:r>
          <w:r>
            <w:rPr>
              <w:color w:val="auto"/>
              <w:highlight w:val="none"/>
            </w:rPr>
            <w:tab/>
          </w:r>
          <w:r>
            <w:rPr>
              <w:color w:val="auto"/>
              <w:highlight w:val="none"/>
            </w:rPr>
            <w:fldChar w:fldCharType="begin"/>
          </w:r>
          <w:r>
            <w:rPr>
              <w:color w:val="auto"/>
              <w:highlight w:val="none"/>
            </w:rPr>
            <w:instrText xml:space="preserve"> PAGEREF _Toc6185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"_Toc29954" </w:instrText>
          </w:r>
          <w:r>
            <w:rPr>
              <w:color w:val="auto"/>
              <w:highlight w:val="none"/>
            </w:rPr>
            <w:fldChar w:fldCharType="separate"/>
          </w:r>
          <w:r>
            <w:rPr>
              <w:rFonts w:hint="eastAsia"/>
              <w:color w:val="auto"/>
              <w:highlight w:val="none"/>
            </w:rPr>
            <w:t>第二篇 投标人须知</w:t>
          </w:r>
          <w:r>
            <w:rPr>
              <w:color w:val="auto"/>
              <w:highlight w:val="none"/>
            </w:rPr>
            <w:tab/>
          </w:r>
          <w:r>
            <w:rPr>
              <w:color w:val="auto"/>
              <w:highlight w:val="none"/>
            </w:rPr>
            <w:fldChar w:fldCharType="begin"/>
          </w:r>
          <w:r>
            <w:rPr>
              <w:color w:val="auto"/>
              <w:highlight w:val="none"/>
            </w:rPr>
            <w:instrText xml:space="preserve"> PAGEREF _Toc29954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25"/>
            <w:tabs>
              <w:tab w:val="right" w:leader="dot" w:pos="8306"/>
            </w:tabs>
            <w:ind w:left="210" w:leftChars="100"/>
            <w:rPr>
              <w:color w:val="auto"/>
              <w:highlight w:val="none"/>
            </w:rPr>
          </w:pPr>
          <w:r>
            <w:rPr>
              <w:color w:val="auto"/>
              <w:highlight w:val="none"/>
            </w:rPr>
            <w:fldChar w:fldCharType="begin"/>
          </w:r>
          <w:r>
            <w:rPr>
              <w:color w:val="auto"/>
              <w:highlight w:val="none"/>
            </w:rPr>
            <w:instrText xml:space="preserve"> HYPERLINK \l "_Toc652" </w:instrText>
          </w:r>
          <w:r>
            <w:rPr>
              <w:color w:val="auto"/>
              <w:highlight w:val="none"/>
            </w:rPr>
            <w:fldChar w:fldCharType="separate"/>
          </w:r>
          <w:r>
            <w:rPr>
              <w:rFonts w:hint="eastAsia"/>
              <w:color w:val="auto"/>
              <w:highlight w:val="none"/>
              <w:lang w:val="zh-CN"/>
            </w:rPr>
            <w:t>一、投标须知前附表</w:t>
          </w:r>
          <w:r>
            <w:rPr>
              <w:color w:val="auto"/>
              <w:highlight w:val="none"/>
            </w:rPr>
            <w:tab/>
          </w:r>
          <w:r>
            <w:rPr>
              <w:color w:val="auto"/>
              <w:highlight w:val="none"/>
            </w:rPr>
            <w:fldChar w:fldCharType="begin"/>
          </w:r>
          <w:r>
            <w:rPr>
              <w:color w:val="auto"/>
              <w:highlight w:val="none"/>
            </w:rPr>
            <w:instrText xml:space="preserve"> PAGEREF _Toc652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25"/>
            <w:tabs>
              <w:tab w:val="right" w:leader="dot" w:pos="8306"/>
            </w:tabs>
            <w:ind w:left="210" w:leftChars="100"/>
            <w:rPr>
              <w:color w:val="auto"/>
              <w:highlight w:val="none"/>
            </w:rPr>
          </w:pPr>
          <w:r>
            <w:rPr>
              <w:color w:val="auto"/>
              <w:highlight w:val="none"/>
            </w:rPr>
            <w:fldChar w:fldCharType="begin"/>
          </w:r>
          <w:r>
            <w:rPr>
              <w:color w:val="auto"/>
              <w:highlight w:val="none"/>
            </w:rPr>
            <w:instrText xml:space="preserve"> HYPERLINK \l "_Toc21639" </w:instrText>
          </w:r>
          <w:r>
            <w:rPr>
              <w:color w:val="auto"/>
              <w:highlight w:val="none"/>
            </w:rPr>
            <w:fldChar w:fldCharType="separate"/>
          </w:r>
          <w:r>
            <w:rPr>
              <w:rFonts w:hint="eastAsia"/>
              <w:color w:val="auto"/>
              <w:highlight w:val="none"/>
            </w:rPr>
            <w:t>二、 投标须知</w:t>
          </w:r>
          <w:r>
            <w:rPr>
              <w:color w:val="auto"/>
              <w:highlight w:val="none"/>
            </w:rPr>
            <w:tab/>
          </w:r>
          <w:r>
            <w:rPr>
              <w:color w:val="auto"/>
              <w:highlight w:val="none"/>
            </w:rPr>
            <w:fldChar w:fldCharType="begin"/>
          </w:r>
          <w:r>
            <w:rPr>
              <w:color w:val="auto"/>
              <w:highlight w:val="none"/>
            </w:rPr>
            <w:instrText xml:space="preserve"> PAGEREF _Toc21639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"_Toc20860" </w:instrText>
          </w:r>
          <w:r>
            <w:rPr>
              <w:color w:val="auto"/>
              <w:highlight w:val="none"/>
            </w:rPr>
            <w:fldChar w:fldCharType="separate"/>
          </w:r>
          <w:r>
            <w:rPr>
              <w:rFonts w:hint="eastAsia"/>
              <w:color w:val="auto"/>
              <w:highlight w:val="none"/>
            </w:rPr>
            <w:t>1.适用范围</w:t>
          </w:r>
          <w:r>
            <w:rPr>
              <w:color w:val="auto"/>
              <w:highlight w:val="none"/>
            </w:rPr>
            <w:tab/>
          </w:r>
          <w:r>
            <w:rPr>
              <w:color w:val="auto"/>
              <w:highlight w:val="none"/>
            </w:rPr>
            <w:fldChar w:fldCharType="begin"/>
          </w:r>
          <w:r>
            <w:rPr>
              <w:color w:val="auto"/>
              <w:highlight w:val="none"/>
            </w:rPr>
            <w:instrText xml:space="preserve"> PAGEREF _Toc20860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"_Toc6621" </w:instrText>
          </w:r>
          <w:r>
            <w:rPr>
              <w:color w:val="auto"/>
              <w:highlight w:val="none"/>
            </w:rPr>
            <w:fldChar w:fldCharType="separate"/>
          </w:r>
          <w:r>
            <w:rPr>
              <w:rFonts w:hint="eastAsia"/>
              <w:color w:val="auto"/>
              <w:highlight w:val="none"/>
            </w:rPr>
            <w:t>2.定义</w:t>
          </w:r>
          <w:r>
            <w:rPr>
              <w:color w:val="auto"/>
              <w:highlight w:val="none"/>
            </w:rPr>
            <w:tab/>
          </w:r>
          <w:r>
            <w:rPr>
              <w:color w:val="auto"/>
              <w:highlight w:val="none"/>
            </w:rPr>
            <w:fldChar w:fldCharType="begin"/>
          </w:r>
          <w:r>
            <w:rPr>
              <w:color w:val="auto"/>
              <w:highlight w:val="none"/>
            </w:rPr>
            <w:instrText xml:space="preserve"> PAGEREF _Toc6621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"_Toc31531" </w:instrText>
          </w:r>
          <w:r>
            <w:rPr>
              <w:color w:val="auto"/>
              <w:highlight w:val="none"/>
            </w:rPr>
            <w:fldChar w:fldCharType="separate"/>
          </w:r>
          <w:r>
            <w:rPr>
              <w:rFonts w:hint="eastAsia"/>
              <w:color w:val="auto"/>
              <w:highlight w:val="none"/>
            </w:rPr>
            <w:t>3.货物和服务</w:t>
          </w:r>
          <w:r>
            <w:rPr>
              <w:color w:val="auto"/>
              <w:highlight w:val="none"/>
            </w:rPr>
            <w:tab/>
          </w:r>
          <w:r>
            <w:rPr>
              <w:color w:val="auto"/>
              <w:highlight w:val="none"/>
            </w:rPr>
            <w:fldChar w:fldCharType="begin"/>
          </w:r>
          <w:r>
            <w:rPr>
              <w:color w:val="auto"/>
              <w:highlight w:val="none"/>
            </w:rPr>
            <w:instrText xml:space="preserve"> PAGEREF _Toc31531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"_Toc32610" </w:instrText>
          </w:r>
          <w:r>
            <w:rPr>
              <w:color w:val="auto"/>
              <w:highlight w:val="none"/>
            </w:rPr>
            <w:fldChar w:fldCharType="separate"/>
          </w:r>
          <w:r>
            <w:rPr>
              <w:rFonts w:hint="eastAsia"/>
              <w:color w:val="auto"/>
              <w:highlight w:val="none"/>
            </w:rPr>
            <w:t>4.投标费用</w:t>
          </w:r>
          <w:r>
            <w:rPr>
              <w:color w:val="auto"/>
              <w:highlight w:val="none"/>
            </w:rPr>
            <w:tab/>
          </w:r>
          <w:r>
            <w:rPr>
              <w:color w:val="auto"/>
              <w:highlight w:val="none"/>
            </w:rPr>
            <w:fldChar w:fldCharType="begin"/>
          </w:r>
          <w:r>
            <w:rPr>
              <w:color w:val="auto"/>
              <w:highlight w:val="none"/>
            </w:rPr>
            <w:instrText xml:space="preserve"> PAGEREF _Toc32610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"_Toc13316" </w:instrText>
          </w:r>
          <w:r>
            <w:rPr>
              <w:color w:val="auto"/>
              <w:highlight w:val="none"/>
            </w:rPr>
            <w:fldChar w:fldCharType="separate"/>
          </w:r>
          <w:r>
            <w:rPr>
              <w:rFonts w:hint="eastAsia"/>
              <w:color w:val="auto"/>
              <w:highlight w:val="none"/>
            </w:rPr>
            <w:t>5.知识产权</w:t>
          </w:r>
          <w:r>
            <w:rPr>
              <w:color w:val="auto"/>
              <w:highlight w:val="none"/>
            </w:rPr>
            <w:tab/>
          </w:r>
          <w:r>
            <w:rPr>
              <w:color w:val="auto"/>
              <w:highlight w:val="none"/>
            </w:rPr>
            <w:fldChar w:fldCharType="begin"/>
          </w:r>
          <w:r>
            <w:rPr>
              <w:color w:val="auto"/>
              <w:highlight w:val="none"/>
            </w:rPr>
            <w:instrText xml:space="preserve"> PAGEREF _Toc13316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"_Toc25911" </w:instrText>
          </w:r>
          <w:r>
            <w:rPr>
              <w:color w:val="auto"/>
              <w:highlight w:val="none"/>
            </w:rPr>
            <w:fldChar w:fldCharType="separate"/>
          </w:r>
          <w:r>
            <w:rPr>
              <w:rFonts w:hint="eastAsia"/>
              <w:color w:val="auto"/>
              <w:highlight w:val="none"/>
            </w:rPr>
            <w:t>6.关于联合体投标</w:t>
          </w:r>
          <w:r>
            <w:rPr>
              <w:color w:val="auto"/>
              <w:highlight w:val="none"/>
            </w:rPr>
            <w:tab/>
          </w:r>
          <w:r>
            <w:rPr>
              <w:color w:val="auto"/>
              <w:highlight w:val="none"/>
            </w:rPr>
            <w:fldChar w:fldCharType="begin"/>
          </w:r>
          <w:r>
            <w:rPr>
              <w:color w:val="auto"/>
              <w:highlight w:val="none"/>
            </w:rPr>
            <w:instrText xml:space="preserve"> PAGEREF _Toc25911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"_Toc27528" </w:instrText>
          </w:r>
          <w:r>
            <w:rPr>
              <w:color w:val="auto"/>
              <w:highlight w:val="none"/>
            </w:rPr>
            <w:fldChar w:fldCharType="separate"/>
          </w:r>
          <w:r>
            <w:rPr>
              <w:rFonts w:hint="eastAsia"/>
              <w:color w:val="auto"/>
              <w:highlight w:val="none"/>
            </w:rPr>
            <w:t>7.关于分支机构投标</w:t>
          </w:r>
          <w:r>
            <w:rPr>
              <w:color w:val="auto"/>
              <w:highlight w:val="none"/>
            </w:rPr>
            <w:tab/>
          </w:r>
          <w:r>
            <w:rPr>
              <w:color w:val="auto"/>
              <w:highlight w:val="none"/>
            </w:rPr>
            <w:fldChar w:fldCharType="begin"/>
          </w:r>
          <w:r>
            <w:rPr>
              <w:color w:val="auto"/>
              <w:highlight w:val="none"/>
            </w:rPr>
            <w:instrText xml:space="preserve"> PAGEREF _Toc27528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"_Toc13645" </w:instrText>
          </w:r>
          <w:r>
            <w:rPr>
              <w:color w:val="auto"/>
              <w:highlight w:val="none"/>
            </w:rPr>
            <w:fldChar w:fldCharType="separate"/>
          </w:r>
          <w:r>
            <w:rPr>
              <w:rFonts w:hint="eastAsia"/>
              <w:color w:val="auto"/>
              <w:highlight w:val="none"/>
            </w:rPr>
            <w:t>8.招标文件的组成</w:t>
          </w:r>
          <w:r>
            <w:rPr>
              <w:color w:val="auto"/>
              <w:highlight w:val="none"/>
            </w:rPr>
            <w:tab/>
          </w:r>
          <w:r>
            <w:rPr>
              <w:color w:val="auto"/>
              <w:highlight w:val="none"/>
            </w:rPr>
            <w:fldChar w:fldCharType="begin"/>
          </w:r>
          <w:r>
            <w:rPr>
              <w:color w:val="auto"/>
              <w:highlight w:val="none"/>
            </w:rPr>
            <w:instrText xml:space="preserve"> PAGEREF _Toc13645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"_Toc644" </w:instrText>
          </w:r>
          <w:r>
            <w:rPr>
              <w:color w:val="auto"/>
              <w:highlight w:val="none"/>
            </w:rPr>
            <w:fldChar w:fldCharType="separate"/>
          </w:r>
          <w:r>
            <w:rPr>
              <w:rFonts w:hint="eastAsia"/>
              <w:color w:val="auto"/>
              <w:highlight w:val="none"/>
            </w:rPr>
            <w:t>9.招标文件的澄清或修改</w:t>
          </w:r>
          <w:r>
            <w:rPr>
              <w:color w:val="auto"/>
              <w:highlight w:val="none"/>
            </w:rPr>
            <w:tab/>
          </w:r>
          <w:r>
            <w:rPr>
              <w:color w:val="auto"/>
              <w:highlight w:val="none"/>
            </w:rPr>
            <w:fldChar w:fldCharType="begin"/>
          </w:r>
          <w:r>
            <w:rPr>
              <w:color w:val="auto"/>
              <w:highlight w:val="none"/>
            </w:rPr>
            <w:instrText xml:space="preserve"> PAGEREF _Toc644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"_Toc6458" </w:instrText>
          </w:r>
          <w:r>
            <w:rPr>
              <w:color w:val="auto"/>
              <w:highlight w:val="none"/>
            </w:rPr>
            <w:fldChar w:fldCharType="separate"/>
          </w:r>
          <w:r>
            <w:rPr>
              <w:rFonts w:hint="eastAsia"/>
              <w:color w:val="auto"/>
              <w:highlight w:val="none"/>
            </w:rPr>
            <w:t>10.投标文件的语言及度量衡单位</w:t>
          </w:r>
          <w:r>
            <w:rPr>
              <w:color w:val="auto"/>
              <w:highlight w:val="none"/>
            </w:rPr>
            <w:tab/>
          </w:r>
          <w:r>
            <w:rPr>
              <w:color w:val="auto"/>
              <w:highlight w:val="none"/>
            </w:rPr>
            <w:fldChar w:fldCharType="begin"/>
          </w:r>
          <w:r>
            <w:rPr>
              <w:color w:val="auto"/>
              <w:highlight w:val="none"/>
            </w:rPr>
            <w:instrText xml:space="preserve"> PAGEREF _Toc6458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"_Toc8246" </w:instrText>
          </w:r>
          <w:r>
            <w:rPr>
              <w:color w:val="auto"/>
              <w:highlight w:val="none"/>
            </w:rPr>
            <w:fldChar w:fldCharType="separate"/>
          </w:r>
          <w:r>
            <w:rPr>
              <w:rFonts w:hint="eastAsia"/>
              <w:color w:val="auto"/>
              <w:highlight w:val="none"/>
            </w:rPr>
            <w:t>11.投标文件的组成</w:t>
          </w:r>
          <w:r>
            <w:rPr>
              <w:color w:val="auto"/>
              <w:highlight w:val="none"/>
            </w:rPr>
            <w:tab/>
          </w:r>
          <w:r>
            <w:rPr>
              <w:color w:val="auto"/>
              <w:highlight w:val="none"/>
            </w:rPr>
            <w:fldChar w:fldCharType="begin"/>
          </w:r>
          <w:r>
            <w:rPr>
              <w:color w:val="auto"/>
              <w:highlight w:val="none"/>
            </w:rPr>
            <w:instrText xml:space="preserve"> PAGEREF _Toc8246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"_Toc5980" </w:instrText>
          </w:r>
          <w:r>
            <w:rPr>
              <w:color w:val="auto"/>
              <w:highlight w:val="none"/>
            </w:rPr>
            <w:fldChar w:fldCharType="separate"/>
          </w:r>
          <w:r>
            <w:rPr>
              <w:rFonts w:hint="eastAsia"/>
              <w:color w:val="auto"/>
              <w:highlight w:val="none"/>
            </w:rPr>
            <w:t>12.投标文件编制</w:t>
          </w:r>
          <w:r>
            <w:rPr>
              <w:color w:val="auto"/>
              <w:highlight w:val="none"/>
            </w:rPr>
            <w:tab/>
          </w:r>
          <w:r>
            <w:rPr>
              <w:color w:val="auto"/>
              <w:highlight w:val="none"/>
            </w:rPr>
            <w:fldChar w:fldCharType="begin"/>
          </w:r>
          <w:r>
            <w:rPr>
              <w:color w:val="auto"/>
              <w:highlight w:val="none"/>
            </w:rPr>
            <w:instrText xml:space="preserve"> PAGEREF _Toc5980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"_Toc1355" </w:instrText>
          </w:r>
          <w:r>
            <w:rPr>
              <w:color w:val="auto"/>
              <w:highlight w:val="none"/>
            </w:rPr>
            <w:fldChar w:fldCharType="separate"/>
          </w:r>
          <w:r>
            <w:rPr>
              <w:rFonts w:hint="eastAsia"/>
              <w:color w:val="auto"/>
              <w:highlight w:val="none"/>
            </w:rPr>
            <w:t>13.投标报价说明</w:t>
          </w:r>
          <w:r>
            <w:rPr>
              <w:color w:val="auto"/>
              <w:highlight w:val="none"/>
            </w:rPr>
            <w:tab/>
          </w:r>
          <w:r>
            <w:rPr>
              <w:color w:val="auto"/>
              <w:highlight w:val="none"/>
            </w:rPr>
            <w:fldChar w:fldCharType="begin"/>
          </w:r>
          <w:r>
            <w:rPr>
              <w:color w:val="auto"/>
              <w:highlight w:val="none"/>
            </w:rPr>
            <w:instrText xml:space="preserve"> PAGEREF _Toc1355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"_Toc6729" </w:instrText>
          </w:r>
          <w:r>
            <w:rPr>
              <w:color w:val="auto"/>
              <w:highlight w:val="none"/>
            </w:rPr>
            <w:fldChar w:fldCharType="separate"/>
          </w:r>
          <w:r>
            <w:rPr>
              <w:rFonts w:hint="eastAsia"/>
              <w:color w:val="auto"/>
              <w:highlight w:val="none"/>
            </w:rPr>
            <w:t>14.投标人所提供的服务或货物的证明文件</w:t>
          </w:r>
          <w:r>
            <w:rPr>
              <w:color w:val="auto"/>
              <w:highlight w:val="none"/>
            </w:rPr>
            <w:tab/>
          </w:r>
          <w:r>
            <w:rPr>
              <w:color w:val="auto"/>
              <w:highlight w:val="none"/>
            </w:rPr>
            <w:fldChar w:fldCharType="begin"/>
          </w:r>
          <w:r>
            <w:rPr>
              <w:color w:val="auto"/>
              <w:highlight w:val="none"/>
            </w:rPr>
            <w:instrText xml:space="preserve"> PAGEREF _Toc6729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"_Toc29725" </w:instrText>
          </w:r>
          <w:r>
            <w:rPr>
              <w:color w:val="auto"/>
              <w:highlight w:val="none"/>
            </w:rPr>
            <w:fldChar w:fldCharType="separate"/>
          </w:r>
          <w:r>
            <w:rPr>
              <w:rFonts w:hint="eastAsia"/>
              <w:color w:val="auto"/>
              <w:highlight w:val="none"/>
            </w:rPr>
            <w:t>15.★投标有效期</w:t>
          </w:r>
          <w:r>
            <w:rPr>
              <w:color w:val="auto"/>
              <w:highlight w:val="none"/>
            </w:rPr>
            <w:tab/>
          </w:r>
          <w:r>
            <w:rPr>
              <w:color w:val="auto"/>
              <w:highlight w:val="none"/>
            </w:rPr>
            <w:fldChar w:fldCharType="begin"/>
          </w:r>
          <w:r>
            <w:rPr>
              <w:color w:val="auto"/>
              <w:highlight w:val="none"/>
            </w:rPr>
            <w:instrText xml:space="preserve"> PAGEREF _Toc29725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"_Toc15529" </w:instrText>
          </w:r>
          <w:r>
            <w:rPr>
              <w:color w:val="auto"/>
              <w:highlight w:val="none"/>
            </w:rPr>
            <w:fldChar w:fldCharType="separate"/>
          </w:r>
          <w:r>
            <w:rPr>
              <w:rFonts w:hint="eastAsia"/>
              <w:color w:val="auto"/>
              <w:highlight w:val="none"/>
            </w:rPr>
            <w:t>16.★投标保证金</w:t>
          </w:r>
          <w:r>
            <w:rPr>
              <w:rFonts w:hint="eastAsia"/>
              <w:color w:val="auto"/>
              <w:highlight w:val="none"/>
              <w:lang w:eastAsia="zh-CN"/>
            </w:rPr>
            <w:t>（</w:t>
          </w:r>
          <w:r>
            <w:rPr>
              <w:rFonts w:hint="eastAsia"/>
              <w:color w:val="auto"/>
              <w:highlight w:val="none"/>
              <w:lang w:val="en-US" w:eastAsia="zh-CN"/>
            </w:rPr>
            <w:t>本项目不收取</w:t>
          </w:r>
          <w:r>
            <w:rPr>
              <w:rFonts w:hint="eastAsia"/>
              <w:color w:val="auto"/>
              <w:highlight w:val="none"/>
              <w:lang w:eastAsia="zh-CN"/>
            </w:rPr>
            <w:t>）</w:t>
          </w:r>
          <w:r>
            <w:rPr>
              <w:color w:val="auto"/>
              <w:highlight w:val="none"/>
            </w:rPr>
            <w:tab/>
          </w:r>
          <w:r>
            <w:rPr>
              <w:color w:val="auto"/>
              <w:highlight w:val="none"/>
            </w:rPr>
            <w:fldChar w:fldCharType="begin"/>
          </w:r>
          <w:r>
            <w:rPr>
              <w:color w:val="auto"/>
              <w:highlight w:val="none"/>
            </w:rPr>
            <w:instrText xml:space="preserve"> PAGEREF _Toc15529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"_Toc16286" </w:instrText>
          </w:r>
          <w:r>
            <w:rPr>
              <w:color w:val="auto"/>
              <w:highlight w:val="none"/>
            </w:rPr>
            <w:fldChar w:fldCharType="separate"/>
          </w:r>
          <w:r>
            <w:rPr>
              <w:rFonts w:hint="eastAsia"/>
              <w:color w:val="auto"/>
              <w:highlight w:val="none"/>
            </w:rPr>
            <w:t>17.投标文件的装订，签署，密封和标记</w:t>
          </w:r>
          <w:r>
            <w:rPr>
              <w:color w:val="auto"/>
              <w:highlight w:val="none"/>
            </w:rPr>
            <w:tab/>
          </w:r>
          <w:r>
            <w:rPr>
              <w:color w:val="auto"/>
              <w:highlight w:val="none"/>
            </w:rPr>
            <w:fldChar w:fldCharType="begin"/>
          </w:r>
          <w:r>
            <w:rPr>
              <w:color w:val="auto"/>
              <w:highlight w:val="none"/>
            </w:rPr>
            <w:instrText xml:space="preserve"> PAGEREF _Toc16286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"_Toc17636" </w:instrText>
          </w:r>
          <w:r>
            <w:rPr>
              <w:color w:val="auto"/>
              <w:highlight w:val="none"/>
            </w:rPr>
            <w:fldChar w:fldCharType="separate"/>
          </w:r>
          <w:r>
            <w:rPr>
              <w:rFonts w:hint="eastAsia"/>
              <w:color w:val="auto"/>
              <w:highlight w:val="none"/>
            </w:rPr>
            <w:t>18.迟交的投标文件</w:t>
          </w:r>
          <w:r>
            <w:rPr>
              <w:color w:val="auto"/>
              <w:highlight w:val="none"/>
            </w:rPr>
            <w:tab/>
          </w:r>
          <w:r>
            <w:rPr>
              <w:color w:val="auto"/>
              <w:highlight w:val="none"/>
            </w:rPr>
            <w:fldChar w:fldCharType="begin"/>
          </w:r>
          <w:r>
            <w:rPr>
              <w:color w:val="auto"/>
              <w:highlight w:val="none"/>
            </w:rPr>
            <w:instrText xml:space="preserve"> PAGEREF _Toc17636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"_Toc24269" </w:instrText>
          </w:r>
          <w:r>
            <w:rPr>
              <w:color w:val="auto"/>
              <w:highlight w:val="none"/>
            </w:rPr>
            <w:fldChar w:fldCharType="separate"/>
          </w:r>
          <w:r>
            <w:rPr>
              <w:rFonts w:hint="eastAsia"/>
              <w:color w:val="auto"/>
              <w:highlight w:val="none"/>
            </w:rPr>
            <w:t>19.投标样品、投标演示（如有要求）</w:t>
          </w:r>
          <w:r>
            <w:rPr>
              <w:color w:val="auto"/>
              <w:highlight w:val="none"/>
            </w:rPr>
            <w:tab/>
          </w:r>
          <w:r>
            <w:rPr>
              <w:color w:val="auto"/>
              <w:highlight w:val="none"/>
            </w:rPr>
            <w:fldChar w:fldCharType="begin"/>
          </w:r>
          <w:r>
            <w:rPr>
              <w:color w:val="auto"/>
              <w:highlight w:val="none"/>
            </w:rPr>
            <w:instrText xml:space="preserve"> PAGEREF _Toc24269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"_Toc22355" </w:instrText>
          </w:r>
          <w:r>
            <w:rPr>
              <w:color w:val="auto"/>
              <w:highlight w:val="none"/>
            </w:rPr>
            <w:fldChar w:fldCharType="separate"/>
          </w:r>
          <w:r>
            <w:rPr>
              <w:rFonts w:hint="eastAsia"/>
              <w:color w:val="auto"/>
              <w:highlight w:val="none"/>
            </w:rPr>
            <w:t>20.投标截止期</w:t>
          </w:r>
          <w:r>
            <w:rPr>
              <w:color w:val="auto"/>
              <w:highlight w:val="none"/>
            </w:rPr>
            <w:tab/>
          </w:r>
          <w:r>
            <w:rPr>
              <w:color w:val="auto"/>
              <w:highlight w:val="none"/>
            </w:rPr>
            <w:fldChar w:fldCharType="begin"/>
          </w:r>
          <w:r>
            <w:rPr>
              <w:color w:val="auto"/>
              <w:highlight w:val="none"/>
            </w:rPr>
            <w:instrText xml:space="preserve"> PAGEREF _Toc22355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"_Toc4270" </w:instrText>
          </w:r>
          <w:r>
            <w:rPr>
              <w:color w:val="auto"/>
              <w:highlight w:val="none"/>
            </w:rPr>
            <w:fldChar w:fldCharType="separate"/>
          </w:r>
          <w:r>
            <w:rPr>
              <w:rFonts w:hint="eastAsia"/>
              <w:color w:val="auto"/>
              <w:highlight w:val="none"/>
            </w:rPr>
            <w:t>21.投标文件的补充、修改与撤回</w:t>
          </w:r>
          <w:r>
            <w:rPr>
              <w:color w:val="auto"/>
              <w:highlight w:val="none"/>
            </w:rPr>
            <w:tab/>
          </w:r>
          <w:r>
            <w:rPr>
              <w:color w:val="auto"/>
              <w:highlight w:val="none"/>
            </w:rPr>
            <w:fldChar w:fldCharType="begin"/>
          </w:r>
          <w:r>
            <w:rPr>
              <w:color w:val="auto"/>
              <w:highlight w:val="none"/>
            </w:rPr>
            <w:instrText xml:space="preserve"> PAGEREF _Toc4270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"_Toc23244" </w:instrText>
          </w:r>
          <w:r>
            <w:rPr>
              <w:color w:val="auto"/>
              <w:highlight w:val="none"/>
            </w:rPr>
            <w:fldChar w:fldCharType="separate"/>
          </w:r>
          <w:r>
            <w:rPr>
              <w:rFonts w:hint="eastAsia"/>
              <w:color w:val="auto"/>
              <w:highlight w:val="none"/>
            </w:rPr>
            <w:t>23.评标委员会及评标方法</w:t>
          </w:r>
          <w:r>
            <w:rPr>
              <w:color w:val="auto"/>
              <w:highlight w:val="none"/>
            </w:rPr>
            <w:tab/>
          </w:r>
          <w:r>
            <w:rPr>
              <w:color w:val="auto"/>
              <w:highlight w:val="none"/>
            </w:rPr>
            <w:fldChar w:fldCharType="begin"/>
          </w:r>
          <w:r>
            <w:rPr>
              <w:color w:val="auto"/>
              <w:highlight w:val="none"/>
            </w:rPr>
            <w:instrText xml:space="preserve"> PAGEREF _Toc23244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"_Toc15635" </w:instrText>
          </w:r>
          <w:r>
            <w:rPr>
              <w:color w:val="auto"/>
              <w:highlight w:val="none"/>
            </w:rPr>
            <w:fldChar w:fldCharType="separate"/>
          </w:r>
          <w:r>
            <w:rPr>
              <w:rFonts w:hint="eastAsia"/>
              <w:color w:val="auto"/>
              <w:highlight w:val="none"/>
            </w:rPr>
            <w:t>24.评审原则及评标过程的保密</w:t>
          </w:r>
          <w:r>
            <w:rPr>
              <w:color w:val="auto"/>
              <w:highlight w:val="none"/>
            </w:rPr>
            <w:tab/>
          </w:r>
          <w:r>
            <w:rPr>
              <w:color w:val="auto"/>
              <w:highlight w:val="none"/>
            </w:rPr>
            <w:fldChar w:fldCharType="begin"/>
          </w:r>
          <w:r>
            <w:rPr>
              <w:color w:val="auto"/>
              <w:highlight w:val="none"/>
            </w:rPr>
            <w:instrText xml:space="preserve"> PAGEREF _Toc15635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"_Toc10950" </w:instrText>
          </w:r>
          <w:r>
            <w:rPr>
              <w:color w:val="auto"/>
              <w:highlight w:val="none"/>
            </w:rPr>
            <w:fldChar w:fldCharType="separate"/>
          </w:r>
          <w:r>
            <w:rPr>
              <w:rFonts w:hint="eastAsia"/>
              <w:color w:val="auto"/>
              <w:highlight w:val="none"/>
            </w:rPr>
            <w:t>25.投标文件的初审</w:t>
          </w:r>
          <w:r>
            <w:rPr>
              <w:color w:val="auto"/>
              <w:highlight w:val="none"/>
            </w:rPr>
            <w:tab/>
          </w:r>
          <w:r>
            <w:rPr>
              <w:color w:val="auto"/>
              <w:highlight w:val="none"/>
            </w:rPr>
            <w:fldChar w:fldCharType="begin"/>
          </w:r>
          <w:r>
            <w:rPr>
              <w:color w:val="auto"/>
              <w:highlight w:val="none"/>
            </w:rPr>
            <w:instrText xml:space="preserve"> PAGEREF _Toc10950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"_Toc24775" </w:instrText>
          </w:r>
          <w:r>
            <w:rPr>
              <w:color w:val="auto"/>
              <w:highlight w:val="none"/>
            </w:rPr>
            <w:fldChar w:fldCharType="separate"/>
          </w:r>
          <w:r>
            <w:rPr>
              <w:rFonts w:hint="eastAsia"/>
              <w:color w:val="auto"/>
              <w:highlight w:val="none"/>
            </w:rPr>
            <w:t>26.商务、技术、价格评审</w:t>
          </w:r>
          <w:r>
            <w:rPr>
              <w:color w:val="auto"/>
              <w:highlight w:val="none"/>
            </w:rPr>
            <w:tab/>
          </w:r>
          <w:r>
            <w:rPr>
              <w:color w:val="auto"/>
              <w:highlight w:val="none"/>
            </w:rPr>
            <w:fldChar w:fldCharType="begin"/>
          </w:r>
          <w:r>
            <w:rPr>
              <w:color w:val="auto"/>
              <w:highlight w:val="none"/>
            </w:rPr>
            <w:instrText xml:space="preserve"> PAGEREF _Toc24775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"_Toc19304" </w:instrText>
          </w:r>
          <w:r>
            <w:rPr>
              <w:color w:val="auto"/>
              <w:highlight w:val="none"/>
            </w:rPr>
            <w:fldChar w:fldCharType="separate"/>
          </w:r>
          <w:r>
            <w:rPr>
              <w:rFonts w:hint="eastAsia"/>
              <w:color w:val="auto"/>
              <w:highlight w:val="none"/>
            </w:rPr>
            <w:t>27.纪律和保密事项</w:t>
          </w:r>
          <w:r>
            <w:rPr>
              <w:color w:val="auto"/>
              <w:highlight w:val="none"/>
            </w:rPr>
            <w:tab/>
          </w:r>
          <w:r>
            <w:rPr>
              <w:color w:val="auto"/>
              <w:highlight w:val="none"/>
            </w:rPr>
            <w:fldChar w:fldCharType="begin"/>
          </w:r>
          <w:r>
            <w:rPr>
              <w:color w:val="auto"/>
              <w:highlight w:val="none"/>
            </w:rPr>
            <w:instrText xml:space="preserve"> PAGEREF _Toc19304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"_Toc1994" </w:instrText>
          </w:r>
          <w:r>
            <w:rPr>
              <w:color w:val="auto"/>
              <w:highlight w:val="none"/>
            </w:rPr>
            <w:fldChar w:fldCharType="separate"/>
          </w:r>
          <w:r>
            <w:rPr>
              <w:rFonts w:hint="eastAsia"/>
              <w:color w:val="auto"/>
              <w:highlight w:val="none"/>
            </w:rPr>
            <w:t>28.合同授予标准</w:t>
          </w:r>
          <w:r>
            <w:rPr>
              <w:color w:val="auto"/>
              <w:highlight w:val="none"/>
            </w:rPr>
            <w:tab/>
          </w:r>
          <w:r>
            <w:rPr>
              <w:color w:val="auto"/>
              <w:highlight w:val="none"/>
            </w:rPr>
            <w:fldChar w:fldCharType="begin"/>
          </w:r>
          <w:r>
            <w:rPr>
              <w:color w:val="auto"/>
              <w:highlight w:val="none"/>
            </w:rPr>
            <w:instrText xml:space="preserve"> PAGEREF _Toc1994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"_Toc14141" </w:instrText>
          </w:r>
          <w:r>
            <w:rPr>
              <w:color w:val="auto"/>
              <w:highlight w:val="none"/>
            </w:rPr>
            <w:fldChar w:fldCharType="separate"/>
          </w:r>
          <w:r>
            <w:rPr>
              <w:rFonts w:hint="eastAsia"/>
              <w:color w:val="auto"/>
              <w:highlight w:val="none"/>
            </w:rPr>
            <w:t>30.发布采购结果</w:t>
          </w:r>
          <w:r>
            <w:rPr>
              <w:color w:val="auto"/>
              <w:highlight w:val="none"/>
            </w:rPr>
            <w:tab/>
          </w:r>
          <w:r>
            <w:rPr>
              <w:color w:val="auto"/>
              <w:highlight w:val="none"/>
            </w:rPr>
            <w:fldChar w:fldCharType="begin"/>
          </w:r>
          <w:r>
            <w:rPr>
              <w:color w:val="auto"/>
              <w:highlight w:val="none"/>
            </w:rPr>
            <w:instrText xml:space="preserve"> PAGEREF _Toc14141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"_Toc11977" </w:instrText>
          </w:r>
          <w:r>
            <w:rPr>
              <w:color w:val="auto"/>
              <w:highlight w:val="none"/>
            </w:rPr>
            <w:fldChar w:fldCharType="separate"/>
          </w:r>
          <w:r>
            <w:rPr>
              <w:rFonts w:hint="eastAsia"/>
              <w:color w:val="auto"/>
              <w:highlight w:val="none"/>
            </w:rPr>
            <w:t>30.合同的签订与履行</w:t>
          </w:r>
          <w:r>
            <w:rPr>
              <w:color w:val="auto"/>
              <w:highlight w:val="none"/>
            </w:rPr>
            <w:tab/>
          </w:r>
          <w:r>
            <w:rPr>
              <w:color w:val="auto"/>
              <w:highlight w:val="none"/>
            </w:rPr>
            <w:fldChar w:fldCharType="begin"/>
          </w:r>
          <w:r>
            <w:rPr>
              <w:color w:val="auto"/>
              <w:highlight w:val="none"/>
            </w:rPr>
            <w:instrText xml:space="preserve"> PAGEREF _Toc11977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"_Toc23400" </w:instrText>
          </w:r>
          <w:r>
            <w:rPr>
              <w:color w:val="auto"/>
              <w:highlight w:val="none"/>
            </w:rPr>
            <w:fldChar w:fldCharType="separate"/>
          </w:r>
          <w:r>
            <w:rPr>
              <w:rFonts w:hint="eastAsia"/>
              <w:color w:val="auto"/>
              <w:highlight w:val="none"/>
            </w:rPr>
            <w:t>31.招标文件的解释权</w:t>
          </w:r>
          <w:r>
            <w:rPr>
              <w:color w:val="auto"/>
              <w:highlight w:val="none"/>
            </w:rPr>
            <w:tab/>
          </w:r>
          <w:r>
            <w:rPr>
              <w:color w:val="auto"/>
              <w:highlight w:val="none"/>
            </w:rPr>
            <w:fldChar w:fldCharType="begin"/>
          </w:r>
          <w:r>
            <w:rPr>
              <w:color w:val="auto"/>
              <w:highlight w:val="none"/>
            </w:rPr>
            <w:instrText xml:space="preserve"> PAGEREF _Toc23400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"_Toc27892" </w:instrText>
          </w:r>
          <w:r>
            <w:rPr>
              <w:color w:val="auto"/>
              <w:highlight w:val="none"/>
            </w:rPr>
            <w:fldChar w:fldCharType="separate"/>
          </w:r>
          <w:r>
            <w:rPr>
              <w:rFonts w:hint="eastAsia"/>
              <w:color w:val="auto"/>
              <w:highlight w:val="none"/>
            </w:rPr>
            <w:t>第三篇 用户需求书</w:t>
          </w:r>
          <w:r>
            <w:rPr>
              <w:color w:val="auto"/>
              <w:highlight w:val="none"/>
            </w:rPr>
            <w:tab/>
          </w:r>
          <w:r>
            <w:rPr>
              <w:color w:val="auto"/>
              <w:highlight w:val="none"/>
            </w:rPr>
            <w:fldChar w:fldCharType="begin"/>
          </w:r>
          <w:r>
            <w:rPr>
              <w:color w:val="auto"/>
              <w:highlight w:val="none"/>
            </w:rPr>
            <w:instrText xml:space="preserve"> PAGEREF _Toc27892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"_Toc28584" </w:instrText>
          </w:r>
          <w:r>
            <w:rPr>
              <w:color w:val="auto"/>
              <w:highlight w:val="none"/>
            </w:rPr>
            <w:fldChar w:fldCharType="separate"/>
          </w:r>
          <w:r>
            <w:rPr>
              <w:rFonts w:hint="eastAsia"/>
              <w:color w:val="auto"/>
              <w:highlight w:val="none"/>
            </w:rPr>
            <w:t>第四篇 详细评审</w:t>
          </w:r>
          <w:r>
            <w:rPr>
              <w:color w:val="auto"/>
              <w:highlight w:val="none"/>
            </w:rPr>
            <w:tab/>
          </w:r>
          <w:r>
            <w:rPr>
              <w:color w:val="auto"/>
              <w:highlight w:val="none"/>
            </w:rPr>
            <w:fldChar w:fldCharType="begin"/>
          </w:r>
          <w:r>
            <w:rPr>
              <w:color w:val="auto"/>
              <w:highlight w:val="none"/>
            </w:rPr>
            <w:instrText xml:space="preserve"> PAGEREF _Toc28584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"_Toc32522" </w:instrText>
          </w:r>
          <w:r>
            <w:rPr>
              <w:color w:val="auto"/>
              <w:highlight w:val="none"/>
            </w:rPr>
            <w:fldChar w:fldCharType="separate"/>
          </w:r>
          <w:r>
            <w:rPr>
              <w:rFonts w:hint="eastAsia"/>
              <w:color w:val="auto"/>
              <w:highlight w:val="none"/>
            </w:rPr>
            <w:t>第五篇 合同文本参考格式</w:t>
          </w:r>
          <w:r>
            <w:rPr>
              <w:color w:val="auto"/>
              <w:highlight w:val="none"/>
            </w:rPr>
            <w:tab/>
          </w:r>
          <w:r>
            <w:rPr>
              <w:color w:val="auto"/>
              <w:highlight w:val="none"/>
            </w:rPr>
            <w:fldChar w:fldCharType="begin"/>
          </w:r>
          <w:r>
            <w:rPr>
              <w:color w:val="auto"/>
              <w:highlight w:val="none"/>
            </w:rPr>
            <w:instrText xml:space="preserve"> PAGEREF _Toc32522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"_Toc17794" </w:instrText>
          </w:r>
          <w:r>
            <w:rPr>
              <w:color w:val="auto"/>
              <w:highlight w:val="none"/>
            </w:rPr>
            <w:fldChar w:fldCharType="separate"/>
          </w:r>
          <w:r>
            <w:rPr>
              <w:rFonts w:hint="eastAsia"/>
              <w:color w:val="auto"/>
              <w:highlight w:val="none"/>
            </w:rPr>
            <w:t>第六篇 投标文件格式</w:t>
          </w:r>
          <w:r>
            <w:rPr>
              <w:color w:val="auto"/>
              <w:highlight w:val="none"/>
            </w:rPr>
            <w:tab/>
          </w:r>
          <w:r>
            <w:rPr>
              <w:color w:val="auto"/>
              <w:highlight w:val="none"/>
            </w:rPr>
            <w:fldChar w:fldCharType="begin"/>
          </w:r>
          <w:r>
            <w:rPr>
              <w:color w:val="auto"/>
              <w:highlight w:val="none"/>
            </w:rPr>
            <w:instrText xml:space="preserve"> PAGEREF _Toc17794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"_Toc27211" </w:instrText>
          </w:r>
          <w:r>
            <w:rPr>
              <w:color w:val="auto"/>
              <w:highlight w:val="none"/>
            </w:rPr>
            <w:fldChar w:fldCharType="separate"/>
          </w:r>
          <w:r>
            <w:rPr>
              <w:rFonts w:hint="eastAsia"/>
              <w:color w:val="auto"/>
              <w:highlight w:val="none"/>
            </w:rPr>
            <w:t>第七篇 开标文件格式</w:t>
          </w:r>
          <w:r>
            <w:rPr>
              <w:color w:val="auto"/>
              <w:highlight w:val="none"/>
            </w:rPr>
            <w:tab/>
          </w:r>
          <w:r>
            <w:rPr>
              <w:color w:val="auto"/>
              <w:highlight w:val="none"/>
            </w:rPr>
            <w:fldChar w:fldCharType="begin"/>
          </w:r>
          <w:r>
            <w:rPr>
              <w:color w:val="auto"/>
              <w:highlight w:val="none"/>
            </w:rPr>
            <w:instrText xml:space="preserve"> PAGEREF _Toc27211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"_Toc2722" </w:instrText>
          </w:r>
          <w:r>
            <w:rPr>
              <w:color w:val="auto"/>
              <w:highlight w:val="none"/>
            </w:rPr>
            <w:fldChar w:fldCharType="separate"/>
          </w:r>
          <w:r>
            <w:rPr>
              <w:rFonts w:hint="eastAsia"/>
              <w:color w:val="auto"/>
              <w:highlight w:val="none"/>
            </w:rPr>
            <w:t>第八篇 其它文件格式（如有需要）</w:t>
          </w:r>
          <w:r>
            <w:rPr>
              <w:color w:val="auto"/>
              <w:highlight w:val="none"/>
            </w:rPr>
            <w:tab/>
          </w:r>
          <w:r>
            <w:rPr>
              <w:color w:val="auto"/>
              <w:highlight w:val="none"/>
            </w:rPr>
            <w:fldChar w:fldCharType="begin"/>
          </w:r>
          <w:r>
            <w:rPr>
              <w:color w:val="auto"/>
              <w:highlight w:val="none"/>
            </w:rPr>
            <w:instrText xml:space="preserve"> PAGEREF _Toc2722 \h </w:instrText>
          </w:r>
          <w:r>
            <w:rPr>
              <w:color w:val="auto"/>
              <w:highlight w:val="none"/>
            </w:rPr>
            <w:fldChar w:fldCharType="separate"/>
          </w:r>
          <w:r>
            <w:rPr>
              <w:color w:val="auto"/>
              <w:highlight w:val="none"/>
            </w:rPr>
            <w:t>66</w:t>
          </w:r>
          <w:r>
            <w:rPr>
              <w:color w:val="auto"/>
              <w:highlight w:val="none"/>
            </w:rPr>
            <w:fldChar w:fldCharType="end"/>
          </w:r>
          <w:r>
            <w:rPr>
              <w:color w:val="auto"/>
              <w:highlight w:val="none"/>
            </w:rPr>
            <w:fldChar w:fldCharType="end"/>
          </w:r>
        </w:p>
        <w:p>
          <w:pPr>
            <w:rPr>
              <w:rFonts w:ascii="黑体" w:hAnsi="黑体" w:eastAsia="黑体" w:cs="黑体"/>
              <w:color w:val="auto"/>
              <w:sz w:val="30"/>
              <w:szCs w:val="30"/>
              <w:highlight w:val="none"/>
            </w:rPr>
          </w:pPr>
          <w:r>
            <w:rPr>
              <w:rFonts w:hint="eastAsia" w:ascii="黑体" w:hAnsi="黑体" w:eastAsia="黑体" w:cs="黑体"/>
              <w:color w:val="auto"/>
              <w:szCs w:val="30"/>
              <w:highlight w:val="none"/>
            </w:rPr>
            <w:fldChar w:fldCharType="end"/>
          </w:r>
        </w:p>
      </w:sdtContent>
    </w:sdt>
    <w:p>
      <w:pPr>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br w:type="page"/>
      </w:r>
    </w:p>
    <w:p>
      <w:pPr>
        <w:pStyle w:val="3"/>
        <w:numPr>
          <w:ilvl w:val="0"/>
          <w:numId w:val="1"/>
        </w:numPr>
        <w:rPr>
          <w:color w:val="auto"/>
          <w:highlight w:val="none"/>
        </w:rPr>
      </w:pPr>
      <w:bookmarkStart w:id="3" w:name="_Toc6185"/>
      <w:r>
        <w:rPr>
          <w:rFonts w:hint="eastAsia"/>
          <w:color w:val="auto"/>
          <w:highlight w:val="none"/>
        </w:rPr>
        <w:t>投标邀请</w:t>
      </w:r>
      <w:bookmarkEnd w:id="3"/>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u w:val="single"/>
          <w:lang w:eastAsia="zh-CN"/>
        </w:rPr>
        <w:t>东莞市塘厦镇第三幼儿园饭堂食材配送项目</w:t>
      </w:r>
      <w:r>
        <w:rPr>
          <w:rFonts w:hint="eastAsia" w:ascii="宋体" w:hAnsi="宋体" w:cs="宋体"/>
          <w:color w:val="auto"/>
          <w:szCs w:val="21"/>
          <w:highlight w:val="none"/>
        </w:rPr>
        <w:t>招标项目的潜在投标人应在</w:t>
      </w:r>
      <w:r>
        <w:rPr>
          <w:rFonts w:hint="eastAsia" w:ascii="宋体" w:hAnsi="宋体" w:cs="宋体"/>
          <w:b/>
          <w:bCs/>
          <w:color w:val="auto"/>
          <w:szCs w:val="21"/>
          <w:highlight w:val="none"/>
          <w:u w:val="single"/>
        </w:rPr>
        <w:t>东莞市南城街道鸿福西路81号国际商会大厦</w:t>
      </w:r>
      <w:r>
        <w:rPr>
          <w:rFonts w:hint="eastAsia" w:ascii="宋体" w:hAnsi="宋体" w:cs="宋体"/>
          <w:b/>
          <w:bCs/>
          <w:color w:val="auto"/>
          <w:szCs w:val="21"/>
          <w:highlight w:val="none"/>
          <w:u w:val="single"/>
          <w:lang w:eastAsia="zh-CN"/>
        </w:rPr>
        <w:t>13A层01</w:t>
      </w:r>
      <w:r>
        <w:rPr>
          <w:rFonts w:hint="eastAsia" w:ascii="宋体" w:hAnsi="宋体" w:cs="宋体"/>
          <w:b/>
          <w:bCs/>
          <w:color w:val="auto"/>
          <w:szCs w:val="21"/>
          <w:highlight w:val="none"/>
          <w:u w:val="single"/>
        </w:rPr>
        <w:t>室</w:t>
      </w:r>
      <w:r>
        <w:rPr>
          <w:rFonts w:hint="eastAsia" w:ascii="宋体" w:hAnsi="宋体" w:cs="宋体"/>
          <w:color w:val="auto"/>
          <w:szCs w:val="21"/>
          <w:highlight w:val="none"/>
        </w:rPr>
        <w:t>获取招标文件，并于</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202</w:t>
      </w:r>
      <w:r>
        <w:rPr>
          <w:rFonts w:hint="eastAsia" w:ascii="宋体" w:hAnsi="宋体" w:cs="宋体"/>
          <w:b/>
          <w:bCs/>
          <w:color w:val="auto"/>
          <w:szCs w:val="21"/>
          <w:highlight w:val="none"/>
          <w:u w:val="single"/>
          <w:lang w:val="en-US" w:eastAsia="zh-CN"/>
        </w:rPr>
        <w:t>3</w:t>
      </w:r>
      <w:r>
        <w:rPr>
          <w:rFonts w:hint="eastAsia" w:ascii="宋体" w:hAnsi="宋体" w:cs="宋体"/>
          <w:b/>
          <w:bCs/>
          <w:color w:val="auto"/>
          <w:szCs w:val="21"/>
          <w:highlight w:val="none"/>
          <w:u w:val="single"/>
        </w:rPr>
        <w:t>年</w:t>
      </w:r>
      <w:r>
        <w:rPr>
          <w:rFonts w:hint="eastAsia" w:ascii="宋体" w:hAnsi="宋体" w:cs="宋体"/>
          <w:b/>
          <w:bCs/>
          <w:color w:val="auto"/>
          <w:szCs w:val="21"/>
          <w:highlight w:val="none"/>
          <w:u w:val="single"/>
          <w:lang w:val="en-US" w:eastAsia="zh-CN"/>
        </w:rPr>
        <w:t>7</w:t>
      </w:r>
      <w:r>
        <w:rPr>
          <w:rFonts w:hint="eastAsia" w:ascii="宋体" w:hAnsi="宋体" w:cs="宋体"/>
          <w:b/>
          <w:bCs/>
          <w:color w:val="auto"/>
          <w:szCs w:val="21"/>
          <w:highlight w:val="none"/>
          <w:u w:val="single"/>
        </w:rPr>
        <w:t>月</w:t>
      </w:r>
      <w:r>
        <w:rPr>
          <w:rFonts w:hint="eastAsia" w:ascii="宋体" w:hAnsi="宋体" w:cs="宋体"/>
          <w:b/>
          <w:bCs/>
          <w:color w:val="auto"/>
          <w:szCs w:val="21"/>
          <w:highlight w:val="none"/>
          <w:u w:val="single"/>
          <w:lang w:val="en-US" w:eastAsia="zh-CN"/>
        </w:rPr>
        <w:t>10</w:t>
      </w:r>
      <w:r>
        <w:rPr>
          <w:rFonts w:hint="eastAsia" w:ascii="宋体" w:hAnsi="宋体" w:cs="宋体"/>
          <w:b/>
          <w:bCs/>
          <w:color w:val="auto"/>
          <w:szCs w:val="21"/>
          <w:highlight w:val="none"/>
          <w:u w:val="single"/>
        </w:rPr>
        <w:t>日</w:t>
      </w:r>
      <w:r>
        <w:rPr>
          <w:rFonts w:hint="eastAsia" w:ascii="宋体" w:hAnsi="宋体" w:cs="宋体"/>
          <w:b/>
          <w:bCs/>
          <w:color w:val="auto"/>
          <w:szCs w:val="21"/>
          <w:highlight w:val="none"/>
          <w:u w:val="single"/>
          <w:lang w:val="en-US" w:eastAsia="zh-CN"/>
        </w:rPr>
        <w:t>14</w:t>
      </w:r>
      <w:r>
        <w:rPr>
          <w:rFonts w:hint="eastAsia" w:ascii="宋体" w:hAnsi="宋体" w:cs="宋体"/>
          <w:b/>
          <w:bCs/>
          <w:color w:val="auto"/>
          <w:szCs w:val="21"/>
          <w:highlight w:val="none"/>
          <w:u w:val="single"/>
        </w:rPr>
        <w:t>点</w:t>
      </w:r>
      <w:r>
        <w:rPr>
          <w:rFonts w:hint="eastAsia" w:ascii="宋体" w:hAnsi="宋体" w:cs="宋体"/>
          <w:b/>
          <w:bCs/>
          <w:color w:val="auto"/>
          <w:szCs w:val="21"/>
          <w:highlight w:val="none"/>
          <w:u w:val="single"/>
          <w:lang w:val="en-US" w:eastAsia="zh-CN"/>
        </w:rPr>
        <w:t>30</w:t>
      </w:r>
      <w:r>
        <w:rPr>
          <w:rFonts w:hint="eastAsia" w:ascii="宋体" w:hAnsi="宋体" w:cs="宋体"/>
          <w:b/>
          <w:bCs/>
          <w:color w:val="auto"/>
          <w:szCs w:val="21"/>
          <w:highlight w:val="none"/>
          <w:u w:val="single"/>
        </w:rPr>
        <w:t>分</w:t>
      </w:r>
      <w:r>
        <w:rPr>
          <w:rFonts w:hint="eastAsia" w:ascii="宋体" w:hAnsi="宋体" w:cs="宋体"/>
          <w:bCs/>
          <w:color w:val="auto"/>
          <w:szCs w:val="21"/>
          <w:highlight w:val="none"/>
          <w:u w:val="single"/>
        </w:rPr>
        <w:t>（</w:t>
      </w:r>
      <w:r>
        <w:rPr>
          <w:rFonts w:hint="eastAsia" w:ascii="宋体" w:hAnsi="宋体" w:cs="宋体"/>
          <w:bCs/>
          <w:color w:val="auto"/>
          <w:szCs w:val="21"/>
          <w:highlight w:val="none"/>
        </w:rPr>
        <w:t>北京时间）前递交投标文件</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p>
    <w:p>
      <w:pPr>
        <w:pStyle w:val="4"/>
        <w:spacing w:line="360" w:lineRule="auto"/>
        <w:jc w:val="left"/>
        <w:rPr>
          <w:rFonts w:ascii="宋体" w:hAnsi="宋体" w:cs="宋体"/>
          <w:bCs/>
          <w:color w:val="auto"/>
          <w:sz w:val="21"/>
          <w:szCs w:val="21"/>
          <w:highlight w:val="none"/>
        </w:rPr>
      </w:pPr>
      <w:bookmarkStart w:id="4" w:name="_Toc2169"/>
      <w:bookmarkStart w:id="5" w:name="_Toc35393621"/>
      <w:bookmarkStart w:id="6" w:name="_Toc28359079"/>
      <w:bookmarkStart w:id="7" w:name="_Toc35393790"/>
      <w:bookmarkStart w:id="8" w:name="_Toc28359002"/>
      <w:bookmarkStart w:id="9" w:name="_Hlk24379207"/>
      <w:r>
        <w:rPr>
          <w:rFonts w:hint="eastAsia" w:ascii="宋体" w:hAnsi="宋体" w:cs="宋体"/>
          <w:bCs/>
          <w:color w:val="auto"/>
          <w:sz w:val="21"/>
          <w:szCs w:val="21"/>
          <w:highlight w:val="none"/>
        </w:rPr>
        <w:t>一、项目基本情况</w:t>
      </w:r>
      <w:bookmarkEnd w:id="4"/>
      <w:bookmarkEnd w:id="5"/>
      <w:bookmarkEnd w:id="6"/>
      <w:bookmarkEnd w:id="7"/>
      <w:bookmarkEnd w:id="8"/>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GSDG2023-013C</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东莞市塘厦镇第三幼儿园饭堂食材配送项目</w:t>
      </w:r>
    </w:p>
    <w:bookmarkEnd w:id="9"/>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w:t>
      </w:r>
    </w:p>
    <w:p>
      <w:pPr>
        <w:numPr>
          <w:ilvl w:val="0"/>
          <w:numId w:val="2"/>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标的内容：</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4270"/>
        <w:gridCol w:w="3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0" w:type="auto"/>
            <w:vAlign w:val="center"/>
          </w:tcPr>
          <w:p>
            <w:pPr>
              <w:spacing w:line="360" w:lineRule="auto"/>
              <w:jc w:val="center"/>
              <w:rPr>
                <w:rFonts w:hAnsi="宋体"/>
                <w:color w:val="auto"/>
                <w:szCs w:val="21"/>
                <w:highlight w:val="none"/>
              </w:rPr>
            </w:pPr>
            <w:r>
              <w:rPr>
                <w:rFonts w:hint="eastAsia" w:hAnsi="宋体"/>
                <w:color w:val="auto"/>
                <w:szCs w:val="21"/>
                <w:highlight w:val="none"/>
              </w:rPr>
              <w:t>包号</w:t>
            </w:r>
          </w:p>
        </w:tc>
        <w:tc>
          <w:tcPr>
            <w:tcW w:w="4270" w:type="dxa"/>
            <w:vAlign w:val="center"/>
          </w:tcPr>
          <w:p>
            <w:pPr>
              <w:spacing w:line="360" w:lineRule="auto"/>
              <w:jc w:val="center"/>
              <w:rPr>
                <w:rFonts w:hAnsi="宋体"/>
                <w:color w:val="auto"/>
                <w:szCs w:val="21"/>
                <w:highlight w:val="none"/>
              </w:rPr>
            </w:pPr>
            <w:r>
              <w:rPr>
                <w:rFonts w:hint="eastAsia" w:hAnsi="宋体"/>
                <w:b/>
                <w:color w:val="auto"/>
                <w:szCs w:val="21"/>
                <w:highlight w:val="none"/>
              </w:rPr>
              <w:t>项目内容</w:t>
            </w:r>
          </w:p>
        </w:tc>
        <w:tc>
          <w:tcPr>
            <w:tcW w:w="3628" w:type="dxa"/>
            <w:vAlign w:val="center"/>
          </w:tcPr>
          <w:p>
            <w:pPr>
              <w:spacing w:line="360" w:lineRule="auto"/>
              <w:jc w:val="center"/>
              <w:rPr>
                <w:rFonts w:hAnsi="宋体"/>
                <w:b/>
                <w:color w:val="auto"/>
                <w:szCs w:val="21"/>
                <w:highlight w:val="none"/>
              </w:rPr>
            </w:pPr>
            <w:r>
              <w:rPr>
                <w:rFonts w:hint="eastAsia" w:hAnsi="宋体"/>
                <w:b/>
                <w:color w:val="auto"/>
                <w:szCs w:val="21"/>
                <w:highlight w:val="none"/>
                <w:lang w:val="en-US" w:eastAsia="zh-CN"/>
              </w:rPr>
              <w:t>服务</w:t>
            </w:r>
            <w:r>
              <w:rPr>
                <w:rFonts w:hint="eastAsia" w:hAnsi="宋体"/>
                <w:b/>
                <w:color w:val="auto"/>
                <w:szCs w:val="21"/>
                <w:highlight w:val="none"/>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0" w:type="auto"/>
            <w:vAlign w:val="center"/>
          </w:tcPr>
          <w:p>
            <w:pPr>
              <w:spacing w:line="360" w:lineRule="auto"/>
              <w:jc w:val="center"/>
              <w:rPr>
                <w:rFonts w:hAnsi="宋体"/>
                <w:color w:val="auto"/>
                <w:szCs w:val="21"/>
                <w:highlight w:val="none"/>
              </w:rPr>
            </w:pPr>
            <w:r>
              <w:rPr>
                <w:rFonts w:hint="eastAsia" w:hAnsi="宋体"/>
                <w:color w:val="auto"/>
                <w:szCs w:val="21"/>
                <w:highlight w:val="none"/>
              </w:rPr>
              <w:t>包A</w:t>
            </w:r>
          </w:p>
        </w:tc>
        <w:tc>
          <w:tcPr>
            <w:tcW w:w="4270" w:type="dxa"/>
            <w:vAlign w:val="center"/>
          </w:tcPr>
          <w:p>
            <w:pPr>
              <w:spacing w:line="360" w:lineRule="auto"/>
              <w:jc w:val="center"/>
              <w:rPr>
                <w:rFonts w:hAnsi="宋体"/>
                <w:color w:val="auto"/>
                <w:szCs w:val="21"/>
                <w:highlight w:val="none"/>
              </w:rPr>
            </w:pPr>
            <w:r>
              <w:rPr>
                <w:rFonts w:hint="eastAsia" w:hAnsi="宋体"/>
                <w:color w:val="auto"/>
                <w:szCs w:val="21"/>
                <w:highlight w:val="none"/>
              </w:rPr>
              <w:t>东莞市塘厦镇第三幼儿园饭堂食材配送采购一项</w:t>
            </w:r>
          </w:p>
        </w:tc>
        <w:tc>
          <w:tcPr>
            <w:tcW w:w="3628" w:type="dxa"/>
            <w:vAlign w:val="center"/>
          </w:tcPr>
          <w:p>
            <w:pPr>
              <w:spacing w:line="360" w:lineRule="auto"/>
              <w:jc w:val="center"/>
              <w:rPr>
                <w:rFonts w:hint="eastAsia" w:hAnsi="宋体" w:eastAsia="宋体"/>
                <w:color w:val="auto"/>
                <w:szCs w:val="21"/>
                <w:highlight w:val="none"/>
                <w:lang w:eastAsia="zh-CN"/>
              </w:rPr>
            </w:pPr>
            <w:r>
              <w:rPr>
                <w:rFonts w:hint="eastAsia" w:hAnsi="宋体"/>
                <w:color w:val="auto"/>
                <w:szCs w:val="21"/>
                <w:highlight w:val="none"/>
                <w:lang w:eastAsia="zh-CN"/>
              </w:rPr>
              <w:t>自合同签定之日起三年，合同一年一签。</w:t>
            </w: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简要技术要求或招标项目的性质：详细内容请参阅招标文件第三篇《用户需求书》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接受联合体投标。</w:t>
      </w:r>
    </w:p>
    <w:p>
      <w:pPr>
        <w:pStyle w:val="4"/>
        <w:spacing w:line="360" w:lineRule="auto"/>
        <w:jc w:val="left"/>
        <w:rPr>
          <w:rFonts w:ascii="宋体" w:hAnsi="宋体" w:cs="宋体"/>
          <w:b w:val="0"/>
          <w:color w:val="auto"/>
          <w:sz w:val="21"/>
          <w:szCs w:val="21"/>
          <w:highlight w:val="none"/>
        </w:rPr>
      </w:pPr>
      <w:bookmarkStart w:id="10" w:name="_Toc28359080"/>
      <w:bookmarkStart w:id="11" w:name="_Toc25198"/>
      <w:bookmarkStart w:id="12" w:name="_Toc35393622"/>
      <w:bookmarkStart w:id="13" w:name="_Toc28359003"/>
      <w:bookmarkStart w:id="14" w:name="_Toc35393791"/>
      <w:r>
        <w:rPr>
          <w:rFonts w:hint="eastAsia" w:ascii="宋体" w:hAnsi="宋体" w:cs="宋体"/>
          <w:bCs/>
          <w:color w:val="auto"/>
          <w:sz w:val="21"/>
          <w:szCs w:val="21"/>
          <w:highlight w:val="none"/>
        </w:rPr>
        <w:t>二、申请人的资格要求：</w:t>
      </w:r>
      <w:bookmarkEnd w:id="10"/>
      <w:bookmarkEnd w:id="11"/>
      <w:bookmarkEnd w:id="12"/>
      <w:bookmarkEnd w:id="13"/>
      <w:bookmarkEnd w:id="14"/>
    </w:p>
    <w:p>
      <w:pPr>
        <w:widowControl/>
        <w:spacing w:line="360" w:lineRule="auto"/>
        <w:ind w:firstLine="420" w:firstLineChars="200"/>
        <w:outlineLvl w:val="2"/>
        <w:rPr>
          <w:rFonts w:ascii="宋体" w:hAnsi="宋体"/>
          <w:color w:val="auto"/>
          <w:szCs w:val="21"/>
          <w:highlight w:val="none"/>
        </w:rPr>
      </w:pPr>
      <w:bookmarkStart w:id="15" w:name="_Toc16211"/>
      <w:bookmarkStart w:id="16" w:name="_Toc28359081"/>
      <w:bookmarkStart w:id="17" w:name="_Toc28359004"/>
      <w:r>
        <w:rPr>
          <w:rFonts w:hint="eastAsia" w:ascii="宋体" w:hAnsi="宋体"/>
          <w:color w:val="auto"/>
          <w:szCs w:val="21"/>
          <w:highlight w:val="none"/>
        </w:rPr>
        <w:t>1.投标供应商应具备《政府采购法》第二十二条规定的条件，提供下列材料：</w:t>
      </w:r>
      <w:bookmarkEnd w:id="15"/>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2）有依法缴纳税收和社会保障资金的良好记录：提供投标截止日前6个月内任意1个月依法缴纳税收和社会保障资金的相关材料。如依法免税或不需要缴纳社会保障资金的，提供相应证明材料。</w:t>
      </w:r>
      <w:r>
        <w:rPr>
          <w:rFonts w:hint="eastAsia"/>
          <w:color w:val="auto"/>
          <w:sz w:val="20"/>
          <w:highlight w:val="none"/>
        </w:rPr>
        <w:t>(或提供相关承诺函）</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3）具有良好的商业信誉和健全的财务会计制度：供应商必须具有良好的商业信誉和健全的财务会计制度（提供</w:t>
      </w:r>
      <w:r>
        <w:rPr>
          <w:rFonts w:hint="eastAsia" w:ascii="宋体" w:hAnsi="宋体"/>
          <w:color w:val="auto"/>
          <w:szCs w:val="21"/>
          <w:highlight w:val="none"/>
          <w:lang w:val="en-US" w:eastAsia="zh-CN"/>
        </w:rPr>
        <w:t>2021年度或2022年度</w:t>
      </w:r>
      <w:r>
        <w:rPr>
          <w:rFonts w:hint="eastAsia" w:ascii="宋体" w:hAnsi="宋体"/>
          <w:color w:val="auto"/>
          <w:szCs w:val="21"/>
          <w:highlight w:val="none"/>
        </w:rPr>
        <w:t>财务状况报告或基本开户行出具的资信证明）。</w:t>
      </w:r>
      <w:r>
        <w:rPr>
          <w:rFonts w:hint="eastAsia"/>
          <w:color w:val="auto"/>
          <w:sz w:val="20"/>
          <w:highlight w:val="none"/>
        </w:rPr>
        <w:t>(或提供相关承诺函）</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lang w:eastAsia="zh-CN"/>
        </w:rPr>
        <w:t>履行合同所必需的</w:t>
      </w:r>
      <w:r>
        <w:rPr>
          <w:rFonts w:hint="eastAsia" w:ascii="宋体" w:hAnsi="宋体"/>
          <w:color w:val="auto"/>
          <w:szCs w:val="21"/>
          <w:highlight w:val="none"/>
        </w:rPr>
        <w:t>设备和专业技术能力：填报设备及专业技术能力情况，格式自拟。</w:t>
      </w:r>
      <w:r>
        <w:rPr>
          <w:rFonts w:hint="eastAsia"/>
          <w:color w:val="auto"/>
          <w:sz w:val="20"/>
          <w:highlight w:val="none"/>
        </w:rPr>
        <w:t>(或提供相关承诺函）</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w:t>
      </w:r>
      <w:r>
        <w:rPr>
          <w:rFonts w:hint="eastAsia" w:ascii="宋体" w:hAnsi="宋体" w:eastAsia="宋体" w:cs="宋体"/>
          <w:color w:val="auto"/>
          <w:sz w:val="21"/>
          <w:szCs w:val="21"/>
          <w:highlight w:val="none"/>
          <w:lang w:val="en-US" w:eastAsia="zh-CN"/>
        </w:rPr>
        <w:t>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宋体" w:hAnsi="宋体"/>
          <w:color w:val="auto"/>
          <w:szCs w:val="21"/>
          <w:highlight w:val="none"/>
        </w:rPr>
        <w:t>。</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6）信用记录：供应商未被列入“信用中国”网站(www.creditchina.gov.cn)“记录失信被执行人或</w:t>
      </w:r>
      <w:r>
        <w:rPr>
          <w:rFonts w:hint="eastAsia" w:ascii="宋体" w:hAnsi="宋体"/>
          <w:color w:val="auto"/>
          <w:szCs w:val="21"/>
          <w:highlight w:val="none"/>
          <w:lang w:eastAsia="zh-CN"/>
        </w:rPr>
        <w:t>税收违法黑名单</w:t>
      </w:r>
      <w:r>
        <w:rPr>
          <w:rFonts w:hint="eastAsia" w:ascii="宋体" w:hAnsi="宋体"/>
          <w:color w:val="auto"/>
          <w:szCs w:val="21"/>
          <w:highlight w:val="none"/>
        </w:rPr>
        <w:t xml:space="preserve">”记录名单；不处于中国政府采购网(www.ccgp.gov.cn)“政府采购严重违法失信行为信息记录”中的禁止参加政府采购活动期间。（以招标代理机构于投标截止时间当天在“信用中国”网站（www.creditchina.gov.cn）及中国政府采购网（http://www.ccgp.gov.cn/）查询结果为准，如相关失信记录已失效，供应商需提供相关证明资料）。 </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供应商必须符合法律、行政法规规定的其他条件：单位负责人为同一人或者存在直接控股、管理关系的不同供应商，不得同时参加本采购项目投标。为本项目提供整体设计、规范编制或者项目管理、监理、检测等服务的供应商，不得再参与本项目投标。</w:t>
      </w:r>
    </w:p>
    <w:p>
      <w:pPr>
        <w:widowControl/>
        <w:spacing w:line="360" w:lineRule="auto"/>
        <w:ind w:firstLine="420" w:firstLineChars="200"/>
        <w:outlineLvl w:val="2"/>
        <w:rPr>
          <w:rFonts w:ascii="宋体" w:hAnsi="宋体"/>
          <w:color w:val="auto"/>
          <w:szCs w:val="21"/>
          <w:highlight w:val="none"/>
        </w:rPr>
      </w:pPr>
      <w:bookmarkStart w:id="18" w:name="_Toc26119"/>
      <w:r>
        <w:rPr>
          <w:rFonts w:hint="eastAsia" w:ascii="宋体" w:hAnsi="宋体"/>
          <w:color w:val="auto"/>
          <w:szCs w:val="21"/>
          <w:highlight w:val="none"/>
        </w:rPr>
        <w:t>2.本项目的特定资格要求：</w:t>
      </w:r>
      <w:bookmarkEnd w:id="18"/>
    </w:p>
    <w:p>
      <w:pPr>
        <w:spacing w:line="360" w:lineRule="auto"/>
        <w:ind w:firstLine="420" w:firstLineChars="200"/>
        <w:rPr>
          <w:rFonts w:ascii="宋体" w:hAnsi="宋体" w:cs="宋体"/>
          <w:i/>
          <w:iCs/>
          <w:color w:val="auto"/>
          <w:szCs w:val="21"/>
          <w:highlight w:val="none"/>
          <w:u w:val="single"/>
        </w:rPr>
      </w:pPr>
      <w:r>
        <w:rPr>
          <w:rFonts w:hint="eastAsia" w:ascii="宋体" w:hAnsi="宋体"/>
          <w:color w:val="auto"/>
          <w:szCs w:val="21"/>
          <w:highlight w:val="none"/>
        </w:rPr>
        <w:t>（1）无。</w:t>
      </w:r>
    </w:p>
    <w:p>
      <w:pPr>
        <w:pStyle w:val="4"/>
        <w:spacing w:line="360" w:lineRule="auto"/>
        <w:jc w:val="left"/>
        <w:rPr>
          <w:rFonts w:ascii="宋体" w:hAnsi="宋体" w:cs="宋体"/>
          <w:bCs/>
          <w:color w:val="auto"/>
          <w:sz w:val="21"/>
          <w:szCs w:val="21"/>
          <w:highlight w:val="none"/>
        </w:rPr>
      </w:pPr>
      <w:bookmarkStart w:id="19" w:name="_Toc173"/>
      <w:bookmarkStart w:id="20" w:name="_Toc35393623"/>
      <w:bookmarkStart w:id="21" w:name="_Toc35393792"/>
      <w:r>
        <w:rPr>
          <w:rFonts w:hint="eastAsia" w:ascii="宋体" w:hAnsi="宋体" w:cs="宋体"/>
          <w:bCs/>
          <w:color w:val="auto"/>
          <w:sz w:val="21"/>
          <w:szCs w:val="21"/>
          <w:highlight w:val="none"/>
        </w:rPr>
        <w:t>三、获取招标文件</w:t>
      </w:r>
      <w:bookmarkEnd w:id="16"/>
      <w:bookmarkEnd w:id="17"/>
      <w:bookmarkEnd w:id="19"/>
      <w:bookmarkEnd w:id="20"/>
      <w:bookmarkEnd w:id="21"/>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1、项目公示时间：202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日起至202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27</w:t>
      </w:r>
      <w:r>
        <w:rPr>
          <w:rFonts w:hint="eastAsia" w:ascii="宋体" w:hAnsi="宋体" w:cs="宋体"/>
          <w:color w:val="auto"/>
          <w:szCs w:val="21"/>
          <w:highlight w:val="none"/>
        </w:rPr>
        <w:t>日</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2、获取招标文件时间：202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日起至202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27</w:t>
      </w:r>
      <w:r>
        <w:rPr>
          <w:rFonts w:hint="eastAsia" w:ascii="宋体" w:hAnsi="宋体" w:cs="宋体"/>
          <w:color w:val="auto"/>
          <w:szCs w:val="21"/>
          <w:highlight w:val="none"/>
        </w:rPr>
        <w:t xml:space="preserve">日（节假日除外），上午9：00～12：00，下午14：30～17：30（北京时间）； </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注：（1）现场支持现金支付、微信支付、支付宝支付等支付方式，现场填写“获取招标文件登记表”并将相应表格交予我司简小姐。</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（2）招标文件电子版可在中国政府采购网以及</w:t>
      </w:r>
      <w:r>
        <w:rPr>
          <w:rFonts w:hint="eastAsia" w:ascii="宋体" w:hAnsi="宋体" w:cs="宋体"/>
          <w:color w:val="auto"/>
          <w:szCs w:val="21"/>
          <w:highlight w:val="none"/>
          <w:lang w:eastAsia="zh-CN"/>
        </w:rPr>
        <w:t>国顺招标网</w:t>
      </w:r>
      <w:r>
        <w:rPr>
          <w:rFonts w:hint="eastAsia" w:ascii="宋体" w:hAnsi="宋体" w:cs="宋体"/>
          <w:color w:val="auto"/>
          <w:szCs w:val="21"/>
          <w:highlight w:val="none"/>
        </w:rPr>
        <w:t>相关招标信息公告下自行下载。</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3、获取招标文件地点：东莞市南城街道鸿福西路81号国际商会大厦</w:t>
      </w:r>
      <w:r>
        <w:rPr>
          <w:rFonts w:hint="eastAsia" w:ascii="宋体" w:hAnsi="宋体" w:cs="宋体"/>
          <w:color w:val="auto"/>
          <w:szCs w:val="21"/>
          <w:highlight w:val="none"/>
          <w:lang w:eastAsia="zh-CN"/>
        </w:rPr>
        <w:t>13A层01</w:t>
      </w:r>
      <w:r>
        <w:rPr>
          <w:rFonts w:hint="eastAsia" w:ascii="宋体" w:hAnsi="宋体" w:cs="宋体"/>
          <w:color w:val="auto"/>
          <w:szCs w:val="21"/>
          <w:highlight w:val="none"/>
        </w:rPr>
        <w:t>室；</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联系人：简海欣</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联系电话：0769-22980090</w:t>
      </w:r>
    </w:p>
    <w:p>
      <w:pPr>
        <w:pStyle w:val="20"/>
        <w:tabs>
          <w:tab w:val="left" w:pos="804"/>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 xml:space="preserve">    4、获取方式：现场领购。投标人在领购招标文件时须提供如下证明材料：《营业执照》复印件（加盖公章）或《事业单位法人证书》复印件（加盖公章）或其他主体证书复印件（加盖公章），自然人参加投标须提供自然人的身份证明材料（未按上述方式获取招标文件的供应商，其投标资格将被视为无效）。</w:t>
      </w:r>
    </w:p>
    <w:p>
      <w:pPr>
        <w:spacing w:line="360" w:lineRule="auto"/>
        <w:ind w:firstLine="540"/>
        <w:rPr>
          <w:rFonts w:ascii="宋体" w:hAnsi="宋体" w:cs="宋体"/>
          <w:color w:val="auto"/>
          <w:szCs w:val="21"/>
          <w:highlight w:val="none"/>
        </w:rPr>
      </w:pPr>
      <w:r>
        <w:rPr>
          <w:rFonts w:hint="eastAsia" w:ascii="宋体" w:hAnsi="宋体" w:cs="宋体"/>
          <w:color w:val="auto"/>
          <w:szCs w:val="21"/>
          <w:highlight w:val="none"/>
        </w:rPr>
        <w:t>售价：</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00.00元</w:t>
      </w:r>
    </w:p>
    <w:p>
      <w:pPr>
        <w:pStyle w:val="4"/>
        <w:spacing w:line="360" w:lineRule="auto"/>
        <w:jc w:val="left"/>
        <w:rPr>
          <w:rFonts w:ascii="宋体" w:hAnsi="宋体" w:cs="宋体"/>
          <w:bCs/>
          <w:color w:val="auto"/>
          <w:sz w:val="21"/>
          <w:szCs w:val="21"/>
          <w:highlight w:val="none"/>
        </w:rPr>
      </w:pPr>
      <w:bookmarkStart w:id="22" w:name="_Toc28359005"/>
      <w:bookmarkStart w:id="23" w:name="_Toc28359082"/>
      <w:bookmarkStart w:id="24" w:name="_Toc35393624"/>
      <w:bookmarkStart w:id="25" w:name="_Toc35393793"/>
      <w:bookmarkStart w:id="26" w:name="_Toc28585"/>
      <w:r>
        <w:rPr>
          <w:rFonts w:hint="eastAsia" w:ascii="宋体" w:hAnsi="宋体" w:cs="宋体"/>
          <w:bCs/>
          <w:color w:val="auto"/>
          <w:sz w:val="21"/>
          <w:szCs w:val="21"/>
          <w:highlight w:val="none"/>
        </w:rPr>
        <w:t>四、提交投标文件</w:t>
      </w:r>
      <w:bookmarkEnd w:id="22"/>
      <w:bookmarkEnd w:id="23"/>
      <w:r>
        <w:rPr>
          <w:rFonts w:hint="eastAsia" w:ascii="宋体" w:hAnsi="宋体" w:cs="宋体"/>
          <w:bCs/>
          <w:color w:val="auto"/>
          <w:sz w:val="21"/>
          <w:szCs w:val="21"/>
          <w:highlight w:val="none"/>
        </w:rPr>
        <w:t>截止时间、开标时间和地点</w:t>
      </w:r>
      <w:bookmarkEnd w:id="24"/>
      <w:bookmarkEnd w:id="25"/>
      <w:bookmarkEnd w:id="26"/>
    </w:p>
    <w:p>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202</w:t>
      </w:r>
      <w:r>
        <w:rPr>
          <w:rFonts w:hint="eastAsia" w:ascii="宋体" w:hAnsi="宋体" w:cs="宋体"/>
          <w:bCs/>
          <w:color w:val="auto"/>
          <w:szCs w:val="21"/>
          <w:highlight w:val="none"/>
          <w:u w:val="single"/>
          <w:lang w:val="en-US" w:eastAsia="zh-CN"/>
        </w:rPr>
        <w:t>3</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7</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10</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14</w:t>
      </w:r>
      <w:r>
        <w:rPr>
          <w:rFonts w:hint="eastAsia" w:ascii="宋体" w:hAnsi="宋体" w:cs="宋体"/>
          <w:bCs/>
          <w:color w:val="auto"/>
          <w:szCs w:val="21"/>
          <w:highlight w:val="none"/>
          <w:u w:val="single"/>
        </w:rPr>
        <w:t>点</w:t>
      </w:r>
      <w:r>
        <w:rPr>
          <w:rFonts w:hint="eastAsia" w:ascii="宋体" w:hAnsi="宋体" w:cs="宋体"/>
          <w:bCs/>
          <w:color w:val="auto"/>
          <w:szCs w:val="21"/>
          <w:highlight w:val="none"/>
          <w:u w:val="single"/>
          <w:lang w:val="en-US" w:eastAsia="zh-CN"/>
        </w:rPr>
        <w:t>30</w:t>
      </w:r>
      <w:r>
        <w:rPr>
          <w:rFonts w:hint="eastAsia" w:ascii="宋体" w:hAnsi="宋体" w:cs="宋体"/>
          <w:bCs/>
          <w:color w:val="auto"/>
          <w:szCs w:val="21"/>
          <w:highlight w:val="none"/>
          <w:u w:val="single"/>
        </w:rPr>
        <w:t>分</w:t>
      </w:r>
      <w:r>
        <w:rPr>
          <w:rFonts w:hint="eastAsia" w:ascii="宋体" w:hAnsi="宋体" w:cs="宋体"/>
          <w:bCs/>
          <w:color w:val="auto"/>
          <w:szCs w:val="21"/>
          <w:highlight w:val="none"/>
        </w:rPr>
        <w:t>（北京时间）</w:t>
      </w:r>
    </w:p>
    <w:p>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地点：东莞市南城街道鸿福西路81号国际商会大厦</w:t>
      </w:r>
      <w:r>
        <w:rPr>
          <w:rFonts w:hint="eastAsia" w:ascii="宋体" w:hAnsi="宋体" w:cs="宋体"/>
          <w:color w:val="auto"/>
          <w:szCs w:val="21"/>
          <w:highlight w:val="none"/>
          <w:lang w:eastAsia="zh-CN"/>
        </w:rPr>
        <w:t>13A层01</w:t>
      </w:r>
      <w:r>
        <w:rPr>
          <w:rFonts w:hint="eastAsia" w:ascii="宋体" w:hAnsi="宋体" w:cs="宋体"/>
          <w:color w:val="auto"/>
          <w:szCs w:val="21"/>
          <w:highlight w:val="none"/>
        </w:rPr>
        <w:t>室</w:t>
      </w:r>
    </w:p>
    <w:p>
      <w:pPr>
        <w:pStyle w:val="4"/>
        <w:spacing w:line="360" w:lineRule="auto"/>
        <w:jc w:val="left"/>
        <w:rPr>
          <w:rFonts w:ascii="宋体" w:hAnsi="宋体" w:cs="宋体"/>
          <w:bCs/>
          <w:color w:val="auto"/>
          <w:sz w:val="21"/>
          <w:szCs w:val="21"/>
          <w:highlight w:val="none"/>
        </w:rPr>
      </w:pPr>
      <w:bookmarkStart w:id="27" w:name="_Toc35393794"/>
      <w:bookmarkStart w:id="28" w:name="_Toc28359007"/>
      <w:bookmarkStart w:id="29" w:name="_Toc35393625"/>
      <w:bookmarkStart w:id="30" w:name="_Toc25695"/>
      <w:bookmarkStart w:id="31" w:name="_Toc28359084"/>
      <w:r>
        <w:rPr>
          <w:rFonts w:hint="eastAsia" w:ascii="宋体" w:hAnsi="宋体" w:cs="宋体"/>
          <w:bCs/>
          <w:color w:val="auto"/>
          <w:sz w:val="21"/>
          <w:szCs w:val="21"/>
          <w:highlight w:val="none"/>
        </w:rPr>
        <w:t>五、公告期限</w:t>
      </w:r>
      <w:bookmarkEnd w:id="27"/>
      <w:bookmarkEnd w:id="28"/>
      <w:bookmarkEnd w:id="29"/>
      <w:bookmarkEnd w:id="30"/>
      <w:bookmarkEnd w:id="31"/>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pStyle w:val="4"/>
        <w:spacing w:line="360" w:lineRule="auto"/>
        <w:jc w:val="left"/>
        <w:rPr>
          <w:rFonts w:ascii="宋体" w:hAnsi="宋体" w:cs="宋体"/>
          <w:bCs/>
          <w:color w:val="auto"/>
          <w:sz w:val="21"/>
          <w:szCs w:val="21"/>
          <w:highlight w:val="none"/>
        </w:rPr>
      </w:pPr>
      <w:bookmarkStart w:id="32" w:name="_Toc35393626"/>
      <w:bookmarkStart w:id="33" w:name="_Toc1519"/>
      <w:bookmarkStart w:id="34" w:name="_Toc35393795"/>
      <w:r>
        <w:rPr>
          <w:rFonts w:hint="eastAsia" w:ascii="宋体" w:hAnsi="宋体" w:cs="宋体"/>
          <w:bCs/>
          <w:color w:val="auto"/>
          <w:sz w:val="21"/>
          <w:szCs w:val="21"/>
          <w:highlight w:val="none"/>
        </w:rPr>
        <w:t>六、其他补充事宜</w:t>
      </w:r>
      <w:bookmarkEnd w:id="32"/>
      <w:bookmarkEnd w:id="33"/>
      <w:bookmarkEnd w:id="34"/>
    </w:p>
    <w:p>
      <w:pPr>
        <w:widowControl/>
        <w:spacing w:line="360" w:lineRule="auto"/>
        <w:ind w:firstLine="420" w:firstLineChars="200"/>
        <w:rPr>
          <w:rFonts w:ascii="宋体" w:hAnsi="宋体"/>
          <w:color w:val="auto"/>
          <w:szCs w:val="21"/>
          <w:highlight w:val="none"/>
        </w:rPr>
      </w:pPr>
      <w:bookmarkStart w:id="35" w:name="_Toc35393796"/>
      <w:bookmarkStart w:id="36" w:name="_Toc35393627"/>
      <w:bookmarkStart w:id="37" w:name="_Toc28359008"/>
      <w:bookmarkStart w:id="38" w:name="_Toc28359085"/>
      <w:r>
        <w:rPr>
          <w:rFonts w:hint="eastAsia" w:ascii="宋体" w:hAnsi="宋体"/>
          <w:color w:val="auto"/>
          <w:szCs w:val="21"/>
          <w:highlight w:val="none"/>
        </w:rPr>
        <w:t>1、招标文件公示/下载媒体</w:t>
      </w:r>
    </w:p>
    <w:p>
      <w:pPr>
        <w:widowControl/>
        <w:wordWrap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中国政府采购网(http://www.ccgp.gov.cn/)以及</w:t>
      </w:r>
      <w:r>
        <w:rPr>
          <w:rFonts w:hint="eastAsia" w:ascii="宋体" w:hAnsi="宋体"/>
          <w:color w:val="auto"/>
          <w:szCs w:val="21"/>
          <w:highlight w:val="none"/>
          <w:lang w:eastAsia="zh-CN"/>
        </w:rPr>
        <w:t>国顺招标网</w:t>
      </w:r>
      <w:r>
        <w:rPr>
          <w:rFonts w:hint="eastAsia" w:ascii="宋体" w:hAnsi="宋体"/>
          <w:color w:val="auto"/>
          <w:szCs w:val="21"/>
          <w:highlight w:val="none"/>
        </w:rPr>
        <w:t>（</w:t>
      </w:r>
      <w:r>
        <w:rPr>
          <w:rFonts w:hint="eastAsia" w:ascii="宋体" w:hAnsi="宋体"/>
          <w:color w:val="auto"/>
          <w:szCs w:val="21"/>
          <w:highlight w:val="none"/>
          <w:lang w:eastAsia="zh-CN"/>
        </w:rPr>
        <w:t>http://www.guoshunzb.com/</w:t>
      </w:r>
      <w:r>
        <w:rPr>
          <w:rFonts w:hint="eastAsia" w:ascii="宋体" w:hAnsi="宋体"/>
          <w:color w:val="auto"/>
          <w:szCs w:val="21"/>
          <w:highlight w:val="none"/>
        </w:rPr>
        <w:t xml:space="preserve">） </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2、拟参加本项目的潜在投标人须在规定时间内按要求获取招标文件后方可参与本项目的投标。获取招标文件后而不参加投标的潜在投标人，请在开标日期三日前以书面形式通知招标代理机构。</w:t>
      </w:r>
    </w:p>
    <w:p>
      <w:pPr>
        <w:pStyle w:val="4"/>
        <w:spacing w:line="360" w:lineRule="auto"/>
        <w:jc w:val="left"/>
        <w:rPr>
          <w:rFonts w:ascii="宋体" w:hAnsi="宋体" w:cs="宋体"/>
          <w:bCs/>
          <w:color w:val="auto"/>
          <w:sz w:val="21"/>
          <w:szCs w:val="21"/>
          <w:highlight w:val="none"/>
        </w:rPr>
      </w:pPr>
      <w:bookmarkStart w:id="39" w:name="_Toc5139"/>
      <w:r>
        <w:rPr>
          <w:rFonts w:hint="eastAsia" w:ascii="宋体" w:hAnsi="宋体" w:cs="宋体"/>
          <w:bCs/>
          <w:color w:val="auto"/>
          <w:sz w:val="21"/>
          <w:szCs w:val="21"/>
          <w:highlight w:val="none"/>
        </w:rPr>
        <w:t>七、对本次招标提出询问，请按以下方式联系。</w:t>
      </w:r>
      <w:bookmarkEnd w:id="35"/>
      <w:bookmarkEnd w:id="36"/>
      <w:bookmarkEnd w:id="37"/>
      <w:bookmarkEnd w:id="38"/>
      <w:bookmarkEnd w:id="39"/>
    </w:p>
    <w:p>
      <w:pPr>
        <w:widowControl/>
        <w:spacing w:line="360" w:lineRule="auto"/>
        <w:outlineLvl w:val="2"/>
        <w:rPr>
          <w:rFonts w:ascii="宋体" w:hAnsi="宋体" w:cs="宋体"/>
          <w:b/>
          <w:bCs/>
          <w:color w:val="auto"/>
          <w:szCs w:val="21"/>
          <w:highlight w:val="none"/>
        </w:rPr>
      </w:pPr>
      <w:bookmarkStart w:id="40" w:name="_Toc31577"/>
      <w:r>
        <w:rPr>
          <w:rFonts w:hint="eastAsia" w:ascii="宋体" w:hAnsi="宋体" w:cs="宋体"/>
          <w:b/>
          <w:bCs/>
          <w:color w:val="auto"/>
          <w:szCs w:val="21"/>
          <w:highlight w:val="none"/>
        </w:rPr>
        <w:t>1.招标人信息</w:t>
      </w:r>
      <w:bookmarkEnd w:id="40"/>
    </w:p>
    <w:p>
      <w:pPr>
        <w:spacing w:line="360" w:lineRule="auto"/>
        <w:ind w:left="263" w:hanging="262" w:hangingChars="125"/>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 xml:space="preserve">东莞市塘厦镇第三幼儿园  </w:t>
      </w:r>
    </w:p>
    <w:p>
      <w:pPr>
        <w:spacing w:line="360" w:lineRule="auto"/>
        <w:ind w:left="263" w:hanging="262" w:hangingChars="125"/>
        <w:rPr>
          <w:rFonts w:ascii="宋体" w:hAnsi="宋体" w:cs="宋体"/>
          <w:color w:val="auto"/>
          <w:szCs w:val="21"/>
          <w:highlight w:val="none"/>
        </w:rPr>
      </w:pPr>
      <w:r>
        <w:rPr>
          <w:rFonts w:hint="eastAsia" w:ascii="宋体" w:hAnsi="宋体" w:cs="宋体"/>
          <w:color w:val="auto"/>
          <w:szCs w:val="21"/>
          <w:highlight w:val="none"/>
        </w:rPr>
        <w:t>地  址：东莞市</w:t>
      </w:r>
      <w:r>
        <w:rPr>
          <w:rFonts w:hint="eastAsia" w:ascii="宋体" w:hAnsi="宋体" w:cs="宋体"/>
          <w:color w:val="auto"/>
          <w:szCs w:val="21"/>
          <w:highlight w:val="none"/>
          <w:lang w:eastAsia="zh-CN"/>
        </w:rPr>
        <w:t>塘厦镇</w:t>
      </w:r>
    </w:p>
    <w:p>
      <w:pPr>
        <w:spacing w:line="360" w:lineRule="auto"/>
        <w:ind w:left="263" w:hanging="262" w:hangingChars="125"/>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周老师</w:t>
      </w:r>
    </w:p>
    <w:p>
      <w:pPr>
        <w:spacing w:line="360" w:lineRule="auto"/>
        <w:ind w:left="263" w:hanging="262" w:hangingChars="125"/>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联系方式：</w:t>
      </w:r>
      <w:r>
        <w:rPr>
          <w:rFonts w:hint="eastAsia"/>
          <w:color w:val="auto"/>
          <w:highlight w:val="none"/>
          <w:lang w:val="en-US" w:eastAsia="zh-CN"/>
        </w:rPr>
        <w:t>0769-82953230</w:t>
      </w:r>
    </w:p>
    <w:p>
      <w:pPr>
        <w:spacing w:line="360" w:lineRule="auto"/>
        <w:ind w:left="264" w:hanging="264" w:hangingChars="125"/>
        <w:outlineLvl w:val="2"/>
        <w:rPr>
          <w:rFonts w:ascii="宋体" w:hAnsi="宋体" w:cs="宋体"/>
          <w:b/>
          <w:bCs/>
          <w:color w:val="auto"/>
          <w:szCs w:val="21"/>
          <w:highlight w:val="none"/>
        </w:rPr>
      </w:pPr>
      <w:bookmarkStart w:id="41" w:name="_Toc4580"/>
      <w:bookmarkStart w:id="42" w:name="_Toc28359086"/>
      <w:bookmarkStart w:id="43" w:name="_Toc28359009"/>
      <w:r>
        <w:rPr>
          <w:rFonts w:hint="eastAsia" w:ascii="宋体" w:hAnsi="宋体" w:cs="宋体"/>
          <w:b/>
          <w:bCs/>
          <w:color w:val="auto"/>
          <w:szCs w:val="21"/>
          <w:highlight w:val="none"/>
        </w:rPr>
        <w:t>2.招标代理机构信息</w:t>
      </w:r>
      <w:bookmarkEnd w:id="41"/>
      <w:bookmarkEnd w:id="42"/>
      <w:bookmarkEnd w:id="43"/>
    </w:p>
    <w:p>
      <w:pPr>
        <w:spacing w:line="360" w:lineRule="auto"/>
        <w:rPr>
          <w:rFonts w:ascii="宋体" w:hAnsi="宋体" w:cs="宋体"/>
          <w:color w:val="auto"/>
          <w:szCs w:val="21"/>
          <w:highlight w:val="none"/>
        </w:rPr>
      </w:pPr>
      <w:r>
        <w:rPr>
          <w:rFonts w:hint="eastAsia" w:ascii="宋体" w:hAnsi="宋体" w:cs="宋体"/>
          <w:color w:val="auto"/>
          <w:szCs w:val="21"/>
          <w:highlight w:val="none"/>
        </w:rPr>
        <w:t>名    称：国顺招标有限公司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地　  址：东莞市南城街道鸿福西路81号国际商会大厦</w:t>
      </w:r>
      <w:r>
        <w:rPr>
          <w:rFonts w:hint="eastAsia" w:ascii="宋体" w:hAnsi="宋体" w:cs="宋体"/>
          <w:color w:val="auto"/>
          <w:szCs w:val="21"/>
          <w:highlight w:val="none"/>
          <w:lang w:eastAsia="zh-CN"/>
        </w:rPr>
        <w:t>13A层01</w:t>
      </w:r>
      <w:r>
        <w:rPr>
          <w:rFonts w:hint="eastAsia" w:ascii="宋体" w:hAnsi="宋体" w:cs="宋体"/>
          <w:color w:val="auto"/>
          <w:szCs w:val="21"/>
          <w:highlight w:val="none"/>
        </w:rPr>
        <w:t>室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联系方式：</w:t>
      </w:r>
      <w:bookmarkStart w:id="44" w:name="_Toc28359010"/>
      <w:bookmarkStart w:id="45" w:name="_Toc28359087"/>
      <w:r>
        <w:rPr>
          <w:rFonts w:hint="eastAsia" w:ascii="宋体" w:hAnsi="宋体" w:cs="宋体"/>
          <w:color w:val="auto"/>
          <w:szCs w:val="21"/>
          <w:highlight w:val="none"/>
        </w:rPr>
        <w:t>0769-22980090　　　　　　　　　　　　</w:t>
      </w:r>
    </w:p>
    <w:p>
      <w:pPr>
        <w:spacing w:line="360" w:lineRule="auto"/>
        <w:outlineLvl w:val="2"/>
        <w:rPr>
          <w:rFonts w:ascii="宋体" w:hAnsi="宋体" w:cs="宋体"/>
          <w:b/>
          <w:bCs/>
          <w:color w:val="auto"/>
          <w:szCs w:val="21"/>
          <w:highlight w:val="none"/>
        </w:rPr>
      </w:pPr>
      <w:bookmarkStart w:id="46" w:name="_Toc9440"/>
      <w:r>
        <w:rPr>
          <w:rFonts w:hint="eastAsia" w:ascii="宋体" w:hAnsi="宋体" w:cs="宋体"/>
          <w:b/>
          <w:bCs/>
          <w:color w:val="auto"/>
          <w:szCs w:val="21"/>
          <w:highlight w:val="none"/>
        </w:rPr>
        <w:t>3.项目联系方式</w:t>
      </w:r>
      <w:bookmarkEnd w:id="44"/>
      <w:bookmarkEnd w:id="45"/>
      <w:bookmarkEnd w:id="46"/>
    </w:p>
    <w:p>
      <w:pPr>
        <w:pStyle w:val="10"/>
        <w:spacing w:line="360" w:lineRule="auto"/>
        <w:rPr>
          <w:rFonts w:hAnsi="宋体" w:eastAsia="宋体" w:cs="宋体"/>
          <w:color w:val="auto"/>
          <w:szCs w:val="21"/>
          <w:highlight w:val="none"/>
        </w:rPr>
      </w:pPr>
      <w:r>
        <w:rPr>
          <w:rFonts w:hint="eastAsia" w:hAnsi="宋体" w:eastAsia="宋体" w:cs="宋体"/>
          <w:color w:val="auto"/>
          <w:szCs w:val="21"/>
          <w:highlight w:val="none"/>
        </w:rPr>
        <w:t>项目联系人：陈锦涛</w:t>
      </w:r>
    </w:p>
    <w:p>
      <w:pPr>
        <w:pStyle w:val="10"/>
        <w:spacing w:line="360" w:lineRule="auto"/>
        <w:rPr>
          <w:rFonts w:hAnsi="宋体" w:eastAsia="宋体" w:cs="宋体"/>
          <w:color w:val="auto"/>
          <w:szCs w:val="21"/>
          <w:highlight w:val="none"/>
        </w:rPr>
      </w:pPr>
      <w:r>
        <w:rPr>
          <w:rFonts w:hint="eastAsia" w:hAnsi="宋体" w:eastAsia="宋体" w:cs="宋体"/>
          <w:color w:val="auto"/>
          <w:szCs w:val="21"/>
          <w:highlight w:val="none"/>
        </w:rPr>
        <w:t>电　    话：0769-22980090</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3"/>
        <w:numPr>
          <w:ilvl w:val="0"/>
          <w:numId w:val="1"/>
        </w:numPr>
        <w:spacing w:line="360" w:lineRule="auto"/>
        <w:rPr>
          <w:color w:val="auto"/>
          <w:highlight w:val="none"/>
        </w:rPr>
      </w:pPr>
      <w:bookmarkStart w:id="47" w:name="_Toc29954"/>
      <w:r>
        <w:rPr>
          <w:rFonts w:hint="eastAsia"/>
          <w:color w:val="auto"/>
          <w:highlight w:val="none"/>
        </w:rPr>
        <w:t>投标人须知</w:t>
      </w:r>
      <w:bookmarkEnd w:id="47"/>
    </w:p>
    <w:p>
      <w:pPr>
        <w:pStyle w:val="4"/>
        <w:spacing w:line="360" w:lineRule="auto"/>
        <w:rPr>
          <w:color w:val="auto"/>
          <w:highlight w:val="none"/>
          <w:lang w:val="zh-CN"/>
        </w:rPr>
      </w:pPr>
      <w:bookmarkStart w:id="48" w:name="_Toc413402429"/>
      <w:bookmarkStart w:id="49" w:name="_Toc396137231"/>
      <w:bookmarkStart w:id="50" w:name="_Toc497983494"/>
      <w:bookmarkStart w:id="51" w:name="_Toc652"/>
      <w:r>
        <w:rPr>
          <w:rFonts w:hint="eastAsia"/>
          <w:color w:val="auto"/>
          <w:highlight w:val="none"/>
          <w:lang w:val="zh-CN"/>
        </w:rPr>
        <w:t>一、投标须知前附表</w:t>
      </w:r>
      <w:bookmarkEnd w:id="48"/>
      <w:bookmarkEnd w:id="49"/>
      <w:bookmarkEnd w:id="50"/>
      <w:bookmarkEnd w:id="51"/>
    </w:p>
    <w:tbl>
      <w:tblPr>
        <w:tblStyle w:val="15"/>
        <w:tblW w:w="90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06"/>
        <w:gridCol w:w="710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655"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1306" w:type="dxa"/>
            <w:tcBorders>
              <w:top w:val="doub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内容</w:t>
            </w:r>
          </w:p>
        </w:tc>
        <w:tc>
          <w:tcPr>
            <w:tcW w:w="7103" w:type="dxa"/>
            <w:tcBorders>
              <w:top w:val="doub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自筹</w:t>
            </w:r>
            <w:r>
              <w:rPr>
                <w:rFonts w:hint="eastAsia" w:ascii="宋体" w:hAnsi="宋体" w:cs="宋体"/>
                <w:color w:val="auto"/>
                <w:szCs w:val="21"/>
                <w:highlight w:val="none"/>
              </w:rPr>
              <w:t>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招标人不集中组织，由投标人自行踏勘。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jc w:val="both"/>
              <w:rPr>
                <w:rFonts w:ascii="宋体" w:hAnsi="宋体" w:cs="宋体"/>
                <w:color w:val="auto"/>
                <w:szCs w:val="21"/>
                <w:highlight w:val="none"/>
              </w:rPr>
            </w:pPr>
            <w:r>
              <w:rPr>
                <w:rFonts w:hint="eastAsia"/>
                <w:color w:val="auto"/>
                <w:szCs w:val="28"/>
                <w:highlight w:val="none"/>
              </w:rPr>
              <w:t>投标人应准备一份“开标文件”、一份“投标文件电子文件”、一份正本和</w:t>
            </w:r>
            <w:r>
              <w:rPr>
                <w:rFonts w:hint="eastAsia"/>
                <w:color w:val="auto"/>
                <w:szCs w:val="28"/>
                <w:highlight w:val="none"/>
                <w:lang w:val="en-US" w:eastAsia="zh-CN"/>
              </w:rPr>
              <w:t>五</w:t>
            </w:r>
            <w:r>
              <w:rPr>
                <w:rFonts w:hint="eastAsia"/>
                <w:color w:val="auto"/>
                <w:szCs w:val="28"/>
                <w:highlight w:val="none"/>
              </w:rPr>
              <w:t>份副本“投标文件”。在每一份投标文件上编上目录（目录内的页码必须与实际内容对应）、页次，装订成册（不允许使用活页夹），并要明确注明“正本”或“副本”，一旦正本和副本发现差异，以正本为准。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投标报价</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jc w:val="both"/>
              <w:rPr>
                <w:rFonts w:ascii="宋体" w:hAnsi="宋体" w:cs="宋体"/>
                <w:color w:val="auto"/>
                <w:szCs w:val="21"/>
                <w:highlight w:val="none"/>
              </w:rPr>
            </w:pPr>
            <w:r>
              <w:rPr>
                <w:rFonts w:hint="eastAsia" w:ascii="宋体" w:hAnsi="宋体" w:cs="宋体"/>
                <w:color w:val="auto"/>
                <w:szCs w:val="21"/>
                <w:highlight w:val="none"/>
              </w:rPr>
              <w:t>投标报价超出本项目采购预算金额/最高限价的为无效标。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投标保证金</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本项目不收取</w:t>
            </w:r>
            <w:r>
              <w:rPr>
                <w:rFonts w:hint="eastAsia" w:ascii="宋体" w:hAnsi="宋体" w:cs="宋体"/>
                <w:color w:val="auto"/>
                <w:szCs w:val="21"/>
                <w:highlight w:val="none"/>
                <w:lang w:eastAsia="zh-CN"/>
              </w:rPr>
              <w:t>）</w:t>
            </w:r>
          </w:p>
        </w:tc>
        <w:tc>
          <w:tcPr>
            <w:tcW w:w="7103" w:type="dxa"/>
            <w:tcBorders>
              <w:top w:val="single" w:color="auto" w:sz="4" w:space="0"/>
              <w:left w:val="single" w:color="auto" w:sz="4" w:space="0"/>
              <w:bottom w:val="single" w:color="auto" w:sz="4" w:space="0"/>
              <w:right w:val="double" w:color="auto" w:sz="4" w:space="0"/>
            </w:tcBorders>
            <w:vAlign w:val="center"/>
          </w:tcPr>
          <w:p>
            <w:pPr>
              <w:numPr>
                <w:ilvl w:val="0"/>
                <w:numId w:val="3"/>
              </w:numPr>
              <w:spacing w:line="360" w:lineRule="auto"/>
              <w:jc w:val="both"/>
              <w:rPr>
                <w:b/>
                <w:bCs/>
                <w:color w:val="auto"/>
                <w:highlight w:val="none"/>
              </w:rPr>
            </w:pPr>
            <w:r>
              <w:rPr>
                <w:rFonts w:hint="eastAsia"/>
                <w:color w:val="auto"/>
                <w:highlight w:val="none"/>
              </w:rPr>
              <w:t>投标保证金金额：</w:t>
            </w:r>
            <w:r>
              <w:rPr>
                <w:rFonts w:hint="eastAsia"/>
                <w:color w:val="auto"/>
                <w:highlight w:val="none"/>
                <w:lang w:val="en-US" w:eastAsia="zh-CN"/>
              </w:rPr>
              <w:t>/</w:t>
            </w:r>
          </w:p>
          <w:p>
            <w:pPr>
              <w:spacing w:line="300" w:lineRule="exact"/>
              <w:jc w:val="both"/>
              <w:rPr>
                <w:rFonts w:ascii="宋体" w:hAnsi="宋体"/>
                <w:color w:val="auto"/>
                <w:szCs w:val="21"/>
                <w:highlight w:val="none"/>
                <w:lang w:val="zh-CN"/>
              </w:rPr>
            </w:pPr>
            <w:r>
              <w:rPr>
                <w:rFonts w:hint="eastAsia"/>
                <w:color w:val="auto"/>
                <w:highlight w:val="none"/>
              </w:rPr>
              <w:t>2、</w:t>
            </w:r>
            <w:r>
              <w:rPr>
                <w:rFonts w:hint="eastAsia" w:ascii="宋体" w:hAnsi="宋体"/>
                <w:color w:val="auto"/>
                <w:szCs w:val="21"/>
                <w:highlight w:val="none"/>
                <w:lang w:val="zh-CN"/>
              </w:rPr>
              <w:t>保证金递交账户：</w:t>
            </w:r>
          </w:p>
          <w:p>
            <w:pPr>
              <w:spacing w:line="300" w:lineRule="exact"/>
              <w:jc w:val="both"/>
              <w:rPr>
                <w:rFonts w:ascii="宋体" w:hAnsi="宋体"/>
                <w:color w:val="auto"/>
                <w:szCs w:val="21"/>
                <w:highlight w:val="none"/>
                <w:lang w:val="zh-CN"/>
              </w:rPr>
            </w:pPr>
            <w:r>
              <w:rPr>
                <w:rFonts w:hint="eastAsia" w:ascii="宋体" w:hAnsi="宋体"/>
                <w:color w:val="auto"/>
                <w:szCs w:val="21"/>
                <w:highlight w:val="none"/>
                <w:lang w:val="zh-CN"/>
              </w:rPr>
              <w:t>收款人：国顺招标有限公司</w:t>
            </w:r>
          </w:p>
          <w:p>
            <w:pPr>
              <w:spacing w:line="300" w:lineRule="exact"/>
              <w:jc w:val="both"/>
              <w:rPr>
                <w:rFonts w:ascii="宋体" w:hAnsi="宋体"/>
                <w:color w:val="auto"/>
                <w:szCs w:val="21"/>
                <w:highlight w:val="none"/>
                <w:lang w:val="zh-CN"/>
              </w:rPr>
            </w:pPr>
            <w:r>
              <w:rPr>
                <w:rFonts w:hint="eastAsia" w:ascii="宋体" w:hAnsi="宋体"/>
                <w:color w:val="auto"/>
                <w:szCs w:val="21"/>
                <w:highlight w:val="none"/>
                <w:lang w:val="zh-CN"/>
              </w:rPr>
              <w:t>开户行：广发银行股份有限公司东莞城区支行</w:t>
            </w:r>
          </w:p>
          <w:p>
            <w:pPr>
              <w:spacing w:line="300" w:lineRule="exact"/>
              <w:jc w:val="both"/>
              <w:rPr>
                <w:rFonts w:ascii="宋体" w:hAnsi="宋体"/>
                <w:color w:val="auto"/>
                <w:szCs w:val="21"/>
                <w:highlight w:val="none"/>
                <w:lang w:val="zh-CN"/>
              </w:rPr>
            </w:pPr>
            <w:r>
              <w:rPr>
                <w:rFonts w:hint="eastAsia" w:ascii="宋体" w:hAnsi="宋体"/>
                <w:color w:val="auto"/>
                <w:szCs w:val="21"/>
                <w:highlight w:val="none"/>
                <w:lang w:val="zh-CN"/>
              </w:rPr>
              <w:t>账  号：9550880226934600216</w:t>
            </w:r>
          </w:p>
          <w:p>
            <w:pPr>
              <w:pStyle w:val="5"/>
              <w:rPr>
                <w:color w:val="auto"/>
                <w:highlight w:val="none"/>
              </w:rPr>
            </w:pPr>
            <w:r>
              <w:rPr>
                <w:rFonts w:hint="eastAsia" w:ascii="宋体" w:hAnsi="宋体"/>
                <w:color w:val="auto"/>
                <w:szCs w:val="21"/>
                <w:highlight w:val="none"/>
                <w:lang w:val="zh-CN"/>
              </w:rPr>
              <w:t>（各投标人在转账或电汇时须在用途栏上写明项目编号）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评标委员会</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评标委员会成员共</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5</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rPr>
              <w:t>人：</w:t>
            </w:r>
            <w:r>
              <w:rPr>
                <w:rFonts w:hint="eastAsia" w:ascii="宋体" w:hAnsi="宋体" w:cs="宋体"/>
                <w:color w:val="auto"/>
                <w:szCs w:val="21"/>
                <w:highlight w:val="none"/>
                <w:lang w:val="zh-CN"/>
              </w:rPr>
              <w:t>其中招标人代表1名；技术、经济等方面的专家</w:t>
            </w:r>
            <w:r>
              <w:rPr>
                <w:rFonts w:hint="eastAsia" w:ascii="宋体" w:hAnsi="宋体" w:cs="宋体"/>
                <w:b/>
                <w:color w:val="auto"/>
                <w:szCs w:val="21"/>
                <w:highlight w:val="none"/>
                <w:u w:val="single"/>
                <w:lang w:val="en-US" w:eastAsia="zh-CN"/>
              </w:rPr>
              <w:t>4</w:t>
            </w:r>
            <w:r>
              <w:rPr>
                <w:rFonts w:hint="eastAsia" w:ascii="宋体" w:hAnsi="宋体" w:cs="宋体"/>
                <w:color w:val="auto"/>
                <w:szCs w:val="21"/>
                <w:highlight w:val="none"/>
              </w:rPr>
              <w:t>人</w:t>
            </w:r>
            <w:r>
              <w:rPr>
                <w:rFonts w:hint="eastAsia" w:ascii="宋体" w:hAnsi="宋体" w:cs="宋体"/>
                <w:color w:val="auto"/>
                <w:szCs w:val="21"/>
                <w:highlight w:val="none"/>
                <w:lang w:val="zh-CN"/>
              </w:rPr>
              <w:t>由</w:t>
            </w:r>
            <w:r>
              <w:rPr>
                <w:rFonts w:hint="eastAsia" w:ascii="宋体" w:hAnsi="宋体" w:cs="宋体"/>
                <w:color w:val="auto"/>
                <w:szCs w:val="21"/>
                <w:highlight w:val="none"/>
              </w:rPr>
              <w:t>专家库中随机抽取确定。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评标方法</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ind w:right="-38" w:rightChars="-18"/>
              <w:jc w:val="center"/>
              <w:rPr>
                <w:rFonts w:ascii="宋体" w:hAnsi="宋体" w:cs="宋体"/>
                <w:bCs/>
                <w:color w:val="auto"/>
                <w:szCs w:val="21"/>
                <w:highlight w:val="none"/>
              </w:rPr>
            </w:pPr>
            <w:r>
              <w:rPr>
                <w:rFonts w:hint="eastAsia" w:ascii="宋体" w:hAnsi="宋体" w:cs="宋体"/>
                <w:bCs/>
                <w:color w:val="auto"/>
                <w:szCs w:val="21"/>
                <w:highlight w:val="none"/>
              </w:rPr>
              <w:t>采购信息公告媒体</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val="zh-CN"/>
              </w:rPr>
              <w:t>中国政府采购网</w:t>
            </w:r>
            <w:r>
              <w:rPr>
                <w:rFonts w:hint="eastAsia" w:ascii="宋体" w:hAnsi="宋体" w:cs="宋体"/>
                <w:color w:val="auto"/>
                <w:szCs w:val="21"/>
                <w:highlight w:val="none"/>
              </w:rPr>
              <w:t>及</w:t>
            </w:r>
            <w:r>
              <w:rPr>
                <w:rFonts w:hint="eastAsia" w:ascii="宋体" w:hAnsi="宋体" w:cs="宋体"/>
                <w:color w:val="auto"/>
                <w:szCs w:val="21"/>
                <w:highlight w:val="none"/>
                <w:lang w:eastAsia="zh-CN"/>
              </w:rPr>
              <w:t>国顺招标网</w:t>
            </w:r>
            <w:r>
              <w:rPr>
                <w:rFonts w:hint="eastAsia" w:ascii="宋体" w:hAnsi="宋体" w:cs="宋体"/>
                <w:color w:val="auto"/>
                <w:szCs w:val="21"/>
                <w:highlight w:val="none"/>
                <w:lang w:val="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ind w:right="-38" w:rightChars="-18"/>
              <w:jc w:val="center"/>
              <w:rPr>
                <w:rFonts w:ascii="宋体" w:hAnsi="宋体" w:cs="宋体"/>
                <w:bCs/>
                <w:color w:val="auto"/>
                <w:szCs w:val="21"/>
                <w:highlight w:val="none"/>
              </w:rPr>
            </w:pPr>
            <w:r>
              <w:rPr>
                <w:rFonts w:hint="eastAsia" w:ascii="宋体" w:hAnsi="宋体" w:cs="宋体"/>
                <w:bCs/>
                <w:color w:val="auto"/>
                <w:szCs w:val="21"/>
                <w:highlight w:val="none"/>
              </w:rPr>
              <w:t>履约保证金</w:t>
            </w:r>
          </w:p>
          <w:p>
            <w:pPr>
              <w:spacing w:line="360" w:lineRule="auto"/>
              <w:ind w:right="-38" w:rightChars="-18"/>
              <w:jc w:val="center"/>
              <w:rPr>
                <w:color w:val="auto"/>
                <w:highlight w:val="none"/>
              </w:rPr>
            </w:pPr>
            <w:r>
              <w:rPr>
                <w:rFonts w:hint="eastAsia" w:ascii="宋体" w:hAnsi="宋体" w:cs="宋体"/>
                <w:bCs/>
                <w:color w:val="auto"/>
                <w:szCs w:val="21"/>
                <w:highlight w:val="none"/>
              </w:rPr>
              <w:t>（如有需要）</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履约保证金金额</w:t>
            </w:r>
            <w:r>
              <w:rPr>
                <w:rFonts w:hint="eastAsia" w:ascii="宋体" w:hAnsi="宋体" w:cs="宋体"/>
                <w:b/>
                <w:bCs/>
                <w:color w:val="auto"/>
                <w:szCs w:val="21"/>
                <w:highlight w:val="none"/>
              </w:rPr>
              <w:t>：</w:t>
            </w:r>
            <w:r>
              <w:rPr>
                <w:rFonts w:hint="eastAsia" w:ascii="宋体" w:hAnsi="宋体" w:cs="宋体"/>
                <w:bCs/>
                <w:color w:val="auto"/>
                <w:szCs w:val="21"/>
                <w:highlight w:val="none"/>
              </w:rPr>
              <w:t>合同金额的5%。</w:t>
            </w: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说明：中标人应在签订合同前递交履约保证金，履约保证金可采用保证金（银行转账、电汇）方式，或采用履约保函方式。</w:t>
            </w: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履约保函为担保机构、国有或股份制商业银行支行以上级别银行开具的保函，保函金额为合同价的5%。如须合同生效后才可办理保函的，提交保函时间不得超过合同签订日（含）起15个工作日。保函有效期间截止时间为本合同期满后且经采购人验收合格后的30日。</w:t>
            </w:r>
          </w:p>
          <w:p>
            <w:pPr>
              <w:spacing w:line="360" w:lineRule="auto"/>
              <w:rPr>
                <w:rFonts w:ascii="宋体" w:hAnsi="宋体" w:cs="宋体"/>
                <w:b/>
                <w:bCs/>
                <w:color w:val="auto"/>
                <w:szCs w:val="21"/>
                <w:highlight w:val="none"/>
              </w:rPr>
            </w:pPr>
            <w:r>
              <w:rPr>
                <w:rFonts w:hint="eastAsia" w:ascii="宋体" w:hAnsi="宋体" w:cs="宋体"/>
                <w:bCs/>
                <w:color w:val="auto"/>
                <w:szCs w:val="21"/>
                <w:highlight w:val="none"/>
              </w:rPr>
              <w:t>履约保证金在合同期满后或产品验收合格后，中标人向采购人提交退回履约保证金的申请、履约保证金汇款凭证复印件、采购合同、采购项目验收报告原件、中标通知书复印件，前往采购人办理履约保证金退还手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中标服务费</w:t>
            </w:r>
          </w:p>
        </w:tc>
        <w:tc>
          <w:tcPr>
            <w:tcW w:w="7103" w:type="dxa"/>
            <w:tcBorders>
              <w:top w:val="single" w:color="auto" w:sz="4" w:space="0"/>
              <w:left w:val="single" w:color="auto" w:sz="4" w:space="0"/>
              <w:bottom w:val="single" w:color="auto" w:sz="4" w:space="0"/>
              <w:right w:val="double" w:color="auto" w:sz="4" w:space="0"/>
            </w:tcBorders>
            <w:vAlign w:val="center"/>
          </w:tcPr>
          <w:p>
            <w:pPr>
              <w:numPr>
                <w:ilvl w:val="0"/>
                <w:numId w:val="4"/>
              </w:numPr>
              <w:spacing w:line="360" w:lineRule="auto"/>
              <w:rPr>
                <w:rFonts w:ascii="宋体" w:hAnsi="宋体" w:cs="宋体"/>
                <w:color w:val="auto"/>
                <w:highlight w:val="none"/>
              </w:rPr>
            </w:pPr>
            <w:r>
              <w:rPr>
                <w:rFonts w:hint="eastAsia" w:ascii="宋体" w:hAnsi="宋体" w:eastAsia="宋体"/>
                <w:color w:val="auto"/>
                <w:sz w:val="21"/>
                <w:szCs w:val="21"/>
                <w:highlight w:val="none"/>
              </w:rPr>
              <w:t>中标服务费为人民币</w:t>
            </w:r>
            <w:r>
              <w:rPr>
                <w:rFonts w:hint="eastAsia" w:ascii="宋体" w:hAnsi="宋体" w:eastAsia="宋体"/>
                <w:color w:val="auto"/>
                <w:sz w:val="21"/>
                <w:szCs w:val="21"/>
                <w:highlight w:val="none"/>
                <w:lang w:val="en-US" w:eastAsia="zh-CN"/>
              </w:rPr>
              <w:t>叁</w:t>
            </w:r>
            <w:r>
              <w:rPr>
                <w:rFonts w:hint="eastAsia" w:ascii="宋体" w:hAnsi="宋体" w:eastAsia="宋体"/>
                <w:color w:val="auto"/>
                <w:sz w:val="21"/>
                <w:szCs w:val="21"/>
                <w:highlight w:val="none"/>
              </w:rPr>
              <w:t>万元整（¥</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0,000.00）</w:t>
            </w:r>
            <w:r>
              <w:rPr>
                <w:rFonts w:hint="eastAsia" w:ascii="宋体" w:hAnsi="宋体" w:cs="宋体"/>
                <w:color w:val="auto"/>
                <w:highlight w:val="none"/>
              </w:rPr>
              <w:t>。</w:t>
            </w:r>
          </w:p>
          <w:p>
            <w:pPr>
              <w:spacing w:line="360" w:lineRule="auto"/>
              <w:rPr>
                <w:color w:val="auto"/>
                <w:highlight w:val="none"/>
              </w:rPr>
            </w:pPr>
            <w:r>
              <w:rPr>
                <w:rFonts w:hint="eastAsia"/>
                <w:color w:val="auto"/>
                <w:highlight w:val="none"/>
              </w:rPr>
              <w:t>（2）中标服务费以转账或现金的形式支付。招标代理机构服务费汇入账号：</w:t>
            </w:r>
          </w:p>
          <w:p>
            <w:pPr>
              <w:spacing w:line="360" w:lineRule="auto"/>
              <w:rPr>
                <w:color w:val="auto"/>
                <w:highlight w:val="none"/>
              </w:rPr>
            </w:pPr>
            <w:r>
              <w:rPr>
                <w:rFonts w:hint="eastAsia"/>
                <w:color w:val="auto"/>
                <w:highlight w:val="none"/>
              </w:rPr>
              <w:t>收 款 人：国顺招标有限公司</w:t>
            </w:r>
          </w:p>
          <w:p>
            <w:pPr>
              <w:spacing w:line="360" w:lineRule="auto"/>
              <w:rPr>
                <w:color w:val="auto"/>
                <w:highlight w:val="none"/>
              </w:rPr>
            </w:pPr>
            <w:r>
              <w:rPr>
                <w:rFonts w:hint="eastAsia"/>
                <w:color w:val="auto"/>
                <w:highlight w:val="none"/>
              </w:rPr>
              <w:t>开户银行：广发银行股份有限公司东莞南城支行</w:t>
            </w:r>
          </w:p>
          <w:p>
            <w:pPr>
              <w:spacing w:line="360" w:lineRule="auto"/>
              <w:rPr>
                <w:color w:val="auto"/>
                <w:highlight w:val="none"/>
              </w:rPr>
            </w:pPr>
            <w:r>
              <w:rPr>
                <w:rFonts w:hint="eastAsia"/>
                <w:color w:val="auto"/>
                <w:highlight w:val="none"/>
              </w:rPr>
              <w:t>账　　</w:t>
            </w:r>
            <w:r>
              <w:rPr>
                <w:rFonts w:hint="eastAsia" w:ascii="宋体" w:hAnsi="宋体" w:cs="宋体"/>
                <w:color w:val="auto"/>
                <w:highlight w:val="none"/>
              </w:rPr>
              <w:t>号：9550882021051988873</w:t>
            </w:r>
          </w:p>
        </w:tc>
      </w:tr>
    </w:tbl>
    <w:p>
      <w:pPr>
        <w:rPr>
          <w:color w:val="auto"/>
          <w:highlight w:val="none"/>
        </w:rPr>
      </w:pPr>
      <w:r>
        <w:rPr>
          <w:color w:val="auto"/>
          <w:highlight w:val="none"/>
        </w:rPr>
        <w:br w:type="page"/>
      </w:r>
    </w:p>
    <w:p>
      <w:pPr>
        <w:pStyle w:val="4"/>
        <w:numPr>
          <w:ilvl w:val="0"/>
          <w:numId w:val="5"/>
        </w:numPr>
        <w:rPr>
          <w:color w:val="auto"/>
          <w:highlight w:val="none"/>
        </w:rPr>
      </w:pPr>
      <w:bookmarkStart w:id="52" w:name="_Toc21639"/>
      <w:r>
        <w:rPr>
          <w:rFonts w:hint="eastAsia"/>
          <w:color w:val="auto"/>
          <w:highlight w:val="none"/>
        </w:rPr>
        <w:t>投标须知</w:t>
      </w:r>
      <w:bookmarkEnd w:id="52"/>
    </w:p>
    <w:p>
      <w:pPr>
        <w:pStyle w:val="5"/>
        <w:rPr>
          <w:color w:val="auto"/>
          <w:highlight w:val="none"/>
        </w:rPr>
      </w:pPr>
      <w:bookmarkStart w:id="53" w:name="_Toc2381"/>
      <w:bookmarkStart w:id="54" w:name="_Toc20860"/>
      <w:r>
        <w:rPr>
          <w:rFonts w:hint="eastAsia"/>
          <w:color w:val="auto"/>
          <w:highlight w:val="none"/>
        </w:rPr>
        <w:t>1.适用范围</w:t>
      </w:r>
      <w:bookmarkEnd w:id="53"/>
      <w:bookmarkEnd w:id="54"/>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招标范围：见本招标文件《用户需求书》</w:t>
      </w:r>
    </w:p>
    <w:p>
      <w:pPr>
        <w:spacing w:line="400" w:lineRule="exact"/>
        <w:rPr>
          <w:rFonts w:ascii="宋体" w:hAnsi="宋体" w:cs="宋体"/>
          <w:color w:val="auto"/>
          <w:szCs w:val="21"/>
          <w:highlight w:val="none"/>
        </w:rPr>
      </w:pPr>
    </w:p>
    <w:p>
      <w:pPr>
        <w:pStyle w:val="5"/>
        <w:rPr>
          <w:color w:val="auto"/>
          <w:highlight w:val="none"/>
        </w:rPr>
      </w:pPr>
      <w:bookmarkStart w:id="55" w:name="_Toc15203"/>
      <w:bookmarkStart w:id="56" w:name="_Toc6621"/>
      <w:r>
        <w:rPr>
          <w:rFonts w:hint="eastAsia"/>
          <w:color w:val="auto"/>
          <w:highlight w:val="none"/>
        </w:rPr>
        <w:t>2.</w:t>
      </w:r>
      <w:bookmarkStart w:id="57" w:name="_Toc303084246"/>
      <w:bookmarkStart w:id="58" w:name="_Toc298847174"/>
      <w:bookmarkStart w:id="59" w:name="_Toc382049092"/>
      <w:bookmarkStart w:id="60" w:name="_Toc1530"/>
      <w:r>
        <w:rPr>
          <w:rFonts w:hint="eastAsia"/>
          <w:color w:val="auto"/>
          <w:highlight w:val="none"/>
        </w:rPr>
        <w:t>定义</w:t>
      </w:r>
      <w:bookmarkEnd w:id="55"/>
      <w:bookmarkEnd w:id="56"/>
      <w:bookmarkEnd w:id="57"/>
      <w:bookmarkEnd w:id="58"/>
      <w:bookmarkEnd w:id="59"/>
      <w:bookmarkEnd w:id="60"/>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招标人：是指依法进行政府采购的国家机关、事业单位等团体组织。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投标人：响应招标并且符合招标文件规定资格条件和参加投标竞争的法人、其他组织或者自然人。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法人：法人是依法在国内进行注册并具有民事权利能力和民事行为能力，依法独立享有民事权利和承担民事义务的组织。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中标人：指经评标委员会评审推荐、招标人确认的获得本项目中标资格的投标人。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招标代理机构：国顺招标有限公司。</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评标委员会：评标委员会是依据《中华人民共和国政府采购法》及其实施条例、《政府采购货物和服务招标投标管理办法》等组建的专门负责本次招标其评标工作的临时性机构。</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合同：指由本次招标所产生的合同或合约文件。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公章：公章是</w:t>
      </w:r>
      <w:r>
        <w:rPr>
          <w:rFonts w:hint="eastAsia" w:ascii="宋体" w:hAnsi="宋体" w:cs="宋体"/>
          <w:iCs/>
          <w:color w:val="auto"/>
          <w:szCs w:val="21"/>
          <w:highlight w:val="none"/>
        </w:rPr>
        <w:t>指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cs="宋体"/>
          <w:color w:val="auto"/>
          <w:szCs w:val="21"/>
          <w:highlight w:val="none"/>
        </w:rPr>
        <w:t>）</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iCs/>
          <w:color w:val="auto"/>
          <w:szCs w:val="21"/>
          <w:highlight w:val="none"/>
        </w:rPr>
        <w:t>：本文件规定按日计算期间的，开始当天不计入，从次日开始计算。期限的最后一日是国家法定节假日的，顺延到节假日后的次日为期限的最后一日。</w:t>
      </w:r>
    </w:p>
    <w:p>
      <w:pPr>
        <w:spacing w:line="400" w:lineRule="exact"/>
        <w:rPr>
          <w:rFonts w:ascii="宋体" w:hAnsi="宋体" w:cs="宋体"/>
          <w:color w:val="auto"/>
          <w:szCs w:val="21"/>
          <w:highlight w:val="none"/>
        </w:rPr>
      </w:pPr>
    </w:p>
    <w:p>
      <w:pPr>
        <w:pStyle w:val="5"/>
        <w:rPr>
          <w:color w:val="auto"/>
          <w:highlight w:val="none"/>
        </w:rPr>
      </w:pPr>
      <w:bookmarkStart w:id="61" w:name="_Toc31531"/>
      <w:bookmarkStart w:id="62" w:name="_Toc1072"/>
      <w:r>
        <w:rPr>
          <w:rFonts w:hint="eastAsia"/>
          <w:color w:val="auto"/>
          <w:highlight w:val="none"/>
        </w:rPr>
        <w:t>3.货物和服务</w:t>
      </w:r>
      <w:bookmarkEnd w:id="61"/>
      <w:bookmarkEnd w:id="62"/>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货物是指投标人制造或组织符合招标文件要求的货物等。投标的货物必须是其合法生产、合法来源的符合国家有关标准要求的货物，并满足招标文件规定的规格、参数、质量、价格、有效期、售后服务等要求。</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服务是指除货物和工程以外的其他政府采购对象，且满足实质性采购需求。</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政府采购应当采购本国产品，确需采购进口产品（是指通过中国海关报关验放进入中国境内且产自关境外的产品）的，</w:t>
      </w:r>
      <w:bookmarkStart w:id="63" w:name="_Toc211763038"/>
      <w:r>
        <w:rPr>
          <w:rFonts w:hint="eastAsia" w:ascii="宋体" w:hAnsi="宋体" w:cs="宋体"/>
          <w:iCs/>
          <w:color w:val="auto"/>
          <w:szCs w:val="21"/>
          <w:highlight w:val="none"/>
        </w:rPr>
        <w:t>应当获得财政部门核准。依据《政府采购进口产品管理办法</w:t>
      </w:r>
      <w:bookmarkEnd w:id="63"/>
      <w:r>
        <w:rPr>
          <w:rFonts w:hint="eastAsia" w:ascii="宋体" w:hAnsi="宋体" w:cs="宋体"/>
          <w:iCs/>
          <w:color w:val="auto"/>
          <w:szCs w:val="21"/>
          <w:highlight w:val="none"/>
        </w:rPr>
        <w:t>》优先采购向我国企业转让技术、与我国企业签订消化吸收再创新方案的供应商的进口产品。</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若所投产品属于政府强制采购节能产品的，则投标人必须提供该产品国家强制性节能产品进行响应，并提供有效的中国节能产品认证证书，否则视为无效投标。</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投标人提供的所有服务，其质量、技术等特征必须符合国家、行业现行法律、法规的相关标准和《中华人民共和国政府采购法》的有关规定及用户需求。</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招标人有权拒绝接受任何不合格的服务，由此产生的费用及相关后果均由中标人自行承担；</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pPr>
        <w:spacing w:line="400" w:lineRule="exact"/>
        <w:rPr>
          <w:rFonts w:ascii="宋体" w:hAnsi="宋体" w:cs="宋体"/>
          <w:color w:val="auto"/>
          <w:szCs w:val="21"/>
          <w:highlight w:val="none"/>
        </w:rPr>
      </w:pPr>
    </w:p>
    <w:p>
      <w:pPr>
        <w:pStyle w:val="5"/>
        <w:rPr>
          <w:color w:val="auto"/>
          <w:highlight w:val="none"/>
        </w:rPr>
      </w:pPr>
      <w:bookmarkStart w:id="64" w:name="_Toc16909"/>
      <w:bookmarkStart w:id="65" w:name="_Toc32610"/>
      <w:r>
        <w:rPr>
          <w:rFonts w:hint="eastAsia"/>
          <w:color w:val="auto"/>
          <w:highlight w:val="none"/>
        </w:rPr>
        <w:t>4.投标费用</w:t>
      </w:r>
      <w:bookmarkEnd w:id="64"/>
      <w:bookmarkEnd w:id="65"/>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投标人应承担所有与编写投标文件和参加投标有关的自身的所有费用，不论投标的结果如何，招标代理机构和招标人在任何情况下均无义务和责任承担这些费用。</w:t>
      </w:r>
    </w:p>
    <w:p>
      <w:pPr>
        <w:spacing w:line="400" w:lineRule="exact"/>
        <w:jc w:val="both"/>
        <w:rPr>
          <w:rFonts w:ascii="宋体" w:hAnsi="宋体" w:cs="宋体"/>
          <w:color w:val="auto"/>
          <w:szCs w:val="21"/>
          <w:highlight w:val="none"/>
        </w:rPr>
      </w:pPr>
    </w:p>
    <w:p>
      <w:pPr>
        <w:pStyle w:val="5"/>
        <w:rPr>
          <w:color w:val="auto"/>
          <w:highlight w:val="none"/>
        </w:rPr>
      </w:pPr>
      <w:bookmarkStart w:id="66" w:name="_Toc24409"/>
      <w:bookmarkStart w:id="67" w:name="_Toc13316"/>
      <w:r>
        <w:rPr>
          <w:rFonts w:hint="eastAsia"/>
          <w:color w:val="auto"/>
          <w:highlight w:val="none"/>
        </w:rPr>
        <w:t>5.知识产权</w:t>
      </w:r>
      <w:bookmarkEnd w:id="66"/>
      <w:bookmarkEnd w:id="67"/>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招标人享有本项目实施过程中产生的知识成果及知识产权。</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投标人如欲在项目实施过程中采用自有知识成果，需在投标文件中声明，并提供相关知识产权证明文件。使用该知识成果后，投标人需提供开发接口和开发手册等技术文档。</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采购货物为计算机办公设备时，投标人提供的产品必须是预装正版操作系统软件的计算机产品。</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投标人提供的服务、货物经认定存在侵权行为的，其投标无效，并上报相关监管部门。</w:t>
      </w:r>
    </w:p>
    <w:p>
      <w:pPr>
        <w:spacing w:line="400" w:lineRule="exact"/>
        <w:ind w:left="567"/>
        <w:jc w:val="both"/>
        <w:rPr>
          <w:rFonts w:ascii="宋体" w:hAnsi="宋体" w:cs="宋体"/>
          <w:color w:val="auto"/>
          <w:szCs w:val="21"/>
          <w:highlight w:val="none"/>
        </w:rPr>
      </w:pPr>
    </w:p>
    <w:p>
      <w:pPr>
        <w:pStyle w:val="5"/>
        <w:rPr>
          <w:color w:val="auto"/>
          <w:highlight w:val="none"/>
        </w:rPr>
      </w:pPr>
      <w:bookmarkStart w:id="68" w:name="_Toc25530"/>
      <w:bookmarkStart w:id="69" w:name="_Toc25911"/>
      <w:r>
        <w:rPr>
          <w:rFonts w:hint="eastAsia"/>
          <w:color w:val="auto"/>
          <w:highlight w:val="none"/>
        </w:rPr>
        <w:t>6.关于联合体投标</w:t>
      </w:r>
      <w:bookmarkEnd w:id="68"/>
      <w:bookmarkEnd w:id="69"/>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联合体投标必须满足以下条款。（除非投标邀请函中另有规定不接受联合体投标）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对接受联合体投标的项目：两个以上的自然人、法人或者其他组织可以组成一个联合体，以一个投标人的身份共同参加政府采购。</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以联合体形式参与项目的供应商在领购招标文件时，应提供所有联合体组成成员的营业执照复印件，并加盖各联合体组成成员的公章。</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联合体各方均应当符合《政府采购法》第二十二条规定的条件。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招标人根据采购项目的特殊要求规定投标人特定条件的，联合体各方中至少应当有一方符合招标人规定的特定条件。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各方之间应当签订共同投标协议并在投标文件内提交，明确约定联合体各方承担的工作和相应的责任。联合体各方签订共同投标协议后，不得再以自己名义单独在同一项目中投标，也不得组成新的联合体参加同一项目投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供应商为联合体的，可以由联合体中的任意一方交纳保证金，其交纳的保证金对联合体各方均具有约束力。</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联合体中有同类资质的投标人按照联合体分工承担相同工作的，应当按照资质等级较低的供应商确定资质等级。</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除联合体协议明确授权盖章单位外，联合体投标时投标文件中所有要求盖章的地方均须加盖联合体所有组成成员的公章，否则该处盖章无效。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联合体进行评分时，联合体各方的资质荣誉、人员、业绩等证明材料均对本项目有效。</w:t>
      </w:r>
    </w:p>
    <w:p>
      <w:pPr>
        <w:spacing w:line="400" w:lineRule="exact"/>
        <w:ind w:left="567"/>
        <w:jc w:val="both"/>
        <w:rPr>
          <w:rFonts w:ascii="宋体" w:hAnsi="宋体" w:cs="宋体"/>
          <w:color w:val="auto"/>
          <w:szCs w:val="21"/>
          <w:highlight w:val="none"/>
        </w:rPr>
      </w:pPr>
    </w:p>
    <w:p>
      <w:pPr>
        <w:pStyle w:val="5"/>
        <w:rPr>
          <w:color w:val="auto"/>
          <w:highlight w:val="none"/>
        </w:rPr>
      </w:pPr>
      <w:bookmarkStart w:id="70" w:name="_Toc24312"/>
      <w:bookmarkStart w:id="71" w:name="_Toc27528"/>
      <w:r>
        <w:rPr>
          <w:rFonts w:hint="eastAsia"/>
          <w:color w:val="auto"/>
          <w:highlight w:val="none"/>
        </w:rPr>
        <w:t>7.关于分支机构投标</w:t>
      </w:r>
      <w:bookmarkEnd w:id="70"/>
      <w:bookmarkEnd w:id="71"/>
    </w:p>
    <w:p>
      <w:pPr>
        <w:pStyle w:val="20"/>
        <w:numPr>
          <w:ilvl w:val="0"/>
          <w:numId w:val="6"/>
        </w:numPr>
        <w:spacing w:line="400" w:lineRule="exact"/>
        <w:ind w:firstLineChars="0"/>
        <w:jc w:val="both"/>
        <w:rPr>
          <w:rFonts w:ascii="宋体" w:hAnsi="宋体" w:cs="宋体"/>
          <w:vanish/>
          <w:color w:val="auto"/>
          <w:szCs w:val="21"/>
          <w:highlight w:val="none"/>
        </w:rPr>
      </w:pPr>
      <w:bookmarkStart w:id="72" w:name="EB389f116341dd4693875bc7987e7327f3"/>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分支机构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72"/>
    </w:p>
    <w:p>
      <w:pPr>
        <w:spacing w:line="360" w:lineRule="auto"/>
        <w:rPr>
          <w:rFonts w:ascii="宋体" w:hAnsi="宋体" w:cs="宋体"/>
          <w:color w:val="auto"/>
          <w:szCs w:val="21"/>
          <w:highlight w:val="none"/>
        </w:rPr>
      </w:pPr>
    </w:p>
    <w:p>
      <w:pPr>
        <w:pStyle w:val="5"/>
        <w:rPr>
          <w:color w:val="auto"/>
          <w:highlight w:val="none"/>
        </w:rPr>
      </w:pPr>
      <w:bookmarkStart w:id="73" w:name="_Toc13645"/>
      <w:bookmarkStart w:id="74" w:name="_Toc15490"/>
      <w:r>
        <w:rPr>
          <w:rFonts w:hint="eastAsia"/>
          <w:color w:val="auto"/>
          <w:highlight w:val="none"/>
        </w:rPr>
        <w:t>8.招标文件的组成</w:t>
      </w:r>
      <w:bookmarkEnd w:id="73"/>
      <w:bookmarkEnd w:id="74"/>
    </w:p>
    <w:p>
      <w:pPr>
        <w:pStyle w:val="20"/>
        <w:numPr>
          <w:ilvl w:val="0"/>
          <w:numId w:val="6"/>
        </w:numPr>
        <w:spacing w:line="400" w:lineRule="exact"/>
        <w:ind w:firstLineChars="0"/>
        <w:jc w:val="both"/>
        <w:rPr>
          <w:rFonts w:ascii="宋体" w:hAnsi="宋体" w:cs="宋体"/>
          <w:vanish/>
          <w:color w:val="auto"/>
          <w:szCs w:val="21"/>
          <w:highlight w:val="none"/>
        </w:rPr>
      </w:pP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（1）投标邀请；</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（2）投标人须知；</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（3）用户需求书；</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（4）详细评审；</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（5）合同文本参考格式；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（6）投标文件格式；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（7）开标文件格式；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（8）其它文件格式（如有需要）。</w:t>
      </w:r>
    </w:p>
    <w:p>
      <w:pPr>
        <w:widowControl/>
        <w:adjustRightInd w:val="0"/>
        <w:snapToGrid w:val="0"/>
        <w:spacing w:line="400" w:lineRule="exact"/>
        <w:rPr>
          <w:rFonts w:ascii="宋体" w:hAnsi="宋体" w:cs="宋体"/>
          <w:color w:val="auto"/>
          <w:szCs w:val="21"/>
          <w:highlight w:val="none"/>
        </w:rPr>
      </w:pPr>
    </w:p>
    <w:p>
      <w:pPr>
        <w:pStyle w:val="5"/>
        <w:rPr>
          <w:color w:val="auto"/>
          <w:highlight w:val="none"/>
        </w:rPr>
      </w:pPr>
      <w:bookmarkStart w:id="75" w:name="_Toc644"/>
      <w:bookmarkStart w:id="76" w:name="_Toc7789"/>
      <w:r>
        <w:rPr>
          <w:rFonts w:hint="eastAsia"/>
          <w:color w:val="auto"/>
          <w:highlight w:val="none"/>
        </w:rPr>
        <w:t>9.招标文件的澄清或修改</w:t>
      </w:r>
      <w:bookmarkEnd w:id="75"/>
      <w:bookmarkEnd w:id="76"/>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或者招标代理机构可以对已发出的招标文件、资格预审文件、投标邀请书进行必要的澄清或者修改。澄清或者修改的内容为招标文件、资格预审文件、投标邀请书的组成部分，具有约束作用。当招标文件的澄清或修改等在同一内容的表述上不一致时，以最后发出的书面文件及公告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或者招标代理机构可以对已发出的招标文件进行必要的澄清或者修改。澄清或者修改的内容可能影响投标文件编制的，招标人或者招标代理机构应当在投标截止时间至少15日前，以书面形式通知所有获取招标文件的潜在投标人；不足15日的，招标人或者招标代理机构应当顺延提交投标文件的截止时间。</w:t>
      </w:r>
    </w:p>
    <w:p>
      <w:pPr>
        <w:pStyle w:val="2"/>
        <w:ind w:left="0"/>
        <w:rPr>
          <w:color w:val="auto"/>
          <w:sz w:val="21"/>
          <w:szCs w:val="21"/>
          <w:highlight w:val="none"/>
        </w:rPr>
      </w:pPr>
    </w:p>
    <w:p>
      <w:pPr>
        <w:pStyle w:val="5"/>
        <w:rPr>
          <w:color w:val="auto"/>
          <w:highlight w:val="none"/>
        </w:rPr>
      </w:pPr>
      <w:bookmarkStart w:id="77" w:name="_Toc708"/>
      <w:bookmarkStart w:id="78" w:name="_Toc6458"/>
      <w:r>
        <w:rPr>
          <w:rFonts w:hint="eastAsia"/>
          <w:color w:val="auto"/>
          <w:highlight w:val="none"/>
        </w:rPr>
        <w:t>10.投标文件的语言及度量衡单位</w:t>
      </w:r>
      <w:bookmarkEnd w:id="77"/>
      <w:bookmarkEnd w:id="78"/>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提交的投标文件以及投标人与招标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除非招标文件在技术规格中另有规定，投标人在投标文件中及其与招标代理机构和招标人所有往来文件中的所有计量单位均应采用中华人民共和国法定计量单位。</w:t>
      </w:r>
    </w:p>
    <w:p>
      <w:pPr>
        <w:spacing w:line="400" w:lineRule="exact"/>
        <w:ind w:left="567"/>
        <w:jc w:val="both"/>
        <w:rPr>
          <w:rFonts w:ascii="宋体" w:hAnsi="宋体" w:cs="宋体"/>
          <w:color w:val="auto"/>
          <w:szCs w:val="21"/>
          <w:highlight w:val="none"/>
        </w:rPr>
      </w:pPr>
    </w:p>
    <w:p>
      <w:pPr>
        <w:pStyle w:val="5"/>
        <w:rPr>
          <w:color w:val="auto"/>
          <w:highlight w:val="none"/>
        </w:rPr>
      </w:pPr>
      <w:bookmarkStart w:id="79" w:name="_Toc307934854"/>
      <w:bookmarkStart w:id="80" w:name="_Toc8246"/>
      <w:bookmarkStart w:id="81" w:name="_Toc382049103"/>
      <w:bookmarkStart w:id="82" w:name="_Toc29420"/>
      <w:bookmarkStart w:id="83" w:name="_Toc28866"/>
      <w:bookmarkStart w:id="84" w:name="_Toc303084256"/>
      <w:r>
        <w:rPr>
          <w:rFonts w:hint="eastAsia"/>
          <w:color w:val="auto"/>
          <w:highlight w:val="none"/>
        </w:rPr>
        <w:t>11.投标文件的组成</w:t>
      </w:r>
      <w:bookmarkEnd w:id="79"/>
      <w:bookmarkEnd w:id="80"/>
      <w:bookmarkEnd w:id="81"/>
      <w:bookmarkEnd w:id="82"/>
      <w:bookmarkEnd w:id="83"/>
      <w:bookmarkEnd w:id="84"/>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包括但不限于招标文件附件格式中要求提供的表格。</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上述文件须按顺序装订成册，并编制投标文件目录。除上述文件资料外投标人还须按投标人须知的要求制作“开标文件”。“开标文件”作为投标文件的一部分，须单独密封。</w:t>
      </w:r>
    </w:p>
    <w:p>
      <w:pPr>
        <w:widowControl/>
        <w:adjustRightInd w:val="0"/>
        <w:snapToGrid w:val="0"/>
        <w:spacing w:line="400" w:lineRule="exact"/>
        <w:rPr>
          <w:rFonts w:ascii="宋体" w:hAnsi="宋体" w:cs="宋体"/>
          <w:color w:val="auto"/>
          <w:szCs w:val="21"/>
          <w:highlight w:val="none"/>
        </w:rPr>
      </w:pPr>
    </w:p>
    <w:p>
      <w:pPr>
        <w:pStyle w:val="5"/>
        <w:rPr>
          <w:color w:val="auto"/>
          <w:highlight w:val="none"/>
        </w:rPr>
      </w:pPr>
      <w:bookmarkStart w:id="85" w:name="_Toc11356"/>
      <w:bookmarkStart w:id="86" w:name="_Toc5980"/>
      <w:r>
        <w:rPr>
          <w:rFonts w:hint="eastAsia"/>
          <w:color w:val="auto"/>
          <w:highlight w:val="none"/>
        </w:rPr>
        <w:t>12.投标文件编制</w:t>
      </w:r>
      <w:bookmarkEnd w:id="85"/>
      <w:bookmarkEnd w:id="86"/>
    </w:p>
    <w:p>
      <w:pPr>
        <w:pStyle w:val="20"/>
        <w:numPr>
          <w:ilvl w:val="0"/>
          <w:numId w:val="6"/>
        </w:numPr>
        <w:spacing w:line="400" w:lineRule="exact"/>
        <w:ind w:firstLineChars="0"/>
        <w:jc w:val="both"/>
        <w:rPr>
          <w:rFonts w:ascii="宋体" w:hAnsi="宋体" w:cs="宋体"/>
          <w:vanish/>
          <w:color w:val="auto"/>
          <w:szCs w:val="21"/>
          <w:highlight w:val="none"/>
        </w:rPr>
      </w:pPr>
      <w:bookmarkStart w:id="87" w:name="_Toc303084258"/>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投标人应按招标文件的规定以及“第六篇 投标文件格式”要求的内容和格式完整地填写（表格可以按同样格式扩展）和提供资料，投标人必须对投标文件所提供的全部材料的真实性承担法律责任，并无条件接受招标人或招标代理机构及政府采购监督管理部门等对其中任何资料进行核实的要求。</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因投标文件编制存在歧义对投标人产生负面影响的，投标人自行承担后果。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投标单位名称与投标人公章不一致，若投标单位名称已进行变更，应在投标文件中提供相应的证明材料并加盖公章，否则投标文件无效。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有下列情形之一的，视为投标人串通投标，其投标无效：</w:t>
      </w:r>
    </w:p>
    <w:bookmarkEnd w:id="87"/>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（一）不同投标人的投标文件由同一单位或者个人编制；</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（二）不同投标人委托同一单位或者个人办理投标事宜；</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（三）不同投标人的投标文件载明的项目管理成员或者联系人员为同一人；</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（四）不同投标人的投标文件异常一致或者投标报价呈规律性差异；</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（五）不同投标人的投标文件相互混装；</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（六）不同投标人的投标保证金从同一单位或者个人的账户转出。</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 </w:t>
      </w:r>
    </w:p>
    <w:p>
      <w:pPr>
        <w:pStyle w:val="5"/>
        <w:rPr>
          <w:color w:val="auto"/>
          <w:highlight w:val="none"/>
        </w:rPr>
      </w:pPr>
      <w:bookmarkStart w:id="88" w:name="_Toc28034"/>
      <w:bookmarkStart w:id="89" w:name="_Toc1355"/>
      <w:r>
        <w:rPr>
          <w:rFonts w:hint="eastAsia"/>
          <w:color w:val="auto"/>
          <w:highlight w:val="none"/>
        </w:rPr>
        <w:t>13.投标报价说明</w:t>
      </w:r>
      <w:bookmarkEnd w:id="88"/>
      <w:bookmarkEnd w:id="89"/>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本次招标，投标人应按用户需求中的要求进行投标报价，少报无效。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投标人所提供的货物或服务均以人民币（或相关费率）报价。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投标报价应包含完成本次招标所有服务内容的费用，包含各种税务费及合同实施过程中的全部费用和售后服务费等。</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中标后开出的所有发票必须与中标人的名称一致。</w:t>
      </w:r>
    </w:p>
    <w:p>
      <w:pPr>
        <w:spacing w:line="400" w:lineRule="exact"/>
        <w:rPr>
          <w:rFonts w:ascii="宋体" w:hAnsi="宋体" w:cs="宋体"/>
          <w:color w:val="auto"/>
          <w:szCs w:val="21"/>
          <w:highlight w:val="none"/>
        </w:rPr>
      </w:pPr>
    </w:p>
    <w:p>
      <w:pPr>
        <w:pStyle w:val="5"/>
        <w:rPr>
          <w:color w:val="auto"/>
          <w:highlight w:val="none"/>
        </w:rPr>
      </w:pPr>
      <w:bookmarkStart w:id="90" w:name="_Toc34"/>
      <w:bookmarkStart w:id="91" w:name="_Toc6729"/>
      <w:r>
        <w:rPr>
          <w:rFonts w:hint="eastAsia"/>
          <w:color w:val="auto"/>
          <w:highlight w:val="none"/>
        </w:rPr>
        <w:t>14.投标人所提供的服务或货物的证明文件</w:t>
      </w:r>
      <w:bookmarkEnd w:id="90"/>
      <w:bookmarkEnd w:id="91"/>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bookmarkStart w:id="92" w:name="_Hlt107925638"/>
      <w:bookmarkEnd w:id="92"/>
      <w:bookmarkStart w:id="93" w:name="_Hlt107925668"/>
      <w:bookmarkEnd w:id="93"/>
      <w:r>
        <w:rPr>
          <w:rFonts w:hint="eastAsia" w:ascii="宋体" w:hAnsi="宋体" w:cs="宋体"/>
          <w:color w:val="auto"/>
          <w:szCs w:val="21"/>
          <w:highlight w:val="none"/>
        </w:rPr>
        <w:t>证明服务或货物的文件，它可以是文字资料、图纸和数据包括但不限于：服务主要内容、标准、质量、人员资质、计划安排、报告审核等的详细说明；对招标文件第三篇分《用户需求书》中规定的要求进行详细应答和说明。</w:t>
      </w:r>
    </w:p>
    <w:p>
      <w:pPr>
        <w:pStyle w:val="20"/>
        <w:spacing w:line="400" w:lineRule="exact"/>
        <w:ind w:left="425" w:firstLine="0" w:firstLineChars="0"/>
        <w:jc w:val="both"/>
        <w:rPr>
          <w:rFonts w:ascii="宋体" w:hAnsi="宋体" w:cs="宋体"/>
          <w:color w:val="auto"/>
          <w:szCs w:val="21"/>
          <w:highlight w:val="none"/>
        </w:rPr>
      </w:pPr>
    </w:p>
    <w:p>
      <w:pPr>
        <w:pStyle w:val="5"/>
        <w:rPr>
          <w:color w:val="auto"/>
          <w:highlight w:val="none"/>
        </w:rPr>
      </w:pPr>
      <w:bookmarkStart w:id="94" w:name="_Toc10940"/>
      <w:bookmarkStart w:id="95" w:name="_Toc29725"/>
      <w:r>
        <w:rPr>
          <w:rFonts w:hint="eastAsia"/>
          <w:color w:val="auto"/>
          <w:highlight w:val="none"/>
        </w:rPr>
        <w:t>15.★投标有效期</w:t>
      </w:r>
      <w:bookmarkEnd w:id="94"/>
      <w:bookmarkEnd w:id="95"/>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投标文件应根据投标人须知的规定在投标截止日后的90天内保持有效。</w:t>
      </w:r>
    </w:p>
    <w:p>
      <w:pPr>
        <w:spacing w:line="400" w:lineRule="exact"/>
        <w:ind w:left="567"/>
        <w:jc w:val="both"/>
        <w:rPr>
          <w:rFonts w:ascii="宋体" w:hAnsi="宋体" w:cs="宋体"/>
          <w:color w:val="auto"/>
          <w:szCs w:val="21"/>
          <w:highlight w:val="none"/>
        </w:rPr>
      </w:pPr>
    </w:p>
    <w:p>
      <w:pPr>
        <w:pStyle w:val="5"/>
        <w:rPr>
          <w:rFonts w:hint="eastAsia" w:eastAsia="宋体"/>
          <w:color w:val="auto"/>
          <w:highlight w:val="none"/>
          <w:lang w:eastAsia="zh-CN"/>
        </w:rPr>
      </w:pPr>
      <w:bookmarkStart w:id="96" w:name="_Toc15529"/>
      <w:bookmarkStart w:id="97" w:name="_Toc5483"/>
      <w:r>
        <w:rPr>
          <w:rFonts w:hint="eastAsia"/>
          <w:color w:val="auto"/>
          <w:highlight w:val="none"/>
        </w:rPr>
        <w:t>16.★投标保证金</w:t>
      </w:r>
      <w:bookmarkEnd w:id="96"/>
      <w:bookmarkEnd w:id="97"/>
      <w:r>
        <w:rPr>
          <w:rFonts w:hint="eastAsia"/>
          <w:color w:val="auto"/>
          <w:highlight w:val="none"/>
          <w:lang w:eastAsia="zh-CN"/>
        </w:rPr>
        <w:t>（</w:t>
      </w:r>
      <w:r>
        <w:rPr>
          <w:rFonts w:hint="eastAsia"/>
          <w:color w:val="auto"/>
          <w:highlight w:val="none"/>
          <w:lang w:val="en-US" w:eastAsia="zh-CN"/>
        </w:rPr>
        <w:t>本项目不收取</w:t>
      </w:r>
      <w:r>
        <w:rPr>
          <w:rFonts w:hint="eastAsia"/>
          <w:color w:val="auto"/>
          <w:highlight w:val="none"/>
          <w:lang w:eastAsia="zh-CN"/>
        </w:rPr>
        <w:t>）</w:t>
      </w:r>
    </w:p>
    <w:p>
      <w:pPr>
        <w:pStyle w:val="20"/>
        <w:numPr>
          <w:ilvl w:val="0"/>
          <w:numId w:val="6"/>
        </w:numPr>
        <w:spacing w:line="400" w:lineRule="exact"/>
        <w:ind w:firstLineChars="0"/>
        <w:jc w:val="both"/>
        <w:rPr>
          <w:rFonts w:ascii="宋体" w:hAnsi="宋体" w:cs="宋体"/>
          <w:vanish/>
          <w:color w:val="auto"/>
          <w:szCs w:val="21"/>
          <w:highlight w:val="none"/>
        </w:rPr>
      </w:pPr>
      <w:bookmarkStart w:id="98" w:name="_Ref179619405"/>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投标人应按投标资料表中规定数额及法律规定的时间按相应包号保证金金额要求一次性提交投标保证金，以多次汇入达到招标文件要求金额的投标保证金无效。</w:t>
      </w:r>
      <w:bookmarkEnd w:id="98"/>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投标保证金金额与招标文件要求金额保持一致（详见投标资料表）。</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投标保证金有效期与投标有效期保持一致。</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投标人应一次性缴交招标文件规定数额的投标保证金，投标人与交款人名称必须一致（分公司投标的，其保证金可由上级公司缴纳并提供加盖公章的相关证明），非投标人缴纳的投标保证金无效。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采用银行转账、电汇方式提交的,付至招标代理机构指定账户上。 (详见投标人资料表)</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担保。是指由担保机构为供应商交纳投标保证金向招标人或者招标代理机构提供的保证担保。供应商在投标有效期内撤回投标文件或中标后不签订政府采购合同的，由担保机构按照担保函的约定履行支付投标保证金的责任。（投标担保格式详见附件《政府采购投标担保函》）</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采用《政府采购投标担保函》提交的，应符合下列规定：</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①投标担保函有效期应与投标有效期一致；</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②投标担保金额应与本项目的投标保证金一致；</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保证金不接受现金方式（包括以存现方式）提交，未按要求提交投标保证金的将导致废标。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未中标的投标人的保证金在采购结果公示发出后5个工作日内退还，中标投标人的保证金在采购合同签订后5个工作日内退还。</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为方便退还未中标的投保人的保证金，投标人应制作《投标保证金》随开标文件一并递交。</w:t>
      </w:r>
    </w:p>
    <w:p>
      <w:pPr>
        <w:numPr>
          <w:ilvl w:val="1"/>
          <w:numId w:val="6"/>
        </w:numPr>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有下列情形之一的，投标保证金将不予退还：</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①投标人在招标文件中规定的投标有效期内撤销其投标。</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②法律法规规定不予退还投标保证金的其它情形。</w:t>
      </w:r>
    </w:p>
    <w:p>
      <w:pPr>
        <w:pStyle w:val="2"/>
        <w:rPr>
          <w:color w:val="auto"/>
          <w:sz w:val="21"/>
          <w:szCs w:val="21"/>
          <w:highlight w:val="none"/>
        </w:rPr>
      </w:pPr>
    </w:p>
    <w:p>
      <w:pPr>
        <w:pStyle w:val="5"/>
        <w:rPr>
          <w:color w:val="auto"/>
          <w:highlight w:val="none"/>
        </w:rPr>
      </w:pPr>
      <w:bookmarkStart w:id="99" w:name="_Toc303084264"/>
      <w:bookmarkStart w:id="100" w:name="_Toc24997"/>
      <w:bookmarkStart w:id="101" w:name="_Toc16724"/>
      <w:bookmarkStart w:id="102" w:name="_Toc382049111"/>
      <w:bookmarkStart w:id="103" w:name="_Toc16286"/>
      <w:r>
        <w:rPr>
          <w:rFonts w:hint="eastAsia"/>
          <w:color w:val="auto"/>
          <w:highlight w:val="none"/>
        </w:rPr>
        <w:t>17.投标文件的装订，签署，密封和标记</w:t>
      </w:r>
      <w:bookmarkEnd w:id="99"/>
      <w:bookmarkEnd w:id="100"/>
      <w:bookmarkEnd w:id="101"/>
      <w:bookmarkEnd w:id="102"/>
      <w:bookmarkEnd w:id="103"/>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为方便评标委员会对投标文件进行评审，建议投标人对投标文件进行装订，对未经装订的投标文件可能发生的文件缺损，由此产生的后果由投标人承担。</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正本均须用不褪色墨水书写或打印。投标文件的副本可采用投标文件的正本复印件，每套投标文件应当标明“正本”、“副本”的字样。投标文件的【正本】及所有【副本】的封面及骑缝均须加盖投标人公章（文件每页盖章等同于盖骑缝章）。若正本与副本不符，以正本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联合体投标文件的【正本】及【副本】的封面及骑缝均须加盖所有联合体组成成员的公章。（文件每页盖章等同于盖骑缝章）如联合体协议中有明确分工说明除外。</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建议投标人将投标文件正本和所有的副本分开密封装在单独的信封中，且在信封上标明“正本”“副本”字样。然后再将所有信封封装在一个外层信封中（“开标文件”除外）。电子文件与正本密封包装，随正本提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电子文件内容包括：由投标人自行制作的与正本文件一致的所有文件。电子文件由光盘或U盘储存（须含盖章版PDF投标文件和WORD版投标文件各一版，文字采用WORD文档，计算表格采用 EXCEL文档），并注明投标人名称及项目名称、采购项目编号，随投标文件一同密封提交。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除投标人对错误处修改外，全套投标文件应无涂改或行间插字和增删。如有修改，修改处须由法定代表人或其正式授权代表在旁边签字及盖章。</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将开标一览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若投标人采用担保函形式的，则无需密封在“开标文件”内，投标人需在开标时间截止前将原件提交至代理机构。</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供应商未提交“开标文件”或“开标文件”中无“开标一览表”的，报价以投标文件正本为准。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所有的信封均应注明： </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收件人：国顺招标有限公司</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投标单位名称：</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项目名称：</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采购项目编号：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招标代理机构将拒绝接收出现以下情况的投标文件：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采用透明包装进行密封或未进行密封的投标文件；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密封破损导致投标文件内容直接或间接泄露的投标文件；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密封信封上项目编号错误的投标文件；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未在规定时间内领购文件的投标人的投标文件；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项目名称出现严重歧义或未标注所投项目信息导致无法分辨所投项目为本项目的投标文件；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采用传真、电传的投标文件；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招标文件规定的其他情形。</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招标代理机构对所有投标文件的误投或提前启封概不负责。</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投标人同时参加几个包投标时必须按招标文件要求按包号分别制作投标文件，分别密封递交。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递交的投标文件中所提供的通讯方式应保持联络畅通，因联系不上而导致的所有后果由投标人自行承担。</w:t>
      </w:r>
    </w:p>
    <w:p>
      <w:pPr>
        <w:spacing w:line="400" w:lineRule="exact"/>
        <w:rPr>
          <w:rFonts w:ascii="宋体" w:hAnsi="宋体" w:cs="宋体"/>
          <w:color w:val="auto"/>
          <w:szCs w:val="21"/>
          <w:highlight w:val="none"/>
        </w:rPr>
      </w:pPr>
    </w:p>
    <w:p>
      <w:pPr>
        <w:pStyle w:val="5"/>
        <w:rPr>
          <w:color w:val="auto"/>
          <w:highlight w:val="none"/>
        </w:rPr>
      </w:pPr>
      <w:bookmarkStart w:id="104" w:name="_Toc17636"/>
      <w:bookmarkStart w:id="105" w:name="_Toc30088"/>
      <w:r>
        <w:rPr>
          <w:rFonts w:hint="eastAsia"/>
          <w:color w:val="auto"/>
          <w:highlight w:val="none"/>
        </w:rPr>
        <w:t>18.迟交的投标文件</w:t>
      </w:r>
      <w:bookmarkEnd w:id="104"/>
      <w:bookmarkEnd w:id="105"/>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投标人在投标截止时间之后提交的投标文件，招标代理机构将拒绝接收。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有违反其他法律规定情形的，招标代理机构将拒绝接收。</w:t>
      </w:r>
    </w:p>
    <w:p>
      <w:pPr>
        <w:spacing w:line="400" w:lineRule="exact"/>
        <w:rPr>
          <w:rFonts w:ascii="宋体" w:hAnsi="宋体" w:cs="宋体"/>
          <w:color w:val="auto"/>
          <w:szCs w:val="21"/>
          <w:highlight w:val="none"/>
        </w:rPr>
      </w:pPr>
    </w:p>
    <w:p>
      <w:pPr>
        <w:pStyle w:val="5"/>
        <w:rPr>
          <w:color w:val="auto"/>
          <w:highlight w:val="none"/>
        </w:rPr>
      </w:pPr>
      <w:bookmarkStart w:id="106" w:name="_Toc24269"/>
      <w:bookmarkStart w:id="107" w:name="_Toc15912"/>
      <w:r>
        <w:rPr>
          <w:rFonts w:hint="eastAsia"/>
          <w:color w:val="auto"/>
          <w:highlight w:val="none"/>
        </w:rPr>
        <w:t>19.投标样品、投标演示（如有要求）</w:t>
      </w:r>
      <w:bookmarkEnd w:id="106"/>
      <w:bookmarkEnd w:id="107"/>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如有必要，招标代理机构可以要求投标人提供本服务项目涉及的部分设备或产品样品，投标人在投标时应提交《样品清单》。</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为方便评标，投标人在提供样品时，应在所提供的样品表面显著位置标注投标人的名称、包号、样品名称、招标文件规定的服务或货物编号。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样品作为投标文件的一部分，除非另有说明，中标单位的样品将作为履约验收标准的参考不再退还，未中标单位须在中标公告发布后五个工作日内，前往招标代理机构领取投标样品，逾期不领，招标代理机构将不承担样品的保管责任，由此引发的样品丢失、毁损，招标代理机构不予负责。</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要求投标人视频演示环节，投标人将需要演示的内容以视频录制展示的形式完成，视频用U盘储存，并作为投标文件的组成部分，标注投标人的名称、项目名称、项目编号、项目包号加以盖章并密封提交。演示全程由招标人或采购单位操作完成。</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如有要求投标人现场演示环节，演示现场提供投影仪及电脑，所需的网络环境及设备全部由投标人自行解决。除非另有说明，投标人不得派超过2名工作人员进场演示。演示过程不设置问答环节。</w:t>
      </w:r>
    </w:p>
    <w:p>
      <w:pPr>
        <w:spacing w:line="360" w:lineRule="auto"/>
        <w:rPr>
          <w:rFonts w:ascii="宋体" w:hAnsi="宋体" w:cs="宋体"/>
          <w:color w:val="auto"/>
          <w:szCs w:val="21"/>
          <w:highlight w:val="none"/>
        </w:rPr>
      </w:pPr>
    </w:p>
    <w:p>
      <w:pPr>
        <w:pStyle w:val="5"/>
        <w:rPr>
          <w:color w:val="auto"/>
          <w:highlight w:val="none"/>
        </w:rPr>
      </w:pPr>
      <w:bookmarkStart w:id="108" w:name="_Toc303084265"/>
      <w:bookmarkStart w:id="109" w:name="_Toc28098"/>
      <w:bookmarkStart w:id="110" w:name="_Toc382049112"/>
      <w:bookmarkStart w:id="111" w:name="_Toc22355"/>
      <w:bookmarkStart w:id="112" w:name="_Toc9777"/>
      <w:r>
        <w:rPr>
          <w:rFonts w:hint="eastAsia"/>
          <w:color w:val="auto"/>
          <w:highlight w:val="none"/>
        </w:rPr>
        <w:t>20.投标截止期</w:t>
      </w:r>
      <w:bookmarkEnd w:id="108"/>
      <w:bookmarkEnd w:id="109"/>
      <w:bookmarkEnd w:id="110"/>
      <w:bookmarkEnd w:id="111"/>
      <w:bookmarkEnd w:id="112"/>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投标人应在招标文件规定的截止日期和时间内，将投标文件送达到指定地点。</w:t>
      </w:r>
    </w:p>
    <w:p>
      <w:pPr>
        <w:spacing w:line="400" w:lineRule="exact"/>
        <w:rPr>
          <w:rFonts w:ascii="宋体" w:hAnsi="宋体" w:cs="宋体"/>
          <w:color w:val="auto"/>
          <w:szCs w:val="21"/>
          <w:highlight w:val="none"/>
        </w:rPr>
      </w:pPr>
    </w:p>
    <w:p>
      <w:pPr>
        <w:pStyle w:val="5"/>
        <w:rPr>
          <w:color w:val="auto"/>
          <w:highlight w:val="none"/>
        </w:rPr>
      </w:pPr>
      <w:bookmarkStart w:id="113" w:name="_Toc4270"/>
      <w:bookmarkStart w:id="114" w:name="_Toc22260"/>
      <w:r>
        <w:rPr>
          <w:rFonts w:hint="eastAsia"/>
          <w:color w:val="auto"/>
          <w:highlight w:val="none"/>
        </w:rPr>
        <w:t>21.投标文件的补充、修改与撤回</w:t>
      </w:r>
      <w:bookmarkEnd w:id="113"/>
      <w:bookmarkEnd w:id="114"/>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投标人在提交投标文件截止时间前，可以对所提交的投标文件进行补充、修改或撤回，并以纸质版形式通知招标代理机构。在提交投标文件截止时间之后，投标人不得对其投标文件做出任何的补充和修改。</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投标人对投标文件的补充、修改的内容应当按招标文件要求的签署、盖章、密封后，作为投标文件的组成部分。并按照招标文件规定密封和标记的要求提交，并在投标文件密封袋上标明“补充、修改”字样。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投标文件一经递交不予退还。</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在提交投标文件截止时间至投标有效期满之前，投标人不得撤回其投标，否则其投标保证金将不予退还。</w:t>
      </w:r>
    </w:p>
    <w:p>
      <w:pPr>
        <w:pStyle w:val="2"/>
        <w:spacing w:line="360" w:lineRule="auto"/>
        <w:rPr>
          <w:color w:val="auto"/>
          <w:sz w:val="21"/>
          <w:szCs w:val="21"/>
          <w:highlight w:val="none"/>
        </w:rPr>
      </w:pPr>
    </w:p>
    <w:p>
      <w:pPr>
        <w:pStyle w:val="6"/>
        <w:overflowPunct w:val="0"/>
        <w:spacing w:before="0" w:after="0" w:line="400" w:lineRule="exact"/>
        <w:rPr>
          <w:rFonts w:ascii="宋体" w:hAnsi="宋体" w:cs="宋体"/>
          <w:color w:val="auto"/>
          <w:sz w:val="21"/>
          <w:szCs w:val="21"/>
          <w:highlight w:val="none"/>
        </w:rPr>
      </w:pPr>
      <w:bookmarkStart w:id="115" w:name="_Toc174"/>
      <w:r>
        <w:rPr>
          <w:rFonts w:hint="eastAsia" w:ascii="宋体" w:hAnsi="宋体" w:cs="宋体"/>
          <w:color w:val="auto"/>
          <w:sz w:val="21"/>
          <w:szCs w:val="21"/>
          <w:highlight w:val="none"/>
        </w:rPr>
        <w:t>22.开标</w:t>
      </w:r>
      <w:bookmarkEnd w:id="115"/>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招标代理机构按本招标文件所规定的时间和地点公开开标，并邀请所有投标人代表参加。</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开标程序：</w:t>
      </w:r>
    </w:p>
    <w:p>
      <w:pPr>
        <w:numPr>
          <w:ilvl w:val="2"/>
          <w:numId w:val="6"/>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开标会由招标代理机构主持，投标人的法定代表人或其授权代表携带有效身份证明准时参加开标会并签名报到。</w:t>
      </w:r>
    </w:p>
    <w:p>
      <w:pPr>
        <w:numPr>
          <w:ilvl w:val="2"/>
          <w:numId w:val="6"/>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开标时，由投标人或者其推选的代表检查投标文件的密封情况；经确认无误后，由招标人或者招标代理机构工作人员当众拆封，宣布投标人名称、投标价格和招标文件规定的需要宣布的其他内容；</w:t>
      </w:r>
    </w:p>
    <w:p>
      <w:pPr>
        <w:numPr>
          <w:ilvl w:val="2"/>
          <w:numId w:val="6"/>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投标人代表对开标过程和开标记录有异议，以及认为招标人、招标代理机构相关工作人员有需要回避的情形的，应当场提出询问或者回避申请。开标现场未提出异议的视为认同开标结果。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投标人未参加开标的，视同认可开标结果。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合格投标人不足3家的，不得开标；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开标过程应当由招标人或者招标代理机构负责记录，由参加开标的各投标人代表和相关工作人员签字确认。</w:t>
      </w:r>
    </w:p>
    <w:p>
      <w:pPr>
        <w:spacing w:line="400" w:lineRule="exact"/>
        <w:ind w:left="567"/>
        <w:jc w:val="both"/>
        <w:rPr>
          <w:rFonts w:ascii="宋体" w:hAnsi="宋体" w:cs="宋体"/>
          <w:color w:val="auto"/>
          <w:szCs w:val="21"/>
          <w:highlight w:val="none"/>
        </w:rPr>
      </w:pPr>
    </w:p>
    <w:p>
      <w:pPr>
        <w:pStyle w:val="5"/>
        <w:rPr>
          <w:color w:val="auto"/>
          <w:highlight w:val="none"/>
        </w:rPr>
      </w:pPr>
      <w:bookmarkStart w:id="116" w:name="_Toc23244"/>
      <w:bookmarkStart w:id="117" w:name="_Toc318"/>
      <w:r>
        <w:rPr>
          <w:rFonts w:hint="eastAsia"/>
          <w:color w:val="auto"/>
          <w:highlight w:val="none"/>
        </w:rPr>
        <w:t>23.评标委员会及评标方法</w:t>
      </w:r>
      <w:bookmarkEnd w:id="116"/>
      <w:bookmarkEnd w:id="117"/>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评标委员会根据招标项目的特点进行组建，并负责评标工作。</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评审方法：本次招标的评审方法采用综合评分法。</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招标文件中要求投标人提供的相关资质证书证明材料因国家政策变动导致新旧证书名称不一致，旧证书未取消且新旧证书具有同等效力的，投标人提供新证书与提供在有效期内的旧证书给予同等认可。</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定标原则：在满足招标文件实质性要求前提下，按照招标文件规定的各项评价因素进行量化打分，以评标总得分最高的投标人作为中标候选人或中标人。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评标委员会对投标文件的评审内容，分为商务评议、技术评议和价格评议。评审流程包括符合性检查、澄清问题、比较与评价、推荐中标候选人或确定中标人、编写评标报告等步骤。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pPr>
        <w:spacing w:line="400" w:lineRule="exact"/>
        <w:rPr>
          <w:rFonts w:ascii="宋体" w:hAnsi="宋体" w:cs="宋体"/>
          <w:color w:val="auto"/>
          <w:szCs w:val="21"/>
          <w:highlight w:val="none"/>
        </w:rPr>
      </w:pPr>
    </w:p>
    <w:p>
      <w:pPr>
        <w:pStyle w:val="5"/>
        <w:rPr>
          <w:color w:val="auto"/>
          <w:highlight w:val="none"/>
        </w:rPr>
      </w:pPr>
      <w:bookmarkStart w:id="118" w:name="_Toc21911"/>
      <w:bookmarkStart w:id="119" w:name="_Toc15635"/>
      <w:r>
        <w:rPr>
          <w:rFonts w:hint="eastAsia"/>
          <w:color w:val="auto"/>
          <w:highlight w:val="none"/>
        </w:rPr>
        <w:t>24.评审原则及评标过程的保密</w:t>
      </w:r>
      <w:bookmarkEnd w:id="118"/>
      <w:bookmarkEnd w:id="119"/>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评审的基本原则：评标委员会将依据《中华人民共和国政府采购法》及国家和地方政府有关法规的规定，遵循“客观、公正、审慎”的原则进行评审工作。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从公开开标到签订合同，凡与审查、澄清、评审和投标有关的资料以及定标意见相关的事项，均不得向投标人及与评标无关的其他人透露。</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任何单位和个人不得非法干预、影响评标的过程和结果。</w:t>
      </w:r>
    </w:p>
    <w:p>
      <w:pPr>
        <w:spacing w:line="400" w:lineRule="exact"/>
        <w:rPr>
          <w:rFonts w:ascii="宋体" w:hAnsi="宋体" w:cs="宋体"/>
          <w:color w:val="auto"/>
          <w:szCs w:val="21"/>
          <w:highlight w:val="none"/>
        </w:rPr>
      </w:pPr>
    </w:p>
    <w:p>
      <w:pPr>
        <w:pStyle w:val="5"/>
        <w:rPr>
          <w:color w:val="auto"/>
          <w:highlight w:val="none"/>
        </w:rPr>
      </w:pPr>
      <w:bookmarkStart w:id="120" w:name="_Toc12318"/>
      <w:bookmarkStart w:id="121" w:name="_Toc10950"/>
      <w:r>
        <w:rPr>
          <w:rFonts w:hint="eastAsia"/>
          <w:color w:val="auto"/>
          <w:highlight w:val="none"/>
        </w:rPr>
        <w:t>25.投标文件的初审</w:t>
      </w:r>
      <w:bookmarkEnd w:id="120"/>
      <w:bookmarkEnd w:id="121"/>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b/>
          <w:color w:val="auto"/>
          <w:szCs w:val="21"/>
          <w:highlight w:val="none"/>
        </w:rPr>
      </w:pPr>
      <w:r>
        <w:rPr>
          <w:rFonts w:hint="eastAsia" w:ascii="宋体" w:hAnsi="宋体" w:cs="宋体"/>
          <w:color w:val="auto"/>
          <w:szCs w:val="21"/>
          <w:highlight w:val="none"/>
        </w:rPr>
        <w:t>开标结束后，招标人或者招标代理机构将依法对投标人的资格进行审查。资格审查时，投标人存在不符合资格性检查所要求事项情况的，投标无效。未通过资格审查的投标人不进入符合性审查的评审，</w:t>
      </w:r>
      <w:r>
        <w:rPr>
          <w:rFonts w:hint="eastAsia" w:ascii="宋体" w:hAnsi="宋体" w:cs="宋体"/>
          <w:b/>
          <w:color w:val="auto"/>
          <w:szCs w:val="21"/>
          <w:highlight w:val="none"/>
        </w:rPr>
        <w:t>资格性检查中发现下列情形之一的，其投标作无效处理：</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1) 资格瑕疵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包括但不限于：①资格证明文件未提供或不符合招标文件要求的； ②资格证明文件有效期过期的；③《营业执照》复印件（加盖公章）或《事业单位法人证书》复印件（加盖公章）或其他主体证书复印件（加盖公章）未提供或有效期过期的；④提供的资质材料模糊不清导致无法辨认的。⑤投标人名称与投标文件公章不一致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2) 投标保证金瑕疵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包括但不限于：①投标人未按招标文件要求提交投标保证金；②提交方式、提交时间、提交金额不符合招标文件要求；③投标保证金有效期不符合招标文件要求。</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将对符合资格的投标人的投标文件进行符合性审查，以确定其是否满足招标文件的实质性要求。投标人不得通过修正或撤消不合要求的偏离或保留从而使其投标成为实质上响应的投标。符合性审查过程中，</w:t>
      </w:r>
      <w:r>
        <w:rPr>
          <w:rFonts w:hint="eastAsia" w:ascii="宋体" w:hAnsi="宋体" w:cs="宋体"/>
          <w:b/>
          <w:color w:val="auto"/>
          <w:szCs w:val="21"/>
          <w:highlight w:val="none"/>
        </w:rPr>
        <w:t>发现下列情况之一的，其投标将作无效处理</w:t>
      </w:r>
      <w:r>
        <w:rPr>
          <w:rFonts w:hint="eastAsia" w:ascii="宋体" w:hAnsi="宋体" w:cs="宋体"/>
          <w:color w:val="auto"/>
          <w:szCs w:val="21"/>
          <w:highlight w:val="none"/>
        </w:rPr>
        <w:t>：</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b/>
          <w:color w:val="auto"/>
          <w:szCs w:val="21"/>
          <w:highlight w:val="none"/>
        </w:rPr>
        <w:t>1) 投标文件的有效性、完整性瑕疵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文件的数量、制作不符合要求、投标文件内容与采购内容不符的（包括但不限于投标文件项目采购项目编号错误，投标文件项目名称错误导致无法分辨所投项目为本项目，投标文件数量少于招标文件要求的）；②投标文件中要求签字的内容无法定代表人或其授权代表签字，或签字人无法定代表人有效授权的；③签字盖章不符合招标文件要求的；④投标文件内容有严重缺漏项的；⑤投标文件的关键内容字迹模糊、无法辨认的；⑥投标有效期不符合文件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2) 技术响应瑕疵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条款偏离表》未提供的；⑤将一个包中的内容拆开投标的；⑥投标人对同一货物或服务投标时，投标方案不唯一；⑦明显不符合技术规格、技术标准要求的；⑧其他未实质性响应招标文件技术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3) 商务响应瑕疵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⑤投标文件附有招标人不能接受的条件的；⑥其他未实质性响应招标文件商务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4）投标报价瑕疵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包括但不限于：①投标报价超过本招标文件明确的项目预算或文件明确的最高限价；②未按招标文件要求进行报价的；③报价内容或报价格式不符合招标文件要求的；④投标报价有严重缺漏项的。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5）违规行为</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包括但不限于：①以他人的名义投标、串通投标、以行贿手段谋取中标或者以其他弄虚作假方式投标的；②扰乱开标、评标秩序，干扰招标工作正常进行的。③存在经评标委员会认定的其他违规违法行为。</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6)法律法规及招标文件中规定的其它情形。</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根据项目情况，评标委员会有权决定招标文件中“可能导致废标”或“可能导致其投标被拒绝”等具体条款是否实施“废标”或“投标被拒绝”，但对同一条款的裁决应适用于每个投标人。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对于投标文件中不构成实质性偏差的不正规、不一致或不规则，评标委员会可以接受，但这种接受不能损害或影响任何投标人的相对排序。</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pPr>
        <w:spacing w:line="400" w:lineRule="exact"/>
        <w:rPr>
          <w:rFonts w:ascii="宋体" w:hAnsi="宋体" w:cs="宋体"/>
          <w:color w:val="auto"/>
          <w:szCs w:val="21"/>
          <w:highlight w:val="none"/>
        </w:rPr>
      </w:pPr>
    </w:p>
    <w:p>
      <w:pPr>
        <w:pStyle w:val="5"/>
        <w:rPr>
          <w:color w:val="auto"/>
          <w:highlight w:val="none"/>
        </w:rPr>
      </w:pPr>
      <w:bookmarkStart w:id="122" w:name="_Toc19657"/>
      <w:bookmarkStart w:id="123" w:name="_Toc24775"/>
      <w:r>
        <w:rPr>
          <w:rFonts w:hint="eastAsia"/>
          <w:color w:val="auto"/>
          <w:highlight w:val="none"/>
        </w:rPr>
        <w:t>26.商务、技术、价格评审</w:t>
      </w:r>
      <w:bookmarkEnd w:id="122"/>
      <w:bookmarkEnd w:id="123"/>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对通过符合性检查的投标人进行商务技术综合评议，针对投标文件对招标文件的响应情况对各个投标人进行商务和技术评分。 </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投标文件报价出现前后不一致的，评标委员会按照下列规定修正：</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投标文件中开标一览表（报价表）内容与投标文件中相应内容不一致的，以开标一览表（报价表）为准；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大写金额和小写金额不一致的，以大写金额为准；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单价金额小数点或者百分比有明显错位的，以开标一览表的总价为准，并修改单价；</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总价金额与按单价汇总金额不一致的，以单价金额计算结果为准。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同时出现两种以上不一致的，按照前款规定的顺序修正。修正后的报价按照经投标人确认后产生约束力，投标人不确认的，其投标无效。</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使用综合评分法的采购项目，核心产品提供相同品牌产品且通过资格审查、符合性审查的不同投标人参加同一合同项下投标的，按一家投标人计算，评审后得分最高的同品牌投标人获得中标人推荐资格。</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核心产品提供相同品牌产品且通过资格审查、符合性审查的不同投标人参加同一合同项下投标且评审得分相同的，按照评审因素的技术评审得分最高的投标人为排名第一的中标候选人，其他同品牌投标人不作为中标候选人。</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评审得分相同的，按投标报价（投标原报价）由低到高顺序排列。评审得分及投标报价均相同时，以随机抽取方式决定。投标文件满足招标文件全部实质性要求，且按照评审因素的量化指标评审得分最高的投标人为排名第一的中标候选人。</w:t>
      </w:r>
    </w:p>
    <w:p>
      <w:pPr>
        <w:tabs>
          <w:tab w:val="left" w:pos="907"/>
        </w:tabs>
        <w:spacing w:line="400" w:lineRule="exact"/>
        <w:ind w:left="567"/>
        <w:jc w:val="both"/>
        <w:rPr>
          <w:rFonts w:ascii="宋体" w:hAnsi="宋体" w:cs="宋体"/>
          <w:color w:val="auto"/>
          <w:szCs w:val="21"/>
          <w:highlight w:val="none"/>
        </w:rPr>
      </w:pPr>
    </w:p>
    <w:p>
      <w:pPr>
        <w:pStyle w:val="5"/>
        <w:rPr>
          <w:color w:val="auto"/>
          <w:highlight w:val="none"/>
        </w:rPr>
      </w:pPr>
      <w:bookmarkStart w:id="124" w:name="_Toc316375620"/>
      <w:bookmarkStart w:id="125" w:name="_Toc382049120"/>
      <w:bookmarkStart w:id="126" w:name="_Toc19304"/>
      <w:bookmarkStart w:id="127" w:name="_Toc20328"/>
      <w:bookmarkStart w:id="128" w:name="_Toc5898"/>
      <w:r>
        <w:rPr>
          <w:rFonts w:hint="eastAsia"/>
          <w:color w:val="auto"/>
          <w:highlight w:val="none"/>
        </w:rPr>
        <w:t>27.纪律和保密</w:t>
      </w:r>
      <w:bookmarkEnd w:id="124"/>
      <w:r>
        <w:rPr>
          <w:rFonts w:hint="eastAsia"/>
          <w:color w:val="auto"/>
          <w:highlight w:val="none"/>
        </w:rPr>
        <w:t>事项</w:t>
      </w:r>
      <w:bookmarkEnd w:id="125"/>
      <w:bookmarkEnd w:id="126"/>
      <w:bookmarkEnd w:id="127"/>
      <w:bookmarkEnd w:id="128"/>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从开标之日起至授予合同期间，在投标文件的审查、澄清、比较和评价阶段，投标人试图对评标委员会和招标代理机构施加任何影响或对招标人的比较及授予合同的决定产生影响，都可能导致其投标文件被拒绝。</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投标人不得串通作弊，以不正当的手段妨碍、排挤其他投标人，扰乱招标市场，破坏公平竞争原则。否则将按相关法律规定严肃处理。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获得本招标文件的投标人，应对文件进行保密，不得用作本次投标以外的任何用途。开标后，投标人应归还招标文件中要求保密的文件和资料。</w:t>
      </w:r>
    </w:p>
    <w:p>
      <w:pPr>
        <w:rPr>
          <w:color w:val="auto"/>
          <w:highlight w:val="none"/>
        </w:rPr>
      </w:pPr>
    </w:p>
    <w:p>
      <w:pPr>
        <w:pStyle w:val="5"/>
        <w:rPr>
          <w:color w:val="auto"/>
          <w:highlight w:val="none"/>
        </w:rPr>
      </w:pPr>
      <w:bookmarkStart w:id="129" w:name="_Toc508284011"/>
      <w:bookmarkStart w:id="130" w:name="_Toc1994"/>
      <w:bookmarkStart w:id="131" w:name="_Toc4954"/>
      <w:r>
        <w:rPr>
          <w:rFonts w:hint="eastAsia"/>
          <w:color w:val="auto"/>
          <w:highlight w:val="none"/>
        </w:rPr>
        <w:t>28.合同授予标准</w:t>
      </w:r>
      <w:bookmarkEnd w:id="129"/>
      <w:bookmarkEnd w:id="130"/>
      <w:bookmarkEnd w:id="131"/>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根据评标委员会的评审结果，招标人按照评审报告推荐的中标候选人中按顺序依法确定中标人。</w:t>
      </w:r>
    </w:p>
    <w:p>
      <w:pPr>
        <w:spacing w:line="400" w:lineRule="exact"/>
        <w:rPr>
          <w:rFonts w:ascii="宋体" w:hAnsi="宋体" w:cs="宋体"/>
          <w:color w:val="auto"/>
          <w:szCs w:val="21"/>
          <w:highlight w:val="none"/>
        </w:rPr>
      </w:pPr>
    </w:p>
    <w:p>
      <w:pPr>
        <w:pStyle w:val="5"/>
        <w:rPr>
          <w:color w:val="auto"/>
          <w:highlight w:val="none"/>
        </w:rPr>
      </w:pPr>
      <w:bookmarkStart w:id="132" w:name="_Toc14141"/>
      <w:bookmarkStart w:id="133" w:name="_Toc22043"/>
      <w:bookmarkStart w:id="134" w:name="_Toc508284013"/>
      <w:r>
        <w:rPr>
          <w:rFonts w:hint="eastAsia"/>
          <w:color w:val="auto"/>
          <w:highlight w:val="none"/>
        </w:rPr>
        <w:t>30.发布采购结果</w:t>
      </w:r>
      <w:bookmarkEnd w:id="132"/>
      <w:bookmarkEnd w:id="133"/>
      <w:bookmarkEnd w:id="134"/>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评标委员会提出评标书面报告和推荐中标意见报招标人确认后，招标代理机构将在指定的信息发布媒体上发布公告。</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中标公告期限为1个工作日。</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结果公示发布后，中标单位应及时领取中标通知书。《中标通知书》是合同的一个组成部分，《中标通知书》对招标人和中标人均具有同等法律效力。</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中标人无正当理由不得放弃中标，因中标人放弃中标而对招标人造成的损失由放弃中标的中标人承担。</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原件核查</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采购结果发布后，招标代理机构或招标人有权对中标单位进行原件核查，中标单位应在五个工作日内把相关原件递交至招标代理机构办公地址或招标人指定地址进行核查。</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中标单位有下列情形之一的，取消中标资格：</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拒绝招标人或招标代理机构原件核查要求的；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未在规定时间内将原件递交到到招标代理机构办公地址或招标人指定地址进行核查的；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在规定时间内递交的原件数量、内容与招标人、招标代理机构要求不一致的；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因原件续期、更改等原因不能按时递交原件且未能在规定时间内提供相应部门开具的变更、续期等证明的；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经查原件，投标文件内容有造假行为的。</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结果发布后，招标代理机构或招标人有权对递交了投标文件的未中标投标人进行原件核查。投标人应在招标代理机构或招标人发出纸质通知五个工作日内将原件递交到招标代理机构办公地址或招标人指定地址进行核查。</w:t>
      </w:r>
    </w:p>
    <w:p>
      <w:pPr>
        <w:numPr>
          <w:ilvl w:val="2"/>
          <w:numId w:val="6"/>
        </w:numPr>
        <w:tabs>
          <w:tab w:val="left" w:pos="567"/>
          <w:tab w:val="left" w:pos="907"/>
          <w:tab w:val="clear" w:pos="794"/>
        </w:tabs>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若投标人出现虚假应标情况，投标文件作无效处理，其投标、中标无效。并根据相关法律上报相关监管部门。</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属于建办市函[2016]462号通知内的证件可不提供原件，仅提供带二维码原件的复印件即可。</w:t>
      </w:r>
    </w:p>
    <w:p>
      <w:pPr>
        <w:spacing w:line="400" w:lineRule="exact"/>
        <w:rPr>
          <w:rFonts w:ascii="宋体" w:hAnsi="宋体" w:cs="宋体"/>
          <w:color w:val="auto"/>
          <w:szCs w:val="21"/>
          <w:highlight w:val="none"/>
        </w:rPr>
      </w:pPr>
    </w:p>
    <w:p>
      <w:pPr>
        <w:pStyle w:val="5"/>
        <w:rPr>
          <w:color w:val="auto"/>
          <w:highlight w:val="none"/>
        </w:rPr>
      </w:pPr>
      <w:bookmarkStart w:id="135" w:name="_Toc11977"/>
      <w:bookmarkStart w:id="136" w:name="_Toc8411"/>
      <w:r>
        <w:rPr>
          <w:rFonts w:hint="eastAsia"/>
          <w:color w:val="auto"/>
          <w:highlight w:val="none"/>
        </w:rPr>
        <w:t>30.合同的签订与履行</w:t>
      </w:r>
      <w:bookmarkEnd w:id="135"/>
      <w:bookmarkEnd w:id="136"/>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招标人应当自采购结果公示发出之日起30日内，按照招标文件和中标人投标文件的规定，与中标人签订书面合同。所签订的合同不得对招标文件确定的事项和中标人投标文件作实质性修改。</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招标人与中标人应当根据合同的约定依法履行合同义务。</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政府采购合同的履行、违约责任和解决争议的方法等适用《中华人民共和国民法典》。</w:t>
      </w:r>
    </w:p>
    <w:p>
      <w:pPr>
        <w:numPr>
          <w:ilvl w:val="1"/>
          <w:numId w:val="6"/>
        </w:numPr>
        <w:tabs>
          <w:tab w:val="left" w:pos="907"/>
        </w:tabs>
        <w:spacing w:line="400" w:lineRule="exact"/>
        <w:jc w:val="both"/>
        <w:rPr>
          <w:rFonts w:ascii="宋体" w:hAnsi="宋体" w:cs="宋体"/>
          <w:b/>
          <w:color w:val="auto"/>
          <w:szCs w:val="21"/>
          <w:highlight w:val="none"/>
        </w:rPr>
      </w:pPr>
      <w:r>
        <w:rPr>
          <w:rFonts w:hint="eastAsia" w:ascii="宋体" w:hAnsi="宋体" w:cs="宋体"/>
          <w:b/>
          <w:color w:val="auto"/>
          <w:szCs w:val="21"/>
          <w:highlight w:val="none"/>
        </w:rPr>
        <w:t>合同签订之日起2个工作日内，中标人应将所签订的合同副本（加盖公章）交至国顺招标有限公司归档。</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投标人在评审结束当天至合同履行结束，若因不可抗力的因素（如国家出台新法律法规等）造成投标人资质的变动，投标人应以纸质版形式通知招标人。若资质变动导致中标投标人不再具备履行合同资质要求，招标人有权中止合同。</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中标人拒绝与招标人签订合同的，招标人可以按照评审报告推荐的中标候选人名单排序，确定下一候选人为中标人，也可以重新开展政府采购活动。</w:t>
      </w:r>
    </w:p>
    <w:p>
      <w:pPr>
        <w:pStyle w:val="2"/>
        <w:rPr>
          <w:color w:val="auto"/>
          <w:sz w:val="21"/>
          <w:szCs w:val="21"/>
          <w:highlight w:val="none"/>
        </w:rPr>
      </w:pPr>
    </w:p>
    <w:p>
      <w:pPr>
        <w:pStyle w:val="5"/>
        <w:rPr>
          <w:color w:val="auto"/>
          <w:highlight w:val="none"/>
        </w:rPr>
      </w:pPr>
      <w:bookmarkStart w:id="137" w:name="_Toc19434"/>
      <w:bookmarkStart w:id="138" w:name="_Toc23400"/>
      <w:r>
        <w:rPr>
          <w:rFonts w:hint="eastAsia"/>
          <w:color w:val="auto"/>
          <w:highlight w:val="none"/>
        </w:rPr>
        <w:t>31.招标文件的解释权</w:t>
      </w:r>
      <w:bookmarkEnd w:id="137"/>
      <w:bookmarkEnd w:id="138"/>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本招标文件是参照国家有关法律、法规以及政府采购管理有关规定和参照国际惯例编制，解释权属本国顺招标有限公司。</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3"/>
        <w:numPr>
          <w:ilvl w:val="0"/>
          <w:numId w:val="1"/>
        </w:numPr>
        <w:rPr>
          <w:color w:val="auto"/>
          <w:highlight w:val="none"/>
        </w:rPr>
      </w:pPr>
      <w:bookmarkStart w:id="139" w:name="_Toc27892"/>
      <w:r>
        <w:rPr>
          <w:rFonts w:hint="eastAsia"/>
          <w:color w:val="auto"/>
          <w:highlight w:val="none"/>
        </w:rPr>
        <w:t>用户需求书</w:t>
      </w:r>
      <w:bookmarkEnd w:id="139"/>
    </w:p>
    <w:p>
      <w:pPr>
        <w:jc w:val="center"/>
        <w:outlineLvl w:val="1"/>
        <w:rPr>
          <w:b/>
          <w:bCs/>
          <w:color w:val="auto"/>
          <w:sz w:val="28"/>
          <w:szCs w:val="36"/>
          <w:highlight w:val="none"/>
        </w:rPr>
      </w:pPr>
      <w:bookmarkStart w:id="140" w:name="_Toc16006"/>
      <w:r>
        <w:rPr>
          <w:rFonts w:hint="eastAsia"/>
          <w:b/>
          <w:bCs/>
          <w:color w:val="auto"/>
          <w:sz w:val="28"/>
          <w:szCs w:val="36"/>
          <w:highlight w:val="none"/>
        </w:rPr>
        <w:t>商务要求</w:t>
      </w:r>
      <w:bookmarkEnd w:id="140"/>
    </w:p>
    <w:tbl>
      <w:tblPr>
        <w:tblStyle w:val="15"/>
        <w:tblW w:w="868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8"/>
        <w:gridCol w:w="1501"/>
        <w:gridCol w:w="64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条款名称</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  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01"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自合同签定之日起三年，合同一年一签。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88"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按采购人要求按月配送，按实支付。具体付款要求如下：双方采取先送货后结款的方式，从第一次送货之日起，采购方和中标方在每月15日前核对上期货款，再根据双方核对无误确认好的金额由中标方开具发票给采购方请款，采购方在收到中标方发票后，按实际情况向投标方支付货款。采购方以银行转账方式将货款转入中标方书面指定的银行账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服务地点</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w:t>
            </w:r>
            <w:r>
              <w:rPr>
                <w:rFonts w:hint="eastAsia" w:ascii="宋体" w:hAnsi="宋体" w:eastAsia="宋体" w:cs="宋体"/>
                <w:color w:val="auto"/>
                <w:sz w:val="21"/>
                <w:szCs w:val="21"/>
                <w:highlight w:val="none"/>
                <w:lang w:val="en-US" w:eastAsia="zh-CN"/>
              </w:rPr>
              <w:t>要求</w:t>
            </w:r>
          </w:p>
        </w:tc>
        <w:tc>
          <w:tcPr>
            <w:tcW w:w="6466" w:type="dxa"/>
            <w:vAlign w:val="center"/>
          </w:tcPr>
          <w:p>
            <w:pPr>
              <w:widowControl w:val="0"/>
              <w:tabs>
                <w:tab w:val="left" w:pos="709"/>
              </w:tabs>
              <w:adjustRightInd/>
              <w:snapToGrid/>
              <w:spacing w:after="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本项目报价采用下浮率报价方式</w:t>
            </w:r>
            <w:r>
              <w:rPr>
                <w:rFonts w:hint="eastAsia" w:ascii="宋体" w:hAnsi="宋体" w:eastAsia="宋体" w:cs="宋体"/>
                <w:bCs/>
                <w:color w:val="auto"/>
                <w:sz w:val="21"/>
                <w:szCs w:val="21"/>
                <w:highlight w:val="none"/>
              </w:rPr>
              <w:t>，且所报的下浮率应当适用于所有产品单品</w:t>
            </w:r>
            <w:r>
              <w:rPr>
                <w:rFonts w:hint="eastAsia" w:ascii="宋体" w:hAnsi="宋体" w:eastAsia="宋体" w:cs="宋体"/>
                <w:color w:val="auto"/>
                <w:sz w:val="21"/>
                <w:szCs w:val="21"/>
                <w:highlight w:val="none"/>
              </w:rPr>
              <w:t>。报价应包含完成本次招标所有服务内容的费用，包括人工费、食材采购费、食材运输费、材料费、设备使用费、</w:t>
            </w:r>
            <w:r>
              <w:rPr>
                <w:rFonts w:hint="eastAsia" w:ascii="宋体" w:hAnsi="宋体" w:eastAsia="宋体" w:cs="宋体"/>
                <w:color w:val="auto"/>
                <w:sz w:val="21"/>
                <w:szCs w:val="21"/>
                <w:highlight w:val="none"/>
                <w:lang w:val="en-US" w:eastAsia="zh-CN"/>
              </w:rPr>
              <w:t>保险费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各种税务费、必须的辅助材料费及合同实施过程中不可预见费用等全部费用，采购人不向中标人另行支付任何费用。</w:t>
            </w:r>
          </w:p>
          <w:p>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中标人供货价需按照当前时段东莞市发展和改革局公布同期“广东省菜篮子价格监测表”中最新一期的“东莞市菜篮子价格监测表”的价格为基准价进行下浮，中标人须于《东莞市发展和改革局》网站最新价格挂出后第二天向采购人提供最新一期的价格表，当周基准价格一经确定，双方须严格执行，不受市场物价波动影响，不得调价。中标人原则上每隔一个周调整一次价格，每次调整价格经采购人确认后方可开始执行。</w:t>
            </w:r>
          </w:p>
          <w:p>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t>若东莞市发展和改革局网站上无发布的产品（部分特定牌子的产品除外）则由采购人和中标人双方共同在</w:t>
            </w:r>
            <w:r>
              <w:rPr>
                <w:rFonts w:hint="eastAsia" w:ascii="宋体" w:hAnsi="宋体" w:cs="宋体"/>
                <w:bCs/>
                <w:color w:val="auto"/>
                <w:sz w:val="21"/>
                <w:szCs w:val="21"/>
                <w:highlight w:val="none"/>
                <w:lang w:val="en-US" w:eastAsia="zh-CN"/>
              </w:rPr>
              <w:t>周边市场</w:t>
            </w:r>
            <w:r>
              <w:rPr>
                <w:rFonts w:hint="eastAsia" w:ascii="宋体" w:hAnsi="宋体" w:eastAsia="宋体" w:cs="宋体"/>
                <w:bCs/>
                <w:color w:val="auto"/>
                <w:sz w:val="21"/>
                <w:szCs w:val="21"/>
                <w:highlight w:val="none"/>
              </w:rPr>
              <w:t>参考同类产品价格的平均价作为基准价进行下浮（即基准价=市场平均价=N个市场抽样价格之和÷N），供货价即为基准价×【1-中标下浮率】。</w:t>
            </w:r>
          </w:p>
          <w:p>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t>所供食材价格包含一切费用，主要包括购货或自产养（种）植成本、包装费、运输费、装卸费、搬运费、储存费、人工费、检验检疫费、质量检测费、</w:t>
            </w:r>
            <w:r>
              <w:rPr>
                <w:rFonts w:hint="eastAsia" w:ascii="宋体" w:hAnsi="宋体" w:cs="宋体"/>
                <w:color w:val="auto"/>
                <w:sz w:val="21"/>
                <w:szCs w:val="21"/>
                <w:highlight w:val="none"/>
                <w:lang w:val="en-US" w:eastAsia="zh-CN"/>
              </w:rPr>
              <w:t>保险费</w:t>
            </w:r>
            <w:r>
              <w:rPr>
                <w:rFonts w:hint="eastAsia" w:ascii="宋体" w:hAnsi="宋体" w:cs="宋体"/>
                <w:color w:val="auto"/>
                <w:sz w:val="21"/>
                <w:szCs w:val="21"/>
                <w:highlight w:val="none"/>
                <w:lang w:eastAsia="zh-CN"/>
              </w:rPr>
              <w:t>、</w:t>
            </w:r>
            <w:r>
              <w:rPr>
                <w:rFonts w:hint="eastAsia" w:ascii="宋体" w:hAnsi="宋体" w:eastAsia="宋体" w:cs="宋体"/>
                <w:bCs/>
                <w:color w:val="auto"/>
                <w:sz w:val="21"/>
                <w:szCs w:val="21"/>
                <w:highlight w:val="none"/>
              </w:rPr>
              <w:t>各种税费及合同实施过程中的应预见和不可预见费用等。在项目的实施过程中，中标人必须充分考虑在本项目实施期间的一切可能产生的风险和相关费用，采购人无需支付合同约定货款之外的任何费用和补偿。</w:t>
            </w:r>
          </w:p>
          <w:p>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t>如生产商或批发商统一调整价格或新增食材，中标人须及时书面通知采购人并附相关资料。价格下调时，应给予采购人相同的价格下调幅度；价格上升时，须提供生产商或批发商调价通知书等书面证明材料原件，经采购人审核后执行新的价格。</w:t>
            </w:r>
          </w:p>
          <w:p>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t>采购人有权随时抽查中标人的供货食材入货台账或进行市场调查，发现中标人有虚报或隐瞒供货食材市场价存在欺骗行为，采购人有权取消其中标资格，终止合同。</w:t>
            </w:r>
          </w:p>
          <w:p>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t>采购人临时需求货品不在核定的供货价格清单内的，中标人必须按采购人要求供货，供货价格由双方临时确定。下次该货品应纳入报价清单，并按上述定价原则确定供货价格。</w:t>
            </w:r>
          </w:p>
          <w:p>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8.若遇台风、暴雨等意外原因造成的个别品种价格需临时调整，应通知采购人，并征得采购人同意后方可调整，每次送货按通知价格计算。</w:t>
            </w:r>
          </w:p>
          <w:p>
            <w:pPr>
              <w:widowControl w:val="0"/>
              <w:tabs>
                <w:tab w:val="left" w:pos="709"/>
              </w:tabs>
              <w:adjustRightInd/>
              <w:snapToGrid/>
              <w:spacing w:after="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9.</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t>定价周期：每周更新一次，中标人每次至少提前2天提交下次报价清单给采购人审核，双方签字后生效。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有效期</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自开标</w:t>
            </w:r>
            <w:r>
              <w:rPr>
                <w:rFonts w:hint="eastAsia" w:ascii="宋体" w:hAnsi="宋体" w:eastAsia="宋体" w:cs="宋体"/>
                <w:color w:val="auto"/>
                <w:sz w:val="21"/>
                <w:szCs w:val="21"/>
                <w:highlight w:val="none"/>
                <w:lang w:val="en-US" w:eastAsia="zh-CN"/>
              </w:rPr>
              <w:t>之</w:t>
            </w:r>
            <w:r>
              <w:rPr>
                <w:rFonts w:hint="eastAsia" w:ascii="宋体" w:hAnsi="宋体" w:eastAsia="宋体" w:cs="宋体"/>
                <w:color w:val="auto"/>
                <w:sz w:val="21"/>
                <w:szCs w:val="21"/>
                <w:highlight w:val="none"/>
              </w:rPr>
              <w:t>日起90天。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6"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食品安全责任保险</w:t>
            </w:r>
            <w:r>
              <w:rPr>
                <w:rFonts w:hint="eastAsia" w:ascii="宋体" w:hAnsi="宋体" w:eastAsia="宋体" w:cs="宋体"/>
                <w:color w:val="auto"/>
                <w:sz w:val="21"/>
                <w:szCs w:val="21"/>
                <w:highlight w:val="none"/>
                <w:lang w:val="en-US" w:eastAsia="zh-CN"/>
              </w:rPr>
              <w:t>要求</w:t>
            </w:r>
          </w:p>
        </w:tc>
        <w:tc>
          <w:tcPr>
            <w:tcW w:w="6466" w:type="dxa"/>
            <w:vAlign w:val="center"/>
          </w:tcPr>
          <w:p>
            <w:pPr>
              <w:widowControl w:val="0"/>
              <w:tabs>
                <w:tab w:val="left" w:pos="709"/>
              </w:tabs>
              <w:adjustRightInd/>
              <w:snapToGrid/>
              <w:spacing w:after="0" w:line="360" w:lineRule="auto"/>
              <w:ind w:firstLine="420" w:firstLineChars="200"/>
              <w:jc w:val="both"/>
              <w:rPr>
                <w:rFonts w:hint="eastAsia" w:ascii="宋体" w:hAnsi="宋体" w:eastAsia="宋体" w:cs="宋体"/>
                <w:color w:val="auto"/>
                <w:sz w:val="21"/>
                <w:szCs w:val="21"/>
                <w:highlight w:val="none"/>
                <w:lang w:eastAsia="zh-CN"/>
              </w:rPr>
            </w:pPr>
            <w:r>
              <w:rPr>
                <w:rFonts w:hint="default" w:ascii="宋体" w:hAnsi="宋体" w:eastAsia="宋体" w:cs="宋体"/>
                <w:bCs/>
                <w:color w:val="auto"/>
                <w:sz w:val="21"/>
                <w:szCs w:val="21"/>
                <w:highlight w:val="none"/>
                <w:lang w:val="en-US" w:eastAsia="zh-CN"/>
              </w:rPr>
              <w:t>中标人须为采购人提供一份采购人为受益人、额度为</w:t>
            </w:r>
            <w:r>
              <w:rPr>
                <w:rFonts w:hint="eastAsia" w:ascii="宋体" w:hAnsi="宋体" w:cs="宋体"/>
                <w:bCs/>
                <w:color w:val="auto"/>
                <w:sz w:val="21"/>
                <w:szCs w:val="21"/>
                <w:highlight w:val="none"/>
                <w:lang w:val="en-US" w:eastAsia="zh-CN"/>
              </w:rPr>
              <w:t>200</w:t>
            </w:r>
            <w:r>
              <w:rPr>
                <w:rFonts w:hint="default" w:ascii="宋体" w:hAnsi="宋体" w:eastAsia="宋体" w:cs="宋体"/>
                <w:bCs/>
                <w:color w:val="auto"/>
                <w:sz w:val="21"/>
                <w:szCs w:val="21"/>
                <w:highlight w:val="none"/>
                <w:lang w:val="en-US" w:eastAsia="zh-CN"/>
              </w:rPr>
              <w:t>万元的保险（食品安全责任险），保险承保期限不短于</w:t>
            </w:r>
            <w:r>
              <w:rPr>
                <w:rFonts w:hint="eastAsia" w:ascii="宋体" w:hAnsi="宋体" w:cs="宋体"/>
                <w:bCs/>
                <w:color w:val="auto"/>
                <w:sz w:val="21"/>
                <w:szCs w:val="21"/>
                <w:highlight w:val="none"/>
                <w:lang w:val="en-US" w:eastAsia="zh-CN"/>
              </w:rPr>
              <w:t>三</w:t>
            </w:r>
            <w:r>
              <w:rPr>
                <w:rFonts w:hint="default" w:ascii="宋体" w:hAnsi="宋体" w:eastAsia="宋体" w:cs="宋体"/>
                <w:bCs/>
                <w:color w:val="auto"/>
                <w:sz w:val="21"/>
                <w:szCs w:val="21"/>
                <w:highlight w:val="none"/>
                <w:lang w:val="en-US" w:eastAsia="zh-CN"/>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6"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质量及包装要求</w:t>
            </w:r>
          </w:p>
        </w:tc>
        <w:tc>
          <w:tcPr>
            <w:tcW w:w="6466" w:type="dxa"/>
            <w:vAlign w:val="center"/>
          </w:tcPr>
          <w:p>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t>中标人应充分理解并认真遵循本招标文件的要求，所提供的货物必须是满足招标文件要求。保证供应的货品均为正规生产的新鲜（冰鲜除外）、检验合格、无毒、无辐射、无侵权货品，符合国家有关卫生、质量、包装和保质标准，有使用有效期的货品，其剩余有效期不得少于标注有效期的50%。</w:t>
            </w:r>
          </w:p>
          <w:p>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t>中标人保证所提供的水产品和蔬菜种类的多样性和季节性，以保证新鲜感。</w:t>
            </w:r>
          </w:p>
          <w:p>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t>货物有包装的，货物的包装必须完整清洁（无损、无污、无皱），采购人有权拒收包装不整齐、已拆封的货品。</w:t>
            </w:r>
          </w:p>
          <w:p>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t>货品质量或包装不符合采购人要求的，中标人必须无条件退货或更换。</w:t>
            </w:r>
          </w:p>
          <w:p>
            <w:pPr>
              <w:widowControl w:val="0"/>
              <w:tabs>
                <w:tab w:val="left" w:pos="709"/>
              </w:tabs>
              <w:adjustRightInd/>
              <w:snapToGrid/>
              <w:spacing w:after="0"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5.</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t>中标人提供假冒伪劣、过期、变质货品的，一经发现，除按采购人要求无条件退货或换货外，因中标人供应货品质量问题造成食品安全事故的，经有关部门鉴定后，中标人须负担全数的医药费及赔偿费等，采购人将取消该中标人的供货资格，中标人同时承担相应的民事及刑事法律责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6"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保密条款</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在实施货物供货期间，不得将供货的实际数量及供货地点泄露给其他企业或者个人，</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必须指派相对固定的人员完成货物配送服务，并需将配送人员的详细资料报采购人备案，货物配送人员必须遵纪守法、品行良好，无违法犯罪记录。如需要更换配送人员，必须事先通知采购人并将其个人资料送采购人审批，审批合格者才能更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验收标准</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标人所供应的货品必须符合国家和东莞市的相关安全质量标准、卫生标准等，同时符合采购人的使用要求，包括但不限于各分包所列的货品质量要求。中标人在接受订单时须确认采购人对货品的使用要求，对于不符合采购人要求的货品，采购人有权拒收或要求更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lang w:val="en-US" w:eastAsia="zh-CN"/>
              </w:rPr>
            </w:pPr>
            <w:bookmarkStart w:id="141" w:name="_Toc373223057"/>
            <w:bookmarkStart w:id="142" w:name="_Toc373222968"/>
            <w:bookmarkStart w:id="143" w:name="_Toc257799731"/>
            <w:bookmarkStart w:id="144" w:name="_Toc258594152"/>
            <w:bookmarkStart w:id="145" w:name="_Toc258595216"/>
            <w:bookmarkStart w:id="146" w:name="_Toc374515876"/>
            <w:bookmarkStart w:id="147" w:name="_Toc255974608"/>
            <w:r>
              <w:rPr>
                <w:rFonts w:hint="eastAsia" w:ascii="宋体" w:hAnsi="宋体" w:eastAsia="宋体" w:cs="宋体"/>
                <w:color w:val="auto"/>
                <w:sz w:val="21"/>
                <w:szCs w:val="21"/>
                <w:highlight w:val="none"/>
                <w:lang w:val="en-US" w:eastAsia="zh-CN"/>
              </w:rPr>
              <w:t>售后服务</w:t>
            </w:r>
            <w:bookmarkEnd w:id="141"/>
            <w:bookmarkEnd w:id="142"/>
            <w:bookmarkEnd w:id="143"/>
            <w:bookmarkEnd w:id="144"/>
            <w:bookmarkEnd w:id="145"/>
            <w:bookmarkEnd w:id="146"/>
            <w:bookmarkEnd w:id="147"/>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非采购人的人为原因而出现产品质量，由中标人负责包换或包退，并承担因此而产生的一切费用。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合同条款</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供应商实质响应合同各条款。</w:t>
            </w:r>
          </w:p>
        </w:tc>
      </w:tr>
    </w:tbl>
    <w:p>
      <w:pPr>
        <w:rPr>
          <w:color w:val="auto"/>
          <w:highlight w:val="none"/>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pStyle w:val="2"/>
        <w:jc w:val="center"/>
        <w:rPr>
          <w:rFonts w:hint="eastAsia"/>
          <w:b/>
          <w:bCs/>
          <w:color w:val="auto"/>
          <w:sz w:val="28"/>
          <w:szCs w:val="36"/>
          <w:highlight w:val="none"/>
        </w:rPr>
      </w:pPr>
      <w:bookmarkStart w:id="148" w:name="_Toc4572"/>
      <w:r>
        <w:rPr>
          <w:rFonts w:hint="eastAsia"/>
          <w:b/>
          <w:bCs/>
          <w:color w:val="auto"/>
          <w:sz w:val="28"/>
          <w:szCs w:val="36"/>
          <w:highlight w:val="none"/>
        </w:rPr>
        <w:t>技术要求</w:t>
      </w:r>
      <w:bookmarkEnd w:id="148"/>
    </w:p>
    <w:p>
      <w:pPr>
        <w:widowControl w:val="0"/>
        <w:numPr>
          <w:ilvl w:val="0"/>
          <w:numId w:val="10"/>
        </w:numPr>
        <w:tabs>
          <w:tab w:val="left" w:pos="426"/>
          <w:tab w:val="left" w:pos="709"/>
          <w:tab w:val="clear" w:pos="420"/>
        </w:tabs>
        <w:adjustRightInd/>
        <w:snapToGrid/>
        <w:spacing w:after="0" w:line="360" w:lineRule="auto"/>
        <w:jc w:val="both"/>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食材服务需求</w:t>
      </w:r>
    </w:p>
    <w:p>
      <w:pPr>
        <w:keepNext w:val="0"/>
        <w:keepLines w:val="0"/>
        <w:pageBreakBefore w:val="0"/>
        <w:widowControl w:val="0"/>
        <w:numPr>
          <w:ilvl w:val="0"/>
          <w:numId w:val="11"/>
        </w:numPr>
        <w:kinsoku/>
        <w:wordWrap/>
        <w:overflowPunct/>
        <w:topLinePunct w:val="0"/>
        <w:autoSpaceDE/>
        <w:autoSpaceDN/>
        <w:bidi w:val="0"/>
        <w:adjustRightInd w:val="0"/>
        <w:snapToGrid w:val="0"/>
        <w:spacing w:after="0" w:line="360" w:lineRule="auto"/>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质量要求</w:t>
      </w:r>
    </w:p>
    <w:p>
      <w:pPr>
        <w:widowControl w:val="0"/>
        <w:numPr>
          <w:ilvl w:val="0"/>
          <w:numId w:val="12"/>
        </w:numPr>
        <w:spacing w:after="0" w:line="360" w:lineRule="auto"/>
        <w:ind w:left="0" w:leftChars="0" w:firstLine="400" w:firstLine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粮油类配送采购要求</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（1）供应产品的质量要求： </w:t>
      </w:r>
    </w:p>
    <w:p>
      <w:pPr>
        <w:widowControl w:val="0"/>
        <w:spacing w:after="0" w:line="360" w:lineRule="auto"/>
        <w:ind w:firstLine="315" w:firstLineChars="15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①米、油货物必须符合卫生，不得有腐烂、变质、油脂酸败、霉变、生虫、污秽不结、混有异物或者其他感官性状异常，并可能对人体健康有害的物质。</w:t>
      </w:r>
    </w:p>
    <w:p>
      <w:pPr>
        <w:widowControl w:val="0"/>
        <w:spacing w:after="0" w:line="360" w:lineRule="auto"/>
        <w:ind w:firstLine="315" w:firstLineChars="15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米、油要提供QS认证、国家机关发出的产品检验合格证书。包装食品：包装箱完整，同时包装箱要印有注册商标、生产厂家名称、厂址、出厂日期、产品合格证、保质期限、产品成份、厂家电话号码。散装豆类：提供生产厂家营业执照、卫生许可证、国家机关发出的产品检验合格证书。中标人所提供产品质量必须要符合行业标准要求，不得有掺假、变质、变味、过期等现象出现，严禁伪劣、假冒、无证不合格物品进入仓库。</w:t>
      </w:r>
    </w:p>
    <w:p>
      <w:pPr>
        <w:widowControl w:val="0"/>
        <w:spacing w:after="0" w:line="360" w:lineRule="auto"/>
        <w:ind w:firstLine="315" w:firstLineChars="15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③中标人在供应过程中，如果发生出现质量问题或造成食物中毒,如变质等情况，经查实后确属中标人责任，中标人应承担全部责任，主要包括食物中毒人员医疗费、误工费、事故处理费等，直至追究刑事责任。</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（2）执行标准：</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①米类执行标准：GB/T 1354-2018　 标准一等米 不含添加剂</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②大米的质量标准：除符合标准一等米外，要求：</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碎米总量≤17% （国家标准：≤35%） </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小碎米总量≤2%（国家标准：≤2.5%） </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不完善粒≤3.5%（国家标准：≤4.0%） </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黄米粒按国家标准执行 。</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③油类执行标准：SB/T</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10292-1998</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④油类质量要求：</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个食用油品种必须色泽好，透明度高，无浑浊，无沉淀和悬浮物，粘度小，无分层现象，气味正常，无酸臭异味。严格执行国家相关质量标准及卫生安全标准，色泽、气味、霉变、真菌毒素、重金属污染物、农药等严格控制在国家标准范围内（原粮及成品粮色泽、气味必须正常。  霉变粒不得超过2％。 真菌毒素：黄曲霉毒素B1 （5μg/kg～20μg/kg）、脱氧雪腐镰刀菌烯醇（≤1000μg/kg）、玉米赤霉烯酮（≤60μg/kg）、赭曲霉毒素A（5μg/kg）。重金属污染物：铅（≤0.2mg/kg）、镉(0.1 mg/kg～0.2 mg/kg)、汞（0.02 mg/kg）、无机砷（0.1 mg/kg～0.2 mg/kg）。 农药：对磷化物、马拉硫磷等140余种农药规定了最大残留限量）。并根据用户需求的食用油等级保质保量完成供货。要求提供的食用油生产厂家信誉良好，有明确的商品标签，有生产日期、保质期、质量等级，并标明初制油的加工工艺(即用浸出法生产，还是用压榨法生产的)和是否用转基因油料生产，不许以次充好、以假充真。如将毛油当一级或二级油进行销售，将低价位的植物油掺入高价位植物油中进行销售，牟取暴利，一经查处，中标人将承担全部责任。</w:t>
      </w:r>
    </w:p>
    <w:p>
      <w:pPr>
        <w:widowControl w:val="0"/>
        <w:numPr>
          <w:ilvl w:val="0"/>
          <w:numId w:val="12"/>
        </w:numPr>
        <w:spacing w:after="0" w:line="360" w:lineRule="auto"/>
        <w:ind w:left="0" w:leftChars="0" w:firstLine="400" w:firstLine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副食品供应货品质量要求</w:t>
      </w:r>
    </w:p>
    <w:p>
      <w:pPr>
        <w:widowControl w:val="0"/>
        <w:numPr>
          <w:ilvl w:val="0"/>
          <w:numId w:val="0"/>
        </w:numPr>
        <w:spacing w:after="0" w:line="360" w:lineRule="auto"/>
        <w:ind w:firstLine="420" w:firstLineChars="200"/>
        <w:jc w:val="both"/>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副食品包括但不限于牛奶、食糖、</w:t>
      </w:r>
      <w:r>
        <w:rPr>
          <w:rFonts w:hint="eastAsia" w:hAnsi="宋体" w:cs="宋体"/>
          <w:color w:val="auto"/>
          <w:sz w:val="21"/>
          <w:szCs w:val="21"/>
          <w:highlight w:val="none"/>
          <w:lang w:val="en-US" w:eastAsia="zh-CN"/>
        </w:rPr>
        <w:fldChar w:fldCharType="begin"/>
      </w:r>
      <w:r>
        <w:rPr>
          <w:rFonts w:hint="eastAsia" w:hAnsi="宋体" w:cs="宋体"/>
          <w:color w:val="auto"/>
          <w:sz w:val="21"/>
          <w:szCs w:val="21"/>
          <w:highlight w:val="none"/>
          <w:lang w:val="en-US" w:eastAsia="zh-CN"/>
        </w:rPr>
        <w:instrText xml:space="preserve"> HYPERLINK "https://baike.so.com/doc/1586555-1677103.html" \t "https://baike.so.com/doc/_blank" </w:instrText>
      </w:r>
      <w:r>
        <w:rPr>
          <w:rFonts w:hint="eastAsia" w:hAnsi="宋体" w:cs="宋体"/>
          <w:color w:val="auto"/>
          <w:sz w:val="21"/>
          <w:szCs w:val="21"/>
          <w:highlight w:val="none"/>
          <w:lang w:val="en-US" w:eastAsia="zh-CN"/>
        </w:rPr>
        <w:fldChar w:fldCharType="separate"/>
      </w:r>
      <w:r>
        <w:rPr>
          <w:rFonts w:hint="eastAsia" w:hAnsi="宋体" w:cs="宋体"/>
          <w:color w:val="auto"/>
          <w:sz w:val="21"/>
          <w:szCs w:val="21"/>
          <w:highlight w:val="none"/>
          <w:lang w:val="en-US" w:eastAsia="zh-CN"/>
        </w:rPr>
        <w:t>糖果</w:t>
      </w:r>
      <w:r>
        <w:rPr>
          <w:rFonts w:hint="eastAsia" w:hAnsi="宋体" w:cs="宋体"/>
          <w:color w:val="auto"/>
          <w:sz w:val="21"/>
          <w:szCs w:val="21"/>
          <w:highlight w:val="none"/>
          <w:lang w:val="en-US" w:eastAsia="zh-CN"/>
        </w:rPr>
        <w:fldChar w:fldCharType="end"/>
      </w:r>
      <w:r>
        <w:rPr>
          <w:rFonts w:hint="eastAsia" w:hAnsi="宋体" w:cs="宋体"/>
          <w:color w:val="auto"/>
          <w:sz w:val="21"/>
          <w:szCs w:val="21"/>
          <w:highlight w:val="none"/>
          <w:lang w:val="en-US" w:eastAsia="zh-CN"/>
        </w:rPr>
        <w:t>、罐头、乳制品、蜜制品、豆制品、饮料、饼干、糕点、小食品以及果品等。</w:t>
      </w:r>
    </w:p>
    <w:p>
      <w:pPr>
        <w:widowControl w:val="0"/>
        <w:numPr>
          <w:ilvl w:val="0"/>
          <w:numId w:val="0"/>
        </w:numPr>
        <w:spacing w:after="0" w:line="360" w:lineRule="auto"/>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1</w:t>
      </w:r>
      <w:r>
        <w:rPr>
          <w:rFonts w:hint="eastAsia" w:hAnsi="宋体" w:cs="宋体"/>
          <w:color w:val="auto"/>
          <w:sz w:val="21"/>
          <w:szCs w:val="21"/>
          <w:highlight w:val="none"/>
          <w:lang w:eastAsia="zh-CN"/>
        </w:rPr>
        <w:t>）</w:t>
      </w:r>
      <w:r>
        <w:rPr>
          <w:rFonts w:hint="eastAsia" w:hAnsi="宋体" w:cs="宋体"/>
          <w:color w:val="auto"/>
          <w:sz w:val="21"/>
          <w:szCs w:val="21"/>
          <w:highlight w:val="none"/>
        </w:rPr>
        <w:t>副食品须选用符合国家食品卫生法规相关标准的商品，选用无毒、无害、无污染、可朔源的食品。掺假、掺杂食品坚决不能使用。副食品表面外观新鲜、完整，无霉变异味，无砂粒杂质，无虫尸鼠粪等不洁卫生问题。奶制品色泽乳白，口味鲜香，包装完整，无破损，符合国家规定的质量卫生标准。</w:t>
      </w:r>
    </w:p>
    <w:p>
      <w:pPr>
        <w:widowControl w:val="0"/>
        <w:numPr>
          <w:ilvl w:val="0"/>
          <w:numId w:val="0"/>
        </w:numPr>
        <w:spacing w:after="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hAnsi="宋体" w:cs="宋体"/>
          <w:color w:val="auto"/>
          <w:sz w:val="21"/>
          <w:szCs w:val="21"/>
          <w:highlight w:val="none"/>
        </w:rPr>
        <w:t>副食品</w:t>
      </w:r>
      <w:r>
        <w:rPr>
          <w:rFonts w:hint="eastAsia" w:ascii="宋体" w:hAnsi="宋体" w:eastAsia="宋体" w:cs="宋体"/>
          <w:color w:val="auto"/>
          <w:sz w:val="21"/>
          <w:szCs w:val="21"/>
          <w:highlight w:val="none"/>
        </w:rPr>
        <w:t>外包装清晰标注生产厂家名称、厂址、厂家电话号码、出厂日期、保质期限、产品成份等，并符合国家食品卫生标准，坚决杜绝假冒、变质、过期的产品（从收货之日起计算剩余保质期不得低于标注保质期的50%），供货时并提供QS认证、及产品相关的检验合格证书。</w:t>
      </w:r>
    </w:p>
    <w:p>
      <w:pPr>
        <w:widowControl w:val="0"/>
        <w:numPr>
          <w:ilvl w:val="0"/>
          <w:numId w:val="12"/>
        </w:numPr>
        <w:spacing w:after="0" w:line="360" w:lineRule="auto"/>
        <w:ind w:left="0" w:leftChars="0" w:firstLine="400" w:firstLine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蔬菜瓜果供应货品质量要求</w:t>
      </w:r>
    </w:p>
    <w:p>
      <w:pPr>
        <w:widowControl w:val="0"/>
        <w:spacing w:after="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人提供的蔬菜须确保鲜嫩度，不得有黄叶、斑点、腐烂或有异常味道，利用率不得低于95%，且不含有残留农药或污染物，并出具有效的《农产品检验报告》。卫生质量指标，应符合我国无公害蔬菜上的卫生指标规定。采购人对所配送蔬菜进行二次农残检测，如含量超标采购人有权要求中标人无条件退货或换货，同时做好相关记录。</w:t>
      </w:r>
    </w:p>
    <w:p>
      <w:pPr>
        <w:widowControl w:val="0"/>
        <w:spacing w:after="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(2)中标人需设自检测室或有固定的送检机构，每天所供蔬菜类都要提供农药残留的检测报告，并交采购人存档备查。</w:t>
      </w:r>
    </w:p>
    <w:p>
      <w:pPr>
        <w:widowControl w:val="0"/>
        <w:spacing w:after="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中标人提供的</w:t>
      </w:r>
      <w:r>
        <w:rPr>
          <w:rFonts w:hint="eastAsia" w:ascii="宋体" w:hAnsi="宋体" w:eastAsia="宋体" w:cs="宋体"/>
          <w:color w:val="auto"/>
          <w:sz w:val="21"/>
          <w:szCs w:val="21"/>
          <w:highlight w:val="none"/>
        </w:rPr>
        <w:t>豆制品须确保色泽均匀，呈块状、硬度适中、富有弹性、持水性好、无霉点。有主料应有的香气，无异味，无肉眼可见外来异物。</w:t>
      </w:r>
    </w:p>
    <w:p>
      <w:pPr>
        <w:widowControl w:val="0"/>
        <w:spacing w:after="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验收时未发现问题，而在加工食用前发现部分货品存在质量问题的，采购人立即通知中标人将问题货品进行退换货处理。如中标人所供应货品出现质量问题造成食品安全事故，中标人应承担全部责任和经济损失。</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4.肉类供应货品质量要求</w:t>
      </w:r>
    </w:p>
    <w:p>
      <w:pPr>
        <w:keepNext w:val="0"/>
        <w:keepLines w:val="0"/>
        <w:pageBreakBefore w:val="0"/>
        <w:widowControl w:val="0"/>
        <w:kinsoku/>
        <w:wordWrap/>
        <w:overflowPunct/>
        <w:topLinePunct w:val="0"/>
        <w:autoSpaceDE/>
        <w:autoSpaceDN/>
        <w:bidi w:val="0"/>
        <w:adjustRightInd w:val="0"/>
        <w:snapToGrid w:val="0"/>
        <w:spacing w:after="0" w:line="360" w:lineRule="auto"/>
        <w:ind w:lef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鲜肉类全部来源于正规肉联厂，保证为当日新鲜肉，并提供政府检疫部门出示的检疫合格证明。（鲜肉类利用率不低于98%）</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具有当天卫生监督部门发放的“动物检疫合格证明”，肉体印有检疫章。</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表皮干爽、肌体结实、肉质紧密、肉色淡红新鲜，肥肉洁白而细腻。</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外观检测无异味、无寄生虫、无粘液、无渗出液体、指压反弹迅速、具有猪肉自然气味。</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运输设备具备恒温保鲜（5度），存放容器保持清洁卫生，包装合理且材料无污染。</w:t>
      </w:r>
    </w:p>
    <w:p>
      <w:pPr>
        <w:keepNext w:val="0"/>
        <w:keepLines w:val="0"/>
        <w:pageBreakBefore w:val="0"/>
        <w:widowControl w:val="0"/>
        <w:kinsoku/>
        <w:wordWrap/>
        <w:overflowPunct/>
        <w:topLinePunct w:val="0"/>
        <w:autoSpaceDE/>
        <w:autoSpaceDN/>
        <w:bidi w:val="0"/>
        <w:adjustRightInd w:val="0"/>
        <w:snapToGrid w:val="0"/>
        <w:spacing w:after="0" w:line="360" w:lineRule="auto"/>
        <w:ind w:lef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来源可靠放心，无毒、无害、无污染。</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.水产品类供应货品质量要求</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必须鲜活。</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非冰鲜类必须鲜活，利用率不低于95%；冰鲜类水产品解冻后利用率不低于80%。</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鲜鱼鳞片完整，有光泽无脱落，鳃口紧闭，眼球光亮透明，鱼鳃鲜红，鳍尾完整，确保新鲜。</w:t>
      </w:r>
    </w:p>
    <w:p>
      <w:pPr>
        <w:keepNext w:val="0"/>
        <w:keepLines w:val="0"/>
        <w:pageBreakBefore w:val="0"/>
        <w:widowControl w:val="0"/>
        <w:kinsoku/>
        <w:wordWrap/>
        <w:overflowPunct/>
        <w:topLinePunct w:val="0"/>
        <w:autoSpaceDE/>
        <w:autoSpaceDN/>
        <w:bidi w:val="0"/>
        <w:adjustRightInd w:val="0"/>
        <w:snapToGrid w:val="0"/>
        <w:spacing w:after="0" w:line="360" w:lineRule="auto"/>
        <w:ind w:lef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身体饱满结实，无腐烂异味，肉质紧密有弹性，无离骨脱刺现象。</w:t>
      </w:r>
    </w:p>
    <w:p>
      <w:pPr>
        <w:keepNext w:val="0"/>
        <w:keepLines w:val="0"/>
        <w:pageBreakBefore w:val="0"/>
        <w:widowControl w:val="0"/>
        <w:kinsoku/>
        <w:wordWrap/>
        <w:overflowPunct/>
        <w:topLinePunct w:val="0"/>
        <w:autoSpaceDE/>
        <w:autoSpaceDN/>
        <w:bidi w:val="0"/>
        <w:adjustRightInd w:val="0"/>
        <w:snapToGrid w:val="0"/>
        <w:spacing w:after="0" w:line="360" w:lineRule="auto"/>
        <w:ind w:lef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来源可靠放心，无毒、无害、无污染。</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400" w:leftChars="0"/>
        <w:contextualSpacing/>
        <w:textAlignment w:val="auto"/>
        <w:rPr>
          <w:rFonts w:hAnsi="宋体" w:cs="宋体"/>
          <w:color w:val="auto"/>
          <w:sz w:val="21"/>
          <w:szCs w:val="21"/>
          <w:highlight w:val="none"/>
        </w:rPr>
      </w:pPr>
    </w:p>
    <w:p>
      <w:pPr>
        <w:keepNext w:val="0"/>
        <w:keepLines w:val="0"/>
        <w:pageBreakBefore w:val="0"/>
        <w:widowControl w:val="0"/>
        <w:numPr>
          <w:ilvl w:val="0"/>
          <w:numId w:val="11"/>
        </w:numPr>
        <w:kinsoku/>
        <w:wordWrap/>
        <w:overflowPunct/>
        <w:topLinePunct w:val="0"/>
        <w:autoSpaceDE/>
        <w:autoSpaceDN/>
        <w:bidi w:val="0"/>
        <w:adjustRightInd w:val="0"/>
        <w:snapToGrid w:val="0"/>
        <w:spacing w:after="0" w:line="360" w:lineRule="auto"/>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配送要求</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必须采用符合卫生要求的运载工具，要保持清洁和定期消毒。运输车厢的内仓应为抗腐蚀、防潮，防虫、防鼠的设计，车厢内无不良气味、异味。送货车辆应保持清洁，堆放科学合理，避免造成食材的交叉污染；如对温度有要求的应确定食材的温度，记录送货车辆温度，并记录存档。</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2.容器要求清洁、干燥、牢固、透气，无污染、无异味、无霉变现象。</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3.冰鲜类水产品必须用专用冷藏、冷冻载具运输，保证运输过程冷链不中断，到达目的地时外包装箱干爽，无软化现象。</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4.蔬菜应小心轻卸，严防机械损伤。</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5.中标人要免费提供运送及卸货服务。</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必须按照采购人要求的货品规格、数量、质量配送，如数量不足的，中标人应立即补足；如有10%以下（含10%）货品规格、质量不符合要求的，中标人应对不符合要求的货品进行更换；如有10%以上的货品规格、质量不符合要求的，由采购人选择整批退货或要求中标人按时整批更换。</w:t>
      </w:r>
    </w:p>
    <w:p>
      <w:pPr>
        <w:keepNext w:val="0"/>
        <w:keepLines w:val="0"/>
        <w:pageBreakBefore w:val="0"/>
        <w:widowControl w:val="0"/>
        <w:numPr>
          <w:ilvl w:val="0"/>
          <w:numId w:val="11"/>
        </w:numPr>
        <w:kinsoku/>
        <w:wordWrap/>
        <w:overflowPunct/>
        <w:topLinePunct w:val="0"/>
        <w:autoSpaceDE/>
        <w:autoSpaceDN/>
        <w:bidi w:val="0"/>
        <w:adjustRightInd w:val="0"/>
        <w:snapToGrid w:val="0"/>
        <w:spacing w:after="0" w:line="360" w:lineRule="auto"/>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中标人需设立自有检测室或有固定的送检机构，每种蔬菜每天都要随货提供农药残留的检测报告，食品检测人员或检测机构资料交采购人存档备查。</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1.对食品安全质量问题的处理：</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(1)对危及人体健康的食品质量问题（如农药残留超标、腐烂变质等）采取零容忍措施，一经发现，当日所送同批次货品全部退货。</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(2)若验收时未发现问题，而在加工食用前发现部分货品质量有问题，采购人立即通知中标人，将问题货品作退换货处理。</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(3)中标人所供应货品出现质量问题造成食品安全事故，经查实后属中标人责任的，中标人应承担全部责任和经济损失。</w:t>
      </w:r>
    </w:p>
    <w:p>
      <w:pPr>
        <w:bidi w:val="0"/>
        <w:rPr>
          <w:rFonts w:hint="eastAsia"/>
          <w:color w:val="auto"/>
          <w:highlight w:val="none"/>
        </w:rPr>
      </w:pPr>
    </w:p>
    <w:p>
      <w:pPr>
        <w:widowControl w:val="0"/>
        <w:numPr>
          <w:ilvl w:val="0"/>
          <w:numId w:val="10"/>
        </w:numPr>
        <w:tabs>
          <w:tab w:val="left" w:pos="426"/>
          <w:tab w:val="left" w:pos="709"/>
          <w:tab w:val="clear" w:pos="420"/>
        </w:tabs>
        <w:adjustRightInd/>
        <w:snapToGrid/>
        <w:spacing w:after="0" w:line="360" w:lineRule="auto"/>
        <w:jc w:val="both"/>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w:t>
      </w:r>
      <w:r>
        <w:rPr>
          <w:rFonts w:hint="eastAsia" w:ascii="宋体" w:hAnsi="宋体" w:cs="宋体"/>
          <w:b/>
          <w:bCs/>
          <w:color w:val="auto"/>
          <w:sz w:val="24"/>
          <w:szCs w:val="24"/>
          <w:highlight w:val="none"/>
          <w:lang w:val="en-US" w:eastAsia="zh-CN"/>
        </w:rPr>
        <w:t>内容</w:t>
      </w:r>
      <w:r>
        <w:rPr>
          <w:rFonts w:hint="eastAsia" w:ascii="宋体" w:hAnsi="宋体" w:eastAsia="宋体" w:cs="宋体"/>
          <w:b/>
          <w:bCs/>
          <w:color w:val="auto"/>
          <w:sz w:val="24"/>
          <w:szCs w:val="24"/>
          <w:highlight w:val="none"/>
        </w:rPr>
        <w:t>说明</w:t>
      </w:r>
    </w:p>
    <w:p>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t>中标人应当根据采购人实际情况，按照与采购人的约定，在规定的时间内将预定的货物如数送到指定地点。除发生客观不可抗力的情况外，中标人不得推迟送货。如确需延迟送货的，中标人应在得知情况的同时告知采购人并征得采购人同意，由于中标人延迟造成采购人利益受损的，采购人有权要求中标人赔偿。</w:t>
      </w:r>
    </w:p>
    <w:p>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t>水产品类一般每天送货1-2次；蔬菜类一般每天送货1次，采购人在前一天确认采购订单；调味品类一般一个星期送货一次，采购人至少提前一天确认采购订单。每次订单不论数量多少，中标人都必须按采购人要求配送。对于临时性采购订单，中标人须积极配合，按照采购人要求按时、按质、按量将货品配送到指定地点。</w:t>
      </w:r>
    </w:p>
    <w:p>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t>配送时间：每天上午</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0前送达采购指定地点。如采购人需要临时增加补货，中标人必须在采购要求的时间内将货物保质保量送到采购人指定地点。具体配送时间以采购人实际要求为准。</w:t>
      </w:r>
    </w:p>
    <w:p>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t>中标人负责货品配送前的仓储，采购人不提供仓库。</w:t>
      </w:r>
    </w:p>
    <w:p>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t>在采购人签收之前，货物的所有权和风险属于中标人，货物发生遗失、损坏由中标人负责。</w:t>
      </w:r>
    </w:p>
    <w:p>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t>中标人须严格按照采购人的订单配送货品，不得随意增减数量或改变品种。如因市场流通问题确实需要变更供货内容的，中标人应在得知情况的同时书面告知采购人并征得采购人同意后方可变更，否则，采购人有权拒收，由此产生的一切损失和费用由中标人承担。</w:t>
      </w:r>
    </w:p>
    <w:p>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7</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t>中标人不能按核定的供货价交付的某些货品、不能提供与其承诺相符的服务或中标人存在违反招标文件和合同的行为，并且不予纠正的，将取消其中标资格。此项下违约行为包括但不限于下列各项：</w:t>
      </w:r>
    </w:p>
    <w:p>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(1)中标人在收到采购人订货要求后，在承诺的供货时间内不能供货的。</w:t>
      </w:r>
    </w:p>
    <w:p>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(2)中标人未能提供承诺的服务的。</w:t>
      </w:r>
    </w:p>
    <w:p>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(3)中标人不能在约定时间内提供合法票据进行结算的。</w:t>
      </w:r>
    </w:p>
    <w:p>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(4)中标人送货专员在采购人单位活动但不遵守采购人单位各项规章制度或做出有损采购人形象和利益的事情的。</w:t>
      </w:r>
    </w:p>
    <w:p>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(5)中标人泄露采购人的秘密的。如泄密行为造成采购人损失的，中标人将承担由此产生的一切损失和法律责任。</w:t>
      </w:r>
    </w:p>
    <w:p>
      <w:pPr>
        <w:bidi w:val="0"/>
        <w:rPr>
          <w:rFonts w:hint="eastAsia"/>
          <w:color w:val="auto"/>
          <w:highlight w:val="none"/>
        </w:rPr>
      </w:pPr>
    </w:p>
    <w:p>
      <w:pPr>
        <w:widowControl w:val="0"/>
        <w:numPr>
          <w:ilvl w:val="0"/>
          <w:numId w:val="10"/>
        </w:numPr>
        <w:tabs>
          <w:tab w:val="left" w:pos="426"/>
          <w:tab w:val="left" w:pos="709"/>
          <w:tab w:val="clear" w:pos="420"/>
        </w:tabs>
        <w:adjustRightInd/>
        <w:snapToGrid/>
        <w:spacing w:after="0" w:line="360" w:lineRule="auto"/>
        <w:jc w:val="both"/>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其他要求</w:t>
      </w:r>
    </w:p>
    <w:p>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t>中标人必须服从采购人的监督、管理，配合采购人到农场基地、食物配送点进行现场考察。</w:t>
      </w:r>
    </w:p>
    <w:p>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t>食品供应链要求：所有食品的来源必须清晰可追溯和追责。</w:t>
      </w:r>
    </w:p>
    <w:p>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t>中标人需配合采购人要求，落实我市关于采购贫困地区农副产品的相关政策要求，通过贫困地区农副产品网络销售平台或定向扶贫地区采购贫困地区农副产品。</w:t>
      </w:r>
    </w:p>
    <w:p>
      <w:pPr>
        <w:bidi w:val="0"/>
        <w:rPr>
          <w:rFonts w:hint="eastAsia"/>
          <w:color w:val="auto"/>
          <w:highlight w:val="none"/>
        </w:rPr>
      </w:pPr>
    </w:p>
    <w:p>
      <w:pPr>
        <w:widowControl w:val="0"/>
        <w:numPr>
          <w:ilvl w:val="0"/>
          <w:numId w:val="10"/>
        </w:numPr>
        <w:tabs>
          <w:tab w:val="left" w:pos="426"/>
          <w:tab w:val="left" w:pos="709"/>
          <w:tab w:val="clear" w:pos="420"/>
        </w:tabs>
        <w:adjustRightInd/>
        <w:snapToGrid/>
        <w:spacing w:after="0" w:line="360" w:lineRule="auto"/>
        <w:jc w:val="both"/>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相关说明</w:t>
      </w:r>
    </w:p>
    <w:p>
      <w:pPr>
        <w:pStyle w:val="23"/>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在服务年限内，履行本招标文件约定的义务过程中出现违反国家法律法规、相关主管部门规章制度、擅自提高价格或提供伪劣服务内容、服务质量低劣造成采购人损失等情况的，采购人有权视情节分别给予警告、没收采购履约担保或取消协议服务资格等处罚。</w:t>
      </w:r>
    </w:p>
    <w:p>
      <w:pPr>
        <w:pStyle w:val="23"/>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2.因</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被取消配送服务资格而造成服务单位数量不能满足正常食堂食材配送工作需求的，采购人有权按顺序递补本次采购排名在</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之后的候选单位，或通过对该项目服务单位进行补充采购或重新采购的方式，以保证服务单位数量的正常需求。</w:t>
      </w:r>
    </w:p>
    <w:p>
      <w:pPr>
        <w:widowControl w:val="0"/>
        <w:adjustRightInd/>
        <w:snapToGrid/>
        <w:spacing w:after="0" w:line="440" w:lineRule="exact"/>
        <w:ind w:firstLine="420"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必须清楚理解：采购人无法预计也无法保证服务单位所能获得的服务项目数量；对此服务单位不得向采购人追讨任何费用。</w:t>
      </w:r>
    </w:p>
    <w:p>
      <w:pPr>
        <w:rPr>
          <w:rFonts w:hint="eastAsia" w:ascii="宋体" w:hAnsi="宋体" w:cs="宋体"/>
          <w:b/>
          <w:bCs/>
          <w:color w:val="auto"/>
          <w:kern w:val="0"/>
          <w:szCs w:val="21"/>
          <w:highlight w:val="none"/>
          <w:lang w:val="zh-CN" w:bidi="zh-CN"/>
        </w:rPr>
      </w:pPr>
    </w:p>
    <w:p>
      <w:pPr>
        <w:pStyle w:val="2"/>
        <w:rPr>
          <w:rFonts w:hint="eastAsia" w:ascii="宋体" w:hAnsi="宋体" w:cs="宋体"/>
          <w:b/>
          <w:bCs/>
          <w:color w:val="auto"/>
          <w:kern w:val="0"/>
          <w:szCs w:val="21"/>
          <w:highlight w:val="none"/>
          <w:lang w:val="zh-CN" w:bidi="zh-CN"/>
        </w:rPr>
      </w:pPr>
    </w:p>
    <w:p>
      <w:pPr>
        <w:rPr>
          <w:rFonts w:hint="eastAsia"/>
          <w:color w:val="auto"/>
          <w:highlight w:val="none"/>
          <w:lang w:val="zh-CN"/>
        </w:rPr>
      </w:pPr>
    </w:p>
    <w:p>
      <w:pPr>
        <w:autoSpaceDE w:val="0"/>
        <w:autoSpaceDN w:val="0"/>
        <w:spacing w:line="360" w:lineRule="auto"/>
        <w:ind w:left="632" w:right="565" w:rightChars="269" w:hanging="632" w:hangingChars="300"/>
        <w:rPr>
          <w:rFonts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val="zh-CN" w:bidi="zh-CN"/>
        </w:rPr>
        <w:t>说明</w:t>
      </w:r>
      <w:r>
        <w:rPr>
          <w:rFonts w:hint="eastAsia" w:ascii="宋体" w:hAnsi="宋体" w:cs="宋体"/>
          <w:b/>
          <w:bCs/>
          <w:color w:val="auto"/>
          <w:kern w:val="0"/>
          <w:szCs w:val="21"/>
          <w:highlight w:val="none"/>
          <w:lang w:bidi="zh-CN"/>
        </w:rPr>
        <w:t>:1、</w:t>
      </w:r>
      <w:r>
        <w:rPr>
          <w:rFonts w:hint="eastAsia" w:ascii="宋体" w:hAnsi="宋体" w:cs="宋体"/>
          <w:b/>
          <w:bCs/>
          <w:color w:val="auto"/>
          <w:kern w:val="0"/>
          <w:szCs w:val="21"/>
          <w:highlight w:val="none"/>
          <w:lang w:val="zh-CN" w:bidi="zh-CN"/>
        </w:rPr>
        <w:t>打“★”号条款为实质性条款，若有任何一条负偏离或不满足则导致投标（响应）无效。</w:t>
      </w:r>
    </w:p>
    <w:p>
      <w:pPr>
        <w:pStyle w:val="2"/>
        <w:spacing w:before="0" w:line="360" w:lineRule="auto"/>
        <w:ind w:left="638" w:leftChars="304"/>
        <w:rPr>
          <w:b/>
          <w:bCs/>
          <w:color w:val="auto"/>
          <w:kern w:val="0"/>
          <w:sz w:val="21"/>
          <w:szCs w:val="21"/>
          <w:highlight w:val="none"/>
        </w:rPr>
      </w:pPr>
      <w:r>
        <w:rPr>
          <w:rFonts w:hint="eastAsia"/>
          <w:b/>
          <w:bCs/>
          <w:color w:val="auto"/>
          <w:kern w:val="0"/>
          <w:sz w:val="21"/>
          <w:szCs w:val="21"/>
          <w:highlight w:val="none"/>
          <w:lang w:val="en-US"/>
        </w:rPr>
        <w:t>2、</w:t>
      </w:r>
      <w:r>
        <w:rPr>
          <w:rFonts w:hint="eastAsia"/>
          <w:b/>
          <w:bCs/>
          <w:color w:val="auto"/>
          <w:kern w:val="0"/>
          <w:sz w:val="21"/>
          <w:szCs w:val="21"/>
          <w:highlight w:val="none"/>
        </w:rPr>
        <w:t>打“▲”号条款为重要技术参数（如有），若有部分“▲”条款未响应或不满足，将根据评审要求影响其得分，但不作为无效投标（响应）条款。</w:t>
      </w:r>
    </w:p>
    <w:p>
      <w:pPr>
        <w:rPr>
          <w:color w:val="auto"/>
          <w:highlight w:val="none"/>
        </w:rPr>
      </w:pPr>
      <w:bookmarkStart w:id="149" w:name="_Toc28584"/>
      <w:r>
        <w:rPr>
          <w:rFonts w:hint="eastAsia"/>
          <w:color w:val="auto"/>
          <w:highlight w:val="none"/>
        </w:rPr>
        <w:br w:type="page"/>
      </w:r>
    </w:p>
    <w:p>
      <w:pPr>
        <w:pStyle w:val="3"/>
        <w:numPr>
          <w:ilvl w:val="0"/>
          <w:numId w:val="1"/>
        </w:numPr>
        <w:rPr>
          <w:color w:val="auto"/>
          <w:highlight w:val="none"/>
        </w:rPr>
      </w:pPr>
      <w:r>
        <w:rPr>
          <w:rFonts w:hint="eastAsia"/>
          <w:color w:val="auto"/>
          <w:highlight w:val="none"/>
        </w:rPr>
        <w:t>详细评审</w:t>
      </w:r>
      <w:bookmarkEnd w:id="149"/>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9"/>
        <w:gridCol w:w="734"/>
        <w:gridCol w:w="28"/>
        <w:gridCol w:w="5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序号</w:t>
            </w:r>
          </w:p>
        </w:tc>
        <w:tc>
          <w:tcPr>
            <w:tcW w:w="1609"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评审项目</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分值</w:t>
            </w:r>
          </w:p>
        </w:tc>
        <w:tc>
          <w:tcPr>
            <w:tcW w:w="5461"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商务评审（</w:t>
            </w:r>
            <w:r>
              <w:rPr>
                <w:rFonts w:hint="eastAsia" w:ascii="宋体" w:eastAsia="宋体" w:cs="宋体"/>
                <w:b/>
                <w:bCs/>
                <w:color w:val="auto"/>
                <w:sz w:val="21"/>
                <w:szCs w:val="21"/>
                <w:highlight w:val="none"/>
                <w:lang w:val="en-US" w:eastAsia="zh-CN"/>
              </w:rPr>
              <w:t>35</w:t>
            </w:r>
            <w:r>
              <w:rPr>
                <w:rFonts w:hint="eastAsia" w:ascii="宋体" w:eastAsia="宋体" w:cs="宋体"/>
                <w:b/>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vAlign w:val="center"/>
          </w:tcPr>
          <w:p>
            <w:pPr>
              <w:pStyle w:val="23"/>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ascii="宋体" w:cs="宋体"/>
                <w:color w:val="auto"/>
                <w:szCs w:val="21"/>
                <w:highlight w:val="none"/>
              </w:rPr>
            </w:pPr>
            <w:r>
              <w:rPr>
                <w:rFonts w:hint="eastAsia"/>
                <w:color w:val="auto"/>
                <w:sz w:val="21"/>
                <w:szCs w:val="21"/>
                <w:highlight w:val="none"/>
                <w:shd w:val="clear" w:color="auto" w:fill="auto"/>
                <w:lang w:val="en-US" w:eastAsia="zh-CN"/>
              </w:rPr>
              <w:t>企业实力</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default" w:ascii="宋体" w:cs="宋体"/>
                <w:color w:val="auto"/>
                <w:szCs w:val="21"/>
                <w:highlight w:val="none"/>
                <w:lang w:val="en-US"/>
              </w:rPr>
            </w:pPr>
            <w:r>
              <w:rPr>
                <w:rFonts w:hint="eastAsia" w:ascii="宋体" w:hAnsi="宋体" w:cs="宋体"/>
                <w:color w:val="auto"/>
                <w:kern w:val="2"/>
                <w:sz w:val="21"/>
                <w:szCs w:val="21"/>
                <w:highlight w:val="none"/>
                <w:lang w:val="en-US" w:eastAsia="zh-CN"/>
              </w:rPr>
              <w:t>18</w:t>
            </w:r>
          </w:p>
        </w:tc>
        <w:tc>
          <w:tcPr>
            <w:tcW w:w="54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w:t>
            </w:r>
            <w:r>
              <w:rPr>
                <w:rFonts w:hint="eastAsia" w:ascii="宋体" w:hAnsi="宋体" w:cs="宋体"/>
                <w:color w:val="auto"/>
                <w:kern w:val="2"/>
                <w:sz w:val="21"/>
                <w:szCs w:val="21"/>
                <w:highlight w:val="none"/>
                <w:lang w:val="en-US" w:eastAsia="zh-CN"/>
              </w:rPr>
              <w:t>投标人具有</w:t>
            </w:r>
            <w:r>
              <w:rPr>
                <w:rFonts w:hint="eastAsia" w:ascii="宋体" w:hAnsi="宋体" w:eastAsia="宋体" w:cs="宋体"/>
                <w:color w:val="auto"/>
                <w:kern w:val="2"/>
                <w:sz w:val="21"/>
                <w:szCs w:val="21"/>
                <w:highlight w:val="none"/>
              </w:rPr>
              <w:t>质量管理体系认证</w:t>
            </w:r>
            <w:r>
              <w:rPr>
                <w:rFonts w:hint="eastAsia" w:ascii="宋体" w:hAnsi="宋体" w:cs="宋体"/>
                <w:color w:val="auto"/>
                <w:kern w:val="2"/>
                <w:sz w:val="21"/>
                <w:szCs w:val="21"/>
                <w:highlight w:val="none"/>
                <w:lang w:val="en-US" w:eastAsia="zh-CN"/>
              </w:rPr>
              <w:t>证书</w:t>
            </w:r>
            <w:r>
              <w:rPr>
                <w:rFonts w:hint="eastAsia" w:ascii="宋体" w:hAnsi="宋体" w:eastAsia="宋体" w:cs="宋体"/>
                <w:color w:val="auto"/>
                <w:kern w:val="2"/>
                <w:sz w:val="21"/>
                <w:szCs w:val="21"/>
                <w:highlight w:val="none"/>
                <w:lang w:eastAsia="zh-CN"/>
              </w:rPr>
              <w:t>得</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en-US" w:eastAsia="zh-CN"/>
              </w:rPr>
              <w:t>分</w:t>
            </w:r>
            <w:r>
              <w:rPr>
                <w:rFonts w:hint="eastAsia" w:ascii="宋体" w:hAnsi="宋体" w:cs="宋体"/>
                <w:color w:val="auto"/>
                <w:kern w:val="2"/>
                <w:sz w:val="21"/>
                <w:szCs w:val="21"/>
                <w:highlight w:val="none"/>
                <w:lang w:val="en-US" w:eastAsia="zh-CN"/>
              </w:rPr>
              <w:t>，本项满分2分；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default"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eastAsia="zh-CN"/>
              </w:rPr>
              <w:t>2、</w:t>
            </w:r>
            <w:r>
              <w:rPr>
                <w:rFonts w:hint="eastAsia" w:ascii="宋体" w:hAnsi="宋体" w:cs="宋体"/>
                <w:color w:val="auto"/>
                <w:kern w:val="2"/>
                <w:sz w:val="21"/>
                <w:szCs w:val="21"/>
                <w:highlight w:val="none"/>
                <w:lang w:val="en-US" w:eastAsia="zh-CN"/>
              </w:rPr>
              <w:t>投标人具有</w:t>
            </w:r>
            <w:r>
              <w:rPr>
                <w:rFonts w:hint="eastAsia" w:ascii="宋体" w:hAnsi="宋体" w:eastAsia="宋体" w:cs="宋体"/>
                <w:color w:val="auto"/>
                <w:kern w:val="2"/>
                <w:sz w:val="21"/>
                <w:szCs w:val="21"/>
                <w:highlight w:val="none"/>
              </w:rPr>
              <w:t>环境管理体系认证</w:t>
            </w:r>
            <w:r>
              <w:rPr>
                <w:rFonts w:hint="eastAsia" w:ascii="宋体" w:hAnsi="宋体" w:cs="宋体"/>
                <w:color w:val="auto"/>
                <w:kern w:val="2"/>
                <w:sz w:val="21"/>
                <w:szCs w:val="21"/>
                <w:highlight w:val="none"/>
                <w:lang w:val="en-US" w:eastAsia="zh-CN"/>
              </w:rPr>
              <w:t>证书</w:t>
            </w:r>
            <w:r>
              <w:rPr>
                <w:rFonts w:hint="eastAsia" w:ascii="宋体" w:hAnsi="宋体" w:eastAsia="宋体" w:cs="宋体"/>
                <w:color w:val="auto"/>
                <w:kern w:val="2"/>
                <w:sz w:val="21"/>
                <w:szCs w:val="21"/>
                <w:highlight w:val="none"/>
                <w:lang w:eastAsia="zh-CN"/>
              </w:rPr>
              <w:t>得</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en-US" w:eastAsia="zh-CN"/>
              </w:rPr>
              <w:t>分</w:t>
            </w:r>
            <w:r>
              <w:rPr>
                <w:rFonts w:hint="eastAsia" w:ascii="宋体" w:hAnsi="宋体" w:cs="宋体"/>
                <w:color w:val="auto"/>
                <w:kern w:val="2"/>
                <w:sz w:val="21"/>
                <w:szCs w:val="21"/>
                <w:highlight w:val="none"/>
                <w:lang w:val="en-US" w:eastAsia="zh-CN"/>
              </w:rPr>
              <w:t>，本项满分2分；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default"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eastAsia="zh-CN"/>
              </w:rPr>
              <w:t>3、</w:t>
            </w:r>
            <w:r>
              <w:rPr>
                <w:rFonts w:hint="eastAsia" w:ascii="宋体" w:hAnsi="宋体" w:cs="宋体"/>
                <w:color w:val="auto"/>
                <w:kern w:val="2"/>
                <w:sz w:val="21"/>
                <w:szCs w:val="21"/>
                <w:highlight w:val="none"/>
                <w:lang w:val="en-US" w:eastAsia="zh-CN"/>
              </w:rPr>
              <w:t>投标人具有</w:t>
            </w:r>
            <w:r>
              <w:rPr>
                <w:rFonts w:hint="eastAsia" w:ascii="宋体" w:hAnsi="宋体" w:eastAsia="宋体" w:cs="宋体"/>
                <w:color w:val="auto"/>
                <w:kern w:val="2"/>
                <w:sz w:val="21"/>
                <w:szCs w:val="21"/>
                <w:highlight w:val="none"/>
              </w:rPr>
              <w:t>职业健康管理体系认证</w:t>
            </w:r>
            <w:r>
              <w:rPr>
                <w:rFonts w:hint="eastAsia" w:ascii="宋体" w:hAnsi="宋体" w:cs="宋体"/>
                <w:color w:val="auto"/>
                <w:kern w:val="2"/>
                <w:sz w:val="21"/>
                <w:szCs w:val="21"/>
                <w:highlight w:val="none"/>
                <w:lang w:val="en-US" w:eastAsia="zh-CN"/>
              </w:rPr>
              <w:t>证书</w:t>
            </w:r>
            <w:r>
              <w:rPr>
                <w:rFonts w:hint="eastAsia" w:ascii="宋体" w:hAnsi="宋体" w:eastAsia="宋体" w:cs="宋体"/>
                <w:color w:val="auto"/>
                <w:kern w:val="2"/>
                <w:sz w:val="21"/>
                <w:szCs w:val="21"/>
                <w:highlight w:val="none"/>
                <w:lang w:eastAsia="zh-CN"/>
              </w:rPr>
              <w:t>得</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en-US" w:eastAsia="zh-CN"/>
              </w:rPr>
              <w:t>分</w:t>
            </w:r>
            <w:r>
              <w:rPr>
                <w:rFonts w:hint="eastAsia" w:ascii="宋体" w:hAnsi="宋体" w:cs="宋体"/>
                <w:color w:val="auto"/>
                <w:kern w:val="2"/>
                <w:sz w:val="21"/>
                <w:szCs w:val="21"/>
                <w:highlight w:val="none"/>
                <w:lang w:val="en-US" w:eastAsia="zh-CN"/>
              </w:rPr>
              <w:t>，本项满分2分；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default"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eastAsia="zh-CN"/>
              </w:rPr>
              <w:t>4、</w:t>
            </w:r>
            <w:r>
              <w:rPr>
                <w:rFonts w:hint="eastAsia" w:ascii="宋体" w:hAnsi="宋体" w:cs="宋体"/>
                <w:color w:val="auto"/>
                <w:kern w:val="2"/>
                <w:sz w:val="21"/>
                <w:szCs w:val="21"/>
                <w:highlight w:val="none"/>
                <w:lang w:val="en-US" w:eastAsia="zh-CN"/>
              </w:rPr>
              <w:t>投标人具有</w:t>
            </w:r>
            <w:r>
              <w:rPr>
                <w:rFonts w:hint="eastAsia" w:ascii="宋体" w:hAnsi="宋体" w:eastAsia="宋体" w:cs="宋体"/>
                <w:color w:val="auto"/>
                <w:kern w:val="2"/>
                <w:sz w:val="21"/>
                <w:szCs w:val="21"/>
                <w:highlight w:val="none"/>
              </w:rPr>
              <w:t>食品安全管理体系认证</w:t>
            </w:r>
            <w:r>
              <w:rPr>
                <w:rFonts w:hint="eastAsia" w:ascii="宋体" w:hAnsi="宋体" w:cs="宋体"/>
                <w:color w:val="auto"/>
                <w:kern w:val="2"/>
                <w:sz w:val="21"/>
                <w:szCs w:val="21"/>
                <w:highlight w:val="none"/>
                <w:lang w:val="en-US" w:eastAsia="zh-CN"/>
              </w:rPr>
              <w:t>证书</w:t>
            </w:r>
            <w:r>
              <w:rPr>
                <w:rFonts w:hint="eastAsia" w:ascii="宋体" w:hAnsi="宋体" w:eastAsia="宋体" w:cs="宋体"/>
                <w:color w:val="auto"/>
                <w:kern w:val="2"/>
                <w:sz w:val="21"/>
                <w:szCs w:val="21"/>
                <w:highlight w:val="none"/>
                <w:lang w:eastAsia="zh-CN"/>
              </w:rPr>
              <w:t>得</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en-US" w:eastAsia="zh-CN"/>
              </w:rPr>
              <w:t>分</w:t>
            </w:r>
            <w:r>
              <w:rPr>
                <w:rFonts w:hint="eastAsia" w:ascii="宋体" w:hAnsi="宋体" w:cs="宋体"/>
                <w:color w:val="auto"/>
                <w:kern w:val="2"/>
                <w:sz w:val="21"/>
                <w:szCs w:val="21"/>
                <w:highlight w:val="none"/>
                <w:lang w:val="en-US" w:eastAsia="zh-CN"/>
              </w:rPr>
              <w:t>，本项满分2分；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en-US" w:eastAsia="zh-CN"/>
              </w:rPr>
              <w:t>、</w:t>
            </w:r>
            <w:r>
              <w:rPr>
                <w:rFonts w:hint="eastAsia" w:ascii="宋体" w:hAnsi="宋体" w:cs="宋体"/>
                <w:color w:val="auto"/>
                <w:kern w:val="2"/>
                <w:sz w:val="21"/>
                <w:szCs w:val="21"/>
                <w:highlight w:val="none"/>
                <w:lang w:val="en-US" w:eastAsia="zh-CN"/>
              </w:rPr>
              <w:t>投标人具有危害分析与关键控制点体系</w:t>
            </w:r>
            <w:r>
              <w:rPr>
                <w:rFonts w:hint="eastAsia" w:ascii="宋体" w:hAnsi="宋体" w:eastAsia="宋体" w:cs="宋体"/>
                <w:color w:val="auto"/>
                <w:kern w:val="2"/>
                <w:sz w:val="21"/>
                <w:szCs w:val="21"/>
                <w:highlight w:val="none"/>
              </w:rPr>
              <w:t>认证</w:t>
            </w:r>
            <w:r>
              <w:rPr>
                <w:rFonts w:hint="eastAsia" w:ascii="宋体" w:hAnsi="宋体" w:cs="宋体"/>
                <w:color w:val="auto"/>
                <w:kern w:val="2"/>
                <w:sz w:val="21"/>
                <w:szCs w:val="21"/>
                <w:highlight w:val="none"/>
                <w:lang w:val="en-US" w:eastAsia="zh-CN"/>
              </w:rPr>
              <w:t>证书</w:t>
            </w:r>
            <w:r>
              <w:rPr>
                <w:rFonts w:hint="eastAsia" w:ascii="宋体" w:hAnsi="宋体" w:eastAsia="宋体" w:cs="宋体"/>
                <w:color w:val="auto"/>
                <w:kern w:val="2"/>
                <w:sz w:val="21"/>
                <w:szCs w:val="21"/>
                <w:highlight w:val="none"/>
                <w:lang w:eastAsia="zh-CN"/>
              </w:rPr>
              <w:t>得</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en-US" w:eastAsia="zh-CN"/>
              </w:rPr>
              <w:t>分</w:t>
            </w:r>
            <w:r>
              <w:rPr>
                <w:rFonts w:hint="eastAsia" w:ascii="宋体" w:hAnsi="宋体" w:cs="宋体"/>
                <w:color w:val="auto"/>
                <w:kern w:val="2"/>
                <w:sz w:val="21"/>
                <w:szCs w:val="21"/>
                <w:highlight w:val="none"/>
                <w:lang w:val="en-US" w:eastAsia="zh-CN"/>
              </w:rPr>
              <w:t>，本项满分2分。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6、投标人具有绿色供应链认证证书</w:t>
            </w:r>
            <w:r>
              <w:rPr>
                <w:rFonts w:hint="eastAsia" w:ascii="宋体" w:hAnsi="宋体" w:eastAsia="宋体" w:cs="宋体"/>
                <w:color w:val="auto"/>
                <w:kern w:val="2"/>
                <w:sz w:val="21"/>
                <w:szCs w:val="21"/>
                <w:highlight w:val="none"/>
                <w:lang w:eastAsia="zh-CN"/>
              </w:rPr>
              <w:t>得</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en-US" w:eastAsia="zh-CN"/>
              </w:rPr>
              <w:t>分</w:t>
            </w:r>
            <w:r>
              <w:rPr>
                <w:rFonts w:hint="eastAsia" w:ascii="宋体" w:hAnsi="宋体" w:cs="宋体"/>
                <w:color w:val="auto"/>
                <w:kern w:val="2"/>
                <w:sz w:val="21"/>
                <w:szCs w:val="21"/>
                <w:highlight w:val="none"/>
                <w:lang w:val="en-US" w:eastAsia="zh-CN"/>
              </w:rPr>
              <w:t>，本项满分2分；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7、投标人具有食品可追溯管理体系认证证书</w:t>
            </w:r>
            <w:r>
              <w:rPr>
                <w:rFonts w:hint="eastAsia" w:ascii="宋体" w:hAnsi="宋体" w:eastAsia="宋体" w:cs="宋体"/>
                <w:color w:val="auto"/>
                <w:kern w:val="2"/>
                <w:sz w:val="21"/>
                <w:szCs w:val="21"/>
                <w:highlight w:val="none"/>
                <w:lang w:eastAsia="zh-CN"/>
              </w:rPr>
              <w:t>得</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en-US" w:eastAsia="zh-CN"/>
              </w:rPr>
              <w:t>分</w:t>
            </w:r>
            <w:r>
              <w:rPr>
                <w:rFonts w:hint="eastAsia" w:ascii="宋体" w:hAnsi="宋体" w:cs="宋体"/>
                <w:color w:val="auto"/>
                <w:kern w:val="2"/>
                <w:sz w:val="21"/>
                <w:szCs w:val="21"/>
                <w:highlight w:val="none"/>
                <w:lang w:val="en-US" w:eastAsia="zh-CN"/>
              </w:rPr>
              <w:t>，本项满分2分；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8、投标人具有服务质量评价认证证书</w:t>
            </w:r>
            <w:r>
              <w:rPr>
                <w:rFonts w:hint="eastAsia" w:ascii="宋体" w:hAnsi="宋体" w:eastAsia="宋体" w:cs="宋体"/>
                <w:color w:val="auto"/>
                <w:kern w:val="2"/>
                <w:sz w:val="21"/>
                <w:szCs w:val="21"/>
                <w:highlight w:val="none"/>
                <w:lang w:eastAsia="zh-CN"/>
              </w:rPr>
              <w:t>得</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en-US" w:eastAsia="zh-CN"/>
              </w:rPr>
              <w:t>分</w:t>
            </w:r>
            <w:r>
              <w:rPr>
                <w:rFonts w:hint="eastAsia" w:ascii="宋体" w:hAnsi="宋体" w:cs="宋体"/>
                <w:color w:val="auto"/>
                <w:kern w:val="2"/>
                <w:sz w:val="21"/>
                <w:szCs w:val="21"/>
                <w:highlight w:val="none"/>
                <w:lang w:val="en-US" w:eastAsia="zh-CN"/>
              </w:rPr>
              <w:t>，本项满分2分；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9、投标人具有履约能力评价服务认证证书</w:t>
            </w:r>
            <w:r>
              <w:rPr>
                <w:rFonts w:hint="eastAsia" w:ascii="宋体" w:hAnsi="宋体" w:eastAsia="宋体" w:cs="宋体"/>
                <w:color w:val="auto"/>
                <w:kern w:val="2"/>
                <w:sz w:val="21"/>
                <w:szCs w:val="21"/>
                <w:highlight w:val="none"/>
                <w:lang w:eastAsia="zh-CN"/>
              </w:rPr>
              <w:t>得</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en-US" w:eastAsia="zh-CN"/>
              </w:rPr>
              <w:t>分</w:t>
            </w:r>
            <w:r>
              <w:rPr>
                <w:rFonts w:hint="eastAsia" w:ascii="宋体" w:hAnsi="宋体" w:cs="宋体"/>
                <w:color w:val="auto"/>
                <w:kern w:val="2"/>
                <w:sz w:val="21"/>
                <w:szCs w:val="21"/>
                <w:highlight w:val="none"/>
                <w:lang w:val="en-US" w:eastAsia="zh-CN"/>
              </w:rPr>
              <w:t>，本项满分2分。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ascii="宋体" w:cs="宋体"/>
                <w:bCs/>
                <w:color w:val="auto"/>
                <w:szCs w:val="21"/>
                <w:highlight w:val="none"/>
                <w:lang w:val="zh-CN"/>
              </w:rPr>
            </w:pPr>
            <w:r>
              <w:rPr>
                <w:rFonts w:hint="eastAsia" w:ascii="宋体" w:hAnsi="宋体" w:cs="宋体"/>
                <w:color w:val="auto"/>
                <w:kern w:val="2"/>
                <w:sz w:val="21"/>
                <w:szCs w:val="21"/>
                <w:highlight w:val="none"/>
                <w:lang w:val="en-US" w:eastAsia="zh-CN"/>
              </w:rPr>
              <w:t>注：</w:t>
            </w:r>
            <w:r>
              <w:rPr>
                <w:rFonts w:hint="eastAsia" w:ascii="宋体" w:hAnsi="宋体" w:eastAsia="宋体" w:cs="宋体"/>
                <w:color w:val="auto"/>
                <w:kern w:val="2"/>
                <w:sz w:val="21"/>
                <w:szCs w:val="21"/>
                <w:highlight w:val="none"/>
                <w:lang w:val="en-US" w:eastAsia="zh-CN"/>
              </w:rPr>
              <w:t>须提供有效期内证书复印件加盖</w:t>
            </w:r>
            <w:r>
              <w:rPr>
                <w:rFonts w:hint="eastAsia" w:ascii="宋体" w:hAnsi="宋体" w:cs="宋体"/>
                <w:color w:val="auto"/>
                <w:kern w:val="2"/>
                <w:sz w:val="21"/>
                <w:szCs w:val="21"/>
                <w:highlight w:val="none"/>
                <w:lang w:val="en-US" w:eastAsia="zh-CN"/>
              </w:rPr>
              <w:t>投标人</w:t>
            </w:r>
            <w:r>
              <w:rPr>
                <w:rFonts w:hint="eastAsia" w:ascii="宋体" w:hAnsi="宋体" w:eastAsia="宋体" w:cs="宋体"/>
                <w:color w:val="auto"/>
                <w:kern w:val="2"/>
                <w:sz w:val="21"/>
                <w:szCs w:val="21"/>
                <w:highlight w:val="none"/>
                <w:lang w:val="en-US" w:eastAsia="zh-CN"/>
              </w:rPr>
              <w:t>公章</w:t>
            </w:r>
            <w:r>
              <w:rPr>
                <w:rFonts w:hint="eastAsia" w:ascii="宋体" w:hAnsi="宋体" w:eastAsia="宋体" w:cs="宋体"/>
                <w:bCs/>
                <w:color w:val="auto"/>
                <w:sz w:val="21"/>
                <w:szCs w:val="21"/>
                <w:highlight w:val="none"/>
                <w:lang w:val="pt-BR"/>
              </w:rPr>
              <w:t>，否则不得分</w:t>
            </w:r>
            <w:r>
              <w:rPr>
                <w:rFonts w:hint="eastAsia" w:ascii="宋体" w:hAnsi="宋体" w:eastAsia="宋体" w:cs="宋体"/>
                <w:color w:val="auto"/>
                <w:kern w:val="2"/>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vAlign w:val="center"/>
          </w:tcPr>
          <w:p>
            <w:pPr>
              <w:pStyle w:val="23"/>
              <w:spacing w:line="360" w:lineRule="auto"/>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60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宋体" w:hAnsi="宋体" w:cs="宋体"/>
                <w:color w:val="auto"/>
                <w:szCs w:val="21"/>
                <w:highlight w:val="none"/>
              </w:rPr>
            </w:pPr>
            <w:r>
              <w:rPr>
                <w:rFonts w:hint="eastAsia" w:ascii="宋体" w:hAnsi="宋体" w:eastAsia="宋体" w:cs="宋体"/>
                <w:color w:val="auto"/>
                <w:kern w:val="2"/>
                <w:sz w:val="21"/>
                <w:szCs w:val="21"/>
                <w:highlight w:val="none"/>
              </w:rPr>
              <w:t>业绩情况</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宋体" w:hAnsi="宋体" w:cs="宋体"/>
                <w:color w:val="auto"/>
                <w:szCs w:val="21"/>
                <w:highlight w:val="none"/>
              </w:rPr>
            </w:pPr>
            <w:r>
              <w:rPr>
                <w:rFonts w:hint="eastAsia" w:ascii="宋体" w:hAnsi="宋体" w:cs="宋体"/>
                <w:color w:val="auto"/>
                <w:kern w:val="2"/>
                <w:sz w:val="21"/>
                <w:szCs w:val="21"/>
                <w:highlight w:val="none"/>
                <w:lang w:val="en-US" w:eastAsia="zh-CN"/>
              </w:rPr>
              <w:t>15</w:t>
            </w:r>
          </w:p>
        </w:tc>
        <w:tc>
          <w:tcPr>
            <w:tcW w:w="54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投标人具有食材配送</w:t>
            </w:r>
            <w:r>
              <w:rPr>
                <w:rFonts w:hint="eastAsia" w:ascii="宋体" w:hAnsi="宋体" w:cs="宋体"/>
                <w:color w:val="auto"/>
                <w:kern w:val="2"/>
                <w:sz w:val="21"/>
                <w:szCs w:val="21"/>
                <w:highlight w:val="none"/>
                <w:lang w:val="en-US" w:eastAsia="zh-CN"/>
              </w:rPr>
              <w:t>类项目</w:t>
            </w:r>
            <w:r>
              <w:rPr>
                <w:rFonts w:hint="eastAsia" w:ascii="宋体" w:hAnsi="宋体" w:eastAsia="宋体" w:cs="宋体"/>
                <w:color w:val="auto"/>
                <w:kern w:val="2"/>
                <w:sz w:val="21"/>
                <w:szCs w:val="21"/>
                <w:highlight w:val="none"/>
              </w:rPr>
              <w:t>业绩进行评审，每提供一项业绩得</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分，本项满分</w:t>
            </w:r>
            <w:r>
              <w:rPr>
                <w:rFonts w:hint="eastAsia" w:ascii="宋体" w:hAnsi="宋体" w:cs="宋体"/>
                <w:color w:val="auto"/>
                <w:kern w:val="2"/>
                <w:sz w:val="21"/>
                <w:szCs w:val="21"/>
                <w:highlight w:val="none"/>
                <w:lang w:val="en-US" w:eastAsia="zh-CN"/>
              </w:rPr>
              <w:t>15</w:t>
            </w:r>
            <w:r>
              <w:rPr>
                <w:rFonts w:hint="eastAsia" w:ascii="宋体" w:hAnsi="宋体" w:eastAsia="宋体" w:cs="宋体"/>
                <w:color w:val="auto"/>
                <w:kern w:val="2"/>
                <w:sz w:val="21"/>
                <w:szCs w:val="21"/>
                <w:highlight w:val="none"/>
              </w:rPr>
              <w:t xml:space="preserve">分。 </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注：须提供合同复印件加盖投标人公章</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否则不得分。</w:t>
            </w:r>
            <w:r>
              <w:rPr>
                <w:rFonts w:hint="eastAsia" w:ascii="宋体" w:hAnsi="宋体" w:eastAsia="宋体" w:cs="宋体"/>
                <w:color w:val="auto"/>
                <w:kern w:val="2"/>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3"/>
              <w:spacing w:line="360" w:lineRule="auto"/>
              <w:ind w:firstLine="0" w:firstLineChars="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lang w:val="en-US" w:eastAsia="zh-CN"/>
              </w:rPr>
              <w:t>3</w:t>
            </w:r>
          </w:p>
        </w:tc>
        <w:tc>
          <w:tcPr>
            <w:tcW w:w="16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ascii="宋体" w:cs="宋体"/>
                <w:color w:val="auto"/>
                <w:szCs w:val="21"/>
                <w:highlight w:val="none"/>
              </w:rPr>
            </w:pPr>
            <w:r>
              <w:rPr>
                <w:rFonts w:hint="eastAsia" w:ascii="宋体" w:hAnsi="宋体" w:eastAsia="宋体" w:cs="宋体"/>
                <w:color w:val="auto"/>
                <w:kern w:val="2"/>
                <w:sz w:val="21"/>
                <w:szCs w:val="21"/>
                <w:highlight w:val="none"/>
              </w:rPr>
              <w:t>服务便利性</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宋体" w:eastAsia="宋体" w:cs="宋体"/>
                <w:color w:val="auto"/>
                <w:szCs w:val="21"/>
                <w:highlight w:val="none"/>
                <w:lang w:eastAsia="zh-CN"/>
              </w:rPr>
            </w:pPr>
            <w:r>
              <w:rPr>
                <w:rFonts w:hint="eastAsia" w:ascii="宋体" w:hAnsi="宋体" w:cs="宋体"/>
                <w:color w:val="auto"/>
                <w:kern w:val="2"/>
                <w:sz w:val="21"/>
                <w:szCs w:val="21"/>
                <w:highlight w:val="none"/>
                <w:lang w:val="en-US" w:eastAsia="zh-CN"/>
              </w:rPr>
              <w:t>2</w:t>
            </w:r>
          </w:p>
        </w:tc>
        <w:tc>
          <w:tcPr>
            <w:tcW w:w="54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Cs/>
                <w:color w:val="auto"/>
                <w:sz w:val="21"/>
                <w:szCs w:val="21"/>
                <w:highlight w:val="none"/>
                <w:lang w:val="pt-BR" w:eastAsia="zh-CN"/>
              </w:rPr>
            </w:pPr>
            <w:r>
              <w:rPr>
                <w:rFonts w:hint="eastAsia" w:ascii="宋体" w:hAnsi="宋体" w:eastAsia="宋体" w:cs="宋体"/>
                <w:bCs/>
                <w:color w:val="auto"/>
                <w:sz w:val="21"/>
                <w:szCs w:val="21"/>
                <w:highlight w:val="none"/>
                <w:lang w:val="pt-BR"/>
              </w:rPr>
              <w:t>根据投标人提供的服务响应时间承诺进行</w:t>
            </w:r>
            <w:r>
              <w:rPr>
                <w:rFonts w:hint="eastAsia" w:ascii="宋体" w:hAnsi="宋体" w:eastAsia="宋体" w:cs="宋体"/>
                <w:bCs/>
                <w:color w:val="auto"/>
                <w:sz w:val="21"/>
                <w:szCs w:val="21"/>
                <w:highlight w:val="none"/>
                <w:lang w:val="pt-BR" w:eastAsia="zh-CN"/>
              </w:rPr>
              <w:t>评审：</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Cs/>
                <w:color w:val="auto"/>
                <w:sz w:val="21"/>
                <w:szCs w:val="21"/>
                <w:highlight w:val="none"/>
                <w:lang w:val="pt-BR"/>
              </w:rPr>
            </w:pPr>
            <w:r>
              <w:rPr>
                <w:rFonts w:hint="eastAsia" w:ascii="宋体" w:hAnsi="宋体" w:eastAsia="宋体" w:cs="宋体"/>
                <w:bCs/>
                <w:color w:val="auto"/>
                <w:sz w:val="21"/>
                <w:szCs w:val="21"/>
                <w:highlight w:val="none"/>
                <w:lang w:val="pt-BR"/>
              </w:rPr>
              <w:t>（1）投标人承诺在接到采购人通知后</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pt-BR"/>
              </w:rPr>
              <w:t>小时</w:t>
            </w:r>
            <w:r>
              <w:rPr>
                <w:rFonts w:hint="eastAsia" w:ascii="宋体" w:hAnsi="宋体" w:cs="宋体"/>
                <w:bCs/>
                <w:color w:val="auto"/>
                <w:sz w:val="21"/>
                <w:szCs w:val="21"/>
                <w:highlight w:val="none"/>
                <w:lang w:val="pt-BR" w:eastAsia="zh-CN"/>
              </w:rPr>
              <w:t>（</w:t>
            </w:r>
            <w:r>
              <w:rPr>
                <w:rFonts w:hint="eastAsia" w:ascii="宋体" w:hAnsi="宋体" w:cs="宋体"/>
                <w:bCs/>
                <w:color w:val="auto"/>
                <w:sz w:val="21"/>
                <w:szCs w:val="21"/>
                <w:highlight w:val="none"/>
                <w:lang w:val="en-US" w:eastAsia="zh-CN"/>
              </w:rPr>
              <w:t>含</w:t>
            </w:r>
            <w:r>
              <w:rPr>
                <w:rFonts w:hint="eastAsia" w:ascii="宋体" w:hAnsi="宋体" w:cs="宋体"/>
                <w:bCs/>
                <w:color w:val="auto"/>
                <w:sz w:val="21"/>
                <w:szCs w:val="21"/>
                <w:highlight w:val="none"/>
                <w:lang w:val="pt-BR" w:eastAsia="zh-CN"/>
              </w:rPr>
              <w:t>）</w:t>
            </w:r>
            <w:r>
              <w:rPr>
                <w:rFonts w:hint="eastAsia" w:ascii="宋体" w:hAnsi="宋体" w:eastAsia="宋体" w:cs="宋体"/>
                <w:bCs/>
                <w:color w:val="auto"/>
                <w:sz w:val="21"/>
                <w:szCs w:val="21"/>
                <w:highlight w:val="none"/>
                <w:lang w:val="pt-BR"/>
              </w:rPr>
              <w:t>内到现场，得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pt-BR"/>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Cs/>
                <w:color w:val="auto"/>
                <w:sz w:val="21"/>
                <w:szCs w:val="21"/>
                <w:highlight w:val="none"/>
                <w:lang w:val="pt-BR"/>
              </w:rPr>
            </w:pPr>
            <w:r>
              <w:rPr>
                <w:rFonts w:hint="eastAsia" w:ascii="宋体" w:hAnsi="宋体" w:eastAsia="宋体" w:cs="宋体"/>
                <w:bCs/>
                <w:color w:val="auto"/>
                <w:sz w:val="21"/>
                <w:szCs w:val="21"/>
                <w:highlight w:val="none"/>
                <w:lang w:val="pt-BR"/>
              </w:rPr>
              <w:t>（2）投标人承诺在接到采购人通知后</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pt-BR"/>
              </w:rPr>
              <w:t>小时</w:t>
            </w:r>
            <w:r>
              <w:rPr>
                <w:rFonts w:hint="eastAsia" w:ascii="宋体" w:hAnsi="宋体" w:cs="宋体"/>
                <w:bCs/>
                <w:color w:val="auto"/>
                <w:sz w:val="21"/>
                <w:szCs w:val="21"/>
                <w:highlight w:val="none"/>
                <w:lang w:val="pt-BR" w:eastAsia="zh-CN"/>
              </w:rPr>
              <w:t>（</w:t>
            </w:r>
            <w:r>
              <w:rPr>
                <w:rFonts w:hint="eastAsia" w:ascii="宋体" w:hAnsi="宋体" w:cs="宋体"/>
                <w:bCs/>
                <w:color w:val="auto"/>
                <w:sz w:val="21"/>
                <w:szCs w:val="21"/>
                <w:highlight w:val="none"/>
                <w:lang w:val="en-US" w:eastAsia="zh-CN"/>
              </w:rPr>
              <w:t>含</w:t>
            </w:r>
            <w:r>
              <w:rPr>
                <w:rFonts w:hint="eastAsia" w:ascii="宋体" w:hAnsi="宋体" w:cs="宋体"/>
                <w:bCs/>
                <w:color w:val="auto"/>
                <w:sz w:val="21"/>
                <w:szCs w:val="21"/>
                <w:highlight w:val="none"/>
                <w:lang w:val="pt-BR" w:eastAsia="zh-CN"/>
              </w:rPr>
              <w:t>）</w:t>
            </w:r>
            <w:r>
              <w:rPr>
                <w:rFonts w:hint="eastAsia" w:ascii="宋体" w:hAnsi="宋体" w:eastAsia="宋体" w:cs="宋体"/>
                <w:bCs/>
                <w:color w:val="auto"/>
                <w:sz w:val="21"/>
                <w:szCs w:val="21"/>
                <w:highlight w:val="none"/>
                <w:lang w:val="pt-BR"/>
              </w:rPr>
              <w:t>内到现场，得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pt-BR"/>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Cs/>
                <w:color w:val="auto"/>
                <w:sz w:val="21"/>
                <w:szCs w:val="21"/>
                <w:highlight w:val="none"/>
                <w:lang w:val="pt-BR"/>
              </w:rPr>
            </w:pPr>
            <w:r>
              <w:rPr>
                <w:rFonts w:hint="eastAsia" w:ascii="宋体" w:hAnsi="宋体" w:eastAsia="宋体" w:cs="宋体"/>
                <w:bCs/>
                <w:color w:val="auto"/>
                <w:sz w:val="21"/>
                <w:szCs w:val="21"/>
                <w:highlight w:val="none"/>
                <w:lang w:val="pt-BR"/>
              </w:rPr>
              <w:t>（3）投标人承诺在接到采购人通知后</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pt-BR"/>
              </w:rPr>
              <w:t>小时</w:t>
            </w:r>
            <w:r>
              <w:rPr>
                <w:rFonts w:hint="eastAsia" w:ascii="宋体" w:hAnsi="宋体" w:cs="宋体"/>
                <w:bCs/>
                <w:color w:val="auto"/>
                <w:sz w:val="21"/>
                <w:szCs w:val="21"/>
                <w:highlight w:val="none"/>
                <w:lang w:val="pt-BR" w:eastAsia="zh-CN"/>
              </w:rPr>
              <w:t>（</w:t>
            </w:r>
            <w:r>
              <w:rPr>
                <w:rFonts w:hint="eastAsia" w:ascii="宋体" w:hAnsi="宋体" w:cs="宋体"/>
                <w:bCs/>
                <w:color w:val="auto"/>
                <w:sz w:val="21"/>
                <w:szCs w:val="21"/>
                <w:highlight w:val="none"/>
                <w:lang w:val="en-US" w:eastAsia="zh-CN"/>
              </w:rPr>
              <w:t>含</w:t>
            </w:r>
            <w:r>
              <w:rPr>
                <w:rFonts w:hint="eastAsia" w:ascii="宋体" w:hAnsi="宋体" w:cs="宋体"/>
                <w:bCs/>
                <w:color w:val="auto"/>
                <w:sz w:val="21"/>
                <w:szCs w:val="21"/>
                <w:highlight w:val="none"/>
                <w:lang w:val="pt-BR" w:eastAsia="zh-CN"/>
              </w:rPr>
              <w:t>）</w:t>
            </w:r>
            <w:r>
              <w:rPr>
                <w:rFonts w:hint="eastAsia" w:ascii="宋体" w:hAnsi="宋体" w:eastAsia="宋体" w:cs="宋体"/>
                <w:bCs/>
                <w:color w:val="auto"/>
                <w:sz w:val="21"/>
                <w:szCs w:val="21"/>
                <w:highlight w:val="none"/>
                <w:lang w:val="pt-BR"/>
              </w:rPr>
              <w:t>内到现场，得</w:t>
            </w:r>
            <w:r>
              <w:rPr>
                <w:rFonts w:hint="eastAsia" w:ascii="宋体" w:hAnsi="宋体" w:cs="宋体"/>
                <w:bCs/>
                <w:color w:val="auto"/>
                <w:sz w:val="21"/>
                <w:szCs w:val="21"/>
                <w:highlight w:val="none"/>
                <w:lang w:val="en-US" w:eastAsia="zh-CN"/>
              </w:rPr>
              <w:t>0.5</w:t>
            </w:r>
            <w:r>
              <w:rPr>
                <w:rFonts w:hint="eastAsia" w:ascii="宋体" w:hAnsi="宋体" w:eastAsia="宋体" w:cs="宋体"/>
                <w:bCs/>
                <w:color w:val="auto"/>
                <w:sz w:val="21"/>
                <w:szCs w:val="21"/>
                <w:highlight w:val="none"/>
                <w:lang w:val="pt-BR"/>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Cs/>
                <w:color w:val="auto"/>
                <w:sz w:val="21"/>
                <w:szCs w:val="21"/>
                <w:highlight w:val="none"/>
                <w:lang w:val="pt-BR"/>
              </w:rPr>
            </w:pPr>
            <w:r>
              <w:rPr>
                <w:rFonts w:hint="eastAsia" w:ascii="宋体" w:hAnsi="宋体" w:eastAsia="宋体" w:cs="宋体"/>
                <w:bCs/>
                <w:color w:val="auto"/>
                <w:sz w:val="21"/>
                <w:szCs w:val="21"/>
                <w:highlight w:val="none"/>
                <w:lang w:val="pt-BR"/>
              </w:rPr>
              <w:t>（4）投标人未承诺或承诺在接到采购人通知后超过</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pt-BR"/>
              </w:rPr>
              <w:t>小时</w:t>
            </w:r>
            <w:r>
              <w:rPr>
                <w:rFonts w:hint="eastAsia" w:ascii="宋体" w:hAnsi="宋体" w:cs="宋体"/>
                <w:bCs/>
                <w:color w:val="auto"/>
                <w:sz w:val="21"/>
                <w:szCs w:val="21"/>
                <w:highlight w:val="none"/>
                <w:lang w:val="pt-BR" w:eastAsia="zh-CN"/>
              </w:rPr>
              <w:t>（</w:t>
            </w:r>
            <w:r>
              <w:rPr>
                <w:rFonts w:hint="eastAsia" w:ascii="宋体" w:hAnsi="宋体" w:cs="宋体"/>
                <w:bCs/>
                <w:color w:val="auto"/>
                <w:sz w:val="21"/>
                <w:szCs w:val="21"/>
                <w:highlight w:val="none"/>
                <w:lang w:val="en-US" w:eastAsia="zh-CN"/>
              </w:rPr>
              <w:t>不含</w:t>
            </w:r>
            <w:r>
              <w:rPr>
                <w:rFonts w:hint="eastAsia" w:ascii="宋体" w:hAnsi="宋体" w:cs="宋体"/>
                <w:bCs/>
                <w:color w:val="auto"/>
                <w:sz w:val="21"/>
                <w:szCs w:val="21"/>
                <w:highlight w:val="none"/>
                <w:lang w:val="pt-BR" w:eastAsia="zh-CN"/>
              </w:rPr>
              <w:t>）</w:t>
            </w:r>
            <w:r>
              <w:rPr>
                <w:rFonts w:hint="eastAsia" w:ascii="宋体" w:hAnsi="宋体" w:eastAsia="宋体" w:cs="宋体"/>
                <w:bCs/>
                <w:color w:val="auto"/>
                <w:sz w:val="21"/>
                <w:szCs w:val="21"/>
                <w:highlight w:val="none"/>
                <w:lang w:val="pt-BR"/>
              </w:rPr>
              <w:t>到现场，不得分。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ascii="宋体" w:cs="宋体"/>
                <w:bCs/>
                <w:color w:val="auto"/>
                <w:szCs w:val="21"/>
                <w:highlight w:val="none"/>
                <w:lang w:val="zh-CN"/>
              </w:rPr>
            </w:pPr>
            <w:r>
              <w:rPr>
                <w:rFonts w:hint="eastAsia" w:ascii="宋体" w:hAnsi="宋体" w:eastAsia="宋体" w:cs="宋体"/>
                <w:bCs/>
                <w:color w:val="auto"/>
                <w:sz w:val="21"/>
                <w:szCs w:val="21"/>
                <w:highlight w:val="none"/>
                <w:lang w:val="pt-BR"/>
              </w:rPr>
              <w:t>注：须提供服务承诺书并加盖投标人公章，否则不得分。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ascii="宋体" w:eastAsia="宋体" w:cs="宋体"/>
                <w:color w:val="auto"/>
                <w:sz w:val="21"/>
                <w:szCs w:val="21"/>
                <w:highlight w:val="none"/>
              </w:rPr>
            </w:pPr>
            <w:r>
              <w:rPr>
                <w:rFonts w:hint="eastAsia" w:ascii="宋体" w:eastAsia="宋体" w:cs="宋体"/>
                <w:b/>
                <w:bCs/>
                <w:color w:val="auto"/>
                <w:sz w:val="21"/>
                <w:szCs w:val="21"/>
                <w:highlight w:val="none"/>
              </w:rPr>
              <w:t>技术评审（</w:t>
            </w:r>
            <w:r>
              <w:rPr>
                <w:rFonts w:hint="eastAsia" w:ascii="宋体" w:eastAsia="宋体" w:cs="宋体"/>
                <w:b/>
                <w:bCs/>
                <w:color w:val="auto"/>
                <w:sz w:val="21"/>
                <w:szCs w:val="21"/>
                <w:highlight w:val="none"/>
                <w:lang w:val="en-US" w:eastAsia="zh-CN"/>
              </w:rPr>
              <w:t>55</w:t>
            </w:r>
            <w:r>
              <w:rPr>
                <w:rFonts w:hint="eastAsia" w:ascii="宋体" w:eastAsia="宋体" w:cs="宋体"/>
                <w:b/>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3"/>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ascii="宋体" w:cs="宋体"/>
                <w:color w:val="auto"/>
                <w:szCs w:val="21"/>
                <w:highlight w:val="none"/>
              </w:rPr>
            </w:pPr>
            <w:r>
              <w:rPr>
                <w:rFonts w:hint="eastAsia" w:ascii="宋体" w:hAnsi="宋体" w:eastAsia="宋体" w:cs="宋体"/>
                <w:color w:val="auto"/>
                <w:kern w:val="2"/>
                <w:sz w:val="21"/>
                <w:szCs w:val="21"/>
                <w:highlight w:val="none"/>
              </w:rPr>
              <w:t>对项目重点难点分析</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default" w:ascii="宋体" w:cs="宋体"/>
                <w:color w:val="auto"/>
                <w:szCs w:val="21"/>
                <w:highlight w:val="none"/>
                <w:lang w:val="en-US"/>
              </w:rPr>
            </w:pPr>
            <w:r>
              <w:rPr>
                <w:rFonts w:hint="eastAsia" w:ascii="宋体" w:hAnsi="宋体" w:cs="宋体"/>
                <w:bCs/>
                <w:color w:val="auto"/>
                <w:sz w:val="21"/>
                <w:szCs w:val="21"/>
                <w:highlight w:val="none"/>
                <w:lang w:val="en-US" w:eastAsia="zh-CN"/>
              </w:rPr>
              <w:t>10</w:t>
            </w:r>
          </w:p>
        </w:tc>
        <w:tc>
          <w:tcPr>
            <w:tcW w:w="54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根据投标人对</w:t>
            </w:r>
            <w:r>
              <w:rPr>
                <w:rFonts w:hint="eastAsia" w:ascii="宋体" w:hAnsi="宋体" w:eastAsia="宋体" w:cs="宋体"/>
                <w:color w:val="auto"/>
                <w:kern w:val="2"/>
                <w:sz w:val="21"/>
                <w:szCs w:val="21"/>
                <w:highlight w:val="none"/>
              </w:rPr>
              <w:t>项目重点难点分析</w:t>
            </w:r>
            <w:r>
              <w:rPr>
                <w:rFonts w:hint="eastAsia" w:ascii="宋体" w:hAnsi="宋体" w:cs="宋体"/>
                <w:color w:val="auto"/>
                <w:kern w:val="2"/>
                <w:sz w:val="21"/>
                <w:szCs w:val="21"/>
                <w:highlight w:val="none"/>
                <w:lang w:val="en-US" w:eastAsia="zh-CN"/>
              </w:rPr>
              <w:t>的</w:t>
            </w:r>
            <w:r>
              <w:rPr>
                <w:rFonts w:hint="eastAsia" w:ascii="宋体" w:hAnsi="宋体" w:eastAsia="宋体" w:cs="宋体"/>
                <w:color w:val="auto"/>
                <w:kern w:val="2"/>
                <w:sz w:val="21"/>
                <w:szCs w:val="21"/>
                <w:highlight w:val="none"/>
              </w:rPr>
              <w:t>详细、透彻</w:t>
            </w:r>
            <w:r>
              <w:rPr>
                <w:rFonts w:hint="eastAsia" w:ascii="宋体" w:hAnsi="宋体" w:cs="宋体"/>
                <w:color w:val="auto"/>
                <w:kern w:val="2"/>
                <w:sz w:val="21"/>
                <w:szCs w:val="21"/>
                <w:highlight w:val="none"/>
                <w:lang w:val="en-US" w:eastAsia="zh-CN"/>
              </w:rPr>
              <w:t>程度及能否</w:t>
            </w:r>
            <w:r>
              <w:rPr>
                <w:rFonts w:hint="eastAsia" w:ascii="宋体" w:hAnsi="宋体" w:eastAsia="宋体" w:cs="宋体"/>
                <w:color w:val="auto"/>
                <w:kern w:val="2"/>
                <w:sz w:val="21"/>
                <w:szCs w:val="21"/>
                <w:highlight w:val="none"/>
              </w:rPr>
              <w:t>结合本项目实际情况</w:t>
            </w:r>
            <w:r>
              <w:rPr>
                <w:rFonts w:hint="eastAsia" w:ascii="宋体" w:hAnsi="宋体" w:cs="宋体"/>
                <w:color w:val="auto"/>
                <w:kern w:val="2"/>
                <w:sz w:val="21"/>
                <w:szCs w:val="21"/>
                <w:highlight w:val="none"/>
                <w:lang w:val="en-US" w:eastAsia="zh-CN"/>
              </w:rPr>
              <w:t>分析等情况进行综合评审：</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1)对本项目重点难点分析详细、透彻，能结合本项目实际情况分析，科学、合理的，得</w:t>
            </w:r>
            <w:r>
              <w:rPr>
                <w:rFonts w:hint="eastAsia" w:ascii="宋体" w:hAnsi="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2)对本项目重点难点分析较详细、透彻，能结合本项目实际情况分析，较科学、合理的，得</w:t>
            </w:r>
            <w:r>
              <w:rPr>
                <w:rFonts w:hint="eastAsia" w:ascii="宋体" w:hAnsi="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)对本项目重点难点分析</w:t>
            </w:r>
            <w:r>
              <w:rPr>
                <w:rFonts w:hint="eastAsia" w:ascii="宋体" w:hAnsi="宋体" w:cs="宋体"/>
                <w:color w:val="auto"/>
                <w:kern w:val="2"/>
                <w:sz w:val="21"/>
                <w:szCs w:val="21"/>
                <w:highlight w:val="none"/>
                <w:lang w:val="en-US" w:eastAsia="zh-CN"/>
              </w:rPr>
              <w:t>基本</w:t>
            </w:r>
            <w:r>
              <w:rPr>
                <w:rFonts w:hint="eastAsia" w:ascii="宋体" w:hAnsi="宋体" w:eastAsia="宋体" w:cs="宋体"/>
                <w:color w:val="auto"/>
                <w:kern w:val="2"/>
                <w:sz w:val="21"/>
                <w:szCs w:val="21"/>
                <w:highlight w:val="none"/>
              </w:rPr>
              <w:t>详细、透彻，能结合本项目实际情况分析，合理</w:t>
            </w:r>
            <w:r>
              <w:rPr>
                <w:rFonts w:hint="eastAsia" w:ascii="宋体" w:hAnsi="宋体" w:cs="宋体"/>
                <w:color w:val="auto"/>
                <w:kern w:val="2"/>
                <w:sz w:val="21"/>
                <w:szCs w:val="21"/>
                <w:highlight w:val="none"/>
                <w:lang w:val="en-US" w:eastAsia="zh-CN"/>
              </w:rPr>
              <w:t>性一般</w:t>
            </w:r>
            <w:r>
              <w:rPr>
                <w:rFonts w:hint="eastAsia" w:ascii="宋体" w:hAnsi="宋体" w:eastAsia="宋体" w:cs="宋体"/>
                <w:color w:val="auto"/>
                <w:kern w:val="2"/>
                <w:sz w:val="21"/>
                <w:szCs w:val="21"/>
                <w:highlight w:val="none"/>
              </w:rPr>
              <w:t>的，得</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)对本项目重点难点分析不详细，不能结合本项目实际情况分析，缺乏科学合理性的，得</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ascii="宋体" w:hAnsi="宋体" w:cs="宋体"/>
                <w:bCs/>
                <w:color w:val="auto"/>
                <w:szCs w:val="21"/>
                <w:highlight w:val="none"/>
              </w:rPr>
            </w:pPr>
            <w:r>
              <w:rPr>
                <w:rFonts w:hint="eastAsia" w:ascii="宋体" w:hAnsi="宋体" w:eastAsia="宋体" w:cs="宋体"/>
                <w:color w:val="auto"/>
                <w:kern w:val="2"/>
                <w:sz w:val="21"/>
                <w:szCs w:val="21"/>
                <w:highlight w:val="none"/>
              </w:rPr>
              <w:t>5)其他或无响应，得0分。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right w:val="single" w:color="auto" w:sz="4" w:space="0"/>
            </w:tcBorders>
            <w:vAlign w:val="center"/>
          </w:tcPr>
          <w:p>
            <w:pPr>
              <w:pStyle w:val="23"/>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2</w:t>
            </w:r>
          </w:p>
        </w:tc>
        <w:tc>
          <w:tcPr>
            <w:tcW w:w="160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ascii="宋体" w:cs="宋体"/>
                <w:color w:val="auto"/>
                <w:szCs w:val="21"/>
                <w:highlight w:val="none"/>
              </w:rPr>
            </w:pPr>
            <w:r>
              <w:rPr>
                <w:rFonts w:hint="eastAsia" w:ascii="宋体" w:hAnsi="宋体" w:eastAsia="宋体" w:cs="宋体"/>
                <w:bCs/>
                <w:color w:val="auto"/>
                <w:kern w:val="2"/>
                <w:sz w:val="21"/>
                <w:szCs w:val="21"/>
                <w:highlight w:val="none"/>
              </w:rPr>
              <w:t>投标产品的质量保证和食品安全保障措施方案</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ascii="宋体" w:cs="宋体"/>
                <w:color w:val="auto"/>
                <w:szCs w:val="21"/>
                <w:highlight w:val="none"/>
              </w:rPr>
            </w:pPr>
            <w:r>
              <w:rPr>
                <w:rFonts w:hint="eastAsia" w:ascii="宋体" w:hAnsi="宋体" w:cs="宋体"/>
                <w:color w:val="auto"/>
                <w:kern w:val="2"/>
                <w:sz w:val="21"/>
                <w:szCs w:val="21"/>
                <w:highlight w:val="none"/>
                <w:lang w:val="en-US" w:eastAsia="zh-CN"/>
              </w:rPr>
              <w:t>15</w:t>
            </w:r>
          </w:p>
        </w:tc>
        <w:tc>
          <w:tcPr>
            <w:tcW w:w="54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根据投标人对</w:t>
            </w:r>
            <w:r>
              <w:rPr>
                <w:rFonts w:hint="eastAsia" w:ascii="宋体" w:hAnsi="宋体" w:eastAsia="宋体" w:cs="宋体"/>
                <w:bCs/>
                <w:color w:val="auto"/>
                <w:kern w:val="2"/>
                <w:sz w:val="21"/>
                <w:szCs w:val="21"/>
                <w:highlight w:val="none"/>
              </w:rPr>
              <w:t>投标产品的质量保证和食品安全保障措施方案</w:t>
            </w:r>
            <w:r>
              <w:rPr>
                <w:rFonts w:hint="eastAsia" w:ascii="宋体" w:hAnsi="宋体" w:cs="宋体"/>
                <w:bCs/>
                <w:color w:val="auto"/>
                <w:kern w:val="2"/>
                <w:sz w:val="21"/>
                <w:szCs w:val="21"/>
                <w:highlight w:val="none"/>
                <w:lang w:val="en-US" w:eastAsia="zh-CN"/>
              </w:rPr>
              <w:t>进行综合评审：</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1)投标产品的来源回溯、运储、仓储各环节的质量保证及食品安全保障措施完整、科学、合理的得</w:t>
            </w:r>
            <w:r>
              <w:rPr>
                <w:rFonts w:hint="eastAsia" w:ascii="宋体" w:hAnsi="宋体" w:cs="宋体"/>
                <w:color w:val="auto"/>
                <w:kern w:val="2"/>
                <w:sz w:val="21"/>
                <w:szCs w:val="21"/>
                <w:highlight w:val="none"/>
                <w:lang w:val="en-US" w:eastAsia="zh-CN"/>
              </w:rPr>
              <w:t>15</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2)投标产品的来源回溯、运储、仓储各环节的质量保证及食品安全保障措施</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完整、较科学、</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合理的得</w:t>
            </w:r>
            <w:r>
              <w:rPr>
                <w:rFonts w:hint="eastAsia" w:ascii="宋体" w:hAnsi="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3)投标产品的来源回溯、运储、仓储各环节的质量保证及食品安全保障措施基本完整、基本科学、</w:t>
            </w:r>
            <w:r>
              <w:rPr>
                <w:rFonts w:hint="eastAsia" w:ascii="宋体" w:hAnsi="宋体" w:cs="宋体"/>
                <w:color w:val="auto"/>
                <w:kern w:val="2"/>
                <w:sz w:val="21"/>
                <w:szCs w:val="21"/>
                <w:highlight w:val="none"/>
                <w:lang w:val="en-US" w:eastAsia="zh-CN"/>
              </w:rPr>
              <w:t>基本</w:t>
            </w:r>
            <w:r>
              <w:rPr>
                <w:rFonts w:hint="eastAsia" w:ascii="宋体" w:hAnsi="宋体" w:eastAsia="宋体" w:cs="宋体"/>
                <w:color w:val="auto"/>
                <w:kern w:val="2"/>
                <w:sz w:val="21"/>
                <w:szCs w:val="21"/>
                <w:highlight w:val="none"/>
              </w:rPr>
              <w:t>合理的得</w:t>
            </w: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4)投标产品的来源回溯、运储、仓储各环节的质量保证及食品安全保障措施不完整、缺乏科学合理性的得1分；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ascii="宋体" w:hAnsi="宋体" w:cs="宋体"/>
                <w:bCs/>
                <w:color w:val="auto"/>
                <w:szCs w:val="21"/>
                <w:highlight w:val="none"/>
              </w:rPr>
            </w:pPr>
            <w:r>
              <w:rPr>
                <w:rFonts w:hint="eastAsia" w:ascii="宋体" w:hAnsi="宋体" w:eastAsia="宋体" w:cs="宋体"/>
                <w:color w:val="auto"/>
                <w:kern w:val="2"/>
                <w:sz w:val="21"/>
                <w:szCs w:val="21"/>
                <w:highlight w:val="none"/>
              </w:rPr>
              <w:t>5)其他或无响应，得0分。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3"/>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3</w:t>
            </w:r>
          </w:p>
        </w:tc>
        <w:tc>
          <w:tcPr>
            <w:tcW w:w="16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ascii="宋体" w:cs="宋体"/>
                <w:color w:val="auto"/>
                <w:szCs w:val="21"/>
                <w:highlight w:val="none"/>
              </w:rPr>
            </w:pPr>
            <w:r>
              <w:rPr>
                <w:rFonts w:hint="eastAsia" w:ascii="宋体" w:hAnsi="宋体" w:eastAsia="宋体" w:cs="宋体"/>
                <w:color w:val="auto"/>
                <w:kern w:val="2"/>
                <w:sz w:val="21"/>
                <w:szCs w:val="21"/>
                <w:highlight w:val="none"/>
              </w:rPr>
              <w:t>配送服务方案</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ascii="宋体" w:cs="宋体"/>
                <w:color w:val="auto"/>
                <w:szCs w:val="21"/>
                <w:highlight w:val="none"/>
              </w:rPr>
            </w:pPr>
            <w:r>
              <w:rPr>
                <w:rFonts w:hint="eastAsia" w:ascii="宋体" w:hAnsi="宋体" w:cs="宋体"/>
                <w:bCs/>
                <w:color w:val="auto"/>
                <w:sz w:val="21"/>
                <w:szCs w:val="21"/>
                <w:highlight w:val="none"/>
                <w:lang w:val="en-US" w:eastAsia="zh-CN"/>
              </w:rPr>
              <w:t>10</w:t>
            </w:r>
          </w:p>
        </w:tc>
        <w:tc>
          <w:tcPr>
            <w:tcW w:w="54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根据投标人提供的</w:t>
            </w:r>
            <w:r>
              <w:rPr>
                <w:rFonts w:hint="eastAsia" w:ascii="宋体" w:hAnsi="宋体" w:eastAsia="宋体" w:cs="宋体"/>
                <w:color w:val="auto"/>
                <w:kern w:val="2"/>
                <w:sz w:val="21"/>
                <w:szCs w:val="21"/>
                <w:highlight w:val="none"/>
              </w:rPr>
              <w:t>配送服务方案</w:t>
            </w:r>
            <w:r>
              <w:rPr>
                <w:rFonts w:hint="eastAsia" w:ascii="宋体" w:hAnsi="宋体" w:cs="宋体"/>
                <w:color w:val="auto"/>
                <w:kern w:val="2"/>
                <w:sz w:val="21"/>
                <w:szCs w:val="21"/>
                <w:highlight w:val="none"/>
                <w:lang w:val="en-US" w:eastAsia="zh-CN"/>
              </w:rPr>
              <w:t>进行综合评审：</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1)方案内容完整、详细、表述清晰、科学合理、切实可行，得</w:t>
            </w:r>
            <w:r>
              <w:rPr>
                <w:rFonts w:hint="eastAsia" w:ascii="宋体" w:hAnsi="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2)方案内容较完整、</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详细、表述较清晰、合理可行，得</w:t>
            </w:r>
            <w:r>
              <w:rPr>
                <w:rFonts w:hint="eastAsia" w:ascii="宋体" w:hAnsi="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3)方案内容基本完整、表述基本清晰、基本合理可行，得</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4)方案内容不完整、表述不清晰、缺乏合理性，得1分；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ascii="宋体" w:hAnsi="宋体" w:cs="宋体"/>
                <w:bCs/>
                <w:color w:val="auto"/>
                <w:szCs w:val="21"/>
                <w:highlight w:val="none"/>
                <w:lang w:val="zh-CN"/>
              </w:rPr>
            </w:pPr>
            <w:r>
              <w:rPr>
                <w:rFonts w:hint="eastAsia" w:ascii="宋体" w:hAnsi="宋体" w:eastAsia="宋体" w:cs="宋体"/>
                <w:color w:val="auto"/>
                <w:kern w:val="2"/>
                <w:sz w:val="21"/>
                <w:szCs w:val="21"/>
                <w:highlight w:val="none"/>
              </w:rPr>
              <w:t>5)其他或无响应，得0分。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3"/>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4</w:t>
            </w:r>
          </w:p>
        </w:tc>
        <w:tc>
          <w:tcPr>
            <w:tcW w:w="16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ascii="宋体" w:cs="宋体"/>
                <w:color w:val="auto"/>
                <w:szCs w:val="21"/>
                <w:highlight w:val="none"/>
              </w:rPr>
            </w:pPr>
            <w:r>
              <w:rPr>
                <w:rFonts w:hint="eastAsia" w:ascii="宋体" w:hAnsi="宋体" w:eastAsia="宋体" w:cs="宋体"/>
                <w:color w:val="auto"/>
                <w:kern w:val="2"/>
                <w:sz w:val="21"/>
                <w:szCs w:val="21"/>
                <w:highlight w:val="none"/>
              </w:rPr>
              <w:t>出现产品质量问题退换货方案</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ascii="宋体" w:cs="宋体"/>
                <w:color w:val="auto"/>
                <w:szCs w:val="21"/>
                <w:highlight w:val="none"/>
              </w:rPr>
            </w:pPr>
            <w:r>
              <w:rPr>
                <w:rFonts w:hint="eastAsia" w:ascii="宋体" w:hAnsi="宋体" w:cs="宋体"/>
                <w:color w:val="auto"/>
                <w:kern w:val="2"/>
                <w:sz w:val="21"/>
                <w:szCs w:val="21"/>
                <w:highlight w:val="none"/>
                <w:lang w:val="en-US" w:eastAsia="zh-CN"/>
              </w:rPr>
              <w:t>10</w:t>
            </w:r>
          </w:p>
        </w:tc>
        <w:tc>
          <w:tcPr>
            <w:tcW w:w="54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根据</w:t>
            </w:r>
            <w:r>
              <w:rPr>
                <w:rFonts w:hint="eastAsia" w:ascii="宋体" w:hAnsi="宋体" w:cs="宋体"/>
                <w:color w:val="auto"/>
                <w:kern w:val="2"/>
                <w:sz w:val="21"/>
                <w:szCs w:val="21"/>
                <w:highlight w:val="none"/>
                <w:lang w:val="en-US" w:eastAsia="zh-CN"/>
              </w:rPr>
              <w:t>投标人提供</w:t>
            </w:r>
            <w:r>
              <w:rPr>
                <w:rFonts w:hint="eastAsia" w:ascii="宋体" w:hAnsi="宋体" w:eastAsia="宋体" w:cs="宋体"/>
                <w:color w:val="auto"/>
                <w:kern w:val="2"/>
                <w:sz w:val="21"/>
                <w:szCs w:val="21"/>
                <w:highlight w:val="none"/>
              </w:rPr>
              <w:t>的退换方案（包含：退换流程）及措施进行</w:t>
            </w:r>
            <w:r>
              <w:rPr>
                <w:rFonts w:hint="eastAsia" w:ascii="宋体" w:hAnsi="宋体" w:cs="宋体"/>
                <w:color w:val="auto"/>
                <w:kern w:val="2"/>
                <w:sz w:val="21"/>
                <w:szCs w:val="21"/>
                <w:highlight w:val="none"/>
                <w:lang w:val="en-US" w:eastAsia="zh-CN"/>
              </w:rPr>
              <w:t>综合评审</w:t>
            </w:r>
            <w:r>
              <w:rPr>
                <w:rFonts w:hint="eastAsia" w:ascii="宋体" w:hAnsi="宋体" w:eastAsia="宋体" w:cs="宋体"/>
                <w:color w:val="auto"/>
                <w:kern w:val="2"/>
                <w:sz w:val="21"/>
                <w:szCs w:val="21"/>
                <w:highlight w:val="none"/>
              </w:rPr>
              <w:t>：</w:t>
            </w:r>
          </w:p>
          <w:p>
            <w:pPr>
              <w:keepNext w:val="0"/>
              <w:keepLines w:val="0"/>
              <w:pageBreakBefore w:val="0"/>
              <w:widowControl w:val="0"/>
              <w:numPr>
                <w:ilvl w:val="0"/>
                <w:numId w:val="13"/>
              </w:numPr>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退换货方案全面、详细具体、流程科学（合理）、退换货周期快速，得</w:t>
            </w:r>
            <w:r>
              <w:rPr>
                <w:rFonts w:hint="eastAsia" w:ascii="宋体" w:hAnsi="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分；</w:t>
            </w:r>
          </w:p>
          <w:p>
            <w:pPr>
              <w:keepNext w:val="0"/>
              <w:keepLines w:val="0"/>
              <w:pageBreakBefore w:val="0"/>
              <w:widowControl w:val="0"/>
              <w:numPr>
                <w:ilvl w:val="-1"/>
                <w:numId w:val="0"/>
              </w:numPr>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)退换货方案</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全面、</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具体、流程</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合理、退换货周期快速，得</w:t>
            </w:r>
            <w:r>
              <w:rPr>
                <w:rFonts w:hint="eastAsia" w:ascii="宋体" w:hAnsi="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)退换货方案不够全面、简略一般、流程基本合理、退换货周期一般，得</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)退换货方案存在重大缺陷、流程具有重大漏洞的、退换货周期慢，得</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ascii="宋体" w:hAnsi="宋体" w:cs="宋体"/>
                <w:bCs/>
                <w:color w:val="auto"/>
                <w:szCs w:val="21"/>
                <w:highlight w:val="none"/>
                <w:lang w:val="zh-CN"/>
              </w:rPr>
            </w:pP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)其他或无响应，得0分。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3"/>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5</w:t>
            </w:r>
          </w:p>
        </w:tc>
        <w:tc>
          <w:tcPr>
            <w:tcW w:w="16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ascii="宋体" w:cs="宋体"/>
                <w:color w:val="auto"/>
                <w:szCs w:val="21"/>
                <w:highlight w:val="none"/>
              </w:rPr>
            </w:pPr>
            <w:r>
              <w:rPr>
                <w:rFonts w:hint="eastAsia" w:ascii="宋体" w:hAnsi="宋体" w:eastAsia="宋体" w:cs="宋体"/>
                <w:color w:val="auto"/>
                <w:kern w:val="2"/>
                <w:sz w:val="21"/>
                <w:szCs w:val="21"/>
                <w:highlight w:val="none"/>
              </w:rPr>
              <w:t>突发事件的应急响应方案</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default" w:ascii="宋体" w:eastAsia="宋体" w:cs="宋体"/>
                <w:color w:val="auto"/>
                <w:szCs w:val="21"/>
                <w:highlight w:val="none"/>
                <w:lang w:val="en-US" w:eastAsia="zh-CN"/>
              </w:rPr>
            </w:pPr>
            <w:r>
              <w:rPr>
                <w:rFonts w:hint="eastAsia" w:ascii="宋体" w:hAnsi="宋体" w:cs="宋体"/>
                <w:color w:val="auto"/>
                <w:kern w:val="2"/>
                <w:sz w:val="21"/>
                <w:szCs w:val="21"/>
                <w:highlight w:val="none"/>
                <w:lang w:val="en-US" w:eastAsia="zh-CN"/>
              </w:rPr>
              <w:t>10</w:t>
            </w:r>
          </w:p>
        </w:tc>
        <w:tc>
          <w:tcPr>
            <w:tcW w:w="54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根据</w:t>
            </w:r>
            <w:r>
              <w:rPr>
                <w:rFonts w:hint="eastAsia" w:ascii="宋体" w:hAnsi="宋体" w:cs="宋体"/>
                <w:color w:val="auto"/>
                <w:kern w:val="2"/>
                <w:sz w:val="21"/>
                <w:szCs w:val="21"/>
                <w:highlight w:val="none"/>
                <w:lang w:val="en-US" w:eastAsia="zh-CN"/>
              </w:rPr>
              <w:t>投标人</w:t>
            </w:r>
            <w:r>
              <w:rPr>
                <w:rFonts w:hint="eastAsia" w:ascii="宋体" w:hAnsi="宋体" w:eastAsia="宋体" w:cs="宋体"/>
                <w:color w:val="auto"/>
                <w:kern w:val="2"/>
                <w:sz w:val="21"/>
                <w:szCs w:val="21"/>
                <w:highlight w:val="none"/>
              </w:rPr>
              <w:t>提供</w:t>
            </w:r>
            <w:r>
              <w:rPr>
                <w:rFonts w:hint="eastAsia" w:ascii="宋体" w:hAnsi="宋体" w:cs="宋体"/>
                <w:color w:val="auto"/>
                <w:kern w:val="2"/>
                <w:sz w:val="21"/>
                <w:szCs w:val="21"/>
                <w:highlight w:val="none"/>
                <w:lang w:val="en-US" w:eastAsia="zh-CN"/>
              </w:rPr>
              <w:t>的</w:t>
            </w:r>
            <w:r>
              <w:rPr>
                <w:rFonts w:hint="eastAsia" w:ascii="宋体" w:hAnsi="宋体" w:eastAsia="宋体" w:cs="宋体"/>
                <w:color w:val="auto"/>
                <w:kern w:val="2"/>
                <w:sz w:val="21"/>
                <w:szCs w:val="21"/>
                <w:highlight w:val="none"/>
              </w:rPr>
              <w:t>项目实施应急服务预案</w:t>
            </w:r>
            <w:r>
              <w:rPr>
                <w:rFonts w:hint="eastAsia" w:ascii="宋体" w:hAnsi="宋体" w:cs="宋体"/>
                <w:color w:val="auto"/>
                <w:kern w:val="2"/>
                <w:sz w:val="21"/>
                <w:szCs w:val="21"/>
                <w:highlight w:val="none"/>
                <w:lang w:val="en-US" w:eastAsia="zh-CN"/>
              </w:rPr>
              <w:t>进行综合评审</w:t>
            </w:r>
            <w:r>
              <w:rPr>
                <w:rFonts w:hint="eastAsia" w:ascii="宋体" w:hAnsi="宋体" w:eastAsia="宋体" w:cs="宋体"/>
                <w:color w:val="auto"/>
                <w:kern w:val="2"/>
                <w:sz w:val="21"/>
                <w:szCs w:val="21"/>
                <w:highlight w:val="none"/>
              </w:rPr>
              <w:t>：</w:t>
            </w:r>
          </w:p>
          <w:p>
            <w:pPr>
              <w:keepNext w:val="0"/>
              <w:keepLines w:val="0"/>
              <w:pageBreakBefore w:val="0"/>
              <w:widowControl w:val="0"/>
              <w:numPr>
                <w:ilvl w:val="0"/>
                <w:numId w:val="14"/>
              </w:numPr>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针对本项目拟定的突发事件的处理措施和应急预案全面、科学、合理、可行且详细的，得</w:t>
            </w:r>
            <w:r>
              <w:rPr>
                <w:rFonts w:hint="eastAsia" w:ascii="宋体" w:hAnsi="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分；</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)针对本项目拟定的突发事件的处理措施和应急预案</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全面、</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合理、</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可行的，得</w:t>
            </w:r>
            <w:r>
              <w:rPr>
                <w:rFonts w:hint="eastAsia" w:ascii="宋体" w:hAnsi="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)针对本项目拟定的突发事件的处理措施和应急预案</w:t>
            </w:r>
            <w:r>
              <w:rPr>
                <w:rFonts w:hint="eastAsia" w:ascii="宋体" w:hAnsi="宋体" w:cs="宋体"/>
                <w:color w:val="auto"/>
                <w:kern w:val="2"/>
                <w:sz w:val="21"/>
                <w:szCs w:val="21"/>
                <w:highlight w:val="none"/>
                <w:lang w:val="en-US" w:eastAsia="zh-CN"/>
              </w:rPr>
              <w:t>基本</w:t>
            </w:r>
            <w:r>
              <w:rPr>
                <w:rFonts w:hint="eastAsia" w:ascii="宋体" w:hAnsi="宋体" w:eastAsia="宋体" w:cs="宋体"/>
                <w:color w:val="auto"/>
                <w:kern w:val="2"/>
                <w:sz w:val="21"/>
                <w:szCs w:val="21"/>
                <w:highlight w:val="none"/>
              </w:rPr>
              <w:t>全面、</w:t>
            </w:r>
            <w:r>
              <w:rPr>
                <w:rFonts w:hint="eastAsia" w:ascii="宋体" w:hAnsi="宋体" w:cs="宋体"/>
                <w:color w:val="auto"/>
                <w:kern w:val="2"/>
                <w:sz w:val="21"/>
                <w:szCs w:val="21"/>
                <w:highlight w:val="none"/>
                <w:lang w:val="en-US" w:eastAsia="zh-CN"/>
              </w:rPr>
              <w:t>基本</w:t>
            </w:r>
            <w:r>
              <w:rPr>
                <w:rFonts w:hint="eastAsia" w:ascii="宋体" w:hAnsi="宋体" w:eastAsia="宋体" w:cs="宋体"/>
                <w:color w:val="auto"/>
                <w:kern w:val="2"/>
                <w:sz w:val="21"/>
                <w:szCs w:val="21"/>
                <w:highlight w:val="none"/>
              </w:rPr>
              <w:t>合理</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基本</w:t>
            </w:r>
            <w:r>
              <w:rPr>
                <w:rFonts w:hint="eastAsia" w:ascii="宋体" w:hAnsi="宋体" w:eastAsia="宋体" w:cs="宋体"/>
                <w:color w:val="auto"/>
                <w:kern w:val="2"/>
                <w:sz w:val="21"/>
                <w:szCs w:val="21"/>
                <w:highlight w:val="none"/>
              </w:rPr>
              <w:t>可行的，得</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)针对本项目拟定的突发事件的处理措施和应急预案不全面、</w:t>
            </w:r>
            <w:r>
              <w:rPr>
                <w:rFonts w:hint="eastAsia" w:ascii="宋体" w:hAnsi="宋体" w:cs="宋体"/>
                <w:color w:val="auto"/>
                <w:kern w:val="2"/>
                <w:sz w:val="21"/>
                <w:szCs w:val="21"/>
                <w:highlight w:val="none"/>
                <w:lang w:val="en-US" w:eastAsia="zh-CN"/>
              </w:rPr>
              <w:t>不</w:t>
            </w:r>
            <w:r>
              <w:rPr>
                <w:rFonts w:hint="eastAsia" w:ascii="宋体" w:hAnsi="宋体" w:eastAsia="宋体" w:cs="宋体"/>
                <w:color w:val="auto"/>
                <w:kern w:val="2"/>
                <w:sz w:val="21"/>
                <w:szCs w:val="21"/>
                <w:highlight w:val="none"/>
              </w:rPr>
              <w:t>合理的，得</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ascii="宋体" w:hAnsi="宋体" w:cs="宋体"/>
                <w:bCs/>
                <w:color w:val="auto"/>
                <w:szCs w:val="21"/>
                <w:highlight w:val="none"/>
                <w:lang w:val="zh-CN"/>
              </w:rPr>
            </w:pP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)其他或无响应，得0分。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tabs>
                <w:tab w:val="left" w:pos="907"/>
              </w:tabs>
              <w:ind w:firstLine="422" w:firstLineChars="200"/>
              <w:jc w:val="both"/>
              <w:rPr>
                <w:rFonts w:ascii="宋体" w:hAnsi="宋体"/>
                <w:b/>
                <w:color w:val="auto"/>
                <w:szCs w:val="21"/>
                <w:highlight w:val="none"/>
              </w:rPr>
            </w:pPr>
            <w:r>
              <w:rPr>
                <w:rFonts w:hint="eastAsia" w:ascii="宋体" w:hAnsi="宋体"/>
                <w:b/>
                <w:color w:val="auto"/>
                <w:szCs w:val="21"/>
                <w:highlight w:val="none"/>
              </w:rPr>
              <w:t>注：</w:t>
            </w:r>
          </w:p>
          <w:p>
            <w:pPr>
              <w:tabs>
                <w:tab w:val="left" w:pos="907"/>
              </w:tabs>
              <w:ind w:firstLine="422" w:firstLineChars="200"/>
              <w:jc w:val="both"/>
              <w:rPr>
                <w:rFonts w:ascii="宋体" w:hAnsi="宋体"/>
                <w:b/>
                <w:color w:val="auto"/>
                <w:szCs w:val="21"/>
                <w:highlight w:val="none"/>
              </w:rPr>
            </w:pPr>
            <w:r>
              <w:rPr>
                <w:rFonts w:hint="eastAsia" w:ascii="宋体" w:hAnsi="宋体"/>
                <w:b/>
                <w:color w:val="auto"/>
                <w:szCs w:val="21"/>
                <w:highlight w:val="none"/>
              </w:rPr>
              <w:t>（1）无特殊说明外，以上评审项，同一证明文件不重复计分。</w:t>
            </w:r>
          </w:p>
          <w:p>
            <w:pPr>
              <w:tabs>
                <w:tab w:val="left" w:pos="907"/>
              </w:tabs>
              <w:ind w:firstLine="422" w:firstLineChars="200"/>
              <w:jc w:val="both"/>
              <w:rPr>
                <w:rFonts w:ascii="宋体" w:hAnsi="宋体"/>
                <w:b/>
                <w:color w:val="auto"/>
                <w:szCs w:val="21"/>
                <w:highlight w:val="none"/>
              </w:rPr>
            </w:pPr>
            <w:r>
              <w:rPr>
                <w:rFonts w:hint="eastAsia" w:ascii="宋体" w:hAnsi="宋体"/>
                <w:b/>
                <w:color w:val="auto"/>
                <w:szCs w:val="21"/>
                <w:highlight w:val="none"/>
              </w:rPr>
              <w:t>（2）投标人根据以上评分要求提供的投标材料因模糊不清导致评标委员会无法清晰辨认进行评审的，视为无效材料。</w:t>
            </w:r>
          </w:p>
          <w:p>
            <w:pPr>
              <w:tabs>
                <w:tab w:val="left" w:pos="907"/>
              </w:tabs>
              <w:ind w:firstLine="422" w:firstLineChars="200"/>
              <w:jc w:val="both"/>
              <w:rPr>
                <w:rFonts w:ascii="宋体" w:cs="宋体"/>
                <w:color w:val="auto"/>
                <w:szCs w:val="21"/>
                <w:highlight w:val="none"/>
              </w:rPr>
            </w:pPr>
            <w:r>
              <w:rPr>
                <w:rFonts w:hint="eastAsia" w:ascii="宋体" w:hAnsi="宋体"/>
                <w:b/>
                <w:color w:val="auto"/>
                <w:szCs w:val="21"/>
                <w:highlight w:val="none"/>
              </w:rPr>
              <w:t>（3）若因疫情原因暂缓统一托收或阶段性减免社会保险费而导致无法打印社保缴费证明的需提供书面说明并加盖投标人公章。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ascii="宋体" w:eastAsia="宋体" w:cs="宋体"/>
                <w:color w:val="auto"/>
                <w:sz w:val="21"/>
                <w:szCs w:val="21"/>
                <w:highlight w:val="none"/>
                <w:lang w:val="zh-CN"/>
              </w:rPr>
            </w:pPr>
            <w:r>
              <w:rPr>
                <w:rFonts w:hint="eastAsia" w:ascii="宋体" w:eastAsia="宋体" w:cs="宋体"/>
                <w:b/>
                <w:bCs/>
                <w:color w:val="auto"/>
                <w:sz w:val="21"/>
                <w:szCs w:val="21"/>
                <w:highlight w:val="none"/>
              </w:rPr>
              <w:t>价格评审（</w:t>
            </w:r>
            <w:r>
              <w:rPr>
                <w:rFonts w:hint="eastAsia" w:ascii="宋体" w:eastAsia="宋体" w:cs="宋体"/>
                <w:b/>
                <w:bCs/>
                <w:color w:val="auto"/>
                <w:sz w:val="21"/>
                <w:szCs w:val="21"/>
                <w:highlight w:val="none"/>
                <w:lang w:val="en-US" w:eastAsia="zh-CN"/>
              </w:rPr>
              <w:t>1</w:t>
            </w:r>
            <w:r>
              <w:rPr>
                <w:rFonts w:hint="eastAsia" w:ascii="宋体" w:eastAsia="宋体" w:cs="宋体"/>
                <w:b/>
                <w:bCs/>
                <w:color w:val="auto"/>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投标下浮率</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0</w:t>
            </w:r>
          </w:p>
        </w:tc>
        <w:tc>
          <w:tcPr>
            <w:tcW w:w="5489" w:type="dxa"/>
            <w:gridSpan w:val="2"/>
            <w:tcBorders>
              <w:top w:val="single" w:color="auto" w:sz="4" w:space="0"/>
              <w:left w:val="single" w:color="auto" w:sz="4" w:space="0"/>
              <w:bottom w:val="single" w:color="auto" w:sz="4" w:space="0"/>
              <w:right w:val="single" w:color="auto" w:sz="4" w:space="0"/>
            </w:tcBorders>
            <w:vAlign w:val="center"/>
          </w:tcPr>
          <w:p>
            <w:pPr>
              <w:pStyle w:val="23"/>
              <w:keepNext w:val="0"/>
              <w:keepLines w:val="0"/>
              <w:pageBreakBefore w:val="0"/>
              <w:kinsoku/>
              <w:wordWrap/>
              <w:overflowPunct/>
              <w:topLinePunct w:val="0"/>
              <w:autoSpaceDE/>
              <w:autoSpaceDN/>
              <w:bidi w:val="0"/>
              <w:spacing w:line="240" w:lineRule="auto"/>
              <w:ind w:left="0" w:leftChars="0" w:right="0" w:rightChars="0" w:firstLine="420" w:firstLineChars="200"/>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rPr>
              <w:t>格分计算方法：满足招标文件要求且投标报价最低（即最大下浮率）的投标报价为评标基准价，其价格分为满分。其他</w:t>
            </w:r>
            <w:r>
              <w:rPr>
                <w:rFonts w:hint="eastAsia" w:ascii="宋体" w:hAnsi="宋体" w:eastAsia="宋体" w:cs="宋体"/>
                <w:bCs/>
                <w:color w:val="auto"/>
                <w:sz w:val="21"/>
                <w:szCs w:val="21"/>
                <w:highlight w:val="none"/>
                <w:lang w:val="zh-CN" w:eastAsia="zh-CN"/>
              </w:rPr>
              <w:t>供应商</w:t>
            </w:r>
            <w:r>
              <w:rPr>
                <w:rFonts w:hint="eastAsia" w:ascii="宋体" w:hAnsi="宋体" w:eastAsia="宋体" w:cs="宋体"/>
                <w:bCs/>
                <w:color w:val="auto"/>
                <w:sz w:val="21"/>
                <w:szCs w:val="21"/>
                <w:highlight w:val="none"/>
                <w:lang w:val="zh-CN"/>
              </w:rPr>
              <w:t>的价格分统一按照下列公式计算：</w:t>
            </w:r>
            <w:r>
              <w:rPr>
                <w:rFonts w:hint="eastAsia" w:ascii="宋体" w:hAnsi="宋体" w:eastAsia="宋体" w:cs="宋体"/>
                <w:bCs/>
                <w:color w:val="auto"/>
                <w:sz w:val="21"/>
                <w:szCs w:val="21"/>
                <w:highlight w:val="none"/>
                <w:lang w:val="zh-CN" w:eastAsia="zh-CN"/>
              </w:rPr>
              <w:t xml:space="preserve">   </w:t>
            </w:r>
          </w:p>
          <w:p>
            <w:pPr>
              <w:ind w:firstLine="420" w:firstLineChars="200"/>
              <w:rPr>
                <w:rFonts w:ascii="宋体" w:hAnsi="宋体" w:cs="宋体"/>
                <w:color w:val="auto"/>
                <w:szCs w:val="21"/>
                <w:highlight w:val="none"/>
              </w:rPr>
            </w:pPr>
            <w:r>
              <w:rPr>
                <w:rFonts w:hint="eastAsia" w:ascii="宋体" w:hAnsi="宋体" w:eastAsia="宋体" w:cs="宋体"/>
                <w:bCs/>
                <w:color w:val="auto"/>
                <w:sz w:val="21"/>
                <w:szCs w:val="21"/>
                <w:highlight w:val="none"/>
                <w:lang w:val="zh-CN"/>
              </w:rPr>
              <w:t>投标报价得分=[(1-最大下浮率)／(1-投标下浮率)] ×价格权重</w:t>
            </w:r>
          </w:p>
        </w:tc>
      </w:tr>
    </w:tbl>
    <w:p>
      <w:pPr>
        <w:rPr>
          <w:color w:val="auto"/>
          <w:highlight w:val="none"/>
        </w:rPr>
      </w:pPr>
      <w:r>
        <w:rPr>
          <w:color w:val="auto"/>
          <w:highlight w:val="none"/>
        </w:rPr>
        <w:br w:type="page"/>
      </w:r>
    </w:p>
    <w:p>
      <w:pPr>
        <w:pStyle w:val="3"/>
        <w:numPr>
          <w:ilvl w:val="0"/>
          <w:numId w:val="1"/>
        </w:numPr>
        <w:rPr>
          <w:color w:val="auto"/>
          <w:highlight w:val="none"/>
        </w:rPr>
      </w:pPr>
      <w:bookmarkStart w:id="150" w:name="_Toc32522"/>
      <w:r>
        <w:rPr>
          <w:rFonts w:hint="eastAsia"/>
          <w:color w:val="auto"/>
          <w:highlight w:val="none"/>
        </w:rPr>
        <w:t>合同文本参考格式</w:t>
      </w:r>
      <w:bookmarkEnd w:id="150"/>
    </w:p>
    <w:p>
      <w:pPr>
        <w:jc w:val="center"/>
        <w:outlineLvl w:val="1"/>
        <w:rPr>
          <w:color w:val="auto"/>
          <w:sz w:val="18"/>
          <w:szCs w:val="21"/>
          <w:highlight w:val="none"/>
        </w:rPr>
      </w:pPr>
      <w:bookmarkStart w:id="151" w:name="_Toc1541"/>
      <w:r>
        <w:rPr>
          <w:rFonts w:hint="eastAsia" w:ascii="宋体" w:hAnsi="宋体" w:cs="宋体"/>
          <w:b/>
          <w:bCs/>
          <w:color w:val="auto"/>
          <w:sz w:val="22"/>
          <w:szCs w:val="22"/>
          <w:highlight w:val="none"/>
        </w:rPr>
        <w:t>（本格式编排在招标文件中，供投标人参考，投标时不需填写）</w:t>
      </w:r>
      <w:bookmarkEnd w:id="151"/>
    </w:p>
    <w:p>
      <w:pPr>
        <w:spacing w:line="360" w:lineRule="auto"/>
        <w:rPr>
          <w:color w:val="auto"/>
          <w:highlight w:val="none"/>
        </w:rPr>
      </w:pPr>
      <w:r>
        <w:rPr>
          <w:rFonts w:hint="eastAsia"/>
          <w:color w:val="auto"/>
          <w:highlight w:val="none"/>
        </w:rPr>
        <w:t>甲方：</w:t>
      </w:r>
      <w:r>
        <w:rPr>
          <w:rFonts w:hint="eastAsia"/>
          <w:color w:val="auto"/>
          <w:highlight w:val="none"/>
        </w:rPr>
        <w:tab/>
      </w:r>
    </w:p>
    <w:p>
      <w:pPr>
        <w:spacing w:line="360" w:lineRule="auto"/>
        <w:rPr>
          <w:color w:val="auto"/>
          <w:highlight w:val="none"/>
        </w:rPr>
      </w:pPr>
      <w:r>
        <w:rPr>
          <w:rFonts w:hint="eastAsia"/>
          <w:color w:val="auto"/>
          <w:highlight w:val="none"/>
        </w:rPr>
        <w:t>电话：</w:t>
      </w:r>
      <w:r>
        <w:rPr>
          <w:rFonts w:hint="eastAsia"/>
          <w:color w:val="auto"/>
          <w:highlight w:val="none"/>
        </w:rPr>
        <w:tab/>
      </w:r>
      <w:r>
        <w:rPr>
          <w:rFonts w:hint="eastAsia"/>
          <w:color w:val="auto"/>
          <w:highlight w:val="none"/>
        </w:rPr>
        <w:t xml:space="preserve">传真： </w:t>
      </w:r>
      <w:r>
        <w:rPr>
          <w:rFonts w:hint="eastAsia"/>
          <w:color w:val="auto"/>
          <w:highlight w:val="none"/>
        </w:rPr>
        <w:tab/>
      </w:r>
      <w:r>
        <w:rPr>
          <w:rFonts w:hint="eastAsia"/>
          <w:color w:val="auto"/>
          <w:highlight w:val="none"/>
        </w:rPr>
        <w:t xml:space="preserve">地址：  </w:t>
      </w:r>
      <w:r>
        <w:rPr>
          <w:rFonts w:hint="eastAsia"/>
          <w:color w:val="auto"/>
          <w:highlight w:val="none"/>
        </w:rPr>
        <w:tab/>
      </w:r>
    </w:p>
    <w:p>
      <w:pPr>
        <w:spacing w:line="360" w:lineRule="auto"/>
        <w:rPr>
          <w:color w:val="auto"/>
          <w:highlight w:val="none"/>
        </w:rPr>
      </w:pPr>
      <w:r>
        <w:rPr>
          <w:rFonts w:hint="eastAsia"/>
          <w:color w:val="auto"/>
          <w:highlight w:val="none"/>
        </w:rPr>
        <w:t xml:space="preserve">乙方：  </w:t>
      </w:r>
      <w:r>
        <w:rPr>
          <w:rFonts w:hint="eastAsia"/>
          <w:color w:val="auto"/>
          <w:highlight w:val="none"/>
        </w:rPr>
        <w:tab/>
      </w:r>
    </w:p>
    <w:p>
      <w:pPr>
        <w:spacing w:line="360" w:lineRule="auto"/>
        <w:rPr>
          <w:color w:val="auto"/>
          <w:highlight w:val="none"/>
        </w:rPr>
      </w:pPr>
      <w:r>
        <w:rPr>
          <w:rFonts w:hint="eastAsia"/>
          <w:color w:val="auto"/>
          <w:highlight w:val="none"/>
        </w:rPr>
        <w:t xml:space="preserve">电话： </w:t>
      </w:r>
      <w:r>
        <w:rPr>
          <w:rFonts w:hint="eastAsia"/>
          <w:color w:val="auto"/>
          <w:highlight w:val="none"/>
        </w:rPr>
        <w:tab/>
      </w:r>
      <w:r>
        <w:rPr>
          <w:rFonts w:hint="eastAsia"/>
          <w:color w:val="auto"/>
          <w:highlight w:val="none"/>
        </w:rPr>
        <w:t xml:space="preserve">传真： </w:t>
      </w:r>
      <w:r>
        <w:rPr>
          <w:rFonts w:hint="eastAsia"/>
          <w:color w:val="auto"/>
          <w:highlight w:val="none"/>
        </w:rPr>
        <w:tab/>
      </w:r>
      <w:r>
        <w:rPr>
          <w:rFonts w:hint="eastAsia"/>
          <w:color w:val="auto"/>
          <w:highlight w:val="none"/>
        </w:rPr>
        <w:t xml:space="preserve">地址：  </w:t>
      </w:r>
      <w:r>
        <w:rPr>
          <w:rFonts w:hint="eastAsia"/>
          <w:color w:val="auto"/>
          <w:highlight w:val="none"/>
        </w:rPr>
        <w:tab/>
      </w:r>
    </w:p>
    <w:p>
      <w:pPr>
        <w:spacing w:line="360" w:lineRule="auto"/>
        <w:rPr>
          <w:color w:val="auto"/>
          <w:highlight w:val="none"/>
        </w:rPr>
      </w:pPr>
    </w:p>
    <w:p>
      <w:pPr>
        <w:spacing w:line="360" w:lineRule="auto"/>
        <w:ind w:firstLine="420" w:firstLineChars="200"/>
        <w:rPr>
          <w:color w:val="auto"/>
          <w:highlight w:val="none"/>
        </w:rPr>
      </w:pPr>
      <w:r>
        <w:rPr>
          <w:rFonts w:hint="eastAsia"/>
          <w:color w:val="auto"/>
          <w:highlight w:val="none"/>
        </w:rPr>
        <w:t>根据</w:t>
      </w:r>
      <w:r>
        <w:rPr>
          <w:rFonts w:hint="eastAsia"/>
          <w:color w:val="auto"/>
          <w:highlight w:val="none"/>
          <w:u w:val="single"/>
        </w:rPr>
        <w:t xml:space="preserve">   </w:t>
      </w:r>
      <w:r>
        <w:rPr>
          <w:rFonts w:hint="eastAsia"/>
          <w:color w:val="auto"/>
          <w:highlight w:val="none"/>
        </w:rPr>
        <w:t>项目的采购结果，按照《中华人民共和国政府采购法》，《中华人民共和国民法典(合同编)》的规定，经双方协商，本着平等互利和诚实信用的原则，一致同意遵守本合同如下。</w:t>
      </w:r>
    </w:p>
    <w:p>
      <w:pPr>
        <w:spacing w:line="360" w:lineRule="auto"/>
        <w:outlineLvl w:val="1"/>
        <w:rPr>
          <w:b/>
          <w:bCs/>
          <w:color w:val="auto"/>
          <w:highlight w:val="none"/>
        </w:rPr>
      </w:pPr>
      <w:bookmarkStart w:id="152" w:name="_Toc864"/>
      <w:r>
        <w:rPr>
          <w:rFonts w:hint="eastAsia"/>
          <w:b/>
          <w:bCs/>
          <w:color w:val="auto"/>
          <w:highlight w:val="none"/>
        </w:rPr>
        <w:t>一、合同金额</w:t>
      </w:r>
      <w:bookmarkEnd w:id="152"/>
    </w:p>
    <w:p>
      <w:pPr>
        <w:spacing w:line="360" w:lineRule="auto"/>
        <w:ind w:firstLine="420" w:firstLineChars="200"/>
        <w:rPr>
          <w:color w:val="auto"/>
          <w:highlight w:val="none"/>
        </w:rPr>
      </w:pPr>
      <w:r>
        <w:rPr>
          <w:rFonts w:hint="eastAsia"/>
          <w:color w:val="auto"/>
          <w:highlight w:val="none"/>
        </w:rPr>
        <w:t xml:space="preserve">合同金额为（大写）： </w:t>
      </w:r>
      <w:r>
        <w:rPr>
          <w:rFonts w:hint="eastAsia"/>
          <w:color w:val="auto"/>
          <w:highlight w:val="none"/>
        </w:rPr>
        <w:tab/>
      </w:r>
      <w:r>
        <w:rPr>
          <w:rFonts w:hint="eastAsia"/>
          <w:color w:val="auto"/>
          <w:highlight w:val="none"/>
        </w:rPr>
        <w:t xml:space="preserve">元（￥ </w:t>
      </w:r>
      <w:r>
        <w:rPr>
          <w:rFonts w:hint="eastAsia"/>
          <w:color w:val="auto"/>
          <w:highlight w:val="none"/>
        </w:rPr>
        <w:tab/>
      </w:r>
      <w:r>
        <w:rPr>
          <w:rFonts w:hint="eastAsia"/>
          <w:color w:val="auto"/>
          <w:highlight w:val="none"/>
        </w:rPr>
        <w:t>元）人民币。</w:t>
      </w:r>
    </w:p>
    <w:p>
      <w:pPr>
        <w:spacing w:line="360" w:lineRule="auto"/>
        <w:outlineLvl w:val="1"/>
        <w:rPr>
          <w:b/>
          <w:bCs/>
          <w:color w:val="auto"/>
          <w:highlight w:val="none"/>
        </w:rPr>
      </w:pPr>
      <w:bookmarkStart w:id="153" w:name="_Toc32599"/>
      <w:r>
        <w:rPr>
          <w:rFonts w:hint="eastAsia"/>
          <w:b/>
          <w:bCs/>
          <w:color w:val="auto"/>
          <w:highlight w:val="none"/>
        </w:rPr>
        <w:t>二、服务范围</w:t>
      </w:r>
      <w:bookmarkEnd w:id="153"/>
    </w:p>
    <w:p>
      <w:pPr>
        <w:spacing w:line="360" w:lineRule="auto"/>
        <w:ind w:firstLine="420" w:firstLineChars="200"/>
        <w:rPr>
          <w:color w:val="auto"/>
          <w:highlight w:val="none"/>
        </w:rPr>
      </w:pPr>
      <w:r>
        <w:rPr>
          <w:rFonts w:hint="eastAsia"/>
          <w:color w:val="auto"/>
          <w:highlight w:val="none"/>
        </w:rPr>
        <w:t>甲方聘请乙方提供以下服务：</w:t>
      </w:r>
    </w:p>
    <w:p>
      <w:pPr>
        <w:spacing w:line="360" w:lineRule="auto"/>
        <w:ind w:firstLine="420" w:firstLineChars="200"/>
        <w:rPr>
          <w:color w:val="auto"/>
          <w:highlight w:val="none"/>
        </w:rPr>
      </w:pPr>
      <w:r>
        <w:rPr>
          <w:rFonts w:hint="eastAsia"/>
          <w:color w:val="auto"/>
          <w:highlight w:val="none"/>
        </w:rPr>
        <w:t xml:space="preserve">1.               </w:t>
      </w:r>
    </w:p>
    <w:p>
      <w:pPr>
        <w:spacing w:line="360" w:lineRule="auto"/>
        <w:ind w:firstLine="420" w:firstLineChars="200"/>
        <w:rPr>
          <w:color w:val="auto"/>
          <w:highlight w:val="none"/>
        </w:rPr>
      </w:pPr>
      <w:r>
        <w:rPr>
          <w:rFonts w:hint="eastAsia"/>
          <w:color w:val="auto"/>
          <w:highlight w:val="none"/>
        </w:rPr>
        <w:t xml:space="preserve">2．              </w:t>
      </w:r>
    </w:p>
    <w:p>
      <w:pPr>
        <w:spacing w:line="360" w:lineRule="auto"/>
        <w:outlineLvl w:val="1"/>
        <w:rPr>
          <w:b/>
          <w:bCs/>
          <w:color w:val="auto"/>
          <w:highlight w:val="none"/>
        </w:rPr>
      </w:pPr>
      <w:bookmarkStart w:id="154" w:name="_Toc28304"/>
      <w:r>
        <w:rPr>
          <w:rFonts w:hint="eastAsia"/>
          <w:b/>
          <w:bCs/>
          <w:color w:val="auto"/>
          <w:highlight w:val="none"/>
        </w:rPr>
        <w:t>三、甲方乙方的权利和义务</w:t>
      </w:r>
      <w:bookmarkEnd w:id="154"/>
    </w:p>
    <w:p>
      <w:pPr>
        <w:spacing w:line="360" w:lineRule="auto"/>
        <w:ind w:firstLine="420" w:firstLineChars="200"/>
        <w:rPr>
          <w:color w:val="auto"/>
          <w:highlight w:val="none"/>
        </w:rPr>
      </w:pPr>
      <w:r>
        <w:rPr>
          <w:rFonts w:hint="eastAsia"/>
          <w:color w:val="auto"/>
          <w:highlight w:val="none"/>
        </w:rPr>
        <w:t>甲方的权利和义务：</w:t>
      </w:r>
    </w:p>
    <w:p>
      <w:pPr>
        <w:spacing w:line="360" w:lineRule="auto"/>
        <w:ind w:firstLine="420" w:firstLineChars="200"/>
        <w:rPr>
          <w:color w:val="auto"/>
          <w:highlight w:val="none"/>
        </w:rPr>
      </w:pPr>
      <w:r>
        <w:rPr>
          <w:rFonts w:hint="eastAsia"/>
          <w:color w:val="auto"/>
          <w:highlight w:val="none"/>
        </w:rPr>
        <w:t>乙方的权利和义务：</w:t>
      </w:r>
    </w:p>
    <w:p>
      <w:pPr>
        <w:spacing w:line="360" w:lineRule="auto"/>
        <w:outlineLvl w:val="1"/>
        <w:rPr>
          <w:b/>
          <w:bCs/>
          <w:color w:val="auto"/>
          <w:highlight w:val="none"/>
        </w:rPr>
      </w:pPr>
      <w:bookmarkStart w:id="155" w:name="_Toc31228"/>
      <w:r>
        <w:rPr>
          <w:rFonts w:hint="eastAsia"/>
          <w:b/>
          <w:bCs/>
          <w:color w:val="auto"/>
          <w:highlight w:val="none"/>
        </w:rPr>
        <w:t>四、服务期间（项目完成期限）</w:t>
      </w:r>
      <w:bookmarkEnd w:id="155"/>
    </w:p>
    <w:p>
      <w:pPr>
        <w:spacing w:line="360" w:lineRule="auto"/>
        <w:ind w:firstLine="420" w:firstLineChars="200"/>
        <w:rPr>
          <w:color w:val="auto"/>
          <w:highlight w:val="none"/>
        </w:rPr>
      </w:pPr>
      <w:r>
        <w:rPr>
          <w:rFonts w:hint="eastAsia"/>
          <w:color w:val="auto"/>
          <w:highlight w:val="none"/>
        </w:rPr>
        <w:t xml:space="preserve">1.委托服务期间自 </w:t>
      </w:r>
      <w:r>
        <w:rPr>
          <w:rFonts w:hint="eastAsia"/>
          <w:color w:val="auto"/>
          <w:highlight w:val="none"/>
        </w:rPr>
        <w:tab/>
      </w:r>
      <w:r>
        <w:rPr>
          <w:rFonts w:hint="eastAsia"/>
          <w:color w:val="auto"/>
          <w:highlight w:val="none"/>
        </w:rPr>
        <w:t xml:space="preserve">年 </w:t>
      </w:r>
      <w:r>
        <w:rPr>
          <w:rFonts w:hint="eastAsia"/>
          <w:color w:val="auto"/>
          <w:highlight w:val="none"/>
        </w:rPr>
        <w:tab/>
      </w:r>
      <w:r>
        <w:rPr>
          <w:rFonts w:hint="eastAsia"/>
          <w:color w:val="auto"/>
          <w:highlight w:val="none"/>
        </w:rPr>
        <w:t xml:space="preserve">月至     年 </w:t>
      </w:r>
      <w:r>
        <w:rPr>
          <w:rFonts w:hint="eastAsia"/>
          <w:color w:val="auto"/>
          <w:highlight w:val="none"/>
        </w:rPr>
        <w:tab/>
      </w:r>
      <w:r>
        <w:rPr>
          <w:rFonts w:hint="eastAsia"/>
          <w:color w:val="auto"/>
          <w:highlight w:val="none"/>
        </w:rPr>
        <w:t>止。</w:t>
      </w:r>
    </w:p>
    <w:p>
      <w:pPr>
        <w:spacing w:line="360" w:lineRule="auto"/>
        <w:outlineLvl w:val="1"/>
        <w:rPr>
          <w:b/>
          <w:bCs/>
          <w:color w:val="auto"/>
          <w:highlight w:val="none"/>
        </w:rPr>
      </w:pPr>
      <w:bookmarkStart w:id="156" w:name="_Toc1315"/>
      <w:r>
        <w:rPr>
          <w:rFonts w:hint="eastAsia"/>
          <w:b/>
          <w:bCs/>
          <w:color w:val="auto"/>
          <w:highlight w:val="none"/>
        </w:rPr>
        <w:t>五、付款方式</w:t>
      </w:r>
      <w:bookmarkEnd w:id="156"/>
    </w:p>
    <w:p>
      <w:pPr>
        <w:spacing w:line="360" w:lineRule="auto"/>
        <w:ind w:firstLine="420" w:firstLineChars="200"/>
        <w:rPr>
          <w:color w:val="auto"/>
          <w:highlight w:val="none"/>
        </w:rPr>
      </w:pPr>
      <w:r>
        <w:rPr>
          <w:rFonts w:hint="eastAsia"/>
          <w:color w:val="auto"/>
          <w:highlight w:val="none"/>
        </w:rPr>
        <w:t>1.</w:t>
      </w:r>
      <w:r>
        <w:rPr>
          <w:rFonts w:hint="eastAsia" w:ascii="宋体" w:hAnsi="宋体"/>
          <w:color w:val="auto"/>
          <w:szCs w:val="21"/>
          <w:highlight w:val="none"/>
        </w:rPr>
        <w:t>本合同的付款方式为：</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color w:val="auto"/>
          <w:highlight w:val="none"/>
        </w:rPr>
      </w:pPr>
      <w:r>
        <w:rPr>
          <w:rFonts w:hint="eastAsia"/>
          <w:color w:val="auto"/>
          <w:highlight w:val="none"/>
        </w:rPr>
        <w:t>2.</w:t>
      </w:r>
      <w:r>
        <w:rPr>
          <w:rFonts w:hint="eastAsia" w:ascii="宋体" w:hAnsi="宋体"/>
          <w:color w:val="auto"/>
          <w:szCs w:val="21"/>
          <w:highlight w:val="none"/>
        </w:rPr>
        <w:t>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pPr>
        <w:spacing w:line="360" w:lineRule="auto"/>
        <w:outlineLvl w:val="1"/>
        <w:rPr>
          <w:b/>
          <w:bCs/>
          <w:color w:val="auto"/>
          <w:highlight w:val="none"/>
        </w:rPr>
      </w:pPr>
      <w:bookmarkStart w:id="157" w:name="_Toc29016"/>
      <w:r>
        <w:rPr>
          <w:rFonts w:hint="eastAsia"/>
          <w:b/>
          <w:bCs/>
          <w:color w:val="auto"/>
          <w:highlight w:val="none"/>
        </w:rPr>
        <w:t>六、知识产权归属</w:t>
      </w:r>
      <w:bookmarkEnd w:id="157"/>
    </w:p>
    <w:p>
      <w:pPr>
        <w:spacing w:line="360" w:lineRule="auto"/>
        <w:outlineLvl w:val="1"/>
        <w:rPr>
          <w:b/>
          <w:bCs/>
          <w:color w:val="auto"/>
          <w:highlight w:val="none"/>
        </w:rPr>
      </w:pPr>
      <w:bookmarkStart w:id="158" w:name="_Toc491"/>
      <w:r>
        <w:rPr>
          <w:rFonts w:hint="eastAsia"/>
          <w:b/>
          <w:bCs/>
          <w:color w:val="auto"/>
          <w:highlight w:val="none"/>
        </w:rPr>
        <w:t>七、保密</w:t>
      </w:r>
      <w:bookmarkEnd w:id="158"/>
    </w:p>
    <w:p>
      <w:pPr>
        <w:spacing w:line="360" w:lineRule="auto"/>
        <w:outlineLvl w:val="1"/>
        <w:rPr>
          <w:b/>
          <w:bCs/>
          <w:color w:val="auto"/>
          <w:highlight w:val="none"/>
        </w:rPr>
      </w:pPr>
      <w:bookmarkStart w:id="159" w:name="_Toc5642"/>
      <w:r>
        <w:rPr>
          <w:rFonts w:hint="eastAsia"/>
          <w:b/>
          <w:bCs/>
          <w:color w:val="auto"/>
          <w:highlight w:val="none"/>
        </w:rPr>
        <w:t>八、违约责任与赔偿损失</w:t>
      </w:r>
      <w:bookmarkEnd w:id="159"/>
    </w:p>
    <w:p>
      <w:pPr>
        <w:spacing w:line="360" w:lineRule="auto"/>
        <w:ind w:firstLine="420" w:firstLineChars="200"/>
        <w:rPr>
          <w:color w:val="auto"/>
          <w:highlight w:val="none"/>
        </w:rPr>
      </w:pPr>
      <w:r>
        <w:rPr>
          <w:rFonts w:hint="eastAsia"/>
          <w:color w:val="auto"/>
          <w:highlight w:val="none"/>
        </w:rPr>
        <w:t>1.乙方提供的服务不符合本合同规定的，甲方有权拒收，并且乙方须向甲方支付本合同总价5%的违约金乙方未能按本合同规定的交货时间提供服务，从逾期之日起每日按本合同总价3‰的数额向甲方支付违约金；逾期半个月以上的，甲方有权终止合同，由此造成的甲方经济损失由乙方承担。</w:t>
      </w:r>
    </w:p>
    <w:p>
      <w:pPr>
        <w:spacing w:line="360" w:lineRule="auto"/>
        <w:ind w:firstLine="420" w:firstLineChars="200"/>
        <w:rPr>
          <w:color w:val="auto"/>
          <w:highlight w:val="none"/>
        </w:rPr>
      </w:pPr>
      <w:r>
        <w:rPr>
          <w:rFonts w:hint="eastAsia"/>
          <w:color w:val="auto"/>
          <w:highlight w:val="none"/>
        </w:rPr>
        <w:t>2.甲方无正当理由拒收接受服务，到期拒付服务款项的，甲方向乙方偿付本合同总的5%的违约金。</w:t>
      </w:r>
    </w:p>
    <w:p>
      <w:pPr>
        <w:spacing w:line="360" w:lineRule="auto"/>
        <w:ind w:firstLine="420" w:firstLineChars="200"/>
        <w:rPr>
          <w:color w:val="auto"/>
          <w:highlight w:val="none"/>
        </w:rPr>
      </w:pPr>
      <w:r>
        <w:rPr>
          <w:rFonts w:hint="eastAsia"/>
          <w:color w:val="auto"/>
          <w:highlight w:val="none"/>
        </w:rPr>
        <w:t>3.对于因甲方原因导致变更、中止或者终止政府采购合同的，甲方应当依照以下合同约定对供应商受到的损失予以赔偿或者补偿：</w:t>
      </w:r>
    </w:p>
    <w:p>
      <w:pPr>
        <w:spacing w:line="360" w:lineRule="auto"/>
        <w:ind w:firstLine="420" w:firstLineChars="200"/>
        <w:rPr>
          <w:color w:val="auto"/>
          <w:highlight w:val="none"/>
        </w:rPr>
      </w:pPr>
      <w:r>
        <w:rPr>
          <w:rFonts w:hint="eastAsia"/>
          <w:color w:val="auto"/>
          <w:highlight w:val="none"/>
        </w:rPr>
        <w:t>4.其它违约责任按《中华人民共和国民法典(合同编)》处理</w:t>
      </w:r>
    </w:p>
    <w:p>
      <w:pPr>
        <w:spacing w:line="360" w:lineRule="auto"/>
        <w:outlineLvl w:val="1"/>
        <w:rPr>
          <w:b/>
          <w:bCs/>
          <w:color w:val="auto"/>
          <w:highlight w:val="none"/>
        </w:rPr>
      </w:pPr>
      <w:bookmarkStart w:id="160" w:name="_Toc30679"/>
      <w:r>
        <w:rPr>
          <w:rFonts w:hint="eastAsia"/>
          <w:b/>
          <w:bCs/>
          <w:color w:val="auto"/>
          <w:highlight w:val="none"/>
        </w:rPr>
        <w:t>九、争议的解决</w:t>
      </w:r>
      <w:bookmarkEnd w:id="160"/>
    </w:p>
    <w:p>
      <w:pPr>
        <w:spacing w:line="360" w:lineRule="auto"/>
        <w:ind w:firstLine="420" w:firstLineChars="200"/>
        <w:rPr>
          <w:color w:val="auto"/>
          <w:highlight w:val="none"/>
        </w:rPr>
      </w:pPr>
      <w:r>
        <w:rPr>
          <w:rFonts w:hint="eastAsia"/>
          <w:color w:val="auto"/>
          <w:highlight w:val="none"/>
        </w:rPr>
        <w:t>合同执行过程中发生的任何争议，如双方不能通过友好协商解决，按相关法律法规处理。</w:t>
      </w:r>
    </w:p>
    <w:p>
      <w:pPr>
        <w:spacing w:line="360" w:lineRule="auto"/>
        <w:outlineLvl w:val="1"/>
        <w:rPr>
          <w:b/>
          <w:bCs/>
          <w:color w:val="auto"/>
          <w:highlight w:val="none"/>
        </w:rPr>
      </w:pPr>
      <w:bookmarkStart w:id="161" w:name="_Toc26856"/>
      <w:r>
        <w:rPr>
          <w:rFonts w:hint="eastAsia"/>
          <w:b/>
          <w:bCs/>
          <w:color w:val="auto"/>
          <w:highlight w:val="none"/>
        </w:rPr>
        <w:t>十、不可抗力</w:t>
      </w:r>
      <w:bookmarkEnd w:id="161"/>
    </w:p>
    <w:p>
      <w:pPr>
        <w:spacing w:line="360" w:lineRule="auto"/>
        <w:ind w:firstLine="420" w:firstLineChars="200"/>
        <w:rPr>
          <w:color w:val="auto"/>
          <w:highlight w:val="none"/>
        </w:rPr>
      </w:pPr>
      <w:r>
        <w:rPr>
          <w:rFonts w:hint="eastAsia"/>
          <w:color w:val="auto"/>
          <w:highlight w:val="none"/>
        </w:rPr>
        <w:t>任何一方由于不可抗力原因不能履行合同时，应在不可抗力事件结束后1日内向对方通报，以减轻可能  给对方造成的损失，在取得有关机构的不可抗力证明或双方谅解确认后，允许延期履行或修订合同，并根据情况可部分或全部免于承担违约责任。</w:t>
      </w:r>
    </w:p>
    <w:p>
      <w:pPr>
        <w:spacing w:line="360" w:lineRule="auto"/>
        <w:outlineLvl w:val="1"/>
        <w:rPr>
          <w:b/>
          <w:bCs/>
          <w:color w:val="auto"/>
          <w:highlight w:val="none"/>
        </w:rPr>
      </w:pPr>
      <w:bookmarkStart w:id="162" w:name="_Toc16247"/>
      <w:r>
        <w:rPr>
          <w:rFonts w:hint="eastAsia"/>
          <w:b/>
          <w:bCs/>
          <w:color w:val="auto"/>
          <w:highlight w:val="none"/>
        </w:rPr>
        <w:t>十一、税费</w:t>
      </w:r>
      <w:bookmarkEnd w:id="162"/>
    </w:p>
    <w:p>
      <w:pPr>
        <w:spacing w:line="360" w:lineRule="auto"/>
        <w:ind w:firstLine="420" w:firstLineChars="200"/>
        <w:rPr>
          <w:color w:val="auto"/>
          <w:highlight w:val="none"/>
        </w:rPr>
      </w:pPr>
      <w:r>
        <w:rPr>
          <w:rFonts w:hint="eastAsia"/>
          <w:color w:val="auto"/>
          <w:highlight w:val="none"/>
        </w:rPr>
        <w:t>在中国境内、外发生的与本合同执行有关的一切税费均由乙方负担。</w:t>
      </w:r>
    </w:p>
    <w:p>
      <w:pPr>
        <w:spacing w:line="360" w:lineRule="auto"/>
        <w:outlineLvl w:val="1"/>
        <w:rPr>
          <w:b/>
          <w:bCs/>
          <w:color w:val="auto"/>
          <w:highlight w:val="none"/>
        </w:rPr>
      </w:pPr>
      <w:bookmarkStart w:id="163" w:name="_Toc14065"/>
      <w:r>
        <w:rPr>
          <w:rFonts w:hint="eastAsia"/>
          <w:b/>
          <w:bCs/>
          <w:color w:val="auto"/>
          <w:highlight w:val="none"/>
        </w:rPr>
        <w:t>十二、其它</w:t>
      </w:r>
      <w:bookmarkEnd w:id="163"/>
    </w:p>
    <w:p>
      <w:pPr>
        <w:spacing w:line="360" w:lineRule="auto"/>
        <w:ind w:firstLine="420" w:firstLineChars="200"/>
        <w:rPr>
          <w:color w:val="auto"/>
          <w:highlight w:val="none"/>
        </w:rPr>
      </w:pPr>
      <w:r>
        <w:rPr>
          <w:rFonts w:hint="eastAsia"/>
          <w:color w:val="auto"/>
          <w:highlight w:val="none"/>
        </w:rPr>
        <w:t>1.本合同所有附件、招标文件、投标文件、中标通知书均为合同的有效组成部分，与本合同具有同等法 律效力。</w:t>
      </w:r>
    </w:p>
    <w:p>
      <w:pPr>
        <w:spacing w:line="360" w:lineRule="auto"/>
        <w:ind w:firstLine="420" w:firstLineChars="200"/>
        <w:rPr>
          <w:color w:val="auto"/>
          <w:highlight w:val="none"/>
        </w:rPr>
      </w:pPr>
      <w:r>
        <w:rPr>
          <w:rFonts w:hint="eastAsia"/>
          <w:color w:val="auto"/>
          <w:highlight w:val="none"/>
        </w:rPr>
        <w:t>2.在执行本合同的过程中，所有经双方签署确认的文件（包括会议纪要、补充协议、往来信函）即成为 本合同的有效组成部分。</w:t>
      </w:r>
    </w:p>
    <w:p>
      <w:pPr>
        <w:spacing w:line="360" w:lineRule="auto"/>
        <w:ind w:firstLine="420" w:firstLineChars="200"/>
        <w:rPr>
          <w:color w:val="auto"/>
          <w:highlight w:val="none"/>
        </w:rPr>
      </w:pPr>
      <w:r>
        <w:rPr>
          <w:rFonts w:hint="eastAsia"/>
          <w:color w:val="auto"/>
          <w:highlight w:val="none"/>
        </w:rPr>
        <w:t>3.如一方地址、电话、传真号码有变更，应在变更当日内书面通知对方，否则，应承担相应责任。</w:t>
      </w:r>
    </w:p>
    <w:p>
      <w:pPr>
        <w:spacing w:line="360" w:lineRule="auto"/>
        <w:ind w:firstLine="420" w:firstLineChars="200"/>
        <w:rPr>
          <w:color w:val="auto"/>
          <w:highlight w:val="none"/>
        </w:rPr>
      </w:pPr>
      <w:r>
        <w:rPr>
          <w:rFonts w:hint="eastAsia"/>
          <w:color w:val="auto"/>
          <w:highlight w:val="none"/>
        </w:rPr>
        <w:t xml:space="preserve">4.除甲方事先书面同意外，乙方不得部分或全部转让其应履行的合同项下的义务。 </w:t>
      </w:r>
    </w:p>
    <w:p>
      <w:pPr>
        <w:spacing w:line="360" w:lineRule="auto"/>
        <w:outlineLvl w:val="1"/>
        <w:rPr>
          <w:b/>
          <w:bCs/>
          <w:color w:val="auto"/>
          <w:highlight w:val="none"/>
        </w:rPr>
      </w:pPr>
      <w:bookmarkStart w:id="164" w:name="_Toc13763"/>
      <w:r>
        <w:rPr>
          <w:rFonts w:hint="eastAsia"/>
          <w:b/>
          <w:bCs/>
          <w:color w:val="auto"/>
          <w:highlight w:val="none"/>
        </w:rPr>
        <w:t>十三、合同生效</w:t>
      </w:r>
      <w:bookmarkEnd w:id="164"/>
    </w:p>
    <w:p>
      <w:pPr>
        <w:spacing w:line="360" w:lineRule="auto"/>
        <w:ind w:firstLine="420" w:firstLineChars="200"/>
        <w:rPr>
          <w:color w:val="auto"/>
          <w:highlight w:val="none"/>
        </w:rPr>
      </w:pPr>
      <w:r>
        <w:rPr>
          <w:rFonts w:hint="eastAsia"/>
          <w:color w:val="auto"/>
          <w:highlight w:val="none"/>
        </w:rPr>
        <w:t>本合同在甲乙双方法人代表或其授权代表签字盖章后生效。</w:t>
      </w:r>
    </w:p>
    <w:p>
      <w:pPr>
        <w:spacing w:line="360" w:lineRule="auto"/>
        <w:ind w:firstLine="420" w:firstLineChars="200"/>
        <w:rPr>
          <w:color w:val="auto"/>
          <w:highlight w:val="none"/>
        </w:rPr>
      </w:pPr>
      <w:r>
        <w:rPr>
          <w:rFonts w:hint="eastAsia"/>
          <w:color w:val="auto"/>
          <w:highlight w:val="none"/>
        </w:rPr>
        <w:t>合同一式    份。</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r>
        <w:rPr>
          <w:rFonts w:hint="eastAsia"/>
          <w:color w:val="auto"/>
          <w:highlight w:val="none"/>
        </w:rPr>
        <w:t>甲方（盖章）：</w:t>
      </w:r>
      <w:r>
        <w:rPr>
          <w:rFonts w:hint="eastAsia"/>
          <w:color w:val="auto"/>
          <w:highlight w:val="none"/>
        </w:rPr>
        <w:tab/>
      </w:r>
      <w:r>
        <w:rPr>
          <w:rFonts w:hint="eastAsia"/>
          <w:color w:val="auto"/>
          <w:highlight w:val="none"/>
        </w:rPr>
        <w:tab/>
      </w:r>
      <w:r>
        <w:rPr>
          <w:rFonts w:hint="eastAsia"/>
          <w:color w:val="auto"/>
          <w:highlight w:val="none"/>
        </w:rPr>
        <w:t xml:space="preserve">                                      乙方（盖章）： </w:t>
      </w:r>
    </w:p>
    <w:p>
      <w:pPr>
        <w:spacing w:line="360" w:lineRule="auto"/>
        <w:rPr>
          <w:color w:val="auto"/>
          <w:highlight w:val="none"/>
        </w:rPr>
      </w:pPr>
      <w:r>
        <w:rPr>
          <w:rFonts w:hint="eastAsia"/>
          <w:color w:val="auto"/>
          <w:highlight w:val="none"/>
        </w:rPr>
        <w:t>代表：</w:t>
      </w:r>
      <w:r>
        <w:rPr>
          <w:rFonts w:hint="eastAsia"/>
          <w:color w:val="auto"/>
          <w:highlight w:val="none"/>
        </w:rPr>
        <w:tab/>
      </w:r>
      <w:r>
        <w:rPr>
          <w:rFonts w:hint="eastAsia"/>
          <w:color w:val="auto"/>
          <w:highlight w:val="none"/>
        </w:rPr>
        <w:t xml:space="preserve">                                                  代表：</w:t>
      </w:r>
    </w:p>
    <w:p>
      <w:pPr>
        <w:spacing w:line="360" w:lineRule="auto"/>
        <w:rPr>
          <w:color w:val="auto"/>
          <w:highlight w:val="none"/>
        </w:rPr>
      </w:pPr>
    </w:p>
    <w:p>
      <w:pPr>
        <w:spacing w:line="360" w:lineRule="auto"/>
        <w:rPr>
          <w:color w:val="auto"/>
          <w:highlight w:val="none"/>
        </w:rPr>
      </w:pPr>
      <w:r>
        <w:rPr>
          <w:rFonts w:hint="eastAsia"/>
          <w:color w:val="auto"/>
          <w:highlight w:val="none"/>
        </w:rPr>
        <w:t>签定地点：</w:t>
      </w:r>
    </w:p>
    <w:p>
      <w:pPr>
        <w:spacing w:line="360" w:lineRule="auto"/>
        <w:rPr>
          <w:color w:val="auto"/>
          <w:highlight w:val="none"/>
        </w:rPr>
      </w:pPr>
      <w:r>
        <w:rPr>
          <w:rFonts w:hint="eastAsia"/>
          <w:color w:val="auto"/>
          <w:highlight w:val="none"/>
        </w:rPr>
        <w:t>签定日期：</w:t>
      </w:r>
    </w:p>
    <w:p>
      <w:pPr>
        <w:spacing w:line="360" w:lineRule="auto"/>
        <w:rPr>
          <w:color w:val="auto"/>
          <w:highlight w:val="none"/>
        </w:rPr>
      </w:pPr>
      <w:r>
        <w:rPr>
          <w:rFonts w:hint="eastAsia"/>
          <w:color w:val="auto"/>
          <w:highlight w:val="none"/>
        </w:rPr>
        <w:t>开户名称：</w:t>
      </w:r>
    </w:p>
    <w:p>
      <w:pPr>
        <w:spacing w:line="360" w:lineRule="auto"/>
        <w:rPr>
          <w:color w:val="auto"/>
          <w:highlight w:val="none"/>
        </w:rPr>
      </w:pPr>
      <w:r>
        <w:rPr>
          <w:rFonts w:hint="eastAsia"/>
          <w:color w:val="auto"/>
          <w:highlight w:val="none"/>
        </w:rPr>
        <w:t xml:space="preserve">银行帐号： </w:t>
      </w:r>
    </w:p>
    <w:p>
      <w:pPr>
        <w:spacing w:line="360" w:lineRule="auto"/>
        <w:rPr>
          <w:color w:val="auto"/>
          <w:highlight w:val="none"/>
        </w:rPr>
      </w:pPr>
      <w:r>
        <w:rPr>
          <w:rFonts w:hint="eastAsia"/>
          <w:color w:val="auto"/>
          <w:highlight w:val="none"/>
        </w:rPr>
        <w:t>开 户 行：</w:t>
      </w:r>
    </w:p>
    <w:p>
      <w:pPr>
        <w:rPr>
          <w:color w:val="auto"/>
          <w:highlight w:val="none"/>
        </w:rPr>
      </w:pPr>
      <w:r>
        <w:rPr>
          <w:rFonts w:hint="eastAsia"/>
          <w:color w:val="auto"/>
          <w:highlight w:val="none"/>
        </w:rPr>
        <w:br w:type="page"/>
      </w:r>
    </w:p>
    <w:p>
      <w:pPr>
        <w:pStyle w:val="3"/>
        <w:rPr>
          <w:color w:val="auto"/>
          <w:highlight w:val="none"/>
        </w:rPr>
      </w:pPr>
      <w:bookmarkStart w:id="165" w:name="_Toc17794"/>
      <w:r>
        <w:rPr>
          <w:rFonts w:hint="eastAsia"/>
          <w:color w:val="auto"/>
          <w:highlight w:val="none"/>
        </w:rPr>
        <w:t>第六篇 投标文件格式</w:t>
      </w:r>
      <w:bookmarkEnd w:id="165"/>
    </w:p>
    <w:p>
      <w:pPr>
        <w:rPr>
          <w:b/>
          <w:bCs/>
          <w:color w:val="auto"/>
          <w:highlight w:val="none"/>
        </w:rPr>
      </w:pPr>
      <w:r>
        <w:rPr>
          <w:rFonts w:hint="eastAsia"/>
          <w:b/>
          <w:bCs/>
          <w:color w:val="auto"/>
          <w:highlight w:val="none"/>
        </w:rPr>
        <w:t>注意事项：</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投标人应提交证明其有资格参加投标和中标后有能力履行合同的相关文件，并作为其投标文件的一部分，所有文件必须真实可靠、不得伪造，否则将按相关规定予以处罚。</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1.法人或者其他组织的营业执照等证明文件，自然人的身份证明：</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4.财务状况报告，依法缴纳税收和社会保障资金的相关材料</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5.具有</w:t>
      </w:r>
      <w:r>
        <w:rPr>
          <w:rFonts w:hint="eastAsia"/>
          <w:color w:val="auto"/>
          <w:sz w:val="20"/>
          <w:szCs w:val="20"/>
          <w:highlight w:val="none"/>
          <w:lang w:val="en-US" w:eastAsia="zh-CN"/>
        </w:rPr>
        <w:t>履行合同所必需的</w:t>
      </w:r>
      <w:r>
        <w:rPr>
          <w:rFonts w:hint="eastAsia"/>
          <w:color w:val="auto"/>
          <w:sz w:val="20"/>
          <w:szCs w:val="20"/>
          <w:highlight w:val="none"/>
          <w:lang w:val="en-US"/>
        </w:rPr>
        <w:t>设备和专业技术能力的声明。</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6.投标人参加政府采购前三年内在经营活动中没有重大违法记录书面声明函。</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7.信用记录查询</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（1）查询渠道：通过“信用中国”网站(www.creditchina.gov.cn)和“中国政府采购网”（</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rFonts w:hint="eastAsia"/>
          <w:color w:val="auto"/>
          <w:sz w:val="20"/>
          <w:szCs w:val="20"/>
          <w:highlight w:val="none"/>
          <w:lang w:val="en-US"/>
        </w:rPr>
        <w:t>www.ccgp.gov.cn</w:t>
      </w:r>
      <w:r>
        <w:rPr>
          <w:rFonts w:hint="eastAsia"/>
          <w:color w:val="auto"/>
          <w:sz w:val="20"/>
          <w:szCs w:val="20"/>
          <w:highlight w:val="none"/>
          <w:lang w:val="en-US"/>
        </w:rPr>
        <w:fldChar w:fldCharType="end"/>
      </w:r>
      <w:r>
        <w:rPr>
          <w:rFonts w:hint="eastAsia"/>
          <w:color w:val="auto"/>
          <w:sz w:val="20"/>
          <w:szCs w:val="20"/>
          <w:highlight w:val="none"/>
          <w:lang w:val="en-US"/>
        </w:rPr>
        <w:t>）进行查询；</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（2）查询截止时点：提交投标文件截止日当天；</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（3）查询记录：对列入失信被执行人、</w:t>
      </w:r>
      <w:r>
        <w:rPr>
          <w:rFonts w:hint="eastAsia"/>
          <w:color w:val="auto"/>
          <w:sz w:val="20"/>
          <w:szCs w:val="20"/>
          <w:highlight w:val="none"/>
          <w:lang w:val="en-US" w:eastAsia="zh-CN"/>
        </w:rPr>
        <w:t>税收违法黑名单</w:t>
      </w:r>
      <w:r>
        <w:rPr>
          <w:rFonts w:hint="eastAsia"/>
          <w:color w:val="auto"/>
          <w:sz w:val="20"/>
          <w:szCs w:val="20"/>
          <w:highlight w:val="none"/>
          <w:lang w:val="en-US"/>
        </w:rPr>
        <w:t>、政府采购严重违法失信行为记录名单、信用报告进行查询；</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（4）招标人或招标代理机构应当按照查询渠道、查询时间节点、查询记录内容进行查询，并存档。对信用记录查询结果中显示投标人被列入失信被执行人、</w:t>
      </w:r>
      <w:r>
        <w:rPr>
          <w:rFonts w:hint="eastAsia"/>
          <w:color w:val="auto"/>
          <w:sz w:val="20"/>
          <w:szCs w:val="20"/>
          <w:highlight w:val="none"/>
          <w:lang w:val="en-US" w:eastAsia="zh-CN"/>
        </w:rPr>
        <w:t>税收违法黑名单</w:t>
      </w:r>
      <w:r>
        <w:rPr>
          <w:rFonts w:hint="eastAsia"/>
          <w:color w:val="auto"/>
          <w:sz w:val="20"/>
          <w:szCs w:val="20"/>
          <w:highlight w:val="none"/>
          <w:lang w:val="en-US"/>
        </w:rPr>
        <w:t>、政府采购严重违法失信行为记录名单的投标人作无效投标处理。</w:t>
      </w:r>
    </w:p>
    <w:p>
      <w:pPr>
        <w:pStyle w:val="2"/>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8.按照招标文件要求，投标人应当提交的资格、资信证明文件。</w:t>
      </w:r>
    </w:p>
    <w:p>
      <w:pPr>
        <w:jc w:val="center"/>
        <w:outlineLvl w:val="1"/>
        <w:rPr>
          <w:b/>
          <w:bCs/>
          <w:color w:val="auto"/>
          <w:highlight w:val="none"/>
        </w:rPr>
      </w:pPr>
      <w:bookmarkStart w:id="166" w:name="_Toc32213"/>
      <w:r>
        <w:rPr>
          <w:rFonts w:hint="eastAsia"/>
          <w:b/>
          <w:bCs/>
          <w:color w:val="auto"/>
          <w:highlight w:val="none"/>
        </w:rPr>
        <w:t>（封面格式仅供参考）</w:t>
      </w:r>
      <w:bookmarkEnd w:id="166"/>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outlineLvl w:val="2"/>
        <w:rPr>
          <w:rFonts w:ascii="宋体" w:hAnsi="宋体" w:cs="宋体"/>
          <w:b/>
          <w:color w:val="auto"/>
          <w:kern w:val="0"/>
          <w:sz w:val="38"/>
          <w:szCs w:val="38"/>
          <w:highlight w:val="none"/>
          <w:lang w:val="zh-CN" w:bidi="zh-CN"/>
        </w:rPr>
      </w:pPr>
      <w:bookmarkStart w:id="167" w:name="_Toc14748"/>
      <w:r>
        <w:rPr>
          <w:rFonts w:ascii="宋体" w:hAnsi="宋体" w:cs="宋体"/>
          <w:b/>
          <w:color w:val="auto"/>
          <w:spacing w:val="10"/>
          <w:kern w:val="0"/>
          <w:sz w:val="38"/>
          <w:szCs w:val="38"/>
          <w:highlight w:val="none"/>
          <w:lang w:val="zh-CN" w:bidi="zh-CN"/>
        </w:rPr>
        <w:t>投标文件封面</w:t>
      </w:r>
      <w:bookmarkEnd w:id="167"/>
    </w:p>
    <w:p>
      <w:pPr>
        <w:autoSpaceDE w:val="0"/>
        <w:autoSpaceDN w:val="0"/>
        <w:spacing w:before="11"/>
        <w:jc w:val="center"/>
        <w:rPr>
          <w:rFonts w:ascii="宋体" w:hAnsi="宋体" w:cs="宋体"/>
          <w:b/>
          <w:color w:val="auto"/>
          <w:sz w:val="46"/>
          <w:szCs w:val="19"/>
          <w:highlight w:val="none"/>
          <w:lang w:val="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168" w:name="_Toc17848"/>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ascii="宋体" w:hAnsi="宋体" w:cs="宋体"/>
          <w:b/>
          <w:color w:val="auto"/>
          <w:spacing w:val="7"/>
          <w:kern w:val="0"/>
          <w:sz w:val="38"/>
          <w:szCs w:val="22"/>
          <w:highlight w:val="none"/>
          <w:lang w:val="zh-CN" w:bidi="zh-CN"/>
        </w:rPr>
        <w:t>投标文件封面</w:t>
      </w:r>
      <w:bookmarkEnd w:id="168"/>
    </w:p>
    <w:p>
      <w:pPr>
        <w:autoSpaceDE w:val="0"/>
        <w:autoSpaceDN w:val="0"/>
        <w:spacing w:line="479" w:lineRule="exact"/>
        <w:jc w:val="center"/>
        <w:rPr>
          <w:rFonts w:ascii="宋体" w:hAnsi="宋体" w:cs="宋体"/>
          <w:b/>
          <w:bCs/>
          <w:color w:val="auto"/>
          <w:sz w:val="24"/>
          <w:highlight w:val="none"/>
          <w:lang w:val="zh-CN" w:bidi="zh-CN"/>
        </w:rPr>
      </w:pPr>
      <w:r>
        <w:rPr>
          <w:rFonts w:ascii="宋体" w:hAnsi="宋体" w:cs="宋体"/>
          <w:b/>
          <w:bCs/>
          <w:color w:val="auto"/>
          <w:sz w:val="24"/>
          <w:highlight w:val="none"/>
          <w:lang w:val="zh-CN" w:bidi="zh-CN"/>
        </w:rPr>
        <w:t>（正本</w:t>
      </w:r>
      <w:r>
        <w:rPr>
          <w:rFonts w:hint="eastAsia" w:ascii="思源黑体 CN Heavy" w:hAnsi="宋体" w:eastAsia="思源黑体 CN Heavy" w:cs="宋体"/>
          <w:b/>
          <w:bCs/>
          <w:color w:val="auto"/>
          <w:sz w:val="24"/>
          <w:highlight w:val="none"/>
          <w:lang w:val="zh-CN" w:bidi="zh-CN"/>
        </w:rPr>
        <w:t>/</w:t>
      </w:r>
      <w:r>
        <w:rPr>
          <w:rFonts w:ascii="宋体" w:hAnsi="宋体" w:cs="宋体"/>
          <w:b/>
          <w:bCs/>
          <w:color w:val="auto"/>
          <w:sz w:val="24"/>
          <w:highlight w:val="none"/>
          <w:lang w:val="zh-CN" w:bidi="zh-CN"/>
        </w:rPr>
        <w:t>副本）</w:t>
      </w: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spacing w:before="8"/>
        <w:jc w:val="center"/>
        <w:rPr>
          <w:rFonts w:ascii="宋体" w:hAnsi="宋体" w:cs="宋体"/>
          <w:b/>
          <w:color w:val="auto"/>
          <w:sz w:val="38"/>
          <w:szCs w:val="19"/>
          <w:highlight w:val="none"/>
          <w:lang w:val="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 xml:space="preserve">（投标人名称） 年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spacing w:beforeLines="100" w:afterLines="100"/>
        <w:jc w:val="center"/>
        <w:rPr>
          <w:rFonts w:ascii="宋体" w:hAnsi="宋体" w:cs="宋体"/>
          <w:b/>
          <w:color w:val="auto"/>
          <w:spacing w:val="20"/>
          <w:sz w:val="24"/>
          <w:highlight w:val="none"/>
        </w:rPr>
      </w:pPr>
      <w:r>
        <w:rPr>
          <w:rFonts w:hint="eastAsia" w:ascii="宋体" w:hAnsi="宋体" w:cs="宋体"/>
          <w:b/>
          <w:color w:val="auto"/>
          <w:spacing w:val="20"/>
          <w:sz w:val="24"/>
          <w:highlight w:val="none"/>
        </w:rPr>
        <w:t>详细评审索引表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551"/>
        <w:gridCol w:w="338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482" w:type="dxa"/>
            <w:gridSpan w:val="4"/>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项目编号：</w:t>
            </w:r>
            <w:r>
              <w:rPr>
                <w:rFonts w:hint="eastAsia" w:ascii="宋体" w:hAnsi="宋体" w:cs="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商务评审细则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bl>
    <w:p>
      <w:pPr>
        <w:rPr>
          <w:b/>
          <w:color w:val="auto"/>
          <w:sz w:val="24"/>
          <w:highlight w:val="none"/>
        </w:rPr>
      </w:pPr>
      <w:r>
        <w:rPr>
          <w:b/>
          <w:color w:val="auto"/>
          <w:sz w:val="24"/>
          <w:highlight w:val="none"/>
        </w:rPr>
        <w:br w:type="page"/>
      </w:r>
    </w:p>
    <w:p>
      <w:pPr>
        <w:spacing w:before="46"/>
        <w:ind w:left="3125" w:right="3192"/>
        <w:jc w:val="center"/>
        <w:rPr>
          <w:b/>
          <w:color w:val="auto"/>
          <w:sz w:val="24"/>
          <w:highlight w:val="none"/>
        </w:rPr>
      </w:pPr>
      <w:r>
        <w:rPr>
          <w:b/>
          <w:color w:val="auto"/>
          <w:sz w:val="24"/>
          <w:highlight w:val="none"/>
        </w:rPr>
        <w:t>投标文件目录</w:t>
      </w:r>
    </w:p>
    <w:p>
      <w:pPr>
        <w:pStyle w:val="2"/>
        <w:spacing w:before="8"/>
        <w:rPr>
          <w:b/>
          <w:color w:val="auto"/>
          <w:sz w:val="12"/>
          <w:highlight w:val="none"/>
        </w:rPr>
      </w:pPr>
    </w:p>
    <w:p>
      <w:pPr>
        <w:spacing w:line="360" w:lineRule="auto"/>
        <w:rPr>
          <w:color w:val="auto"/>
          <w:highlight w:val="none"/>
        </w:rPr>
      </w:pPr>
      <w:r>
        <w:rPr>
          <w:color w:val="auto"/>
          <w:highlight w:val="none"/>
        </w:rPr>
        <w:t>一、投标函</w:t>
      </w:r>
    </w:p>
    <w:p>
      <w:pPr>
        <w:spacing w:line="360" w:lineRule="auto"/>
        <w:rPr>
          <w:color w:val="auto"/>
          <w:highlight w:val="none"/>
        </w:rPr>
      </w:pPr>
      <w:r>
        <w:rPr>
          <w:color w:val="auto"/>
          <w:highlight w:val="none"/>
        </w:rPr>
        <w:t>二、开标一览表</w:t>
      </w:r>
    </w:p>
    <w:p>
      <w:pPr>
        <w:spacing w:line="360" w:lineRule="auto"/>
        <w:rPr>
          <w:color w:val="auto"/>
          <w:highlight w:val="none"/>
        </w:rPr>
      </w:pPr>
      <w:r>
        <w:rPr>
          <w:color w:val="auto"/>
          <w:highlight w:val="none"/>
        </w:rPr>
        <w:t>三、分项报价表</w:t>
      </w:r>
    </w:p>
    <w:p>
      <w:pPr>
        <w:spacing w:line="360" w:lineRule="auto"/>
        <w:rPr>
          <w:color w:val="auto"/>
          <w:highlight w:val="none"/>
        </w:rPr>
      </w:pPr>
      <w:r>
        <w:rPr>
          <w:color w:val="auto"/>
          <w:highlight w:val="none"/>
        </w:rPr>
        <w:t>四、</w:t>
      </w:r>
      <w:r>
        <w:rPr>
          <w:rFonts w:hint="eastAsia"/>
          <w:color w:val="auto"/>
          <w:highlight w:val="none"/>
        </w:rPr>
        <w:t>法定代表人证明书</w:t>
      </w:r>
      <w:r>
        <w:rPr>
          <w:color w:val="auto"/>
          <w:highlight w:val="none"/>
        </w:rPr>
        <w:t xml:space="preserve"> </w:t>
      </w:r>
    </w:p>
    <w:p>
      <w:pPr>
        <w:spacing w:line="360" w:lineRule="auto"/>
        <w:rPr>
          <w:color w:val="auto"/>
          <w:highlight w:val="none"/>
        </w:rPr>
      </w:pPr>
      <w:r>
        <w:rPr>
          <w:color w:val="auto"/>
          <w:highlight w:val="none"/>
        </w:rPr>
        <w:t>五、</w:t>
      </w:r>
      <w:r>
        <w:rPr>
          <w:rFonts w:hint="eastAsia"/>
          <w:color w:val="auto"/>
          <w:highlight w:val="none"/>
        </w:rPr>
        <w:t>法定代表人授权书</w:t>
      </w:r>
    </w:p>
    <w:p>
      <w:pPr>
        <w:spacing w:line="360" w:lineRule="auto"/>
        <w:rPr>
          <w:color w:val="auto"/>
          <w:highlight w:val="none"/>
        </w:rPr>
      </w:pPr>
      <w:r>
        <w:rPr>
          <w:color w:val="auto"/>
          <w:highlight w:val="none"/>
        </w:rPr>
        <w:t>六、</w:t>
      </w:r>
      <w:r>
        <w:rPr>
          <w:rFonts w:hint="eastAsia"/>
          <w:color w:val="auto"/>
          <w:highlight w:val="none"/>
        </w:rPr>
        <w:t>投标保证金</w:t>
      </w:r>
    </w:p>
    <w:p>
      <w:pPr>
        <w:spacing w:line="360" w:lineRule="auto"/>
        <w:rPr>
          <w:color w:val="auto"/>
          <w:highlight w:val="none"/>
        </w:rPr>
      </w:pPr>
      <w:r>
        <w:rPr>
          <w:color w:val="auto"/>
          <w:highlight w:val="none"/>
        </w:rPr>
        <w:t>七、</w:t>
      </w:r>
      <w:r>
        <w:rPr>
          <w:rFonts w:hint="eastAsia"/>
          <w:color w:val="auto"/>
          <w:highlight w:val="none"/>
        </w:rPr>
        <w:t>提供具有独立承担民事责任的能力的证明材料</w:t>
      </w:r>
    </w:p>
    <w:p>
      <w:pPr>
        <w:spacing w:line="360" w:lineRule="auto"/>
        <w:rPr>
          <w:color w:val="auto"/>
          <w:highlight w:val="none"/>
        </w:rPr>
      </w:pPr>
      <w:r>
        <w:rPr>
          <w:color w:val="auto"/>
          <w:highlight w:val="none"/>
        </w:rPr>
        <w:t>八、</w:t>
      </w:r>
      <w:r>
        <w:rPr>
          <w:rFonts w:hint="eastAsia"/>
          <w:color w:val="auto"/>
          <w:highlight w:val="none"/>
        </w:rPr>
        <w:t>资格性审查要求的其他资质证明文件</w:t>
      </w:r>
    </w:p>
    <w:p>
      <w:pPr>
        <w:spacing w:line="360" w:lineRule="auto"/>
        <w:rPr>
          <w:color w:val="auto"/>
          <w:highlight w:val="none"/>
        </w:rPr>
      </w:pPr>
      <w:r>
        <w:rPr>
          <w:color w:val="auto"/>
          <w:highlight w:val="none"/>
        </w:rPr>
        <w:t>九、</w:t>
      </w:r>
      <w:r>
        <w:rPr>
          <w:rFonts w:hint="eastAsia"/>
          <w:color w:val="auto"/>
          <w:highlight w:val="none"/>
        </w:rPr>
        <w:t>在经营活动中没有重大违法记录的书面声明</w:t>
      </w:r>
    </w:p>
    <w:p>
      <w:pPr>
        <w:spacing w:line="360" w:lineRule="auto"/>
        <w:rPr>
          <w:color w:val="auto"/>
          <w:highlight w:val="none"/>
        </w:rPr>
      </w:pPr>
      <w:r>
        <w:rPr>
          <w:color w:val="auto"/>
          <w:highlight w:val="none"/>
        </w:rPr>
        <w:t>十、</w:t>
      </w:r>
      <w:r>
        <w:rPr>
          <w:rFonts w:hint="eastAsia"/>
          <w:color w:val="auto"/>
          <w:highlight w:val="none"/>
        </w:rPr>
        <w:t>投标人业绩情况表</w:t>
      </w:r>
    </w:p>
    <w:p>
      <w:pPr>
        <w:spacing w:line="360" w:lineRule="auto"/>
        <w:rPr>
          <w:color w:val="auto"/>
          <w:highlight w:val="none"/>
        </w:rPr>
      </w:pPr>
      <w:r>
        <w:rPr>
          <w:color w:val="auto"/>
          <w:highlight w:val="none"/>
        </w:rPr>
        <w:t>十一、</w:t>
      </w:r>
      <w:r>
        <w:rPr>
          <w:rFonts w:hint="eastAsia"/>
          <w:color w:val="auto"/>
          <w:highlight w:val="none"/>
        </w:rPr>
        <w:t>技术要求响应表</w:t>
      </w:r>
    </w:p>
    <w:p>
      <w:pPr>
        <w:spacing w:line="360" w:lineRule="auto"/>
        <w:rPr>
          <w:color w:val="auto"/>
          <w:highlight w:val="none"/>
        </w:rPr>
      </w:pPr>
      <w:r>
        <w:rPr>
          <w:color w:val="auto"/>
          <w:highlight w:val="none"/>
        </w:rPr>
        <w:t>十二、</w:t>
      </w:r>
      <w:r>
        <w:rPr>
          <w:rFonts w:hint="eastAsia"/>
          <w:color w:val="auto"/>
          <w:highlight w:val="none"/>
        </w:rPr>
        <w:t>商务要求响应表</w:t>
      </w:r>
    </w:p>
    <w:p>
      <w:pPr>
        <w:spacing w:line="360" w:lineRule="auto"/>
        <w:rPr>
          <w:color w:val="auto"/>
          <w:highlight w:val="none"/>
        </w:rPr>
      </w:pPr>
      <w:r>
        <w:rPr>
          <w:color w:val="auto"/>
          <w:highlight w:val="none"/>
        </w:rPr>
        <w:t>十三、</w:t>
      </w:r>
      <w:r>
        <w:rPr>
          <w:rFonts w:hint="eastAsia"/>
          <w:color w:val="auto"/>
          <w:highlight w:val="none"/>
        </w:rPr>
        <w:t>履约进度计划表</w:t>
      </w:r>
    </w:p>
    <w:p>
      <w:pPr>
        <w:spacing w:line="360" w:lineRule="auto"/>
        <w:rPr>
          <w:color w:val="auto"/>
          <w:highlight w:val="none"/>
        </w:rPr>
      </w:pPr>
      <w:r>
        <w:rPr>
          <w:color w:val="auto"/>
          <w:highlight w:val="none"/>
        </w:rPr>
        <w:t>十四、</w:t>
      </w:r>
      <w:r>
        <w:rPr>
          <w:rFonts w:hint="eastAsia"/>
          <w:color w:val="auto"/>
          <w:highlight w:val="none"/>
        </w:rPr>
        <w:t>各类证明材料</w:t>
      </w:r>
    </w:p>
    <w:p>
      <w:pPr>
        <w:spacing w:line="360" w:lineRule="auto"/>
        <w:rPr>
          <w:color w:val="auto"/>
          <w:highlight w:val="none"/>
        </w:rPr>
      </w:pPr>
      <w:r>
        <w:rPr>
          <w:color w:val="auto"/>
          <w:highlight w:val="none"/>
        </w:rPr>
        <w:t>十五、</w:t>
      </w:r>
      <w:r>
        <w:rPr>
          <w:rFonts w:hint="eastAsia"/>
          <w:color w:val="auto"/>
          <w:highlight w:val="none"/>
        </w:rPr>
        <w:t>采购代理服务费支付承诺书</w:t>
      </w:r>
    </w:p>
    <w:p>
      <w:pPr>
        <w:spacing w:line="360" w:lineRule="auto"/>
        <w:rPr>
          <w:color w:val="auto"/>
          <w:highlight w:val="none"/>
        </w:rPr>
      </w:pPr>
      <w:r>
        <w:rPr>
          <w:color w:val="auto"/>
          <w:highlight w:val="none"/>
        </w:rPr>
        <w:t>十六、</w:t>
      </w:r>
      <w:r>
        <w:rPr>
          <w:rFonts w:hint="eastAsia"/>
          <w:color w:val="auto"/>
          <w:highlight w:val="none"/>
        </w:rPr>
        <w:t>需要招标人提供的附加条件</w:t>
      </w:r>
    </w:p>
    <w:p>
      <w:pPr>
        <w:rPr>
          <w:b/>
          <w:bCs/>
          <w:color w:val="auto"/>
          <w:sz w:val="24"/>
          <w:szCs w:val="32"/>
          <w:highlight w:val="none"/>
        </w:rPr>
      </w:pPr>
      <w:r>
        <w:rPr>
          <w:b/>
          <w:bCs/>
          <w:color w:val="auto"/>
          <w:sz w:val="24"/>
          <w:szCs w:val="32"/>
          <w:highlight w:val="none"/>
        </w:rPr>
        <w:br w:type="page"/>
      </w:r>
    </w:p>
    <w:p>
      <w:pPr>
        <w:rPr>
          <w:b/>
          <w:bCs/>
          <w:color w:val="auto"/>
          <w:sz w:val="24"/>
          <w:szCs w:val="32"/>
          <w:highlight w:val="none"/>
        </w:rPr>
      </w:pPr>
      <w:r>
        <w:rPr>
          <w:b/>
          <w:bCs/>
          <w:color w:val="auto"/>
          <w:sz w:val="24"/>
          <w:szCs w:val="32"/>
          <w:highlight w:val="none"/>
        </w:rPr>
        <w:t>格式一：</w:t>
      </w:r>
    </w:p>
    <w:p>
      <w:pPr>
        <w:pStyle w:val="2"/>
        <w:jc w:val="center"/>
        <w:rPr>
          <w:b/>
          <w:color w:val="auto"/>
          <w:sz w:val="12"/>
          <w:highlight w:val="none"/>
        </w:rPr>
      </w:pPr>
      <w:r>
        <w:rPr>
          <w:b/>
          <w:color w:val="auto"/>
          <w:highlight w:val="none"/>
        </w:rPr>
        <w:t>投标函</w:t>
      </w:r>
    </w:p>
    <w:p>
      <w:pPr>
        <w:pStyle w:val="2"/>
        <w:autoSpaceDE w:val="0"/>
        <w:autoSpaceDN w:val="0"/>
        <w:spacing w:before="0" w:line="360" w:lineRule="auto"/>
        <w:ind w:left="0"/>
        <w:rPr>
          <w:color w:val="auto"/>
          <w:sz w:val="21"/>
          <w:szCs w:val="21"/>
          <w:highlight w:val="none"/>
          <w:lang w:val="en-US"/>
        </w:rPr>
      </w:pPr>
      <w:r>
        <w:rPr>
          <w:rFonts w:hint="eastAsia"/>
          <w:color w:val="auto"/>
          <w:sz w:val="21"/>
          <w:szCs w:val="21"/>
          <w:highlight w:val="none"/>
        </w:rPr>
        <w:t>致：国顺招标有限公司</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你方组织的</w:t>
      </w:r>
      <w:r>
        <w:rPr>
          <w:rFonts w:hint="eastAsia"/>
          <w:color w:val="auto"/>
          <w:sz w:val="21"/>
          <w:szCs w:val="21"/>
          <w:highlight w:val="none"/>
          <w:u w:val="single"/>
          <w:lang w:val="en-US"/>
        </w:rPr>
        <w:t xml:space="preserve">      </w:t>
      </w:r>
      <w:r>
        <w:rPr>
          <w:rFonts w:hint="eastAsia"/>
          <w:color w:val="auto"/>
          <w:sz w:val="21"/>
          <w:szCs w:val="21"/>
          <w:highlight w:val="none"/>
        </w:rPr>
        <w:t>项目的招标[项目编号为：</w:t>
      </w:r>
      <w:r>
        <w:rPr>
          <w:rFonts w:hint="eastAsia"/>
          <w:color w:val="auto"/>
          <w:sz w:val="21"/>
          <w:szCs w:val="21"/>
          <w:highlight w:val="none"/>
          <w:lang w:val="en-US"/>
        </w:rPr>
        <w:t xml:space="preserve">     </w:t>
      </w:r>
      <w:r>
        <w:rPr>
          <w:rFonts w:hint="eastAsia"/>
          <w:color w:val="auto"/>
          <w:sz w:val="21"/>
          <w:szCs w:val="21"/>
          <w:highlight w:val="none"/>
        </w:rPr>
        <w:t>]，我方愿参与投标。</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我方确认收到贵方提供的</w:t>
      </w:r>
      <w:r>
        <w:rPr>
          <w:rFonts w:hint="eastAsia"/>
          <w:color w:val="auto"/>
          <w:sz w:val="21"/>
          <w:szCs w:val="21"/>
          <w:highlight w:val="none"/>
          <w:u w:val="single"/>
          <w:lang w:val="en-US"/>
        </w:rPr>
        <w:t xml:space="preserve">      </w:t>
      </w:r>
      <w:r>
        <w:rPr>
          <w:rFonts w:hint="eastAsia"/>
          <w:color w:val="auto"/>
          <w:sz w:val="21"/>
          <w:szCs w:val="21"/>
          <w:highlight w:val="none"/>
        </w:rPr>
        <w:t>项目的招标文件的全部内容。</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u w:val="single"/>
        </w:rPr>
        <w:t>(投标人名称)</w:t>
      </w:r>
      <w:r>
        <w:rPr>
          <w:rFonts w:hint="eastAsia"/>
          <w:color w:val="auto"/>
          <w:sz w:val="21"/>
          <w:szCs w:val="21"/>
          <w:highlight w:val="none"/>
        </w:rPr>
        <w:t>作为投标人正式授权</w:t>
      </w:r>
      <w:r>
        <w:rPr>
          <w:rFonts w:hint="eastAsia"/>
          <w:color w:val="auto"/>
          <w:sz w:val="21"/>
          <w:szCs w:val="21"/>
          <w:highlight w:val="none"/>
          <w:u w:val="single"/>
        </w:rPr>
        <w:t>(授权代表全名,职务)</w:t>
      </w:r>
      <w:r>
        <w:rPr>
          <w:rFonts w:hint="eastAsia"/>
          <w:color w:val="auto"/>
          <w:sz w:val="21"/>
          <w:szCs w:val="21"/>
          <w:highlight w:val="none"/>
        </w:rPr>
        <w:t>代表我方全权处理有关本投标的一切事宜。我方已完全明白招标文件的所有条款要求，并申明如下：</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（一）按招标文件提供的全部货物与相关服务的投标总价详见《开标一览表》。</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（三）我方明白并同意，在规定的开标日之后，投标有效期之内撤回投标或中标后不按规定与招标人签订合同或不提交履约保证金</w:t>
      </w:r>
      <w:r>
        <w:rPr>
          <w:rFonts w:hint="eastAsia"/>
          <w:color w:val="auto"/>
          <w:w w:val="95"/>
          <w:sz w:val="21"/>
          <w:szCs w:val="21"/>
          <w:highlight w:val="none"/>
        </w:rPr>
        <w:t>,</w:t>
      </w:r>
      <w:r>
        <w:rPr>
          <w:rFonts w:hint="eastAsia"/>
          <w:color w:val="auto"/>
          <w:sz w:val="21"/>
          <w:szCs w:val="21"/>
          <w:highlight w:val="none"/>
        </w:rPr>
        <w:t>则贵方将不予退还投标保证金。</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（四）我方愿意向贵方提供任何与本项报价有关的数据、情况和技术资料。若贵方需要，我方愿意提供我方作出的一切承诺的证明材料。</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（五）我方理解贵方不一定接受最低投标价或任何贵方可能收到的投标。</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（六）我方如果中标，将保证履行招标文件及其澄清、修改文件（如果有）中的全部责任和义务，按质、按量、按期完成《用户需求书》及合同中的全部任务。</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（七）我方作为法律、财务和运作上独立于招标人、招标代理机构的投标人，在此保证所提交的所有文件和全部说明是真实的和正确的。</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（八）我方投标报价已包含应向知识产权所有权人支付的所有相关税费，并保证招标人在中国使用我方提供的货物时，如有第三方提出侵犯其知识产权主张的，责任由我方承担。</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（九）我方接受招标人委托向贵方支付代理服务费，项目总报价已包含代理服务费，如果被确定为中标供应商，承诺向贵方足额支付。（若招标人支付代理服务费，则此条不适用）</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（十）我方与其他投标人不存在单位负责人为同一人或者存在直接控股、管理关系。</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（十一）我方承诺未为本项目提供整体设计、规范编制或者项目管理、监理、检测等服务。</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（十二）我方未被列入法院失信被执行人名单中。</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（十三）我方具备《中华人民共和国政府采购法》第二十二条规定的条件，承诺如下：</w:t>
      </w:r>
    </w:p>
    <w:p>
      <w:pPr>
        <w:pStyle w:val="20"/>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（1）我方参加本项目政府采购活动前</w:t>
      </w:r>
      <w:r>
        <w:rPr>
          <w:rFonts w:hint="eastAsia" w:ascii="宋体" w:hAnsi="宋体" w:cs="宋体"/>
          <w:color w:val="auto"/>
          <w:spacing w:val="-3"/>
          <w:w w:val="110"/>
          <w:szCs w:val="21"/>
          <w:highlight w:val="none"/>
        </w:rPr>
        <w:t>3</w:t>
      </w:r>
      <w:r>
        <w:rPr>
          <w:rFonts w:hint="eastAsia" w:ascii="宋体" w:hAnsi="宋体" w:cs="宋体"/>
          <w:color w:val="auto"/>
          <w:spacing w:val="-1"/>
          <w:szCs w:val="21"/>
          <w:highlight w:val="none"/>
        </w:rPr>
        <w:t>年内在经营活动中没有以下违法记录，或因违法经营被禁止参加政府采购活动的</w:t>
      </w:r>
      <w:r>
        <w:rPr>
          <w:rFonts w:hint="eastAsia" w:ascii="宋体" w:hAnsi="宋体" w:cs="宋体"/>
          <w:color w:val="auto"/>
          <w:szCs w:val="21"/>
          <w:highlight w:val="none"/>
        </w:rPr>
        <w:t>期限已届满：因违法经营受到刑事处罚或者责令停产停业、吊销许可证或者执照、较大数额罚款等行政处罚。</w:t>
      </w:r>
    </w:p>
    <w:p>
      <w:pPr>
        <w:pStyle w:val="20"/>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（2）我方符合法律、行政法规规定的其他条件。</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以上内容如有虚假或与事实不符的，评标委员会可将我方做无效投标处理，我方愿意承担相应的法律责任。</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（十四）我方对在本函及投标文件中所作的所有承诺承担法律责任。</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（十五）所有与本招标有关的函件请发往下列地址：</w:t>
      </w:r>
    </w:p>
    <w:p>
      <w:pPr>
        <w:pStyle w:val="2"/>
        <w:tabs>
          <w:tab w:val="left" w:pos="2854"/>
          <w:tab w:val="left" w:pos="2899"/>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地</w:t>
      </w:r>
      <w:r>
        <w:rPr>
          <w:rFonts w:hint="eastAsia"/>
          <w:color w:val="auto"/>
          <w:spacing w:val="-34"/>
          <w:sz w:val="21"/>
          <w:szCs w:val="21"/>
          <w:highlight w:val="none"/>
        </w:rPr>
        <w:t xml:space="preserve"> </w:t>
      </w:r>
      <w:r>
        <w:rPr>
          <w:rFonts w:hint="eastAsia"/>
          <w:color w:val="auto"/>
          <w:sz w:val="21"/>
          <w:szCs w:val="21"/>
          <w:highlight w:val="none"/>
        </w:rPr>
        <w:t>址：</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邮政编码：</w:t>
      </w:r>
      <w:r>
        <w:rPr>
          <w:rFonts w:hint="eastAsia"/>
          <w:color w:val="auto"/>
          <w:sz w:val="21"/>
          <w:szCs w:val="21"/>
          <w:highlight w:val="none"/>
          <w:u w:val="single"/>
        </w:rPr>
        <w:t xml:space="preserve">               </w:t>
      </w:r>
      <w:r>
        <w:rPr>
          <w:rFonts w:hint="eastAsia"/>
          <w:color w:val="auto"/>
          <w:sz w:val="21"/>
          <w:szCs w:val="21"/>
          <w:highlight w:val="none"/>
        </w:rPr>
        <w:t>电</w:t>
      </w:r>
      <w:r>
        <w:rPr>
          <w:rFonts w:hint="eastAsia"/>
          <w:color w:val="auto"/>
          <w:spacing w:val="-29"/>
          <w:sz w:val="21"/>
          <w:szCs w:val="21"/>
          <w:highlight w:val="none"/>
        </w:rPr>
        <w:t xml:space="preserve"> </w:t>
      </w:r>
      <w:r>
        <w:rPr>
          <w:rFonts w:hint="eastAsia"/>
          <w:color w:val="auto"/>
          <w:sz w:val="21"/>
          <w:szCs w:val="21"/>
          <w:highlight w:val="none"/>
        </w:rPr>
        <w:t>话：</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2899"/>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传</w:t>
      </w:r>
      <w:r>
        <w:rPr>
          <w:rFonts w:hint="eastAsia"/>
          <w:color w:val="auto"/>
          <w:spacing w:val="-29"/>
          <w:sz w:val="21"/>
          <w:szCs w:val="21"/>
          <w:highlight w:val="none"/>
        </w:rPr>
        <w:t xml:space="preserve"> </w:t>
      </w:r>
      <w:r>
        <w:rPr>
          <w:rFonts w:hint="eastAsia"/>
          <w:color w:val="auto"/>
          <w:sz w:val="21"/>
          <w:szCs w:val="21"/>
          <w:highlight w:val="none"/>
        </w:rPr>
        <w:t>真：</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3178"/>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代表姓名：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职</w:t>
      </w:r>
      <w:r>
        <w:rPr>
          <w:rFonts w:hint="eastAsia"/>
          <w:color w:val="auto"/>
          <w:spacing w:val="-29"/>
          <w:sz w:val="21"/>
          <w:szCs w:val="21"/>
          <w:highlight w:val="none"/>
        </w:rPr>
        <w:t xml:space="preserve"> </w:t>
      </w:r>
      <w:r>
        <w:rPr>
          <w:rFonts w:hint="eastAsia"/>
          <w:color w:val="auto"/>
          <w:sz w:val="21"/>
          <w:szCs w:val="21"/>
          <w:highlight w:val="none"/>
        </w:rPr>
        <w:t>务：</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6766"/>
        </w:tabs>
        <w:autoSpaceDE w:val="0"/>
        <w:autoSpaceDN w:val="0"/>
        <w:spacing w:before="0" w:line="360" w:lineRule="auto"/>
        <w:ind w:left="0" w:firstLine="420" w:firstLineChars="200"/>
        <w:jc w:val="right"/>
        <w:rPr>
          <w:color w:val="auto"/>
          <w:sz w:val="21"/>
          <w:szCs w:val="21"/>
          <w:highlight w:val="none"/>
        </w:rPr>
      </w:pPr>
    </w:p>
    <w:p>
      <w:pPr>
        <w:pStyle w:val="2"/>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法定代表人（或投标人代表）签字或盖章：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3693"/>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投标人名称（盖章）：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日期： 年 月 日</w:t>
      </w:r>
    </w:p>
    <w:p>
      <w:pPr>
        <w:rPr>
          <w:color w:val="auto"/>
          <w:sz w:val="20"/>
          <w:szCs w:val="20"/>
          <w:highlight w:val="none"/>
        </w:rPr>
      </w:pPr>
      <w:r>
        <w:rPr>
          <w:color w:val="auto"/>
          <w:sz w:val="20"/>
          <w:szCs w:val="20"/>
          <w:highlight w:val="none"/>
        </w:rPr>
        <w:br w:type="page"/>
      </w:r>
    </w:p>
    <w:p>
      <w:pPr>
        <w:rPr>
          <w:b/>
          <w:bCs/>
          <w:color w:val="auto"/>
          <w:sz w:val="24"/>
          <w:szCs w:val="32"/>
          <w:highlight w:val="none"/>
        </w:rPr>
      </w:pPr>
      <w:r>
        <w:rPr>
          <w:rFonts w:hint="eastAsia"/>
          <w:b/>
          <w:bCs/>
          <w:color w:val="auto"/>
          <w:sz w:val="24"/>
          <w:szCs w:val="32"/>
          <w:highlight w:val="none"/>
        </w:rPr>
        <w:t>格式二：</w:t>
      </w:r>
    </w:p>
    <w:p>
      <w:pPr>
        <w:pStyle w:val="2"/>
        <w:rPr>
          <w:color w:val="auto"/>
          <w:highlight w:val="none"/>
          <w:lang w:val="en-US"/>
        </w:rPr>
      </w:pPr>
    </w:p>
    <w:p>
      <w:pPr>
        <w:spacing w:line="360" w:lineRule="auto"/>
        <w:jc w:val="center"/>
        <w:rPr>
          <w:rFonts w:ascii="黑体" w:eastAsia="黑体"/>
          <w:color w:val="auto"/>
          <w:sz w:val="32"/>
          <w:szCs w:val="32"/>
          <w:highlight w:val="none"/>
        </w:rPr>
      </w:pPr>
      <w:r>
        <w:rPr>
          <w:rFonts w:hint="eastAsia" w:ascii="宋体" w:hAnsi="宋体" w:cs="宋体"/>
          <w:b/>
          <w:color w:val="auto"/>
          <w:sz w:val="24"/>
          <w:highlight w:val="none"/>
          <w:lang w:val="zh-CN" w:bidi="zh-CN"/>
        </w:rPr>
        <w:t>开标一览表</w:t>
      </w:r>
    </w:p>
    <w:p>
      <w:pPr>
        <w:spacing w:line="360" w:lineRule="auto"/>
        <w:rPr>
          <w:color w:val="auto"/>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投标人名称：</w:t>
      </w:r>
    </w:p>
    <w:p>
      <w:pPr>
        <w:spacing w:line="360" w:lineRule="auto"/>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bl>
      <w:tblPr>
        <w:tblStyle w:val="15"/>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87"/>
        <w:gridCol w:w="2079"/>
        <w:gridCol w:w="4479"/>
        <w:gridCol w:w="8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包号</w:t>
            </w:r>
          </w:p>
        </w:tc>
        <w:tc>
          <w:tcPr>
            <w:tcW w:w="12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项目名称</w:t>
            </w:r>
          </w:p>
        </w:tc>
        <w:tc>
          <w:tcPr>
            <w:tcW w:w="44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en-US" w:eastAsia="zh-CN"/>
              </w:rPr>
              <w:t>投标下浮率</w:t>
            </w:r>
          </w:p>
        </w:tc>
        <w:tc>
          <w:tcPr>
            <w:tcW w:w="51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包A</w:t>
            </w:r>
          </w:p>
        </w:tc>
        <w:tc>
          <w:tcPr>
            <w:tcW w:w="12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lang w:val="zh-CN"/>
              </w:rPr>
            </w:pPr>
          </w:p>
        </w:tc>
        <w:tc>
          <w:tcPr>
            <w:tcW w:w="44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eastAsia="宋体"/>
                <w:color w:val="auto"/>
                <w:highlight w:val="none"/>
                <w:lang w:eastAsia="zh-CN"/>
              </w:rPr>
            </w:pPr>
            <w:r>
              <w:rPr>
                <w:rFonts w:hint="eastAsia"/>
                <w:color w:val="auto"/>
                <w:highlight w:val="none"/>
              </w:rPr>
              <w:t>小写：</w:t>
            </w:r>
          </w:p>
          <w:p>
            <w:pPr>
              <w:spacing w:line="360" w:lineRule="auto"/>
              <w:rPr>
                <w:rFonts w:hint="eastAsia" w:eastAsia="宋体"/>
                <w:color w:val="auto"/>
                <w:highlight w:val="none"/>
                <w:lang w:eastAsia="zh-CN"/>
              </w:rPr>
            </w:pPr>
            <w:r>
              <w:rPr>
                <w:rFonts w:hint="eastAsia"/>
                <w:color w:val="auto"/>
                <w:highlight w:val="none"/>
              </w:rPr>
              <w:t>大写：</w:t>
            </w:r>
          </w:p>
        </w:tc>
        <w:tc>
          <w:tcPr>
            <w:tcW w:w="513"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Cs w:val="21"/>
                <w:highlight w:val="none"/>
              </w:rPr>
            </w:pPr>
          </w:p>
          <w:p>
            <w:pPr>
              <w:spacing w:line="360" w:lineRule="auto"/>
              <w:rPr>
                <w:rFonts w:ascii="宋体" w:hAnsi="宋体" w:cs="宋体"/>
                <w:color w:val="auto"/>
                <w:szCs w:val="21"/>
                <w:highlight w:val="none"/>
              </w:rPr>
            </w:pPr>
          </w:p>
        </w:tc>
      </w:tr>
    </w:tbl>
    <w:p>
      <w:pPr>
        <w:spacing w:line="360" w:lineRule="auto"/>
        <w:rPr>
          <w:rFonts w:ascii="宋体" w:hAnsi="宋体"/>
          <w:color w:val="auto"/>
          <w:szCs w:val="21"/>
          <w:highlight w:val="none"/>
        </w:rPr>
      </w:pPr>
    </w:p>
    <w:p>
      <w:pPr>
        <w:spacing w:line="360" w:lineRule="auto"/>
        <w:ind w:firstLine="359" w:firstLineChars="171"/>
        <w:rPr>
          <w:rFonts w:ascii="宋体" w:hAnsi="宋体"/>
          <w:color w:val="auto"/>
          <w:szCs w:val="21"/>
          <w:highlight w:val="none"/>
        </w:rPr>
      </w:pP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pPr>
        <w:spacing w:line="360" w:lineRule="auto"/>
        <w:ind w:firstLine="342" w:firstLineChars="171"/>
        <w:rPr>
          <w:rFonts w:ascii="宋体" w:hAnsi="宋体"/>
          <w:color w:val="auto"/>
          <w:szCs w:val="21"/>
          <w:highlight w:val="none"/>
        </w:rPr>
      </w:pPr>
      <w:r>
        <w:rPr>
          <w:color w:val="auto"/>
          <w:sz w:val="20"/>
          <w:szCs w:val="20"/>
          <w:highlight w:val="none"/>
        </w:rPr>
        <w:t>投标人名称（盖章）</w:t>
      </w:r>
      <w:r>
        <w:rPr>
          <w:rFonts w:hint="eastAsia" w:ascii="宋体" w:hAnsi="宋体"/>
          <w:color w:val="auto"/>
          <w:szCs w:val="21"/>
          <w:highlight w:val="none"/>
        </w:rPr>
        <w:t>：</w:t>
      </w: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日期：</w:t>
      </w:r>
      <w:r>
        <w:rPr>
          <w:color w:val="auto"/>
          <w:sz w:val="20"/>
          <w:szCs w:val="20"/>
          <w:highlight w:val="none"/>
        </w:rPr>
        <w:t xml:space="preserve"> 年</w:t>
      </w:r>
      <w:r>
        <w:rPr>
          <w:rFonts w:hint="eastAsia"/>
          <w:color w:val="auto"/>
          <w:sz w:val="20"/>
          <w:szCs w:val="20"/>
          <w:highlight w:val="none"/>
        </w:rPr>
        <w:t xml:space="preserve">  </w:t>
      </w:r>
      <w:r>
        <w:rPr>
          <w:color w:val="auto"/>
          <w:sz w:val="20"/>
          <w:szCs w:val="20"/>
          <w:highlight w:val="none"/>
        </w:rPr>
        <w:t xml:space="preserve"> 月 </w:t>
      </w:r>
      <w:r>
        <w:rPr>
          <w:rFonts w:hint="eastAsia"/>
          <w:color w:val="auto"/>
          <w:sz w:val="20"/>
          <w:szCs w:val="20"/>
          <w:highlight w:val="none"/>
        </w:rPr>
        <w:t xml:space="preserve">  </w:t>
      </w:r>
      <w:r>
        <w:rPr>
          <w:color w:val="auto"/>
          <w:sz w:val="20"/>
          <w:szCs w:val="20"/>
          <w:highlight w:val="none"/>
        </w:rPr>
        <w:t>日</w:t>
      </w:r>
    </w:p>
    <w:p>
      <w:pPr>
        <w:spacing w:line="360" w:lineRule="auto"/>
        <w:ind w:firstLine="359" w:firstLineChars="171"/>
        <w:rPr>
          <w:rFonts w:ascii="宋体" w:hAnsi="宋体"/>
          <w:color w:val="auto"/>
          <w:szCs w:val="21"/>
          <w:highlight w:val="none"/>
        </w:rPr>
      </w:pPr>
    </w:p>
    <w:p>
      <w:pPr>
        <w:spacing w:beforeLines="100" w:line="360" w:lineRule="auto"/>
        <w:rPr>
          <w:rFonts w:ascii="宋体" w:hAnsi="宋体" w:cs="宋体"/>
          <w:color w:val="auto"/>
          <w:szCs w:val="21"/>
          <w:highlight w:val="none"/>
        </w:rPr>
      </w:pPr>
      <w:r>
        <w:rPr>
          <w:rFonts w:hint="eastAsia" w:ascii="宋体" w:hAnsi="宋体" w:cs="宋体"/>
          <w:color w:val="auto"/>
          <w:szCs w:val="21"/>
          <w:highlight w:val="none"/>
        </w:rPr>
        <w:t>注明：</w:t>
      </w:r>
    </w:p>
    <w:p>
      <w:pPr>
        <w:pStyle w:val="2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1.投标总价栏须用文字和数字两种方式表示的投标总价。</w:t>
      </w:r>
    </w:p>
    <w:p>
      <w:pPr>
        <w:pStyle w:val="2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2.开标一览表内容与投标文件中相应内容不一致的，以开标一览表为准。</w:t>
      </w:r>
    </w:p>
    <w:p>
      <w:pPr>
        <w:pStyle w:val="2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3.大写金额和小写金额不一致的，以大写金额为准。</w:t>
      </w:r>
    </w:p>
    <w:p>
      <w:pPr>
        <w:rPr>
          <w:rFonts w:ascii="宋体" w:hAnsi="宋体" w:cs="宋体"/>
          <w:color w:val="auto"/>
          <w:szCs w:val="21"/>
          <w:highlight w:val="none"/>
        </w:rPr>
      </w:pPr>
      <w:r>
        <w:rPr>
          <w:rFonts w:hint="eastAsia" w:ascii="宋体" w:hAnsi="宋体" w:cs="宋体"/>
          <w:color w:val="auto"/>
          <w:szCs w:val="21"/>
          <w:highlight w:val="none"/>
        </w:rPr>
        <w:br w:type="page"/>
      </w:r>
    </w:p>
    <w:p>
      <w:pPr>
        <w:rPr>
          <w:b/>
          <w:bCs/>
          <w:color w:val="auto"/>
          <w:sz w:val="24"/>
          <w:szCs w:val="32"/>
          <w:highlight w:val="none"/>
        </w:rPr>
      </w:pPr>
      <w:r>
        <w:rPr>
          <w:rFonts w:hint="eastAsia"/>
          <w:b/>
          <w:bCs/>
          <w:color w:val="auto"/>
          <w:sz w:val="24"/>
          <w:szCs w:val="32"/>
          <w:highlight w:val="none"/>
        </w:rPr>
        <w:t>格式三：</w:t>
      </w:r>
    </w:p>
    <w:p>
      <w:pPr>
        <w:jc w:val="center"/>
        <w:rPr>
          <w:b/>
          <w:bCs/>
          <w:color w:val="auto"/>
          <w:sz w:val="24"/>
          <w:szCs w:val="32"/>
          <w:highlight w:val="none"/>
        </w:rPr>
      </w:pPr>
      <w:r>
        <w:rPr>
          <w:rFonts w:hint="eastAsia"/>
          <w:b/>
          <w:bCs/>
          <w:color w:val="auto"/>
          <w:sz w:val="24"/>
          <w:szCs w:val="32"/>
          <w:highlight w:val="none"/>
        </w:rPr>
        <w:t>分项报价表</w:t>
      </w:r>
    </w:p>
    <w:p>
      <w:pPr>
        <w:pStyle w:val="10"/>
        <w:spacing w:line="360" w:lineRule="auto"/>
        <w:jc w:val="right"/>
        <w:rPr>
          <w:rFonts w:hAnsi="宋体" w:eastAsia="宋体" w:cs="宋体"/>
          <w:color w:val="auto"/>
          <w:szCs w:val="21"/>
          <w:highlight w:val="none"/>
        </w:rPr>
      </w:pPr>
      <w:r>
        <w:rPr>
          <w:rFonts w:hint="eastAsia" w:hAnsi="宋体" w:eastAsia="宋体" w:cs="宋体"/>
          <w:color w:val="auto"/>
          <w:szCs w:val="21"/>
          <w:highlight w:val="none"/>
        </w:rPr>
        <w:t>[货币单位：人民币元]</w:t>
      </w:r>
    </w:p>
    <w:tbl>
      <w:tblPr>
        <w:tblStyle w:val="1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045"/>
        <w:gridCol w:w="1257"/>
        <w:gridCol w:w="1440"/>
        <w:gridCol w:w="1441"/>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分项内容</w:t>
            </w: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数量</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单价</w:t>
            </w: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总价</w:t>
            </w: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总计</w:t>
            </w:r>
          </w:p>
        </w:tc>
        <w:tc>
          <w:tcPr>
            <w:tcW w:w="718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（大写）                            （小写）</w:t>
            </w:r>
            <w:r>
              <w:rPr>
                <w:rFonts w:hint="eastAsia" w:ascii="宋体" w:hAnsi="宋体" w:cs="宋体"/>
                <w:b/>
                <w:color w:val="auto"/>
                <w:szCs w:val="21"/>
                <w:highlight w:val="none"/>
              </w:rPr>
              <w:t xml:space="preserve">                          　　　　　　  </w:t>
            </w: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p>
        </w:tc>
      </w:tr>
    </w:tbl>
    <w:p>
      <w:pPr>
        <w:spacing w:line="360" w:lineRule="auto"/>
        <w:jc w:val="center"/>
        <w:rPr>
          <w:rFonts w:ascii="宋体" w:hAnsi="宋体" w:cs="宋体"/>
          <w:b/>
          <w:color w:val="auto"/>
          <w:szCs w:val="21"/>
          <w:highlight w:val="none"/>
        </w:rPr>
      </w:pPr>
    </w:p>
    <w:p>
      <w:pPr>
        <w:spacing w:line="360" w:lineRule="auto"/>
        <w:rPr>
          <w:rFonts w:ascii="宋体" w:hAnsi="宋体" w:cs="宋体"/>
          <w:b/>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注：1.如果单价和总价不符时，以单价为准，修正总价和总计。</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2.投标人的报价应包括但不限于上述内容，应列明“用户需求书”所要求提供的所有服务（货物）的价格明细。</w:t>
      </w:r>
    </w:p>
    <w:p>
      <w:pPr>
        <w:spacing w:line="360" w:lineRule="auto"/>
        <w:ind w:firstLine="359" w:firstLineChars="171"/>
        <w:rPr>
          <w:rFonts w:ascii="宋体" w:hAnsi="宋体"/>
          <w:color w:val="auto"/>
          <w:szCs w:val="21"/>
          <w:highlight w:val="none"/>
        </w:rPr>
      </w:pP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pPr>
        <w:spacing w:line="360" w:lineRule="auto"/>
        <w:ind w:firstLine="342" w:firstLineChars="171"/>
        <w:rPr>
          <w:rFonts w:ascii="宋体" w:hAnsi="宋体"/>
          <w:color w:val="auto"/>
          <w:szCs w:val="21"/>
          <w:highlight w:val="none"/>
        </w:rPr>
      </w:pPr>
      <w:r>
        <w:rPr>
          <w:color w:val="auto"/>
          <w:sz w:val="20"/>
          <w:szCs w:val="20"/>
          <w:highlight w:val="none"/>
        </w:rPr>
        <w:t>投标人名称（盖章）</w:t>
      </w:r>
      <w:r>
        <w:rPr>
          <w:rFonts w:hint="eastAsia" w:ascii="宋体" w:hAnsi="宋体"/>
          <w:color w:val="auto"/>
          <w:szCs w:val="21"/>
          <w:highlight w:val="none"/>
        </w:rPr>
        <w:t>：</w:t>
      </w:r>
    </w:p>
    <w:p>
      <w:pPr>
        <w:spacing w:line="360" w:lineRule="auto"/>
        <w:ind w:firstLine="342" w:firstLineChars="171"/>
        <w:rPr>
          <w:color w:val="auto"/>
          <w:sz w:val="20"/>
          <w:szCs w:val="20"/>
          <w:highlight w:val="none"/>
        </w:rPr>
      </w:pPr>
      <w:r>
        <w:rPr>
          <w:rFonts w:hint="eastAsia"/>
          <w:color w:val="auto"/>
          <w:sz w:val="20"/>
          <w:szCs w:val="20"/>
          <w:highlight w:val="none"/>
        </w:rPr>
        <w:t>日期：</w:t>
      </w:r>
      <w:r>
        <w:rPr>
          <w:color w:val="auto"/>
          <w:sz w:val="20"/>
          <w:szCs w:val="20"/>
          <w:highlight w:val="none"/>
        </w:rPr>
        <w:t xml:space="preserve"> 年 月 日</w:t>
      </w:r>
    </w:p>
    <w:p>
      <w:pPr>
        <w:rPr>
          <w:color w:val="auto"/>
          <w:sz w:val="20"/>
          <w:szCs w:val="20"/>
          <w:highlight w:val="none"/>
        </w:rPr>
      </w:pPr>
      <w:r>
        <w:rPr>
          <w:color w:val="auto"/>
          <w:sz w:val="20"/>
          <w:szCs w:val="20"/>
          <w:highlight w:val="none"/>
        </w:rPr>
        <w:br w:type="page"/>
      </w:r>
    </w:p>
    <w:p>
      <w:pPr>
        <w:pStyle w:val="2"/>
        <w:rPr>
          <w:b/>
          <w:bCs/>
          <w:color w:val="auto"/>
          <w:highlight w:val="none"/>
          <w:lang w:val="en-US"/>
        </w:rPr>
      </w:pPr>
      <w:r>
        <w:rPr>
          <w:rFonts w:hint="eastAsia"/>
          <w:b/>
          <w:bCs/>
          <w:color w:val="auto"/>
          <w:highlight w:val="none"/>
          <w:lang w:val="en-US"/>
        </w:rPr>
        <w:t>格式四：</w:t>
      </w:r>
    </w:p>
    <w:p>
      <w:pPr>
        <w:pStyle w:val="4"/>
        <w:spacing w:line="360" w:lineRule="auto"/>
        <w:rPr>
          <w:color w:val="auto"/>
          <w:sz w:val="24"/>
          <w:highlight w:val="none"/>
        </w:rPr>
      </w:pPr>
      <w:bookmarkStart w:id="169" w:name="_Toc23039"/>
      <w:r>
        <w:rPr>
          <w:color w:val="auto"/>
          <w:sz w:val="24"/>
          <w:highlight w:val="none"/>
        </w:rPr>
        <w:t>法定代表人证明书</w:t>
      </w:r>
      <w:bookmarkEnd w:id="169"/>
    </w:p>
    <w:p>
      <w:pPr>
        <w:pStyle w:val="2"/>
        <w:tabs>
          <w:tab w:val="left" w:pos="1738"/>
          <w:tab w:val="left" w:pos="3223"/>
          <w:tab w:val="left" w:pos="3947"/>
        </w:tabs>
        <w:autoSpaceDE w:val="0"/>
        <w:autoSpaceDN w:val="0"/>
        <w:spacing w:line="360" w:lineRule="auto"/>
        <w:ind w:left="0"/>
        <w:rPr>
          <w:color w:val="auto"/>
          <w:spacing w:val="-18"/>
          <w:sz w:val="21"/>
          <w:szCs w:val="21"/>
          <w:highlight w:val="none"/>
        </w:rPr>
      </w:pPr>
      <w:r>
        <w:rPr>
          <w:rFonts w:hint="eastAsia"/>
          <w:color w:val="auto"/>
          <w:w w:val="101"/>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现任我单位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rPr>
        <w:t>职务，为法定代表人，特此证明</w:t>
      </w:r>
      <w:r>
        <w:rPr>
          <w:rFonts w:hint="eastAsia"/>
          <w:color w:val="auto"/>
          <w:spacing w:val="-18"/>
          <w:sz w:val="21"/>
          <w:szCs w:val="21"/>
          <w:highlight w:val="none"/>
        </w:rPr>
        <w:t>。</w:t>
      </w:r>
    </w:p>
    <w:p>
      <w:pPr>
        <w:pStyle w:val="2"/>
        <w:tabs>
          <w:tab w:val="left" w:pos="1738"/>
          <w:tab w:val="left" w:pos="3223"/>
          <w:tab w:val="left" w:pos="3947"/>
        </w:tabs>
        <w:autoSpaceDE w:val="0"/>
        <w:autoSpaceDN w:val="0"/>
        <w:spacing w:line="360" w:lineRule="auto"/>
        <w:ind w:left="0"/>
        <w:rPr>
          <w:color w:val="auto"/>
          <w:sz w:val="21"/>
          <w:szCs w:val="21"/>
          <w:highlight w:val="none"/>
        </w:rPr>
      </w:pPr>
      <w:r>
        <w:rPr>
          <w:rFonts w:hint="eastAsia"/>
          <w:color w:val="auto"/>
          <w:sz w:val="21"/>
          <w:szCs w:val="21"/>
          <w:highlight w:val="none"/>
        </w:rPr>
        <w:t>有效期限：</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附：代表人性别：</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年龄：</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身份证号码：</w:t>
      </w:r>
      <w:r>
        <w:rPr>
          <w:rFonts w:hint="eastAsia"/>
          <w:color w:val="auto"/>
          <w:sz w:val="21"/>
          <w:szCs w:val="21"/>
          <w:highlight w:val="none"/>
          <w:u w:val="single"/>
        </w:rPr>
        <w:tab/>
      </w:r>
      <w:r>
        <w:rPr>
          <w:rFonts w:hint="eastAsia"/>
          <w:color w:val="auto"/>
          <w:sz w:val="21"/>
          <w:szCs w:val="21"/>
          <w:highlight w:val="none"/>
          <w:u w:val="single"/>
        </w:rPr>
        <w:t xml:space="preserve">                 </w:t>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注册号码：</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企业类型：</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 xml:space="preserve">  </w:t>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rPr>
      </w:pPr>
      <w:r>
        <w:rPr>
          <w:rFonts w:hint="eastAsia"/>
          <w:color w:val="auto"/>
          <w:sz w:val="21"/>
          <w:szCs w:val="21"/>
          <w:highlight w:val="none"/>
        </w:rPr>
        <w:t>经营范围：</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3693"/>
        </w:tabs>
        <w:spacing w:line="242" w:lineRule="exact"/>
        <w:ind w:right="104"/>
        <w:jc w:val="right"/>
        <w:rPr>
          <w:color w:val="auto"/>
          <w:sz w:val="21"/>
          <w:szCs w:val="21"/>
          <w:highlight w:val="none"/>
        </w:rPr>
      </w:pPr>
    </w:p>
    <w:p>
      <w:pPr>
        <w:pStyle w:val="2"/>
        <w:tabs>
          <w:tab w:val="left" w:pos="3693"/>
        </w:tabs>
        <w:spacing w:line="242" w:lineRule="exact"/>
        <w:ind w:right="104"/>
        <w:jc w:val="right"/>
        <w:rPr>
          <w:color w:val="auto"/>
          <w:sz w:val="21"/>
          <w:szCs w:val="21"/>
          <w:highlight w:val="none"/>
        </w:rPr>
      </w:pPr>
    </w:p>
    <w:p>
      <w:pPr>
        <w:pStyle w:val="2"/>
        <w:tabs>
          <w:tab w:val="left" w:pos="3693"/>
        </w:tabs>
        <w:spacing w:before="0" w:line="480" w:lineRule="auto"/>
        <w:ind w:left="0"/>
        <w:jc w:val="right"/>
        <w:rPr>
          <w:color w:val="auto"/>
          <w:sz w:val="21"/>
          <w:szCs w:val="21"/>
          <w:highlight w:val="none"/>
        </w:rPr>
      </w:pPr>
      <w:r>
        <w:rPr>
          <w:rFonts w:hint="eastAsia"/>
          <w:color w:val="auto"/>
          <w:sz w:val="21"/>
          <w:szCs w:val="21"/>
          <w:highlight w:val="none"/>
        </w:rPr>
        <w:t>投标人名称（盖章）：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pPr>
        <w:pStyle w:val="2"/>
        <w:tabs>
          <w:tab w:val="left" w:pos="2349"/>
        </w:tabs>
        <w:spacing w:before="0" w:line="480" w:lineRule="auto"/>
        <w:ind w:left="0"/>
        <w:jc w:val="right"/>
        <w:rPr>
          <w:color w:val="auto"/>
          <w:sz w:val="21"/>
          <w:szCs w:val="21"/>
          <w:highlight w:val="none"/>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rPr>
        <w:tab/>
      </w:r>
    </w:p>
    <w:p>
      <w:pPr>
        <w:spacing w:line="480" w:lineRule="auto"/>
        <w:jc w:val="right"/>
        <w:rPr>
          <w:rFonts w:ascii="宋体" w:hAnsi="宋体" w:cs="宋体"/>
          <w:color w:val="auto"/>
          <w:szCs w:val="21"/>
          <w:highlight w:val="none"/>
        </w:rPr>
      </w:pPr>
      <w:r>
        <w:rPr>
          <w:rFonts w:hint="eastAsia" w:ascii="宋体" w:hAnsi="宋体" w:cs="宋体"/>
          <w:color w:val="auto"/>
          <w:szCs w:val="21"/>
          <w:highlight w:val="none"/>
        </w:rPr>
        <w:t>日期： 年 月 日</w:t>
      </w:r>
    </w:p>
    <w:p>
      <w:pPr>
        <w:pStyle w:val="2"/>
        <w:rPr>
          <w:color w:val="auto"/>
          <w:highlight w:val="none"/>
          <w:lang w:val="en-US"/>
        </w:rPr>
      </w:pPr>
    </w:p>
    <w:p>
      <w:pPr>
        <w:rPr>
          <w:color w:val="auto"/>
          <w:highlight w:val="none"/>
        </w:rPr>
      </w:pPr>
    </w:p>
    <w:p>
      <w:pPr>
        <w:pStyle w:val="2"/>
        <w:rPr>
          <w:color w:val="auto"/>
          <w:highlight w:val="none"/>
          <w:lang w:val="en-US"/>
        </w:rPr>
      </w:pPr>
    </w:p>
    <w:p>
      <w:pPr>
        <w:spacing w:beforeLines="50" w:afterLines="50" w:line="360" w:lineRule="auto"/>
        <w:rPr>
          <w:rFonts w:ascii="宋体" w:hAnsi="宋体" w:cs="宋体"/>
          <w:color w:val="auto"/>
          <w:szCs w:val="21"/>
          <w:highlight w:val="none"/>
        </w:rPr>
      </w:pPr>
      <w:r>
        <w:rPr>
          <w:rFonts w:hint="eastAsia" w:ascii="宋体" w:hAnsi="宋体" w:cs="宋体"/>
          <w:color w:val="auto"/>
          <w:szCs w:val="21"/>
          <w:highlight w:val="none"/>
        </w:rPr>
        <w:t>须附：法定代表人有效期内身份证复印件</w:t>
      </w:r>
    </w:p>
    <w:tbl>
      <w:tblPr>
        <w:tblStyle w:val="15"/>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99" w:hRule="atLeast"/>
          <w:jc w:val="center"/>
        </w:trPr>
        <w:tc>
          <w:tcPr>
            <w:tcW w:w="2500" w:type="pct"/>
            <w:vAlign w:val="center"/>
          </w:tcPr>
          <w:p>
            <w:pPr>
              <w:pStyle w:val="23"/>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pPr>
              <w:pStyle w:val="23"/>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pPr>
        <w:rPr>
          <w:color w:val="auto"/>
          <w:highlight w:val="none"/>
        </w:rPr>
      </w:pPr>
      <w:r>
        <w:rPr>
          <w:rFonts w:hint="eastAsia"/>
          <w:color w:val="auto"/>
          <w:highlight w:val="none"/>
        </w:rPr>
        <w:br w:type="page"/>
      </w:r>
    </w:p>
    <w:p>
      <w:pPr>
        <w:pStyle w:val="2"/>
        <w:rPr>
          <w:b/>
          <w:bCs/>
          <w:color w:val="auto"/>
          <w:highlight w:val="none"/>
          <w:lang w:val="en-US"/>
        </w:rPr>
      </w:pPr>
      <w:r>
        <w:rPr>
          <w:rFonts w:hint="eastAsia"/>
          <w:b/>
          <w:bCs/>
          <w:color w:val="auto"/>
          <w:highlight w:val="none"/>
          <w:lang w:val="en-US"/>
        </w:rPr>
        <w:t>格式五：</w:t>
      </w:r>
    </w:p>
    <w:p>
      <w:pPr>
        <w:jc w:val="center"/>
        <w:rPr>
          <w:b/>
          <w:bCs/>
          <w:color w:val="auto"/>
          <w:sz w:val="24"/>
          <w:szCs w:val="32"/>
          <w:highlight w:val="none"/>
        </w:rPr>
      </w:pPr>
      <w:r>
        <w:rPr>
          <w:b/>
          <w:bCs/>
          <w:color w:val="auto"/>
          <w:sz w:val="24"/>
          <w:szCs w:val="32"/>
          <w:highlight w:val="none"/>
        </w:rPr>
        <w:t>法定代表人授权书</w:t>
      </w:r>
    </w:p>
    <w:p>
      <w:pPr>
        <w:pStyle w:val="2"/>
        <w:spacing w:before="0" w:line="360" w:lineRule="auto"/>
        <w:ind w:left="0"/>
        <w:rPr>
          <w:color w:val="auto"/>
          <w:sz w:val="21"/>
          <w:szCs w:val="21"/>
          <w:highlight w:val="none"/>
        </w:rPr>
      </w:pPr>
      <w:r>
        <w:rPr>
          <w:rFonts w:hint="eastAsia"/>
          <w:color w:val="auto"/>
          <w:sz w:val="21"/>
          <w:szCs w:val="21"/>
          <w:highlight w:val="none"/>
        </w:rPr>
        <w:t>致：国顺招标有限公司</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本授权书声明：</w:t>
      </w:r>
      <w:r>
        <w:rPr>
          <w:rFonts w:hint="eastAsia"/>
          <w:color w:val="auto"/>
          <w:sz w:val="21"/>
          <w:szCs w:val="21"/>
          <w:highlight w:val="none"/>
          <w:u w:val="single"/>
          <w:lang w:val="en-US"/>
        </w:rPr>
        <w:t xml:space="preserve">       </w:t>
      </w:r>
      <w:r>
        <w:rPr>
          <w:rFonts w:hint="eastAsia"/>
          <w:color w:val="auto"/>
          <w:sz w:val="21"/>
          <w:szCs w:val="21"/>
          <w:highlight w:val="none"/>
        </w:rPr>
        <w:t>是注册于</w:t>
      </w:r>
      <w:r>
        <w:rPr>
          <w:rFonts w:hint="eastAsia"/>
          <w:color w:val="auto"/>
          <w:sz w:val="21"/>
          <w:szCs w:val="21"/>
          <w:highlight w:val="none"/>
          <w:u w:val="single"/>
        </w:rPr>
        <w:t xml:space="preserve"> （国家或地区）</w:t>
      </w:r>
      <w:r>
        <w:rPr>
          <w:rFonts w:hint="eastAsia"/>
          <w:color w:val="auto"/>
          <w:sz w:val="21"/>
          <w:szCs w:val="21"/>
          <w:highlight w:val="none"/>
        </w:rPr>
        <w:t>的</w:t>
      </w:r>
      <w:r>
        <w:rPr>
          <w:rFonts w:hint="eastAsia"/>
          <w:color w:val="auto"/>
          <w:sz w:val="21"/>
          <w:szCs w:val="21"/>
          <w:highlight w:val="none"/>
          <w:u w:val="single"/>
        </w:rPr>
        <w:t>（投标人名称）</w:t>
      </w:r>
      <w:r>
        <w:rPr>
          <w:rFonts w:hint="eastAsia"/>
          <w:color w:val="auto"/>
          <w:sz w:val="21"/>
          <w:szCs w:val="21"/>
          <w:highlight w:val="none"/>
        </w:rPr>
        <w:t>的法定代表人，现任</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r>
        <w:rPr>
          <w:rFonts w:hint="eastAsia"/>
          <w:color w:val="auto"/>
          <w:sz w:val="21"/>
          <w:szCs w:val="21"/>
          <w:highlight w:val="none"/>
        </w:rPr>
        <w:t xml:space="preserve">职务，有效证件号码： </w:t>
      </w:r>
      <w:r>
        <w:rPr>
          <w:rFonts w:hint="eastAsia"/>
          <w:color w:val="auto"/>
          <w:sz w:val="21"/>
          <w:szCs w:val="21"/>
          <w:highlight w:val="none"/>
          <w:lang w:val="en-US"/>
        </w:rPr>
        <w:t xml:space="preserve">                   </w:t>
      </w:r>
      <w:r>
        <w:rPr>
          <w:rFonts w:hint="eastAsia"/>
          <w:color w:val="auto"/>
          <w:sz w:val="21"/>
          <w:szCs w:val="21"/>
          <w:highlight w:val="none"/>
        </w:rPr>
        <w:t>。</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现授权</w:t>
      </w:r>
      <w:r>
        <w:rPr>
          <w:rFonts w:hint="eastAsia"/>
          <w:color w:val="auto"/>
          <w:sz w:val="21"/>
          <w:szCs w:val="21"/>
          <w:highlight w:val="none"/>
          <w:u w:val="single"/>
        </w:rPr>
        <w:t xml:space="preserve"> （姓名、职务） </w:t>
      </w:r>
      <w:r>
        <w:rPr>
          <w:rFonts w:hint="eastAsia"/>
          <w:color w:val="auto"/>
          <w:sz w:val="21"/>
          <w:szCs w:val="21"/>
          <w:highlight w:val="none"/>
        </w:rPr>
        <w:t>作为我公司的全权代理人，就</w:t>
      </w:r>
      <w:r>
        <w:rPr>
          <w:rFonts w:hint="eastAsia"/>
          <w:color w:val="auto"/>
          <w:sz w:val="21"/>
          <w:szCs w:val="21"/>
          <w:highlight w:val="none"/>
          <w:u w:val="single"/>
          <w:lang w:val="en-US"/>
        </w:rPr>
        <w:t xml:space="preserve">    </w:t>
      </w:r>
      <w:r>
        <w:rPr>
          <w:rFonts w:hint="eastAsia"/>
          <w:color w:val="auto"/>
          <w:sz w:val="21"/>
          <w:szCs w:val="21"/>
          <w:highlight w:val="none"/>
          <w:u w:val="single"/>
        </w:rPr>
        <w:t>项目</w:t>
      </w:r>
      <w:r>
        <w:rPr>
          <w:rFonts w:hint="eastAsia"/>
          <w:color w:val="auto"/>
          <w:sz w:val="21"/>
          <w:szCs w:val="21"/>
          <w:highlight w:val="none"/>
        </w:rPr>
        <w:t>采购</w:t>
      </w:r>
      <w:r>
        <w:rPr>
          <w:rFonts w:hint="eastAsia"/>
          <w:color w:val="auto"/>
          <w:sz w:val="21"/>
          <w:szCs w:val="21"/>
          <w:highlight w:val="none"/>
          <w:u w:val="single"/>
        </w:rPr>
        <w:t>[项目编号为</w:t>
      </w:r>
      <w:r>
        <w:rPr>
          <w:rFonts w:hint="eastAsia"/>
          <w:color w:val="auto"/>
          <w:sz w:val="21"/>
          <w:szCs w:val="21"/>
          <w:highlight w:val="none"/>
          <w:u w:val="single"/>
          <w:lang w:val="en-US"/>
        </w:rPr>
        <w:t xml:space="preserve">    </w:t>
      </w:r>
      <w:r>
        <w:rPr>
          <w:rFonts w:hint="eastAsia"/>
          <w:color w:val="auto"/>
          <w:sz w:val="21"/>
          <w:szCs w:val="21"/>
          <w:highlight w:val="none"/>
          <w:u w:val="single"/>
        </w:rPr>
        <w:t>]</w:t>
      </w:r>
      <w:r>
        <w:rPr>
          <w:rFonts w:hint="eastAsia"/>
          <w:color w:val="auto"/>
          <w:sz w:val="21"/>
          <w:szCs w:val="21"/>
          <w:highlight w:val="none"/>
        </w:rPr>
        <w:t>的投标和合同执行，以我方的名义处理一切与之有关的事宜。</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 xml:space="preserve">本授权书于 </w:t>
      </w:r>
      <w:r>
        <w:rPr>
          <w:rFonts w:hint="eastAsia"/>
          <w:color w:val="auto"/>
          <w:sz w:val="21"/>
          <w:szCs w:val="21"/>
          <w:highlight w:val="none"/>
        </w:rPr>
        <w:tab/>
      </w:r>
      <w:r>
        <w:rPr>
          <w:rFonts w:hint="eastAsia"/>
          <w:color w:val="auto"/>
          <w:sz w:val="21"/>
          <w:szCs w:val="21"/>
          <w:highlight w:val="none"/>
        </w:rPr>
        <w:t xml:space="preserve">年 </w:t>
      </w:r>
      <w:r>
        <w:rPr>
          <w:rFonts w:hint="eastAsia"/>
          <w:color w:val="auto"/>
          <w:sz w:val="21"/>
          <w:szCs w:val="21"/>
          <w:highlight w:val="none"/>
        </w:rPr>
        <w:tab/>
      </w:r>
      <w:r>
        <w:rPr>
          <w:rFonts w:hint="eastAsia"/>
          <w:color w:val="auto"/>
          <w:sz w:val="21"/>
          <w:szCs w:val="21"/>
          <w:highlight w:val="none"/>
        </w:rPr>
        <w:t xml:space="preserve">月 </w:t>
      </w:r>
      <w:r>
        <w:rPr>
          <w:rFonts w:hint="eastAsia"/>
          <w:color w:val="auto"/>
          <w:sz w:val="21"/>
          <w:szCs w:val="21"/>
          <w:highlight w:val="none"/>
        </w:rPr>
        <w:tab/>
      </w:r>
      <w:r>
        <w:rPr>
          <w:rFonts w:hint="eastAsia"/>
          <w:color w:val="auto"/>
          <w:sz w:val="21"/>
          <w:szCs w:val="21"/>
          <w:highlight w:val="none"/>
        </w:rPr>
        <w:t>日签字生效，特此声明。</w:t>
      </w:r>
    </w:p>
    <w:p>
      <w:pPr>
        <w:pStyle w:val="2"/>
        <w:tabs>
          <w:tab w:val="left" w:pos="10713"/>
        </w:tabs>
        <w:spacing w:before="0" w:line="360" w:lineRule="auto"/>
        <w:ind w:left="0"/>
        <w:jc w:val="right"/>
        <w:rPr>
          <w:color w:val="auto"/>
          <w:sz w:val="21"/>
          <w:szCs w:val="21"/>
          <w:highlight w:val="none"/>
        </w:rPr>
      </w:pPr>
    </w:p>
    <w:p>
      <w:pPr>
        <w:pStyle w:val="2"/>
        <w:tabs>
          <w:tab w:val="left" w:pos="10713"/>
        </w:tabs>
        <w:spacing w:before="0" w:line="360" w:lineRule="auto"/>
        <w:ind w:left="0"/>
        <w:jc w:val="right"/>
        <w:rPr>
          <w:color w:val="auto"/>
          <w:sz w:val="21"/>
          <w:szCs w:val="21"/>
          <w:highlight w:val="none"/>
        </w:rPr>
      </w:pP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投标人名称（盖章）：</w:t>
      </w:r>
      <w:r>
        <w:rPr>
          <w:rFonts w:hint="eastAsia"/>
          <w:color w:val="auto"/>
          <w:sz w:val="21"/>
          <w:szCs w:val="21"/>
          <w:highlight w:val="none"/>
          <w:lang w:val="en-US"/>
        </w:rPr>
        <w:t xml:space="preserve"> </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lang w:val="en-US"/>
        </w:rPr>
        <w:t xml:space="preserve">              </w:t>
      </w:r>
      <w:r>
        <w:rPr>
          <w:rFonts w:hint="eastAsia"/>
          <w:color w:val="auto"/>
          <w:sz w:val="21"/>
          <w:szCs w:val="21"/>
          <w:highlight w:val="none"/>
          <w:lang w:val="en-US"/>
        </w:rPr>
        <w:t xml:space="preserve"> </w:t>
      </w:r>
    </w:p>
    <w:p>
      <w:pPr>
        <w:pStyle w:val="2"/>
        <w:tabs>
          <w:tab w:val="left" w:pos="10713"/>
        </w:tabs>
        <w:wordWrap w:val="0"/>
        <w:spacing w:before="0" w:line="480" w:lineRule="auto"/>
        <w:ind w:left="0"/>
        <w:jc w:val="right"/>
        <w:rPr>
          <w:color w:val="auto"/>
          <w:sz w:val="21"/>
          <w:szCs w:val="21"/>
          <w:highlight w:val="none"/>
          <w:u w:val="single"/>
          <w:lang w:val="en-US"/>
        </w:rPr>
      </w:pPr>
      <w:r>
        <w:rPr>
          <w:rFonts w:hint="eastAsia"/>
          <w:color w:val="auto"/>
          <w:sz w:val="21"/>
          <w:szCs w:val="21"/>
          <w:highlight w:val="none"/>
        </w:rPr>
        <w:t>职务：</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被授权人（签字或盖章）：</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pPr>
        <w:pStyle w:val="2"/>
        <w:tabs>
          <w:tab w:val="left" w:pos="2349"/>
        </w:tabs>
        <w:wordWrap w:val="0"/>
        <w:spacing w:before="0" w:line="480" w:lineRule="auto"/>
        <w:ind w:left="0"/>
        <w:jc w:val="right"/>
        <w:rPr>
          <w:color w:val="auto"/>
          <w:sz w:val="21"/>
          <w:szCs w:val="21"/>
          <w:highlight w:val="none"/>
          <w:lang w:val="en-US"/>
        </w:rPr>
      </w:pPr>
      <w:r>
        <w:rPr>
          <w:rFonts w:hint="eastAsia"/>
          <w:color w:val="auto"/>
          <w:sz w:val="21"/>
          <w:szCs w:val="21"/>
          <w:highlight w:val="none"/>
        </w:rPr>
        <w:t>日期： 年 月 日</w:t>
      </w:r>
      <w:r>
        <w:rPr>
          <w:rFonts w:hint="eastAsia"/>
          <w:color w:val="auto"/>
          <w:sz w:val="21"/>
          <w:szCs w:val="21"/>
          <w:highlight w:val="none"/>
          <w:lang w:val="en-US"/>
        </w:rPr>
        <w:t xml:space="preserve">      </w:t>
      </w:r>
    </w:p>
    <w:p>
      <w:pPr>
        <w:pStyle w:val="2"/>
        <w:tabs>
          <w:tab w:val="left" w:pos="2349"/>
        </w:tabs>
        <w:spacing w:before="0" w:line="480" w:lineRule="auto"/>
        <w:ind w:left="0"/>
        <w:rPr>
          <w:color w:val="auto"/>
          <w:sz w:val="21"/>
          <w:szCs w:val="21"/>
          <w:highlight w:val="none"/>
          <w:lang w:val="en-US"/>
        </w:rPr>
      </w:pPr>
      <w:r>
        <w:rPr>
          <w:rFonts w:hint="eastAsia"/>
          <w:color w:val="auto"/>
          <w:sz w:val="21"/>
          <w:szCs w:val="21"/>
          <w:highlight w:val="none"/>
          <w:lang w:val="en-US"/>
        </w:rPr>
        <w:t xml:space="preserve"> </w:t>
      </w:r>
    </w:p>
    <w:p>
      <w:pPr>
        <w:pStyle w:val="2"/>
        <w:tabs>
          <w:tab w:val="left" w:pos="2349"/>
        </w:tabs>
        <w:spacing w:before="0" w:line="480" w:lineRule="auto"/>
        <w:ind w:left="0"/>
        <w:rPr>
          <w:color w:val="auto"/>
          <w:sz w:val="21"/>
          <w:szCs w:val="21"/>
          <w:highlight w:val="none"/>
          <w:lang w:val="en-US"/>
        </w:rPr>
      </w:pPr>
    </w:p>
    <w:p>
      <w:pPr>
        <w:spacing w:afterLines="50" w:line="360" w:lineRule="auto"/>
        <w:rPr>
          <w:rFonts w:ascii="宋体" w:hAnsi="宋体" w:cs="宋体"/>
          <w:color w:val="auto"/>
          <w:szCs w:val="21"/>
          <w:highlight w:val="none"/>
        </w:rPr>
      </w:pPr>
      <w:r>
        <w:rPr>
          <w:rFonts w:hint="eastAsia" w:ascii="宋体" w:hAnsi="宋体" w:cs="宋体"/>
          <w:color w:val="auto"/>
          <w:szCs w:val="21"/>
          <w:highlight w:val="none"/>
        </w:rPr>
        <w:t xml:space="preserve"> 须附：被授权人有效期内身份证复印件</w:t>
      </w:r>
    </w:p>
    <w:tbl>
      <w:tblPr>
        <w:tblStyle w:val="15"/>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59" w:hRule="atLeast"/>
          <w:jc w:val="center"/>
        </w:trPr>
        <w:tc>
          <w:tcPr>
            <w:tcW w:w="2500" w:type="pct"/>
            <w:vAlign w:val="center"/>
          </w:tcPr>
          <w:p>
            <w:pPr>
              <w:pStyle w:val="23"/>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pPr>
              <w:pStyle w:val="23"/>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pPr>
        <w:pStyle w:val="2"/>
        <w:tabs>
          <w:tab w:val="left" w:pos="2349"/>
        </w:tabs>
        <w:spacing w:before="0" w:line="480" w:lineRule="auto"/>
        <w:ind w:left="0"/>
        <w:rPr>
          <w:color w:val="auto"/>
          <w:sz w:val="20"/>
          <w:szCs w:val="20"/>
          <w:highlight w:val="none"/>
          <w:lang w:val="en-US"/>
        </w:rPr>
      </w:pPr>
    </w:p>
    <w:p>
      <w:pPr>
        <w:rPr>
          <w:b/>
          <w:bCs/>
          <w:color w:val="auto"/>
          <w:sz w:val="24"/>
          <w:highlight w:val="none"/>
        </w:rPr>
      </w:pPr>
      <w:r>
        <w:rPr>
          <w:rFonts w:hint="eastAsia"/>
          <w:b/>
          <w:bCs/>
          <w:color w:val="auto"/>
          <w:sz w:val="24"/>
          <w:highlight w:val="none"/>
        </w:rPr>
        <w:br w:type="page"/>
      </w:r>
    </w:p>
    <w:p>
      <w:pPr>
        <w:rPr>
          <w:b/>
          <w:bCs/>
          <w:color w:val="auto"/>
          <w:sz w:val="24"/>
          <w:highlight w:val="none"/>
        </w:rPr>
      </w:pPr>
      <w:r>
        <w:rPr>
          <w:rFonts w:hint="eastAsia"/>
          <w:b/>
          <w:bCs/>
          <w:color w:val="auto"/>
          <w:sz w:val="24"/>
          <w:highlight w:val="none"/>
        </w:rPr>
        <w:t>格式六：</w:t>
      </w:r>
    </w:p>
    <w:p>
      <w:pPr>
        <w:rPr>
          <w:b/>
          <w:bCs/>
          <w:color w:val="auto"/>
          <w:sz w:val="24"/>
          <w:highlight w:val="none"/>
        </w:rPr>
      </w:pPr>
      <w:r>
        <w:rPr>
          <w:color w:val="auto"/>
          <w:sz w:val="20"/>
          <w:szCs w:val="20"/>
          <w:highlight w:val="none"/>
        </w:rPr>
        <w:t>（以下格式文件由</w:t>
      </w:r>
      <w:r>
        <w:rPr>
          <w:rFonts w:hint="eastAsia"/>
          <w:color w:val="auto"/>
          <w:sz w:val="20"/>
          <w:szCs w:val="20"/>
          <w:highlight w:val="none"/>
        </w:rPr>
        <w:t>投标人</w:t>
      </w:r>
      <w:r>
        <w:rPr>
          <w:color w:val="auto"/>
          <w:sz w:val="20"/>
          <w:szCs w:val="20"/>
          <w:highlight w:val="none"/>
        </w:rPr>
        <w:t>根据需要选用）</w:t>
      </w:r>
    </w:p>
    <w:p>
      <w:pPr>
        <w:jc w:val="center"/>
        <w:rPr>
          <w:b/>
          <w:bCs/>
          <w:color w:val="auto"/>
          <w:sz w:val="24"/>
          <w:highlight w:val="none"/>
        </w:rPr>
      </w:pPr>
      <w:r>
        <w:rPr>
          <w:rFonts w:hint="eastAsia"/>
          <w:b/>
          <w:bCs/>
          <w:color w:val="auto"/>
          <w:sz w:val="24"/>
          <w:highlight w:val="none"/>
        </w:rPr>
        <w:t>投标保证金</w:t>
      </w:r>
    </w:p>
    <w:p>
      <w:pPr>
        <w:spacing w:line="360" w:lineRule="auto"/>
        <w:rPr>
          <w:rFonts w:ascii="宋体" w:hAnsi="宋体"/>
          <w:color w:val="auto"/>
          <w:szCs w:val="21"/>
          <w:highlight w:val="none"/>
        </w:rPr>
      </w:pPr>
      <w:r>
        <w:rPr>
          <w:rFonts w:hint="eastAsia" w:ascii="宋体" w:hAnsi="宋体"/>
          <w:color w:val="auto"/>
          <w:szCs w:val="21"/>
          <w:highlight w:val="none"/>
        </w:rPr>
        <w:t>致：国顺招标有限公司：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本单位已按</w:t>
      </w:r>
      <w:r>
        <w:rPr>
          <w:rFonts w:hint="eastAsia" w:ascii="宋体" w:hAnsi="宋体"/>
          <w:color w:val="auto"/>
          <w:szCs w:val="21"/>
          <w:highlight w:val="none"/>
          <w:u w:val="single"/>
        </w:rPr>
        <w:t xml:space="preserve">         </w:t>
      </w:r>
      <w:r>
        <w:rPr>
          <w:rFonts w:hint="eastAsia" w:ascii="宋体" w:hAnsi="宋体"/>
          <w:color w:val="auto"/>
          <w:szCs w:val="21"/>
          <w:highlight w:val="none"/>
        </w:rPr>
        <w:t>项目</w:t>
      </w:r>
      <w:r>
        <w:rPr>
          <w:rFonts w:hint="eastAsia" w:ascii="宋体" w:hAnsi="宋体"/>
          <w:color w:val="auto"/>
          <w:szCs w:val="21"/>
          <w:highlight w:val="none"/>
          <w:u w:val="single"/>
        </w:rPr>
        <w:t xml:space="preserve">   </w:t>
      </w:r>
      <w:r>
        <w:rPr>
          <w:rFonts w:hint="eastAsia" w:ascii="宋体" w:hAnsi="宋体"/>
          <w:color w:val="auto"/>
          <w:szCs w:val="21"/>
          <w:highlight w:val="none"/>
        </w:rPr>
        <w:t>包（项目编号：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）的招标文件要求，于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日前以</w:t>
      </w:r>
      <w:r>
        <w:rPr>
          <w:rFonts w:hint="eastAsia" w:ascii="宋体" w:hAnsi="宋体"/>
          <w:color w:val="auto"/>
          <w:szCs w:val="21"/>
          <w:highlight w:val="none"/>
          <w:u w:val="single"/>
        </w:rPr>
        <w:t xml:space="preserve">           （付款形式）</w:t>
      </w:r>
      <w:r>
        <w:rPr>
          <w:rFonts w:hint="eastAsia" w:ascii="宋体" w:hAnsi="宋体"/>
          <w:color w:val="auto"/>
          <w:szCs w:val="21"/>
          <w:highlight w:val="none"/>
        </w:rPr>
        <w:t>方式汇入指定账户（账户名称：</w:t>
      </w:r>
      <w:r>
        <w:rPr>
          <w:rFonts w:hint="eastAsia" w:ascii="宋体" w:hAnsi="宋体"/>
          <w:color w:val="auto"/>
          <w:szCs w:val="21"/>
          <w:highlight w:val="none"/>
          <w:u w:val="single"/>
        </w:rPr>
        <w:t xml:space="preserve">        </w:t>
      </w:r>
      <w:r>
        <w:rPr>
          <w:rFonts w:hint="eastAsia" w:ascii="宋体" w:hAnsi="宋体"/>
          <w:color w:val="auto"/>
          <w:szCs w:val="21"/>
          <w:highlight w:val="none"/>
        </w:rPr>
        <w:t>，账号：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本单位投标保证金的汇款情况：（详见附件－投标保证金汇款凭证）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汇出时间：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汇款金额：（大写）人民币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元（小写：￥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汇款账户名称：</w:t>
      </w:r>
      <w:r>
        <w:rPr>
          <w:rFonts w:hint="eastAsia" w:ascii="宋体" w:hAnsi="宋体"/>
          <w:color w:val="auto"/>
          <w:szCs w:val="21"/>
          <w:highlight w:val="none"/>
          <w:u w:val="single"/>
        </w:rPr>
        <w:t xml:space="preserve">  （必须是投标时使用的账户名）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账        号：</w:t>
      </w:r>
      <w:r>
        <w:rPr>
          <w:rFonts w:hint="eastAsia" w:ascii="宋体" w:hAnsi="宋体"/>
          <w:color w:val="auto"/>
          <w:szCs w:val="21"/>
          <w:highlight w:val="none"/>
          <w:u w:val="single"/>
        </w:rPr>
        <w:t xml:space="preserve">  （必须是投标时使用的账号）     </w:t>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开 户  银 行：</w:t>
      </w:r>
      <w:r>
        <w:rPr>
          <w:rFonts w:hint="eastAsia" w:ascii="宋体" w:hAnsi="宋体"/>
          <w:color w:val="auto"/>
          <w:szCs w:val="21"/>
          <w:highlight w:val="none"/>
          <w:u w:val="single"/>
        </w:rPr>
        <w:t xml:space="preserve">  （      银行   分行  支行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本单位谨承诺上述资料是正确、真实的，如因上述证明与事实不符导致的一切损失，本单位保证承担赔偿等一切法律责任。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投标保证金退回时，请按上述资料退回。</w:t>
      </w:r>
    </w:p>
    <w:p>
      <w:pPr>
        <w:spacing w:line="360" w:lineRule="auto"/>
        <w:ind w:right="844" w:rightChars="402"/>
        <w:jc w:val="right"/>
        <w:rPr>
          <w:rFonts w:ascii="宋体" w:hAnsi="宋体"/>
          <w:color w:val="auto"/>
          <w:szCs w:val="21"/>
          <w:highlight w:val="none"/>
        </w:rPr>
      </w:pPr>
      <w:r>
        <w:rPr>
          <w:rFonts w:hint="eastAsia" w:ascii="宋体" w:hAnsi="宋体"/>
          <w:color w:val="auto"/>
          <w:szCs w:val="21"/>
          <w:highlight w:val="none"/>
        </w:rPr>
        <w:t>（单位公章）</w:t>
      </w:r>
    </w:p>
    <w:p>
      <w:pPr>
        <w:spacing w:line="360" w:lineRule="auto"/>
        <w:ind w:right="628" w:rightChars="299"/>
        <w:jc w:val="right"/>
        <w:rPr>
          <w:rFonts w:ascii="宋体" w:hAnsi="宋体"/>
          <w:color w:val="auto"/>
          <w:szCs w:val="21"/>
          <w:highlight w:val="none"/>
        </w:rPr>
      </w:pPr>
      <w:r>
        <w:rPr>
          <w:rFonts w:hint="eastAsia" w:ascii="宋体" w:hAnsi="宋体"/>
          <w:color w:val="auto"/>
          <w:szCs w:val="21"/>
          <w:highlight w:val="none"/>
        </w:rPr>
        <w:t>年 月 日</w:t>
      </w:r>
    </w:p>
    <w:p>
      <w:pPr>
        <w:spacing w:line="360" w:lineRule="auto"/>
        <w:rPr>
          <w:rFonts w:ascii="宋体" w:hAnsi="宋体"/>
          <w:color w:val="auto"/>
          <w:szCs w:val="21"/>
          <w:highlight w:val="none"/>
        </w:rPr>
      </w:pPr>
      <w:r>
        <w:rPr>
          <w:rFonts w:hint="eastAsia" w:ascii="宋体" w:hAnsi="宋体"/>
          <w:color w:val="auto"/>
          <w:szCs w:val="21"/>
          <w:highlight w:val="none"/>
        </w:rPr>
        <w:t>单位名称：</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单位地址：</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单位电话：</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联系人手机：</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附：我方投标保证金汇款凭证</w:t>
      </w:r>
    </w:p>
    <w:tbl>
      <w:tblPr>
        <w:tblStyle w:val="15"/>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5000" w:type="pct"/>
            <w:vAlign w:val="center"/>
          </w:tcPr>
          <w:p>
            <w:pPr>
              <w:tabs>
                <w:tab w:val="left" w:pos="3885"/>
              </w:tabs>
              <w:spacing w:line="360" w:lineRule="auto"/>
              <w:jc w:val="center"/>
              <w:rPr>
                <w:rFonts w:ascii="宋体" w:hAnsi="宋体"/>
                <w:color w:val="auto"/>
                <w:szCs w:val="21"/>
                <w:highlight w:val="none"/>
              </w:rPr>
            </w:pPr>
            <w:r>
              <w:rPr>
                <w:rFonts w:hint="eastAsia" w:ascii="宋体" w:hAnsi="宋体"/>
                <w:color w:val="auto"/>
                <w:szCs w:val="21"/>
                <w:highlight w:val="none"/>
              </w:rPr>
              <w:t>（粘贴汇款单或转账</w:t>
            </w:r>
            <w:r>
              <w:rPr>
                <w:rFonts w:ascii="宋体" w:hAnsi="宋体"/>
                <w:color w:val="auto"/>
                <w:szCs w:val="21"/>
                <w:highlight w:val="none"/>
              </w:rPr>
              <w:t>凭证</w:t>
            </w:r>
            <w:r>
              <w:rPr>
                <w:rFonts w:hint="eastAsia" w:ascii="宋体" w:hAnsi="宋体"/>
                <w:color w:val="auto"/>
                <w:szCs w:val="21"/>
                <w:highlight w:val="none"/>
              </w:rPr>
              <w:t>复印件，并在骑缝上加盖投标人公章，或是直接把转账</w:t>
            </w:r>
            <w:r>
              <w:rPr>
                <w:rFonts w:ascii="宋体" w:hAnsi="宋体"/>
                <w:color w:val="auto"/>
                <w:szCs w:val="21"/>
                <w:highlight w:val="none"/>
              </w:rPr>
              <w:t>凭证</w:t>
            </w:r>
            <w:r>
              <w:rPr>
                <w:rFonts w:hint="eastAsia" w:ascii="宋体" w:hAnsi="宋体"/>
                <w:color w:val="auto"/>
                <w:szCs w:val="21"/>
                <w:highlight w:val="none"/>
              </w:rPr>
              <w:t>复印到此张纸上）</w:t>
            </w:r>
          </w:p>
        </w:tc>
      </w:tr>
    </w:tbl>
    <w:p>
      <w:pPr>
        <w:rPr>
          <w:color w:val="auto"/>
          <w:highlight w:val="none"/>
        </w:rPr>
      </w:pPr>
      <w:r>
        <w:rPr>
          <w:rFonts w:hint="eastAsia"/>
          <w:color w:val="auto"/>
          <w:highlight w:val="none"/>
        </w:rPr>
        <w:br w:type="page"/>
      </w:r>
    </w:p>
    <w:p>
      <w:pPr>
        <w:rPr>
          <w:b/>
          <w:bCs/>
          <w:color w:val="auto"/>
          <w:sz w:val="24"/>
          <w:szCs w:val="32"/>
          <w:highlight w:val="none"/>
        </w:rPr>
      </w:pPr>
      <w:r>
        <w:rPr>
          <w:rFonts w:hint="eastAsia"/>
          <w:b/>
          <w:bCs/>
          <w:color w:val="auto"/>
          <w:sz w:val="24"/>
          <w:szCs w:val="32"/>
          <w:highlight w:val="none"/>
        </w:rPr>
        <w:t>格式七：</w:t>
      </w:r>
    </w:p>
    <w:p>
      <w:pPr>
        <w:pStyle w:val="2"/>
        <w:jc w:val="center"/>
        <w:rPr>
          <w:b/>
          <w:bCs/>
          <w:color w:val="auto"/>
          <w:highlight w:val="none"/>
          <w:lang w:val="en-US"/>
        </w:rPr>
      </w:pPr>
      <w:r>
        <w:rPr>
          <w:b/>
          <w:bCs/>
          <w:color w:val="auto"/>
          <w:highlight w:val="none"/>
          <w:lang w:val="en-US"/>
        </w:rPr>
        <w:t>提供具有独立承担民事责任的能力的证明材料</w:t>
      </w:r>
    </w:p>
    <w:p>
      <w:pPr>
        <w:ind w:firstLine="420" w:firstLineChars="200"/>
        <w:rPr>
          <w:color w:val="auto"/>
          <w:highlight w:val="none"/>
        </w:rPr>
      </w:pPr>
    </w:p>
    <w:p>
      <w:pPr>
        <w:spacing w:line="360" w:lineRule="auto"/>
        <w:rPr>
          <w:color w:val="auto"/>
          <w:highlight w:val="none"/>
        </w:rPr>
      </w:pPr>
      <w:r>
        <w:rPr>
          <w:rFonts w:hint="eastAsia"/>
          <w:color w:val="auto"/>
          <w:highlight w:val="none"/>
        </w:rPr>
        <w:t>（</w:t>
      </w:r>
      <w:r>
        <w:rPr>
          <w:color w:val="auto"/>
          <w:szCs w:val="21"/>
          <w:highlight w:val="none"/>
        </w:rPr>
        <w:t>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r>
        <w:rPr>
          <w:color w:val="auto"/>
          <w:w w:val="101"/>
          <w:szCs w:val="21"/>
          <w:highlight w:val="none"/>
        </w:rPr>
        <w:t>。</w:t>
      </w:r>
      <w:r>
        <w:rPr>
          <w:rFonts w:hint="eastAsia"/>
          <w:color w:val="auto"/>
          <w:highlight w:val="none"/>
        </w:rPr>
        <w:t>）</w:t>
      </w:r>
    </w:p>
    <w:p>
      <w:pPr>
        <w:rPr>
          <w:b/>
          <w:bCs/>
          <w:color w:val="auto"/>
          <w:highlight w:val="none"/>
        </w:rPr>
      </w:pPr>
      <w:r>
        <w:rPr>
          <w:b/>
          <w:bCs/>
          <w:color w:val="auto"/>
          <w:highlight w:val="none"/>
        </w:rPr>
        <w:br w:type="page"/>
      </w:r>
    </w:p>
    <w:p>
      <w:pPr>
        <w:rPr>
          <w:b/>
          <w:bCs/>
          <w:color w:val="auto"/>
          <w:sz w:val="24"/>
          <w:szCs w:val="32"/>
          <w:highlight w:val="none"/>
        </w:rPr>
      </w:pPr>
      <w:r>
        <w:rPr>
          <w:rFonts w:hint="eastAsia"/>
          <w:b/>
          <w:bCs/>
          <w:color w:val="auto"/>
          <w:sz w:val="24"/>
          <w:szCs w:val="32"/>
          <w:highlight w:val="none"/>
        </w:rPr>
        <w:t>格式八：</w:t>
      </w:r>
    </w:p>
    <w:p>
      <w:pPr>
        <w:pStyle w:val="2"/>
        <w:jc w:val="center"/>
        <w:rPr>
          <w:b/>
          <w:color w:val="auto"/>
          <w:highlight w:val="none"/>
        </w:rPr>
      </w:pPr>
      <w:r>
        <w:rPr>
          <w:b/>
          <w:color w:val="auto"/>
          <w:highlight w:val="none"/>
        </w:rPr>
        <w:t>资格性审查要求的其他资质证明文件</w:t>
      </w:r>
    </w:p>
    <w:p>
      <w:pPr>
        <w:widowControl/>
        <w:spacing w:line="360" w:lineRule="auto"/>
        <w:rPr>
          <w:rFonts w:ascii="宋体" w:hAnsi="宋体"/>
          <w:color w:val="auto"/>
          <w:szCs w:val="21"/>
          <w:highlight w:val="none"/>
        </w:rPr>
      </w:pPr>
    </w:p>
    <w:p>
      <w:pPr>
        <w:widowControl/>
        <w:spacing w:line="360" w:lineRule="auto"/>
        <w:rPr>
          <w:rFonts w:ascii="宋体" w:hAnsi="宋体"/>
          <w:color w:val="auto"/>
          <w:szCs w:val="21"/>
          <w:highlight w:val="none"/>
        </w:rPr>
      </w:pPr>
      <w:r>
        <w:rPr>
          <w:rFonts w:hint="eastAsia" w:ascii="宋体" w:hAnsi="宋体"/>
          <w:color w:val="auto"/>
          <w:szCs w:val="21"/>
          <w:highlight w:val="none"/>
        </w:rPr>
        <w:t>1、有依法缴纳税收和社会保障资金的良好记录：提供投标截止日前6个月内任意1个月依法缴纳税收和社会保障资金的相关材料。如依法免税或不需要缴纳社会保障资金的，提供相应证明材料。</w:t>
      </w:r>
      <w:r>
        <w:rPr>
          <w:rFonts w:hint="eastAsia"/>
          <w:color w:val="auto"/>
          <w:sz w:val="20"/>
          <w:highlight w:val="none"/>
        </w:rPr>
        <w:t>(或提供相关承诺函）</w:t>
      </w:r>
    </w:p>
    <w:p>
      <w:pPr>
        <w:widowControl/>
        <w:spacing w:line="360" w:lineRule="auto"/>
        <w:rPr>
          <w:rFonts w:ascii="宋体" w:hAnsi="宋体"/>
          <w:color w:val="auto"/>
          <w:szCs w:val="21"/>
          <w:highlight w:val="none"/>
        </w:rPr>
      </w:pPr>
      <w:r>
        <w:rPr>
          <w:rFonts w:hint="eastAsia" w:ascii="宋体" w:hAnsi="宋体"/>
          <w:color w:val="auto"/>
          <w:szCs w:val="21"/>
          <w:highlight w:val="none"/>
        </w:rPr>
        <w:t>2、具有良好的商业信誉和健全的财务会计制度：供应商必须具有良好的商业信誉和健全的财务会计制度（提供202</w:t>
      </w:r>
      <w:r>
        <w:rPr>
          <w:rFonts w:hint="eastAsia" w:ascii="宋体" w:hAnsi="宋体"/>
          <w:color w:val="auto"/>
          <w:szCs w:val="21"/>
          <w:highlight w:val="none"/>
          <w:lang w:val="en-US" w:eastAsia="zh-CN"/>
        </w:rPr>
        <w:t>1</w:t>
      </w:r>
      <w:r>
        <w:rPr>
          <w:rFonts w:hint="eastAsia" w:ascii="宋体" w:hAnsi="宋体"/>
          <w:color w:val="auto"/>
          <w:szCs w:val="21"/>
          <w:highlight w:val="none"/>
        </w:rPr>
        <w:t>年度</w:t>
      </w:r>
      <w:r>
        <w:rPr>
          <w:rFonts w:hint="eastAsia" w:ascii="宋体" w:hAnsi="宋体"/>
          <w:color w:val="auto"/>
          <w:szCs w:val="21"/>
          <w:highlight w:val="none"/>
          <w:lang w:val="en-US" w:eastAsia="zh-CN"/>
        </w:rPr>
        <w:t>或2022年度</w:t>
      </w:r>
      <w:r>
        <w:rPr>
          <w:rFonts w:hint="eastAsia" w:ascii="宋体" w:hAnsi="宋体"/>
          <w:color w:val="auto"/>
          <w:szCs w:val="21"/>
          <w:highlight w:val="none"/>
        </w:rPr>
        <w:t>财务状况报告或基本开户行出具的资信证明）。</w:t>
      </w:r>
      <w:r>
        <w:rPr>
          <w:rFonts w:hint="eastAsia"/>
          <w:color w:val="auto"/>
          <w:sz w:val="20"/>
          <w:highlight w:val="none"/>
        </w:rPr>
        <w:t>(或提供相关承诺函）</w:t>
      </w:r>
    </w:p>
    <w:p>
      <w:pPr>
        <w:widowControl/>
        <w:spacing w:line="360" w:lineRule="auto"/>
        <w:rPr>
          <w:color w:val="auto"/>
          <w:sz w:val="20"/>
          <w:highlight w:val="none"/>
        </w:rPr>
      </w:pPr>
      <w:r>
        <w:rPr>
          <w:rFonts w:hint="eastAsia" w:ascii="宋体" w:hAnsi="宋体"/>
          <w:color w:val="auto"/>
          <w:szCs w:val="21"/>
          <w:highlight w:val="none"/>
        </w:rPr>
        <w:t>3、</w:t>
      </w:r>
      <w:r>
        <w:rPr>
          <w:rFonts w:hint="eastAsia" w:ascii="宋体" w:hAnsi="宋体"/>
          <w:color w:val="auto"/>
          <w:szCs w:val="21"/>
          <w:highlight w:val="none"/>
          <w:lang w:eastAsia="zh-CN"/>
        </w:rPr>
        <w:t>履行合同所必需的</w:t>
      </w:r>
      <w:r>
        <w:rPr>
          <w:rFonts w:hint="eastAsia" w:ascii="宋体" w:hAnsi="宋体"/>
          <w:color w:val="auto"/>
          <w:szCs w:val="21"/>
          <w:highlight w:val="none"/>
        </w:rPr>
        <w:t>设备和专业技术能力：填报设备及专业技术能力情况，格式自拟。</w:t>
      </w:r>
      <w:r>
        <w:rPr>
          <w:rFonts w:hint="eastAsia"/>
          <w:color w:val="auto"/>
          <w:sz w:val="20"/>
          <w:highlight w:val="none"/>
        </w:rPr>
        <w:t>(或提供相关承诺函）</w:t>
      </w:r>
    </w:p>
    <w:p>
      <w:pPr>
        <w:rPr>
          <w:color w:val="auto"/>
          <w:sz w:val="20"/>
          <w:highlight w:val="none"/>
        </w:rPr>
      </w:pPr>
      <w:r>
        <w:rPr>
          <w:rFonts w:hint="eastAsia"/>
          <w:color w:val="auto"/>
          <w:sz w:val="20"/>
          <w:highlight w:val="none"/>
        </w:rPr>
        <w:br w:type="page"/>
      </w:r>
    </w:p>
    <w:p>
      <w:pPr>
        <w:pStyle w:val="2"/>
        <w:rPr>
          <w:color w:val="auto"/>
          <w:highlight w:val="none"/>
        </w:rPr>
      </w:pPr>
      <w:r>
        <w:rPr>
          <w:rFonts w:hint="eastAsia"/>
          <w:b/>
          <w:bCs/>
          <w:color w:val="auto"/>
          <w:highlight w:val="none"/>
        </w:rPr>
        <w:t>格式九：</w:t>
      </w:r>
    </w:p>
    <w:p>
      <w:pPr>
        <w:rPr>
          <w:color w:val="auto"/>
          <w:highlight w:val="none"/>
        </w:rPr>
      </w:pPr>
    </w:p>
    <w:p>
      <w:pPr>
        <w:jc w:val="center"/>
        <w:rPr>
          <w:b/>
          <w:bCs/>
          <w:color w:val="auto"/>
          <w:sz w:val="24"/>
          <w:szCs w:val="32"/>
          <w:highlight w:val="none"/>
        </w:rPr>
      </w:pPr>
      <w:r>
        <w:rPr>
          <w:rFonts w:hint="eastAsia"/>
          <w:b/>
          <w:bCs/>
          <w:color w:val="auto"/>
          <w:sz w:val="24"/>
          <w:szCs w:val="32"/>
          <w:highlight w:val="none"/>
        </w:rPr>
        <w:t>在经营活动中没有重大违法记录的书面声明</w:t>
      </w:r>
    </w:p>
    <w:p>
      <w:pPr>
        <w:rPr>
          <w:color w:val="auto"/>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国顺招标有限公司：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我公司郑重承诺：在参加“</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 （项目编号: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）政府采购活动前三年内（设立不满三年的从设立之日计算），在经营活动中没有因违法经营受到刑事处罚或者责令停产停业、吊销许可证或者执照、较大数额罚款等行政处罚。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我公司以上承诺均为真实有效，绝无任何虚假、伪造的成份，否则，愿承担相应的后果和法律责任。</w:t>
      </w:r>
    </w:p>
    <w:p>
      <w:pPr>
        <w:spacing w:line="360" w:lineRule="auto"/>
        <w:ind w:firstLine="420" w:firstLineChars="200"/>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投标人名称（盖章）：</w:t>
      </w: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p>
    <w:p>
      <w:pPr>
        <w:rPr>
          <w:color w:val="auto"/>
          <w:highlight w:val="none"/>
        </w:rPr>
      </w:pPr>
      <w:r>
        <w:rPr>
          <w:color w:val="auto"/>
          <w:highlight w:val="none"/>
        </w:rPr>
        <w:br w:type="page"/>
      </w:r>
    </w:p>
    <w:p>
      <w:pPr>
        <w:rPr>
          <w:b/>
          <w:bCs/>
          <w:color w:val="auto"/>
          <w:sz w:val="24"/>
          <w:szCs w:val="32"/>
          <w:highlight w:val="none"/>
        </w:rPr>
      </w:pPr>
      <w:r>
        <w:rPr>
          <w:rFonts w:hint="eastAsia"/>
          <w:b/>
          <w:bCs/>
          <w:color w:val="auto"/>
          <w:sz w:val="24"/>
          <w:szCs w:val="32"/>
          <w:highlight w:val="none"/>
        </w:rPr>
        <w:t>格式十：</w:t>
      </w:r>
    </w:p>
    <w:p>
      <w:pPr>
        <w:pStyle w:val="2"/>
        <w:jc w:val="center"/>
        <w:rPr>
          <w:b/>
          <w:bCs/>
          <w:color w:val="auto"/>
          <w:highlight w:val="none"/>
          <w:lang w:val="en-US"/>
        </w:rPr>
      </w:pPr>
      <w:r>
        <w:rPr>
          <w:b/>
          <w:bCs/>
          <w:color w:val="auto"/>
          <w:highlight w:val="none"/>
          <w:lang w:val="en-US"/>
        </w:rPr>
        <w:t>投标人业绩情况表</w:t>
      </w:r>
    </w:p>
    <w:p>
      <w:pPr>
        <w:pStyle w:val="2"/>
        <w:spacing w:before="2" w:after="1"/>
        <w:rPr>
          <w:b/>
          <w:color w:val="auto"/>
          <w:sz w:val="17"/>
          <w:highlight w:val="none"/>
        </w:rPr>
      </w:pPr>
    </w:p>
    <w:tbl>
      <w:tblPr>
        <w:tblStyle w:val="15"/>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47"/>
        <w:gridCol w:w="917"/>
        <w:gridCol w:w="2585"/>
        <w:gridCol w:w="1297"/>
        <w:gridCol w:w="1666"/>
        <w:gridCol w:w="13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551"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客户名称</w:t>
            </w:r>
          </w:p>
        </w:tc>
        <w:tc>
          <w:tcPr>
            <w:tcW w:w="1553"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项目名称及合同金额（万元）</w:t>
            </w:r>
          </w:p>
        </w:tc>
        <w:tc>
          <w:tcPr>
            <w:tcW w:w="779"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签订合同时间</w:t>
            </w:r>
          </w:p>
        </w:tc>
        <w:tc>
          <w:tcPr>
            <w:tcW w:w="1001"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竣工验收报告时间</w:t>
            </w:r>
          </w:p>
        </w:tc>
        <w:tc>
          <w:tcPr>
            <w:tcW w:w="785"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联系人及电话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551" w:type="pct"/>
            <w:shd w:val="clear" w:color="auto" w:fill="FFFFFF" w:themeFill="background1"/>
          </w:tcPr>
          <w:p>
            <w:pPr>
              <w:pStyle w:val="22"/>
              <w:spacing w:line="360" w:lineRule="auto"/>
              <w:rPr>
                <w:rFonts w:ascii="宋体" w:hAnsi="宋体" w:cs="宋体"/>
                <w:color w:val="auto"/>
                <w:szCs w:val="21"/>
                <w:highlight w:val="none"/>
              </w:rPr>
            </w:pPr>
          </w:p>
        </w:tc>
        <w:tc>
          <w:tcPr>
            <w:tcW w:w="1553" w:type="pct"/>
            <w:shd w:val="clear" w:color="auto" w:fill="FFFFFF" w:themeFill="background1"/>
          </w:tcPr>
          <w:p>
            <w:pPr>
              <w:pStyle w:val="22"/>
              <w:spacing w:line="360" w:lineRule="auto"/>
              <w:rPr>
                <w:rFonts w:ascii="宋体" w:hAnsi="宋体" w:cs="宋体"/>
                <w:color w:val="auto"/>
                <w:szCs w:val="21"/>
                <w:highlight w:val="none"/>
              </w:rPr>
            </w:pPr>
          </w:p>
        </w:tc>
        <w:tc>
          <w:tcPr>
            <w:tcW w:w="779" w:type="pct"/>
            <w:shd w:val="clear" w:color="auto" w:fill="FFFFFF" w:themeFill="background1"/>
          </w:tcPr>
          <w:p>
            <w:pPr>
              <w:pStyle w:val="22"/>
              <w:spacing w:line="360" w:lineRule="auto"/>
              <w:rPr>
                <w:rFonts w:ascii="宋体" w:hAnsi="宋体" w:cs="宋体"/>
                <w:color w:val="auto"/>
                <w:szCs w:val="21"/>
                <w:highlight w:val="none"/>
              </w:rPr>
            </w:pPr>
          </w:p>
        </w:tc>
        <w:tc>
          <w:tcPr>
            <w:tcW w:w="1001" w:type="pct"/>
            <w:shd w:val="clear" w:color="auto" w:fill="FFFFFF" w:themeFill="background1"/>
          </w:tcPr>
          <w:p>
            <w:pPr>
              <w:pStyle w:val="22"/>
              <w:spacing w:line="360" w:lineRule="auto"/>
              <w:rPr>
                <w:rFonts w:ascii="宋体" w:hAnsi="宋体" w:cs="宋体"/>
                <w:color w:val="auto"/>
                <w:szCs w:val="21"/>
                <w:highlight w:val="none"/>
              </w:rPr>
            </w:pPr>
          </w:p>
        </w:tc>
        <w:tc>
          <w:tcPr>
            <w:tcW w:w="785"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551" w:type="pct"/>
            <w:shd w:val="clear" w:color="auto" w:fill="FFFFFF" w:themeFill="background1"/>
          </w:tcPr>
          <w:p>
            <w:pPr>
              <w:pStyle w:val="22"/>
              <w:spacing w:line="360" w:lineRule="auto"/>
              <w:rPr>
                <w:rFonts w:ascii="宋体" w:hAnsi="宋体" w:cs="宋体"/>
                <w:color w:val="auto"/>
                <w:szCs w:val="21"/>
                <w:highlight w:val="none"/>
              </w:rPr>
            </w:pPr>
          </w:p>
        </w:tc>
        <w:tc>
          <w:tcPr>
            <w:tcW w:w="1553" w:type="pct"/>
            <w:shd w:val="clear" w:color="auto" w:fill="FFFFFF" w:themeFill="background1"/>
          </w:tcPr>
          <w:p>
            <w:pPr>
              <w:pStyle w:val="22"/>
              <w:spacing w:line="360" w:lineRule="auto"/>
              <w:rPr>
                <w:rFonts w:ascii="宋体" w:hAnsi="宋体" w:cs="宋体"/>
                <w:color w:val="auto"/>
                <w:szCs w:val="21"/>
                <w:highlight w:val="none"/>
              </w:rPr>
            </w:pPr>
          </w:p>
        </w:tc>
        <w:tc>
          <w:tcPr>
            <w:tcW w:w="779" w:type="pct"/>
            <w:shd w:val="clear" w:color="auto" w:fill="FFFFFF" w:themeFill="background1"/>
          </w:tcPr>
          <w:p>
            <w:pPr>
              <w:pStyle w:val="22"/>
              <w:spacing w:line="360" w:lineRule="auto"/>
              <w:rPr>
                <w:rFonts w:ascii="宋体" w:hAnsi="宋体" w:cs="宋体"/>
                <w:color w:val="auto"/>
                <w:szCs w:val="21"/>
                <w:highlight w:val="none"/>
              </w:rPr>
            </w:pPr>
          </w:p>
        </w:tc>
        <w:tc>
          <w:tcPr>
            <w:tcW w:w="1001" w:type="pct"/>
            <w:shd w:val="clear" w:color="auto" w:fill="FFFFFF" w:themeFill="background1"/>
          </w:tcPr>
          <w:p>
            <w:pPr>
              <w:pStyle w:val="22"/>
              <w:spacing w:line="360" w:lineRule="auto"/>
              <w:rPr>
                <w:rFonts w:ascii="宋体" w:hAnsi="宋体" w:cs="宋体"/>
                <w:color w:val="auto"/>
                <w:szCs w:val="21"/>
                <w:highlight w:val="none"/>
              </w:rPr>
            </w:pPr>
          </w:p>
        </w:tc>
        <w:tc>
          <w:tcPr>
            <w:tcW w:w="785"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551" w:type="pct"/>
            <w:shd w:val="clear" w:color="auto" w:fill="FFFFFF" w:themeFill="background1"/>
          </w:tcPr>
          <w:p>
            <w:pPr>
              <w:pStyle w:val="22"/>
              <w:spacing w:line="360" w:lineRule="auto"/>
              <w:rPr>
                <w:rFonts w:ascii="宋体" w:hAnsi="宋体" w:cs="宋体"/>
                <w:color w:val="auto"/>
                <w:szCs w:val="21"/>
                <w:highlight w:val="none"/>
              </w:rPr>
            </w:pPr>
          </w:p>
        </w:tc>
        <w:tc>
          <w:tcPr>
            <w:tcW w:w="1553" w:type="pct"/>
            <w:shd w:val="clear" w:color="auto" w:fill="FFFFFF" w:themeFill="background1"/>
          </w:tcPr>
          <w:p>
            <w:pPr>
              <w:pStyle w:val="22"/>
              <w:spacing w:line="360" w:lineRule="auto"/>
              <w:rPr>
                <w:rFonts w:ascii="宋体" w:hAnsi="宋体" w:cs="宋体"/>
                <w:color w:val="auto"/>
                <w:szCs w:val="21"/>
                <w:highlight w:val="none"/>
              </w:rPr>
            </w:pPr>
          </w:p>
        </w:tc>
        <w:tc>
          <w:tcPr>
            <w:tcW w:w="779" w:type="pct"/>
            <w:shd w:val="clear" w:color="auto" w:fill="FFFFFF" w:themeFill="background1"/>
          </w:tcPr>
          <w:p>
            <w:pPr>
              <w:pStyle w:val="22"/>
              <w:spacing w:line="360" w:lineRule="auto"/>
              <w:rPr>
                <w:rFonts w:ascii="宋体" w:hAnsi="宋体" w:cs="宋体"/>
                <w:color w:val="auto"/>
                <w:szCs w:val="21"/>
                <w:highlight w:val="none"/>
              </w:rPr>
            </w:pPr>
          </w:p>
        </w:tc>
        <w:tc>
          <w:tcPr>
            <w:tcW w:w="1001" w:type="pct"/>
            <w:shd w:val="clear" w:color="auto" w:fill="FFFFFF" w:themeFill="background1"/>
          </w:tcPr>
          <w:p>
            <w:pPr>
              <w:pStyle w:val="22"/>
              <w:spacing w:line="360" w:lineRule="auto"/>
              <w:rPr>
                <w:rFonts w:ascii="宋体" w:hAnsi="宋体" w:cs="宋体"/>
                <w:color w:val="auto"/>
                <w:szCs w:val="21"/>
                <w:highlight w:val="none"/>
              </w:rPr>
            </w:pPr>
          </w:p>
        </w:tc>
        <w:tc>
          <w:tcPr>
            <w:tcW w:w="785"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551" w:type="pct"/>
          </w:tcPr>
          <w:p>
            <w:pPr>
              <w:pStyle w:val="22"/>
              <w:spacing w:line="360" w:lineRule="auto"/>
              <w:rPr>
                <w:rFonts w:ascii="宋体" w:hAnsi="宋体" w:cs="宋体"/>
                <w:color w:val="auto"/>
                <w:szCs w:val="21"/>
                <w:highlight w:val="none"/>
              </w:rPr>
            </w:pPr>
          </w:p>
        </w:tc>
        <w:tc>
          <w:tcPr>
            <w:tcW w:w="1553" w:type="pct"/>
          </w:tcPr>
          <w:p>
            <w:pPr>
              <w:pStyle w:val="22"/>
              <w:spacing w:line="360" w:lineRule="auto"/>
              <w:rPr>
                <w:rFonts w:ascii="宋体" w:hAnsi="宋体" w:cs="宋体"/>
                <w:color w:val="auto"/>
                <w:szCs w:val="21"/>
                <w:highlight w:val="none"/>
              </w:rPr>
            </w:pPr>
          </w:p>
        </w:tc>
        <w:tc>
          <w:tcPr>
            <w:tcW w:w="779" w:type="pct"/>
          </w:tcPr>
          <w:p>
            <w:pPr>
              <w:pStyle w:val="22"/>
              <w:spacing w:line="360" w:lineRule="auto"/>
              <w:rPr>
                <w:rFonts w:ascii="宋体" w:hAnsi="宋体" w:cs="宋体"/>
                <w:color w:val="auto"/>
                <w:szCs w:val="21"/>
                <w:highlight w:val="none"/>
              </w:rPr>
            </w:pPr>
          </w:p>
        </w:tc>
        <w:tc>
          <w:tcPr>
            <w:tcW w:w="1001" w:type="pct"/>
          </w:tcPr>
          <w:p>
            <w:pPr>
              <w:pStyle w:val="22"/>
              <w:spacing w:line="360" w:lineRule="auto"/>
              <w:rPr>
                <w:rFonts w:ascii="宋体" w:hAnsi="宋体" w:cs="宋体"/>
                <w:color w:val="auto"/>
                <w:szCs w:val="21"/>
                <w:highlight w:val="none"/>
              </w:rPr>
            </w:pPr>
          </w:p>
        </w:tc>
        <w:tc>
          <w:tcPr>
            <w:tcW w:w="785" w:type="pct"/>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2"/>
              <w:spacing w:line="360" w:lineRule="auto"/>
              <w:rPr>
                <w:rFonts w:ascii="宋体" w:hAnsi="宋体" w:cs="宋体"/>
                <w:color w:val="auto"/>
                <w:szCs w:val="21"/>
                <w:highlight w:val="none"/>
              </w:rPr>
            </w:pPr>
            <w:r>
              <w:rPr>
                <w:rFonts w:hint="eastAsia" w:ascii="宋体" w:hAnsi="宋体" w:cs="宋体"/>
                <w:color w:val="auto"/>
                <w:w w:val="101"/>
                <w:szCs w:val="21"/>
                <w:highlight w:val="none"/>
              </w:rPr>
              <w:t>…</w:t>
            </w:r>
          </w:p>
        </w:tc>
        <w:tc>
          <w:tcPr>
            <w:tcW w:w="551" w:type="pct"/>
          </w:tcPr>
          <w:p>
            <w:pPr>
              <w:pStyle w:val="22"/>
              <w:spacing w:line="360" w:lineRule="auto"/>
              <w:rPr>
                <w:rFonts w:ascii="宋体" w:hAnsi="宋体" w:cs="宋体"/>
                <w:color w:val="auto"/>
                <w:szCs w:val="21"/>
                <w:highlight w:val="none"/>
              </w:rPr>
            </w:pPr>
          </w:p>
        </w:tc>
        <w:tc>
          <w:tcPr>
            <w:tcW w:w="1553" w:type="pct"/>
          </w:tcPr>
          <w:p>
            <w:pPr>
              <w:pStyle w:val="22"/>
              <w:spacing w:line="360" w:lineRule="auto"/>
              <w:rPr>
                <w:rFonts w:ascii="宋体" w:hAnsi="宋体" w:cs="宋体"/>
                <w:color w:val="auto"/>
                <w:szCs w:val="21"/>
                <w:highlight w:val="none"/>
              </w:rPr>
            </w:pPr>
          </w:p>
        </w:tc>
        <w:tc>
          <w:tcPr>
            <w:tcW w:w="779" w:type="pct"/>
          </w:tcPr>
          <w:p>
            <w:pPr>
              <w:pStyle w:val="22"/>
              <w:spacing w:line="360" w:lineRule="auto"/>
              <w:rPr>
                <w:rFonts w:ascii="宋体" w:hAnsi="宋体" w:cs="宋体"/>
                <w:color w:val="auto"/>
                <w:szCs w:val="21"/>
                <w:highlight w:val="none"/>
              </w:rPr>
            </w:pPr>
          </w:p>
        </w:tc>
        <w:tc>
          <w:tcPr>
            <w:tcW w:w="1001" w:type="pct"/>
          </w:tcPr>
          <w:p>
            <w:pPr>
              <w:pStyle w:val="22"/>
              <w:spacing w:line="360" w:lineRule="auto"/>
              <w:rPr>
                <w:rFonts w:ascii="宋体" w:hAnsi="宋体" w:cs="宋体"/>
                <w:color w:val="auto"/>
                <w:szCs w:val="21"/>
                <w:highlight w:val="none"/>
              </w:rPr>
            </w:pPr>
          </w:p>
        </w:tc>
        <w:tc>
          <w:tcPr>
            <w:tcW w:w="785" w:type="pct"/>
          </w:tcPr>
          <w:p>
            <w:pPr>
              <w:pStyle w:val="22"/>
              <w:spacing w:line="360" w:lineRule="auto"/>
              <w:rPr>
                <w:rFonts w:ascii="宋体" w:hAnsi="宋体" w:cs="宋体"/>
                <w:color w:val="auto"/>
                <w:szCs w:val="21"/>
                <w:highlight w:val="none"/>
              </w:rPr>
            </w:pPr>
          </w:p>
        </w:tc>
      </w:tr>
    </w:tbl>
    <w:p>
      <w:pPr>
        <w:rPr>
          <w:rFonts w:ascii="宋体" w:hAnsi="宋体" w:cs="宋体"/>
          <w:color w:val="auto"/>
          <w:szCs w:val="21"/>
          <w:highlight w:val="none"/>
        </w:rPr>
      </w:pPr>
      <w:r>
        <w:rPr>
          <w:rFonts w:hint="eastAsia" w:ascii="宋体" w:hAnsi="宋体" w:cs="宋体"/>
          <w:color w:val="auto"/>
          <w:szCs w:val="21"/>
          <w:highlight w:val="none"/>
        </w:rPr>
        <w:t>根据上述业绩情况，按招标文件要求附销售或服务合同复印件及评审标准要求的证明材料。</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2"/>
        <w:rPr>
          <w:b/>
          <w:bCs/>
          <w:color w:val="auto"/>
          <w:highlight w:val="none"/>
          <w:lang w:val="en-US"/>
        </w:rPr>
      </w:pPr>
      <w:r>
        <w:rPr>
          <w:rFonts w:hint="eastAsia"/>
          <w:b/>
          <w:bCs/>
          <w:color w:val="auto"/>
          <w:highlight w:val="none"/>
          <w:lang w:val="en-US"/>
        </w:rPr>
        <w:t>格式十一：</w:t>
      </w:r>
    </w:p>
    <w:p>
      <w:pPr>
        <w:jc w:val="center"/>
        <w:rPr>
          <w:b/>
          <w:bCs/>
          <w:color w:val="auto"/>
          <w:sz w:val="24"/>
          <w:szCs w:val="32"/>
          <w:highlight w:val="none"/>
        </w:rPr>
      </w:pPr>
      <w:r>
        <w:rPr>
          <w:b/>
          <w:bCs/>
          <w:color w:val="auto"/>
          <w:sz w:val="24"/>
          <w:szCs w:val="32"/>
          <w:highlight w:val="none"/>
        </w:rPr>
        <w:t>技术要求响应表</w:t>
      </w:r>
    </w:p>
    <w:p>
      <w:pPr>
        <w:pStyle w:val="2"/>
        <w:rPr>
          <w:color w:val="auto"/>
          <w:highlight w:val="none"/>
          <w:lang w:val="en-US"/>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830"/>
        <w:gridCol w:w="830"/>
        <w:gridCol w:w="1771"/>
        <w:gridCol w:w="1771"/>
        <w:gridCol w:w="830"/>
        <w:gridCol w:w="1367"/>
        <w:gridCol w:w="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序号</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参数性质</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招标文件规定的技术要求</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投标文件响应的具体内容</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是否偏离</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证明文件所在位置</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w:t>
            </w: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r>
    </w:tbl>
    <w:p>
      <w:pPr>
        <w:pStyle w:val="2"/>
        <w:rPr>
          <w:color w:val="auto"/>
          <w:highlight w:val="none"/>
          <w:lang w:val="en-US"/>
        </w:rPr>
      </w:pPr>
    </w:p>
    <w:p>
      <w:pPr>
        <w:rPr>
          <w:color w:val="auto"/>
          <w:highlight w:val="none"/>
        </w:rPr>
      </w:pP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说明：</w:t>
      </w:r>
    </w:p>
    <w:p>
      <w:pPr>
        <w:pStyle w:val="20"/>
        <w:tabs>
          <w:tab w:val="left" w:pos="731"/>
        </w:tabs>
        <w:autoSpaceDE w:val="0"/>
        <w:autoSpaceDN w:val="0"/>
        <w:spacing w:line="360" w:lineRule="auto"/>
        <w:ind w:firstLine="423"/>
        <w:rPr>
          <w:rFonts w:ascii="宋体" w:hAnsi="宋体" w:cs="宋体"/>
          <w:color w:val="auto"/>
          <w:w w:val="101"/>
          <w:szCs w:val="21"/>
          <w:highlight w:val="none"/>
        </w:rPr>
      </w:pP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1.“招标文件规定的技术要求”项下填写的内容应与招标文件中用户需求书的 “技术要求”的内容保持一致。</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投标人应当如实填写上表“投标文件响应的具体内容”处内容，对招标文件提出的技术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3.</w:t>
      </w:r>
      <w:r>
        <w:rPr>
          <w:rFonts w:hint="eastAsia"/>
          <w:color w:val="auto"/>
          <w:sz w:val="21"/>
          <w:szCs w:val="21"/>
          <w:highlight w:val="none"/>
        </w:rPr>
        <w:t>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4.</w:t>
      </w:r>
      <w:r>
        <w:rPr>
          <w:rFonts w:hint="eastAsia"/>
          <w:color w:val="auto"/>
          <w:sz w:val="21"/>
          <w:szCs w:val="21"/>
          <w:highlight w:val="none"/>
        </w:rPr>
        <w:t>“是否偏离”项下应按下列规定填写：优于的，填写“正偏离”；符合的，填写“无偏离”；低于的，填写“负偏离”。</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pPr>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pPr>
        <w:rPr>
          <w:b/>
          <w:bCs/>
          <w:color w:val="auto"/>
          <w:sz w:val="24"/>
          <w:highlight w:val="none"/>
        </w:rPr>
      </w:pPr>
      <w:r>
        <w:rPr>
          <w:rFonts w:hint="eastAsia"/>
          <w:b/>
          <w:bCs/>
          <w:color w:val="auto"/>
          <w:sz w:val="24"/>
          <w:highlight w:val="none"/>
        </w:rPr>
        <w:t>格式十二：</w:t>
      </w:r>
    </w:p>
    <w:p>
      <w:pPr>
        <w:pStyle w:val="2"/>
        <w:jc w:val="center"/>
        <w:rPr>
          <w:b/>
          <w:bCs/>
          <w:color w:val="auto"/>
          <w:highlight w:val="none"/>
        </w:rPr>
      </w:pPr>
      <w:r>
        <w:rPr>
          <w:b/>
          <w:bCs/>
          <w:color w:val="auto"/>
          <w:highlight w:val="none"/>
        </w:rPr>
        <w:t>商务</w:t>
      </w:r>
      <w:r>
        <w:rPr>
          <w:rFonts w:hint="eastAsia"/>
          <w:b/>
          <w:bCs/>
          <w:color w:val="auto"/>
          <w:highlight w:val="none"/>
        </w:rPr>
        <w:t>要求</w:t>
      </w:r>
      <w:r>
        <w:rPr>
          <w:b/>
          <w:bCs/>
          <w:color w:val="auto"/>
          <w:highlight w:val="none"/>
        </w:rPr>
        <w:t>响应表</w:t>
      </w:r>
    </w:p>
    <w:p>
      <w:pPr>
        <w:rPr>
          <w:b/>
          <w:bCs/>
          <w:color w:val="auto"/>
          <w:sz w:val="24"/>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814"/>
        <w:gridCol w:w="814"/>
        <w:gridCol w:w="1900"/>
        <w:gridCol w:w="1900"/>
        <w:gridCol w:w="647"/>
        <w:gridCol w:w="1386"/>
        <w:gridCol w:w="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序号</w:t>
            </w:r>
          </w:p>
        </w:tc>
        <w:tc>
          <w:tcPr>
            <w:tcW w:w="814" w:type="dxa"/>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814"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参数性质</w:t>
            </w:r>
          </w:p>
        </w:tc>
        <w:tc>
          <w:tcPr>
            <w:tcW w:w="1900"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招标文件规定的商务要求</w:t>
            </w:r>
          </w:p>
        </w:tc>
        <w:tc>
          <w:tcPr>
            <w:tcW w:w="1900"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投标文件响应的具体内容</w:t>
            </w:r>
          </w:p>
        </w:tc>
        <w:tc>
          <w:tcPr>
            <w:tcW w:w="647"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是否偏离</w:t>
            </w:r>
          </w:p>
        </w:tc>
        <w:tc>
          <w:tcPr>
            <w:tcW w:w="1386"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证明文件所在位置</w:t>
            </w:r>
          </w:p>
        </w:tc>
        <w:tc>
          <w:tcPr>
            <w:tcW w:w="529"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814" w:type="dxa"/>
            <w:vAlign w:val="center"/>
          </w:tcPr>
          <w:p>
            <w:pPr>
              <w:pStyle w:val="2"/>
              <w:spacing w:before="0" w:line="360" w:lineRule="auto"/>
              <w:ind w:left="0"/>
              <w:jc w:val="center"/>
              <w:rPr>
                <w:color w:val="auto"/>
                <w:sz w:val="21"/>
                <w:szCs w:val="21"/>
                <w:highlight w:val="none"/>
                <w:lang w:val="en-US"/>
              </w:rPr>
            </w:pPr>
          </w:p>
        </w:tc>
        <w:tc>
          <w:tcPr>
            <w:tcW w:w="814"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647" w:type="dxa"/>
            <w:vAlign w:val="center"/>
          </w:tcPr>
          <w:p>
            <w:pPr>
              <w:pStyle w:val="2"/>
              <w:spacing w:before="0" w:line="360" w:lineRule="auto"/>
              <w:ind w:left="0"/>
              <w:jc w:val="center"/>
              <w:rPr>
                <w:color w:val="auto"/>
                <w:sz w:val="21"/>
                <w:szCs w:val="21"/>
                <w:highlight w:val="none"/>
                <w:lang w:val="en-US"/>
              </w:rPr>
            </w:pPr>
          </w:p>
        </w:tc>
        <w:tc>
          <w:tcPr>
            <w:tcW w:w="1386" w:type="dxa"/>
            <w:vAlign w:val="center"/>
          </w:tcPr>
          <w:p>
            <w:pPr>
              <w:pStyle w:val="2"/>
              <w:spacing w:before="0" w:line="360" w:lineRule="auto"/>
              <w:ind w:left="0"/>
              <w:jc w:val="center"/>
              <w:rPr>
                <w:color w:val="auto"/>
                <w:sz w:val="21"/>
                <w:szCs w:val="21"/>
                <w:highlight w:val="none"/>
                <w:lang w:val="en-US"/>
              </w:rPr>
            </w:pPr>
          </w:p>
        </w:tc>
        <w:tc>
          <w:tcPr>
            <w:tcW w:w="529" w:type="dxa"/>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814" w:type="dxa"/>
            <w:vAlign w:val="center"/>
          </w:tcPr>
          <w:p>
            <w:pPr>
              <w:pStyle w:val="2"/>
              <w:spacing w:before="0" w:line="360" w:lineRule="auto"/>
              <w:ind w:left="0"/>
              <w:jc w:val="center"/>
              <w:rPr>
                <w:color w:val="auto"/>
                <w:sz w:val="21"/>
                <w:szCs w:val="21"/>
                <w:highlight w:val="none"/>
                <w:lang w:val="en-US"/>
              </w:rPr>
            </w:pPr>
          </w:p>
        </w:tc>
        <w:tc>
          <w:tcPr>
            <w:tcW w:w="814"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647" w:type="dxa"/>
            <w:vAlign w:val="center"/>
          </w:tcPr>
          <w:p>
            <w:pPr>
              <w:pStyle w:val="2"/>
              <w:spacing w:before="0" w:line="360" w:lineRule="auto"/>
              <w:ind w:left="0"/>
              <w:jc w:val="center"/>
              <w:rPr>
                <w:color w:val="auto"/>
                <w:sz w:val="21"/>
                <w:szCs w:val="21"/>
                <w:highlight w:val="none"/>
                <w:lang w:val="en-US"/>
              </w:rPr>
            </w:pPr>
          </w:p>
        </w:tc>
        <w:tc>
          <w:tcPr>
            <w:tcW w:w="1386" w:type="dxa"/>
            <w:vAlign w:val="center"/>
          </w:tcPr>
          <w:p>
            <w:pPr>
              <w:pStyle w:val="2"/>
              <w:spacing w:before="0" w:line="360" w:lineRule="auto"/>
              <w:ind w:left="0"/>
              <w:jc w:val="center"/>
              <w:rPr>
                <w:color w:val="auto"/>
                <w:sz w:val="21"/>
                <w:szCs w:val="21"/>
                <w:highlight w:val="none"/>
                <w:lang w:val="en-US"/>
              </w:rPr>
            </w:pPr>
          </w:p>
        </w:tc>
        <w:tc>
          <w:tcPr>
            <w:tcW w:w="529" w:type="dxa"/>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814" w:type="dxa"/>
            <w:vAlign w:val="center"/>
          </w:tcPr>
          <w:p>
            <w:pPr>
              <w:pStyle w:val="2"/>
              <w:spacing w:before="0" w:line="360" w:lineRule="auto"/>
              <w:ind w:left="0"/>
              <w:jc w:val="center"/>
              <w:rPr>
                <w:color w:val="auto"/>
                <w:sz w:val="21"/>
                <w:szCs w:val="21"/>
                <w:highlight w:val="none"/>
                <w:lang w:val="en-US"/>
              </w:rPr>
            </w:pPr>
          </w:p>
        </w:tc>
        <w:tc>
          <w:tcPr>
            <w:tcW w:w="814"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647" w:type="dxa"/>
            <w:vAlign w:val="center"/>
          </w:tcPr>
          <w:p>
            <w:pPr>
              <w:pStyle w:val="2"/>
              <w:spacing w:before="0" w:line="360" w:lineRule="auto"/>
              <w:ind w:left="0"/>
              <w:jc w:val="center"/>
              <w:rPr>
                <w:color w:val="auto"/>
                <w:sz w:val="21"/>
                <w:szCs w:val="21"/>
                <w:highlight w:val="none"/>
                <w:lang w:val="en-US"/>
              </w:rPr>
            </w:pPr>
          </w:p>
        </w:tc>
        <w:tc>
          <w:tcPr>
            <w:tcW w:w="1386" w:type="dxa"/>
            <w:vAlign w:val="center"/>
          </w:tcPr>
          <w:p>
            <w:pPr>
              <w:pStyle w:val="2"/>
              <w:spacing w:before="0" w:line="360" w:lineRule="auto"/>
              <w:ind w:left="0"/>
              <w:jc w:val="center"/>
              <w:rPr>
                <w:color w:val="auto"/>
                <w:sz w:val="21"/>
                <w:szCs w:val="21"/>
                <w:highlight w:val="none"/>
                <w:lang w:val="en-US"/>
              </w:rPr>
            </w:pPr>
          </w:p>
        </w:tc>
        <w:tc>
          <w:tcPr>
            <w:tcW w:w="529" w:type="dxa"/>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814" w:type="dxa"/>
            <w:vAlign w:val="center"/>
          </w:tcPr>
          <w:p>
            <w:pPr>
              <w:pStyle w:val="2"/>
              <w:spacing w:before="0" w:line="360" w:lineRule="auto"/>
              <w:ind w:left="0"/>
              <w:jc w:val="center"/>
              <w:rPr>
                <w:color w:val="auto"/>
                <w:sz w:val="21"/>
                <w:szCs w:val="21"/>
                <w:highlight w:val="none"/>
                <w:lang w:val="en-US"/>
              </w:rPr>
            </w:pPr>
          </w:p>
        </w:tc>
        <w:tc>
          <w:tcPr>
            <w:tcW w:w="814"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647" w:type="dxa"/>
            <w:vAlign w:val="center"/>
          </w:tcPr>
          <w:p>
            <w:pPr>
              <w:pStyle w:val="2"/>
              <w:spacing w:before="0" w:line="360" w:lineRule="auto"/>
              <w:ind w:left="0"/>
              <w:jc w:val="center"/>
              <w:rPr>
                <w:color w:val="auto"/>
                <w:sz w:val="21"/>
                <w:szCs w:val="21"/>
                <w:highlight w:val="none"/>
                <w:lang w:val="en-US"/>
              </w:rPr>
            </w:pPr>
          </w:p>
        </w:tc>
        <w:tc>
          <w:tcPr>
            <w:tcW w:w="1386" w:type="dxa"/>
            <w:vAlign w:val="center"/>
          </w:tcPr>
          <w:p>
            <w:pPr>
              <w:pStyle w:val="2"/>
              <w:spacing w:before="0" w:line="360" w:lineRule="auto"/>
              <w:ind w:left="0"/>
              <w:jc w:val="center"/>
              <w:rPr>
                <w:color w:val="auto"/>
                <w:sz w:val="21"/>
                <w:szCs w:val="21"/>
                <w:highlight w:val="none"/>
                <w:lang w:val="en-US"/>
              </w:rPr>
            </w:pPr>
          </w:p>
        </w:tc>
        <w:tc>
          <w:tcPr>
            <w:tcW w:w="529" w:type="dxa"/>
            <w:vAlign w:val="center"/>
          </w:tcPr>
          <w:p>
            <w:pPr>
              <w:pStyle w:val="2"/>
              <w:spacing w:before="0" w:line="360" w:lineRule="auto"/>
              <w:ind w:left="0"/>
              <w:jc w:val="center"/>
              <w:rPr>
                <w:color w:val="auto"/>
                <w:sz w:val="21"/>
                <w:szCs w:val="21"/>
                <w:highlight w:val="none"/>
                <w:lang w:val="en-US"/>
              </w:rPr>
            </w:pPr>
          </w:p>
        </w:tc>
      </w:tr>
    </w:tbl>
    <w:p>
      <w:pPr>
        <w:pStyle w:val="2"/>
        <w:rPr>
          <w:color w:val="auto"/>
          <w:sz w:val="21"/>
          <w:szCs w:val="21"/>
          <w:highlight w:val="none"/>
          <w:lang w:val="en-US"/>
        </w:rPr>
      </w:pPr>
    </w:p>
    <w:p>
      <w:pPr>
        <w:rPr>
          <w:color w:val="auto"/>
          <w:szCs w:val="21"/>
          <w:highlight w:val="none"/>
        </w:rPr>
      </w:pP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说明：</w:t>
      </w:r>
    </w:p>
    <w:p>
      <w:pPr>
        <w:pStyle w:val="2"/>
        <w:autoSpaceDE w:val="0"/>
        <w:autoSpaceDN w:val="0"/>
        <w:spacing w:before="0" w:line="360" w:lineRule="auto"/>
        <w:ind w:left="0" w:firstLine="420" w:firstLineChars="200"/>
        <w:rPr>
          <w:color w:val="auto"/>
          <w:sz w:val="21"/>
          <w:szCs w:val="21"/>
          <w:highlight w:val="none"/>
          <w:lang w:val="en-US"/>
        </w:rPr>
      </w:pP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1.“招标文件规定的商务要求”项下填写的内容应与招标文件中用户需求书的“商务要求”的内容保持一致。</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投标人应当如实填写上表“投标文件响应的具体内容”处内容，对招标文件规定的商务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3.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4.“是否偏离”项下应按下列规定填写：优于的，填写“正偏离”；符合的，填写“无偏离”；低于的，填写“负偏离”。</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pPr>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pPr>
        <w:rPr>
          <w:b/>
          <w:bCs/>
          <w:color w:val="auto"/>
          <w:sz w:val="24"/>
          <w:highlight w:val="none"/>
        </w:rPr>
      </w:pPr>
      <w:r>
        <w:rPr>
          <w:rFonts w:hint="eastAsia"/>
          <w:b/>
          <w:bCs/>
          <w:color w:val="auto"/>
          <w:sz w:val="24"/>
          <w:highlight w:val="none"/>
        </w:rPr>
        <w:t>格式十三：</w:t>
      </w:r>
    </w:p>
    <w:p>
      <w:pPr>
        <w:pStyle w:val="2"/>
        <w:spacing w:before="114"/>
        <w:ind w:left="490"/>
        <w:rPr>
          <w:color w:val="auto"/>
          <w:sz w:val="21"/>
          <w:szCs w:val="21"/>
          <w:highlight w:val="none"/>
        </w:rPr>
      </w:pPr>
      <w:r>
        <w:rPr>
          <w:color w:val="auto"/>
          <w:sz w:val="21"/>
          <w:szCs w:val="21"/>
          <w:highlight w:val="none"/>
        </w:rPr>
        <w:t>（以下格式文件由</w:t>
      </w:r>
      <w:r>
        <w:rPr>
          <w:rFonts w:hint="eastAsia"/>
          <w:color w:val="auto"/>
          <w:sz w:val="21"/>
          <w:szCs w:val="21"/>
          <w:highlight w:val="none"/>
        </w:rPr>
        <w:t>投标人</w:t>
      </w:r>
      <w:r>
        <w:rPr>
          <w:color w:val="auto"/>
          <w:sz w:val="21"/>
          <w:szCs w:val="21"/>
          <w:highlight w:val="none"/>
        </w:rPr>
        <w:t>根据需要选用）</w:t>
      </w:r>
    </w:p>
    <w:p>
      <w:pPr>
        <w:pStyle w:val="2"/>
        <w:spacing w:before="8"/>
        <w:rPr>
          <w:color w:val="auto"/>
          <w:sz w:val="13"/>
          <w:highlight w:val="none"/>
        </w:rPr>
      </w:pPr>
    </w:p>
    <w:p>
      <w:pPr>
        <w:pStyle w:val="4"/>
        <w:rPr>
          <w:color w:val="auto"/>
          <w:highlight w:val="none"/>
        </w:rPr>
      </w:pPr>
      <w:bookmarkStart w:id="170" w:name="_Toc20098"/>
      <w:r>
        <w:rPr>
          <w:color w:val="auto"/>
          <w:highlight w:val="none"/>
        </w:rPr>
        <w:t>履约进度计划表</w:t>
      </w:r>
      <w:bookmarkEnd w:id="170"/>
    </w:p>
    <w:p>
      <w:pPr>
        <w:pStyle w:val="2"/>
        <w:spacing w:before="2" w:after="1"/>
        <w:rPr>
          <w:b/>
          <w:color w:val="auto"/>
          <w:sz w:val="17"/>
          <w:highlight w:val="none"/>
        </w:rPr>
      </w:pPr>
    </w:p>
    <w:tbl>
      <w:tblPr>
        <w:tblStyle w:val="15"/>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47"/>
        <w:gridCol w:w="2829"/>
        <w:gridCol w:w="2490"/>
        <w:gridCol w:w="22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700" w:type="pct"/>
            <w:shd w:val="clear" w:color="auto" w:fill="FFFFFF" w:themeFill="background1"/>
          </w:tcPr>
          <w:p>
            <w:pPr>
              <w:pStyle w:val="22"/>
              <w:spacing w:line="360" w:lineRule="auto"/>
              <w:rPr>
                <w:rFonts w:ascii="宋体" w:hAnsi="宋体" w:cs="宋体"/>
                <w:b/>
                <w:color w:val="auto"/>
                <w:szCs w:val="21"/>
                <w:highlight w:val="none"/>
              </w:rPr>
            </w:pPr>
            <w:r>
              <w:rPr>
                <w:rFonts w:hint="eastAsia" w:ascii="宋体" w:hAnsi="宋体" w:cs="宋体"/>
                <w:b/>
                <w:color w:val="auto"/>
                <w:szCs w:val="21"/>
                <w:highlight w:val="none"/>
              </w:rPr>
              <w:t>拟定时间安排</w:t>
            </w:r>
          </w:p>
        </w:tc>
        <w:tc>
          <w:tcPr>
            <w:tcW w:w="1496" w:type="pct"/>
            <w:shd w:val="clear" w:color="auto" w:fill="FFFFFF" w:themeFill="background1"/>
          </w:tcPr>
          <w:p>
            <w:pPr>
              <w:pStyle w:val="22"/>
              <w:spacing w:line="360" w:lineRule="auto"/>
              <w:rPr>
                <w:rFonts w:ascii="宋体" w:hAnsi="宋体" w:cs="宋体"/>
                <w:b/>
                <w:color w:val="auto"/>
                <w:szCs w:val="21"/>
                <w:highlight w:val="none"/>
              </w:rPr>
            </w:pPr>
            <w:r>
              <w:rPr>
                <w:rFonts w:hint="eastAsia" w:ascii="宋体" w:hAnsi="宋体" w:cs="宋体"/>
                <w:b/>
                <w:color w:val="auto"/>
                <w:szCs w:val="21"/>
                <w:highlight w:val="none"/>
              </w:rPr>
              <w:t>计划完成的工作内容</w:t>
            </w:r>
          </w:p>
        </w:tc>
        <w:tc>
          <w:tcPr>
            <w:tcW w:w="1354" w:type="pct"/>
            <w:shd w:val="clear" w:color="auto" w:fill="FFFFFF" w:themeFill="background1"/>
          </w:tcPr>
          <w:p>
            <w:pPr>
              <w:pStyle w:val="22"/>
              <w:spacing w:line="360" w:lineRule="auto"/>
              <w:rPr>
                <w:rFonts w:ascii="宋体" w:hAnsi="宋体" w:cs="宋体"/>
                <w:b/>
                <w:color w:val="auto"/>
                <w:szCs w:val="21"/>
                <w:highlight w:val="none"/>
              </w:rPr>
            </w:pPr>
            <w:r>
              <w:rPr>
                <w:rFonts w:hint="eastAsia" w:ascii="宋体" w:hAnsi="宋体" w:cs="宋体"/>
                <w:b/>
                <w:color w:val="auto"/>
                <w:szCs w:val="21"/>
                <w:highlight w:val="none"/>
              </w:rPr>
              <w:t>实施方建议或要求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1700" w:type="pct"/>
            <w:shd w:val="clear" w:color="auto" w:fill="FFFFFF" w:themeFill="background1"/>
          </w:tcPr>
          <w:p>
            <w:pPr>
              <w:pStyle w:val="22"/>
              <w:tabs>
                <w:tab w:val="left" w:pos="772"/>
                <w:tab w:val="left" w:pos="1253"/>
                <w:tab w:val="left" w:pos="1733"/>
              </w:tabs>
              <w:spacing w:line="360" w:lineRule="auto"/>
              <w:rPr>
                <w:rFonts w:ascii="宋体" w:hAnsi="宋体" w:cs="宋体"/>
                <w:color w:val="auto"/>
                <w:szCs w:val="21"/>
                <w:highlight w:val="none"/>
              </w:rPr>
            </w:pPr>
            <w:r>
              <w:rPr>
                <w:rFonts w:hint="eastAsia" w:ascii="宋体" w:hAnsi="宋体" w:cs="宋体"/>
                <w:color w:val="auto"/>
                <w:szCs w:val="21"/>
                <w:highlight w:val="none"/>
              </w:rPr>
              <w:t>拟定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2"/>
              <w:spacing w:line="360" w:lineRule="auto"/>
              <w:rPr>
                <w:rFonts w:ascii="宋体" w:hAnsi="宋体" w:cs="宋体"/>
                <w:color w:val="auto"/>
                <w:szCs w:val="21"/>
                <w:highlight w:val="none"/>
              </w:rPr>
            </w:pPr>
            <w:r>
              <w:rPr>
                <w:rFonts w:hint="eastAsia" w:ascii="宋体" w:hAnsi="宋体" w:cs="宋体"/>
                <w:color w:val="auto"/>
                <w:szCs w:val="21"/>
                <w:highlight w:val="none"/>
              </w:rPr>
              <w:t>签定合同并生效</w:t>
            </w:r>
          </w:p>
        </w:tc>
        <w:tc>
          <w:tcPr>
            <w:tcW w:w="1354"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1700" w:type="pct"/>
            <w:shd w:val="clear" w:color="auto" w:fill="FFFFFF" w:themeFill="background1"/>
          </w:tcPr>
          <w:p>
            <w:pPr>
              <w:pStyle w:val="22"/>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2"/>
              <w:spacing w:line="360" w:lineRule="auto"/>
              <w:rPr>
                <w:rFonts w:ascii="宋体" w:hAnsi="宋体" w:cs="宋体"/>
                <w:color w:val="auto"/>
                <w:szCs w:val="21"/>
                <w:highlight w:val="none"/>
              </w:rPr>
            </w:pPr>
          </w:p>
        </w:tc>
        <w:tc>
          <w:tcPr>
            <w:tcW w:w="1354"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1700" w:type="pct"/>
            <w:shd w:val="clear" w:color="auto" w:fill="FFFFFF" w:themeFill="background1"/>
          </w:tcPr>
          <w:p>
            <w:pPr>
              <w:pStyle w:val="22"/>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2"/>
              <w:spacing w:line="360" w:lineRule="auto"/>
              <w:rPr>
                <w:rFonts w:ascii="宋体" w:hAnsi="宋体" w:cs="宋体"/>
                <w:color w:val="auto"/>
                <w:szCs w:val="21"/>
                <w:highlight w:val="none"/>
              </w:rPr>
            </w:pPr>
          </w:p>
        </w:tc>
        <w:tc>
          <w:tcPr>
            <w:tcW w:w="1354"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1700" w:type="pct"/>
            <w:shd w:val="clear" w:color="auto" w:fill="FFFFFF" w:themeFill="background1"/>
          </w:tcPr>
          <w:p>
            <w:pPr>
              <w:pStyle w:val="22"/>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2"/>
              <w:spacing w:line="360" w:lineRule="auto"/>
              <w:rPr>
                <w:rFonts w:ascii="宋体" w:hAnsi="宋体" w:cs="宋体"/>
                <w:color w:val="auto"/>
                <w:szCs w:val="21"/>
                <w:highlight w:val="none"/>
              </w:rPr>
            </w:pPr>
            <w:r>
              <w:rPr>
                <w:rFonts w:hint="eastAsia" w:ascii="宋体" w:hAnsi="宋体" w:cs="宋体"/>
                <w:color w:val="auto"/>
                <w:szCs w:val="21"/>
                <w:highlight w:val="none"/>
              </w:rPr>
              <w:t>质保期</w:t>
            </w:r>
          </w:p>
        </w:tc>
        <w:tc>
          <w:tcPr>
            <w:tcW w:w="1354" w:type="pct"/>
            <w:shd w:val="clear" w:color="auto" w:fill="FFFFFF" w:themeFill="background1"/>
          </w:tcPr>
          <w:p>
            <w:pPr>
              <w:pStyle w:val="22"/>
              <w:spacing w:line="360" w:lineRule="auto"/>
              <w:rPr>
                <w:rFonts w:ascii="宋体" w:hAnsi="宋体" w:cs="宋体"/>
                <w:color w:val="auto"/>
                <w:szCs w:val="21"/>
                <w:highlight w:val="none"/>
              </w:rPr>
            </w:pPr>
          </w:p>
        </w:tc>
      </w:tr>
    </w:tbl>
    <w:p>
      <w:pPr>
        <w:rPr>
          <w:color w:val="auto"/>
          <w:highlight w:val="none"/>
        </w:rPr>
      </w:pPr>
      <w:r>
        <w:rPr>
          <w:rFonts w:hint="eastAsia"/>
          <w:color w:val="auto"/>
          <w:highlight w:val="none"/>
        </w:rPr>
        <w:br w:type="page"/>
      </w:r>
    </w:p>
    <w:p>
      <w:pPr>
        <w:outlineLvl w:val="1"/>
        <w:rPr>
          <w:b/>
          <w:bCs/>
          <w:color w:val="auto"/>
          <w:sz w:val="24"/>
          <w:szCs w:val="32"/>
          <w:highlight w:val="none"/>
        </w:rPr>
      </w:pPr>
      <w:bookmarkStart w:id="171" w:name="_Toc2912"/>
      <w:r>
        <w:rPr>
          <w:rFonts w:hint="eastAsia"/>
          <w:b/>
          <w:bCs/>
          <w:color w:val="auto"/>
          <w:sz w:val="24"/>
          <w:szCs w:val="32"/>
          <w:highlight w:val="none"/>
        </w:rPr>
        <w:t>格式十四：</w:t>
      </w:r>
      <w:bookmarkEnd w:id="171"/>
    </w:p>
    <w:p>
      <w:pPr>
        <w:pStyle w:val="2"/>
        <w:rPr>
          <w:color w:val="auto"/>
          <w:sz w:val="21"/>
          <w:szCs w:val="21"/>
          <w:highlight w:val="none"/>
        </w:rPr>
      </w:pPr>
      <w:r>
        <w:rPr>
          <w:color w:val="auto"/>
          <w:sz w:val="21"/>
          <w:szCs w:val="21"/>
          <w:highlight w:val="none"/>
        </w:rPr>
        <w:t>（以下格式文件由</w:t>
      </w:r>
      <w:r>
        <w:rPr>
          <w:rFonts w:hint="eastAsia"/>
          <w:color w:val="auto"/>
          <w:sz w:val="21"/>
          <w:szCs w:val="21"/>
          <w:highlight w:val="none"/>
        </w:rPr>
        <w:t>投标人</w:t>
      </w:r>
      <w:r>
        <w:rPr>
          <w:color w:val="auto"/>
          <w:sz w:val="21"/>
          <w:szCs w:val="21"/>
          <w:highlight w:val="none"/>
        </w:rPr>
        <w:t>根据需要选用）</w:t>
      </w:r>
    </w:p>
    <w:p>
      <w:pPr>
        <w:rPr>
          <w:color w:val="auto"/>
          <w:sz w:val="20"/>
          <w:szCs w:val="20"/>
          <w:highlight w:val="none"/>
        </w:rPr>
      </w:pPr>
    </w:p>
    <w:p>
      <w:pPr>
        <w:pStyle w:val="2"/>
        <w:jc w:val="center"/>
        <w:rPr>
          <w:b/>
          <w:bCs/>
          <w:color w:val="auto"/>
          <w:highlight w:val="none"/>
        </w:rPr>
      </w:pPr>
      <w:r>
        <w:rPr>
          <w:b/>
          <w:bCs/>
          <w:color w:val="auto"/>
          <w:highlight w:val="none"/>
        </w:rPr>
        <w:t>各类证明材料</w:t>
      </w:r>
    </w:p>
    <w:p>
      <w:pPr>
        <w:pStyle w:val="20"/>
        <w:tabs>
          <w:tab w:val="left" w:pos="673"/>
        </w:tabs>
        <w:spacing w:line="360" w:lineRule="auto"/>
        <w:ind w:firstLine="0" w:firstLineChars="0"/>
        <w:outlineLvl w:val="1"/>
        <w:rPr>
          <w:rFonts w:ascii="宋体" w:hAnsi="宋体" w:cs="宋体"/>
          <w:color w:val="auto"/>
          <w:szCs w:val="21"/>
          <w:highlight w:val="none"/>
        </w:rPr>
      </w:pPr>
      <w:bookmarkStart w:id="172" w:name="_Toc14919"/>
      <w:r>
        <w:rPr>
          <w:rFonts w:hint="eastAsia" w:ascii="宋体" w:hAnsi="宋体" w:cs="宋体"/>
          <w:color w:val="auto"/>
          <w:szCs w:val="21"/>
          <w:highlight w:val="none"/>
        </w:rPr>
        <w:t>1、招标文件要求提供的其他资料。</w:t>
      </w:r>
      <w:bookmarkEnd w:id="172"/>
    </w:p>
    <w:p>
      <w:pPr>
        <w:pStyle w:val="20"/>
        <w:tabs>
          <w:tab w:val="left" w:pos="673"/>
        </w:tabs>
        <w:spacing w:line="360" w:lineRule="auto"/>
        <w:ind w:firstLine="0" w:firstLineChars="0"/>
        <w:outlineLvl w:val="1"/>
        <w:rPr>
          <w:rFonts w:ascii="宋体" w:hAnsi="宋体" w:cs="宋体"/>
          <w:color w:val="auto"/>
          <w:szCs w:val="21"/>
          <w:highlight w:val="none"/>
        </w:rPr>
      </w:pPr>
      <w:bookmarkStart w:id="173" w:name="_Toc7938"/>
      <w:r>
        <w:rPr>
          <w:rFonts w:hint="eastAsia" w:ascii="宋体" w:hAnsi="宋体" w:cs="宋体"/>
          <w:color w:val="auto"/>
          <w:szCs w:val="21"/>
          <w:highlight w:val="none"/>
        </w:rPr>
        <w:t>2、投标人认为需提供的其他资料。</w:t>
      </w:r>
      <w:bookmarkEnd w:id="173"/>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20"/>
        <w:tabs>
          <w:tab w:val="left" w:pos="673"/>
        </w:tabs>
        <w:spacing w:line="360" w:lineRule="auto"/>
        <w:ind w:firstLine="0" w:firstLineChars="0"/>
        <w:outlineLvl w:val="1"/>
        <w:rPr>
          <w:rFonts w:ascii="宋体" w:hAnsi="宋体" w:cs="宋体"/>
          <w:b/>
          <w:bCs/>
          <w:color w:val="auto"/>
          <w:sz w:val="24"/>
          <w:highlight w:val="none"/>
        </w:rPr>
      </w:pPr>
      <w:bookmarkStart w:id="174" w:name="_Toc30382"/>
      <w:r>
        <w:rPr>
          <w:rFonts w:hint="eastAsia" w:ascii="宋体" w:hAnsi="宋体" w:cs="宋体"/>
          <w:b/>
          <w:bCs/>
          <w:color w:val="auto"/>
          <w:sz w:val="24"/>
          <w:highlight w:val="none"/>
        </w:rPr>
        <w:t>格式十五：</w:t>
      </w:r>
      <w:bookmarkEnd w:id="174"/>
    </w:p>
    <w:p>
      <w:pPr>
        <w:pStyle w:val="20"/>
        <w:tabs>
          <w:tab w:val="left" w:pos="673"/>
        </w:tabs>
        <w:spacing w:line="360" w:lineRule="auto"/>
        <w:ind w:firstLine="0" w:firstLineChars="0"/>
        <w:jc w:val="center"/>
        <w:rPr>
          <w:rFonts w:ascii="宋体" w:hAnsi="宋体" w:cs="宋体"/>
          <w:b/>
          <w:bCs/>
          <w:color w:val="auto"/>
          <w:sz w:val="24"/>
          <w:highlight w:val="none"/>
        </w:rPr>
      </w:pPr>
      <w:r>
        <w:rPr>
          <w:rFonts w:hint="eastAsia" w:ascii="宋体" w:hAnsi="宋体" w:cs="宋体"/>
          <w:b/>
          <w:bCs/>
          <w:color w:val="auto"/>
          <w:sz w:val="24"/>
          <w:highlight w:val="none"/>
        </w:rPr>
        <w:t>采购代理服务费支付承诺书</w:t>
      </w:r>
    </w:p>
    <w:p>
      <w:pPr>
        <w:rPr>
          <w:color w:val="auto"/>
          <w:highlight w:val="none"/>
        </w:rPr>
      </w:pP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致：国顺招标有限公司</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如果我方在贵采购代理机构组织的</w:t>
      </w:r>
      <w:r>
        <w:rPr>
          <w:rFonts w:hint="eastAsia"/>
          <w:color w:val="auto"/>
          <w:sz w:val="21"/>
          <w:szCs w:val="21"/>
          <w:highlight w:val="none"/>
          <w:u w:val="single"/>
          <w:lang w:val="en-US"/>
        </w:rPr>
        <w:t xml:space="preserve">         </w:t>
      </w:r>
      <w:r>
        <w:rPr>
          <w:rFonts w:hint="eastAsia"/>
          <w:color w:val="auto"/>
          <w:sz w:val="21"/>
          <w:szCs w:val="21"/>
          <w:highlight w:val="none"/>
        </w:rPr>
        <w:t>项目招标中获中标（项目编号：</w:t>
      </w:r>
      <w:r>
        <w:rPr>
          <w:rFonts w:hint="eastAsia"/>
          <w:color w:val="auto"/>
          <w:sz w:val="21"/>
          <w:szCs w:val="21"/>
          <w:highlight w:val="none"/>
          <w:u w:val="single"/>
          <w:lang w:val="en-US"/>
        </w:rPr>
        <w:t xml:space="preserve">     </w:t>
      </w:r>
      <w:r>
        <w:rPr>
          <w:rFonts w:hint="eastAsia"/>
          <w:color w:val="auto"/>
          <w:w w:val="105"/>
          <w:sz w:val="21"/>
          <w:szCs w:val="21"/>
          <w:highlight w:val="none"/>
        </w:rPr>
        <w:t>），</w:t>
      </w:r>
      <w:r>
        <w:rPr>
          <w:rFonts w:hint="eastAsia"/>
          <w:color w:val="auto"/>
          <w:sz w:val="21"/>
          <w:szCs w:val="21"/>
          <w:highlight w:val="none"/>
        </w:rPr>
        <w:t>我方保证在收取《中标通知书》时，按招标文件对代理服务费支付方式的约定，承担本项目代理服务费。</w:t>
      </w:r>
    </w:p>
    <w:p>
      <w:pPr>
        <w:pStyle w:val="20"/>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国顺招标有限公司的要求办理支付手续。</w:t>
      </w:r>
    </w:p>
    <w:p>
      <w:pPr>
        <w:pStyle w:val="20"/>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特此承诺！</w:t>
      </w:r>
    </w:p>
    <w:p>
      <w:pPr>
        <w:spacing w:line="360" w:lineRule="auto"/>
        <w:ind w:firstLine="420" w:firstLineChars="200"/>
        <w:rPr>
          <w:color w:val="auto"/>
          <w:highlight w:val="none"/>
        </w:rPr>
      </w:pPr>
    </w:p>
    <w:p>
      <w:pPr>
        <w:spacing w:line="480" w:lineRule="auto"/>
        <w:ind w:firstLine="420" w:firstLineChars="200"/>
        <w:rPr>
          <w:color w:val="auto"/>
          <w:highlight w:val="none"/>
        </w:rPr>
      </w:pPr>
      <w:r>
        <w:rPr>
          <w:rFonts w:hint="eastAsia"/>
          <w:color w:val="auto"/>
          <w:highlight w:val="none"/>
        </w:rPr>
        <w:t>投标人法定名称（公章）：</w:t>
      </w:r>
    </w:p>
    <w:p>
      <w:pPr>
        <w:spacing w:line="480" w:lineRule="auto"/>
        <w:ind w:firstLine="420" w:firstLineChars="200"/>
        <w:rPr>
          <w:color w:val="auto"/>
          <w:highlight w:val="none"/>
        </w:rPr>
      </w:pPr>
      <w:r>
        <w:rPr>
          <w:rFonts w:hint="eastAsia"/>
          <w:color w:val="auto"/>
          <w:highlight w:val="none"/>
        </w:rPr>
        <w:t>投标人法定地址：</w:t>
      </w:r>
    </w:p>
    <w:p>
      <w:pPr>
        <w:spacing w:line="480" w:lineRule="auto"/>
        <w:ind w:firstLine="420" w:firstLineChars="200"/>
        <w:rPr>
          <w:color w:val="auto"/>
          <w:highlight w:val="none"/>
        </w:rPr>
      </w:pPr>
      <w:r>
        <w:rPr>
          <w:rFonts w:hint="eastAsia"/>
          <w:color w:val="auto"/>
          <w:highlight w:val="none"/>
        </w:rPr>
        <w:t>投标人授权代表（签字或盖章）：</w:t>
      </w:r>
    </w:p>
    <w:p>
      <w:pPr>
        <w:spacing w:line="480" w:lineRule="auto"/>
        <w:ind w:firstLine="420" w:firstLineChars="200"/>
        <w:rPr>
          <w:color w:val="auto"/>
          <w:highlight w:val="none"/>
        </w:rPr>
      </w:pPr>
      <w:r>
        <w:rPr>
          <w:rFonts w:hint="eastAsia"/>
          <w:color w:val="auto"/>
          <w:highlight w:val="none"/>
        </w:rPr>
        <w:t>电 话：</w:t>
      </w:r>
    </w:p>
    <w:p>
      <w:pPr>
        <w:spacing w:line="480" w:lineRule="auto"/>
        <w:ind w:firstLine="420" w:firstLineChars="200"/>
        <w:rPr>
          <w:color w:val="auto"/>
          <w:highlight w:val="none"/>
        </w:rPr>
      </w:pPr>
      <w:r>
        <w:rPr>
          <w:rFonts w:hint="eastAsia"/>
          <w:color w:val="auto"/>
          <w:highlight w:val="none"/>
        </w:rPr>
        <w:t>传 真：</w:t>
      </w:r>
    </w:p>
    <w:p>
      <w:pPr>
        <w:pStyle w:val="20"/>
        <w:tabs>
          <w:tab w:val="left" w:pos="673"/>
        </w:tabs>
        <w:spacing w:line="480" w:lineRule="auto"/>
        <w:rPr>
          <w:color w:val="auto"/>
          <w:highlight w:val="none"/>
        </w:rPr>
      </w:pPr>
      <w:r>
        <w:rPr>
          <w:rFonts w:hint="eastAsia"/>
          <w:color w:val="auto"/>
          <w:highlight w:val="none"/>
        </w:rPr>
        <w:t>承诺日期：</w:t>
      </w:r>
    </w:p>
    <w:p>
      <w:pPr>
        <w:rPr>
          <w:color w:val="auto"/>
          <w:highlight w:val="none"/>
        </w:rPr>
      </w:pPr>
      <w:r>
        <w:rPr>
          <w:rFonts w:hint="eastAsia"/>
          <w:color w:val="auto"/>
          <w:highlight w:val="none"/>
        </w:rPr>
        <w:br w:type="page"/>
      </w:r>
    </w:p>
    <w:p>
      <w:pPr>
        <w:pStyle w:val="20"/>
        <w:tabs>
          <w:tab w:val="left" w:pos="673"/>
        </w:tabs>
        <w:spacing w:line="360" w:lineRule="auto"/>
        <w:ind w:firstLine="0" w:firstLineChars="0"/>
        <w:outlineLvl w:val="1"/>
        <w:rPr>
          <w:rFonts w:ascii="宋体" w:hAnsi="宋体" w:cs="宋体"/>
          <w:b/>
          <w:bCs/>
          <w:color w:val="auto"/>
          <w:sz w:val="24"/>
          <w:highlight w:val="none"/>
        </w:rPr>
      </w:pPr>
      <w:bookmarkStart w:id="175" w:name="_Toc3970"/>
      <w:r>
        <w:rPr>
          <w:rFonts w:hint="eastAsia" w:ascii="宋体" w:hAnsi="宋体" w:cs="宋体"/>
          <w:b/>
          <w:bCs/>
          <w:color w:val="auto"/>
          <w:sz w:val="24"/>
          <w:highlight w:val="none"/>
        </w:rPr>
        <w:t>格式十五：</w:t>
      </w:r>
      <w:bookmarkEnd w:id="175"/>
    </w:p>
    <w:p>
      <w:pPr>
        <w:pStyle w:val="2"/>
        <w:spacing w:before="0" w:line="360" w:lineRule="auto"/>
        <w:ind w:left="0"/>
        <w:rPr>
          <w:color w:val="auto"/>
          <w:sz w:val="21"/>
          <w:szCs w:val="21"/>
          <w:highlight w:val="none"/>
        </w:rPr>
      </w:pPr>
      <w:r>
        <w:rPr>
          <w:rFonts w:hint="eastAsia"/>
          <w:color w:val="auto"/>
          <w:sz w:val="21"/>
          <w:szCs w:val="21"/>
          <w:highlight w:val="none"/>
        </w:rPr>
        <w:t>（以下格式文件由投标人根据需要选用）</w:t>
      </w:r>
    </w:p>
    <w:p>
      <w:pPr>
        <w:pStyle w:val="2"/>
        <w:spacing w:before="8"/>
        <w:rPr>
          <w:color w:val="auto"/>
          <w:sz w:val="21"/>
          <w:szCs w:val="21"/>
          <w:highlight w:val="none"/>
        </w:rPr>
      </w:pPr>
    </w:p>
    <w:p>
      <w:pPr>
        <w:jc w:val="center"/>
        <w:outlineLvl w:val="1"/>
        <w:rPr>
          <w:rFonts w:ascii="宋体" w:hAnsi="宋体" w:cs="宋体"/>
          <w:b/>
          <w:bCs/>
          <w:color w:val="auto"/>
          <w:szCs w:val="21"/>
          <w:highlight w:val="none"/>
        </w:rPr>
      </w:pPr>
      <w:bookmarkStart w:id="176" w:name="_Toc4401"/>
      <w:r>
        <w:rPr>
          <w:rFonts w:hint="eastAsia" w:ascii="宋体" w:hAnsi="宋体" w:cs="宋体"/>
          <w:b/>
          <w:bCs/>
          <w:color w:val="auto"/>
          <w:szCs w:val="21"/>
          <w:highlight w:val="none"/>
        </w:rPr>
        <w:t>需要招标人提供的附加条件</w:t>
      </w:r>
      <w:bookmarkEnd w:id="176"/>
    </w:p>
    <w:p>
      <w:pPr>
        <w:pStyle w:val="2"/>
        <w:autoSpaceDE w:val="0"/>
        <w:autoSpaceDN w:val="0"/>
        <w:spacing w:before="0" w:line="360" w:lineRule="auto"/>
        <w:ind w:left="0"/>
        <w:rPr>
          <w:b/>
          <w:color w:val="auto"/>
          <w:sz w:val="21"/>
          <w:szCs w:val="21"/>
          <w:highlight w:val="none"/>
        </w:rPr>
      </w:pPr>
    </w:p>
    <w:tbl>
      <w:tblPr>
        <w:tblStyle w:val="15"/>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05"/>
        <w:gridCol w:w="70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81" w:hRule="atLeast"/>
        </w:trPr>
        <w:tc>
          <w:tcPr>
            <w:tcW w:w="784" w:type="pct"/>
            <w:shd w:val="clear" w:color="auto" w:fill="F4F4F4"/>
          </w:tcPr>
          <w:p>
            <w:pPr>
              <w:pStyle w:val="22"/>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215" w:type="pct"/>
            <w:shd w:val="clear" w:color="auto" w:fill="F4F4F4"/>
          </w:tcPr>
          <w:p>
            <w:pPr>
              <w:pStyle w:val="22"/>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投标人需要招标人提供的附加条件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4215" w:type="pct"/>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4215" w:type="pct"/>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4215" w:type="pct"/>
          </w:tcPr>
          <w:p>
            <w:pPr>
              <w:pStyle w:val="22"/>
              <w:spacing w:line="360" w:lineRule="auto"/>
              <w:rPr>
                <w:rFonts w:ascii="宋体" w:hAnsi="宋体" w:cs="宋体"/>
                <w:color w:val="auto"/>
                <w:szCs w:val="21"/>
                <w:highlight w:val="none"/>
              </w:rPr>
            </w:pP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注：投标人完成本项目需要招标人配合或提供的条件必须在上表列出，否则将视为投标人同意按现有条件完成本项目。如上表所列附加条件含有招标人不能接受的，将被视为投标无效。</w:t>
      </w:r>
    </w:p>
    <w:p>
      <w:pPr>
        <w:rPr>
          <w:color w:val="auto"/>
          <w:sz w:val="20"/>
          <w:szCs w:val="20"/>
          <w:highlight w:val="none"/>
        </w:rPr>
      </w:pPr>
      <w:r>
        <w:rPr>
          <w:color w:val="auto"/>
          <w:sz w:val="20"/>
          <w:szCs w:val="20"/>
          <w:highlight w:val="none"/>
        </w:rPr>
        <w:br w:type="page"/>
      </w:r>
    </w:p>
    <w:p>
      <w:pPr>
        <w:pStyle w:val="2"/>
        <w:outlineLvl w:val="1"/>
        <w:rPr>
          <w:b/>
          <w:bCs/>
          <w:color w:val="auto"/>
          <w:highlight w:val="none"/>
          <w:lang w:val="en-US"/>
        </w:rPr>
      </w:pPr>
      <w:bookmarkStart w:id="177" w:name="_Toc25747"/>
      <w:r>
        <w:rPr>
          <w:rFonts w:hint="eastAsia"/>
          <w:b/>
          <w:bCs/>
          <w:color w:val="auto"/>
          <w:highlight w:val="none"/>
          <w:lang w:val="en-US"/>
        </w:rPr>
        <w:t>格式十六：</w:t>
      </w:r>
      <w:bookmarkEnd w:id="177"/>
    </w:p>
    <w:p>
      <w:pPr>
        <w:pStyle w:val="2"/>
        <w:spacing w:before="114"/>
        <w:ind w:left="490"/>
        <w:rPr>
          <w:color w:val="auto"/>
          <w:sz w:val="21"/>
          <w:szCs w:val="21"/>
          <w:highlight w:val="none"/>
        </w:rPr>
      </w:pPr>
      <w:r>
        <w:rPr>
          <w:color w:val="auto"/>
          <w:sz w:val="21"/>
          <w:szCs w:val="21"/>
          <w:highlight w:val="none"/>
        </w:rPr>
        <w:t>（以下格式文件由</w:t>
      </w:r>
      <w:r>
        <w:rPr>
          <w:rFonts w:hint="eastAsia"/>
          <w:color w:val="auto"/>
          <w:sz w:val="20"/>
          <w:szCs w:val="20"/>
          <w:highlight w:val="none"/>
        </w:rPr>
        <w:t>投标人</w:t>
      </w:r>
      <w:r>
        <w:rPr>
          <w:color w:val="auto"/>
          <w:sz w:val="21"/>
          <w:szCs w:val="21"/>
          <w:highlight w:val="none"/>
        </w:rPr>
        <w:t>根据需要选用）</w:t>
      </w:r>
    </w:p>
    <w:p>
      <w:pPr>
        <w:pStyle w:val="2"/>
        <w:spacing w:before="140"/>
        <w:ind w:left="490"/>
        <w:rPr>
          <w:color w:val="auto"/>
          <w:sz w:val="21"/>
          <w:szCs w:val="21"/>
          <w:highlight w:val="none"/>
        </w:rPr>
      </w:pPr>
      <w:r>
        <w:rPr>
          <w:color w:val="auto"/>
          <w:sz w:val="21"/>
          <w:szCs w:val="21"/>
          <w:highlight w:val="none"/>
        </w:rPr>
        <w:t>项目实施方案、质量保证及售后服务承诺等内容和格式自拟。</w:t>
      </w:r>
    </w:p>
    <w:p>
      <w:pPr>
        <w:rPr>
          <w:color w:val="auto"/>
          <w:szCs w:val="21"/>
          <w:highlight w:val="none"/>
        </w:rPr>
      </w:pPr>
      <w:r>
        <w:rPr>
          <w:color w:val="auto"/>
          <w:szCs w:val="21"/>
          <w:highlight w:val="none"/>
        </w:rPr>
        <w:br w:type="page"/>
      </w:r>
    </w:p>
    <w:p>
      <w:pPr>
        <w:pStyle w:val="3"/>
        <w:rPr>
          <w:color w:val="auto"/>
          <w:highlight w:val="none"/>
        </w:rPr>
      </w:pPr>
      <w:bookmarkStart w:id="178" w:name="_Toc27211"/>
      <w:r>
        <w:rPr>
          <w:rFonts w:hint="eastAsia"/>
          <w:color w:val="auto"/>
          <w:highlight w:val="none"/>
        </w:rPr>
        <w:t>第七篇 开标文件格式</w:t>
      </w:r>
      <w:bookmarkEnd w:id="178"/>
    </w:p>
    <w:p>
      <w:pPr>
        <w:jc w:val="center"/>
        <w:outlineLvl w:val="1"/>
        <w:rPr>
          <w:b/>
          <w:bCs/>
          <w:color w:val="auto"/>
          <w:highlight w:val="none"/>
        </w:rPr>
      </w:pPr>
      <w:bookmarkStart w:id="179" w:name="_Toc32249"/>
      <w:r>
        <w:rPr>
          <w:rFonts w:hint="eastAsia"/>
          <w:b/>
          <w:bCs/>
          <w:color w:val="auto"/>
          <w:highlight w:val="none"/>
        </w:rPr>
        <w:t>（封面格式仅供参考）</w:t>
      </w:r>
      <w:bookmarkEnd w:id="179"/>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outlineLvl w:val="2"/>
        <w:rPr>
          <w:rFonts w:ascii="宋体" w:hAnsi="宋体" w:cs="宋体"/>
          <w:b/>
          <w:color w:val="auto"/>
          <w:kern w:val="0"/>
          <w:sz w:val="38"/>
          <w:szCs w:val="38"/>
          <w:highlight w:val="none"/>
          <w:lang w:val="zh-CN" w:bidi="zh-CN"/>
        </w:rPr>
      </w:pPr>
      <w:bookmarkStart w:id="180" w:name="_Toc10015"/>
      <w:r>
        <w:rPr>
          <w:rFonts w:hint="eastAsia" w:ascii="宋体" w:hAnsi="宋体" w:cs="宋体"/>
          <w:b/>
          <w:color w:val="auto"/>
          <w:spacing w:val="10"/>
          <w:kern w:val="0"/>
          <w:sz w:val="38"/>
          <w:szCs w:val="38"/>
          <w:highlight w:val="none"/>
          <w:lang w:val="zh-CN" w:bidi="zh-CN"/>
        </w:rPr>
        <w:t>开标</w:t>
      </w:r>
      <w:r>
        <w:rPr>
          <w:rFonts w:ascii="宋体" w:hAnsi="宋体" w:cs="宋体"/>
          <w:b/>
          <w:color w:val="auto"/>
          <w:spacing w:val="10"/>
          <w:kern w:val="0"/>
          <w:sz w:val="38"/>
          <w:szCs w:val="38"/>
          <w:highlight w:val="none"/>
          <w:lang w:val="zh-CN" w:bidi="zh-CN"/>
        </w:rPr>
        <w:t>文件封面</w:t>
      </w:r>
      <w:bookmarkEnd w:id="180"/>
    </w:p>
    <w:p>
      <w:pPr>
        <w:autoSpaceDE w:val="0"/>
        <w:autoSpaceDN w:val="0"/>
        <w:spacing w:before="11"/>
        <w:jc w:val="center"/>
        <w:rPr>
          <w:rFonts w:ascii="宋体" w:hAnsi="宋体" w:cs="宋体"/>
          <w:b/>
          <w:color w:val="auto"/>
          <w:sz w:val="46"/>
          <w:szCs w:val="19"/>
          <w:highlight w:val="none"/>
          <w:lang w:val="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181" w:name="_Toc18186"/>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开标</w:t>
      </w:r>
      <w:r>
        <w:rPr>
          <w:rFonts w:ascii="宋体" w:hAnsi="宋体" w:cs="宋体"/>
          <w:b/>
          <w:color w:val="auto"/>
          <w:spacing w:val="7"/>
          <w:kern w:val="0"/>
          <w:sz w:val="38"/>
          <w:szCs w:val="22"/>
          <w:highlight w:val="none"/>
          <w:lang w:val="zh-CN" w:bidi="zh-CN"/>
        </w:rPr>
        <w:t>文件封面</w:t>
      </w:r>
      <w:bookmarkEnd w:id="181"/>
    </w:p>
    <w:p>
      <w:pPr>
        <w:autoSpaceDE w:val="0"/>
        <w:autoSpaceDN w:val="0"/>
        <w:spacing w:line="479" w:lineRule="exact"/>
        <w:jc w:val="center"/>
        <w:rPr>
          <w:rFonts w:ascii="宋体" w:hAnsi="宋体" w:cs="宋体"/>
          <w:b/>
          <w:bCs/>
          <w:color w:val="auto"/>
          <w:sz w:val="24"/>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spacing w:before="8"/>
        <w:jc w:val="center"/>
        <w:rPr>
          <w:rFonts w:ascii="宋体" w:hAnsi="宋体" w:cs="宋体"/>
          <w:b/>
          <w:color w:val="auto"/>
          <w:sz w:val="38"/>
          <w:szCs w:val="19"/>
          <w:highlight w:val="none"/>
          <w:lang w:val="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 xml:space="preserve">（投标人名称） 年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pStyle w:val="2"/>
        <w:spacing w:before="0" w:line="360" w:lineRule="auto"/>
        <w:ind w:left="0"/>
        <w:rPr>
          <w:b/>
          <w:bCs/>
          <w:color w:val="auto"/>
          <w:sz w:val="21"/>
          <w:szCs w:val="21"/>
          <w:highlight w:val="none"/>
          <w:lang w:val="en-US"/>
        </w:rPr>
      </w:pPr>
      <w:r>
        <w:rPr>
          <w:rFonts w:hint="eastAsia"/>
          <w:b/>
          <w:bCs/>
          <w:color w:val="auto"/>
          <w:sz w:val="21"/>
          <w:szCs w:val="21"/>
          <w:highlight w:val="none"/>
          <w:lang w:val="en-US"/>
        </w:rPr>
        <w:t>开标文件包括：</w:t>
      </w:r>
    </w:p>
    <w:p>
      <w:pPr>
        <w:pStyle w:val="2"/>
        <w:spacing w:before="0" w:line="360" w:lineRule="auto"/>
        <w:ind w:left="0"/>
        <w:outlineLvl w:val="1"/>
        <w:rPr>
          <w:b/>
          <w:bCs/>
          <w:color w:val="auto"/>
          <w:sz w:val="21"/>
          <w:szCs w:val="21"/>
          <w:highlight w:val="none"/>
          <w:lang w:val="en-US"/>
        </w:rPr>
      </w:pPr>
      <w:bookmarkStart w:id="182" w:name="_Toc32100"/>
      <w:r>
        <w:rPr>
          <w:rFonts w:hint="eastAsia"/>
          <w:b/>
          <w:bCs/>
          <w:color w:val="auto"/>
          <w:sz w:val="21"/>
          <w:szCs w:val="21"/>
          <w:highlight w:val="none"/>
          <w:lang w:val="en-US"/>
        </w:rPr>
        <w:t>1、开标一览表</w:t>
      </w:r>
      <w:bookmarkEnd w:id="182"/>
    </w:p>
    <w:p>
      <w:pPr>
        <w:spacing w:line="360" w:lineRule="auto"/>
        <w:outlineLvl w:val="1"/>
        <w:rPr>
          <w:rFonts w:ascii="宋体" w:hAnsi="宋体" w:cs="宋体"/>
          <w:b/>
          <w:bCs/>
          <w:color w:val="auto"/>
          <w:szCs w:val="21"/>
          <w:highlight w:val="none"/>
        </w:rPr>
      </w:pPr>
      <w:bookmarkStart w:id="183" w:name="_Toc8054"/>
      <w:r>
        <w:rPr>
          <w:rFonts w:hint="eastAsia" w:ascii="宋体" w:hAnsi="宋体" w:cs="宋体"/>
          <w:b/>
          <w:bCs/>
          <w:color w:val="auto"/>
          <w:szCs w:val="21"/>
          <w:highlight w:val="none"/>
        </w:rPr>
        <w:t>2、分项报价表</w:t>
      </w:r>
      <w:bookmarkEnd w:id="183"/>
    </w:p>
    <w:p>
      <w:pPr>
        <w:pStyle w:val="2"/>
        <w:spacing w:before="0" w:line="360" w:lineRule="auto"/>
        <w:ind w:left="0"/>
        <w:outlineLvl w:val="1"/>
        <w:rPr>
          <w:b/>
          <w:bCs/>
          <w:color w:val="auto"/>
          <w:sz w:val="21"/>
          <w:szCs w:val="21"/>
          <w:highlight w:val="none"/>
          <w:lang w:val="en-US"/>
        </w:rPr>
      </w:pPr>
      <w:bookmarkStart w:id="184" w:name="_Toc5011"/>
      <w:r>
        <w:rPr>
          <w:rFonts w:hint="eastAsia"/>
          <w:b/>
          <w:bCs/>
          <w:color w:val="auto"/>
          <w:sz w:val="21"/>
          <w:szCs w:val="21"/>
          <w:highlight w:val="none"/>
          <w:lang w:val="en-US"/>
        </w:rPr>
        <w:t>3、法定代表人证明书</w:t>
      </w:r>
      <w:bookmarkEnd w:id="184"/>
    </w:p>
    <w:p>
      <w:pPr>
        <w:pStyle w:val="2"/>
        <w:spacing w:before="0" w:line="360" w:lineRule="auto"/>
        <w:ind w:left="0"/>
        <w:outlineLvl w:val="1"/>
        <w:rPr>
          <w:b/>
          <w:bCs/>
          <w:color w:val="auto"/>
          <w:sz w:val="21"/>
          <w:szCs w:val="21"/>
          <w:highlight w:val="none"/>
          <w:lang w:val="en-US"/>
        </w:rPr>
      </w:pPr>
      <w:bookmarkStart w:id="185" w:name="_Toc27439"/>
      <w:r>
        <w:rPr>
          <w:rFonts w:hint="eastAsia"/>
          <w:b/>
          <w:bCs/>
          <w:color w:val="auto"/>
          <w:sz w:val="21"/>
          <w:szCs w:val="21"/>
          <w:highlight w:val="none"/>
          <w:lang w:val="en-US"/>
        </w:rPr>
        <w:t>4、法定代表人授权书</w:t>
      </w:r>
      <w:bookmarkEnd w:id="185"/>
    </w:p>
    <w:p>
      <w:pPr>
        <w:spacing w:line="360" w:lineRule="auto"/>
        <w:outlineLvl w:val="1"/>
        <w:rPr>
          <w:rFonts w:ascii="宋体" w:hAnsi="宋体" w:cs="宋体"/>
          <w:b/>
          <w:bCs/>
          <w:color w:val="auto"/>
          <w:szCs w:val="21"/>
          <w:highlight w:val="none"/>
        </w:rPr>
      </w:pPr>
      <w:bookmarkStart w:id="186" w:name="_Toc16304"/>
      <w:r>
        <w:rPr>
          <w:rFonts w:hint="eastAsia" w:ascii="宋体" w:hAnsi="宋体" w:cs="宋体"/>
          <w:b/>
          <w:bCs/>
          <w:color w:val="auto"/>
          <w:szCs w:val="21"/>
          <w:highlight w:val="none"/>
        </w:rPr>
        <w:t>5、投标保证金</w:t>
      </w:r>
      <w:bookmarkEnd w:id="186"/>
    </w:p>
    <w:p>
      <w:pPr>
        <w:rPr>
          <w:color w:val="auto"/>
          <w:highlight w:val="none"/>
        </w:rPr>
      </w:pPr>
    </w:p>
    <w:p>
      <w:pPr>
        <w:pStyle w:val="2"/>
        <w:rPr>
          <w:color w:val="auto"/>
          <w:highlight w:val="none"/>
          <w:lang w:val="en-US"/>
        </w:rPr>
      </w:pPr>
    </w:p>
    <w:p>
      <w:pPr>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注：投标人应将开标一览表、分项报价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若投标人采用担保函形式的，则无需密封在“开标文件”内，投标人需在开标时间截止前将原件提交至招标代理机构。</w:t>
      </w:r>
    </w:p>
    <w:p>
      <w:pPr>
        <w:rPr>
          <w:rFonts w:ascii="宋体" w:hAnsi="宋体"/>
          <w:color w:val="auto"/>
          <w:szCs w:val="21"/>
          <w:highlight w:val="none"/>
        </w:rPr>
      </w:pPr>
      <w:r>
        <w:rPr>
          <w:rFonts w:hint="eastAsia" w:ascii="宋体" w:hAnsi="宋体"/>
          <w:color w:val="auto"/>
          <w:szCs w:val="21"/>
          <w:highlight w:val="none"/>
        </w:rPr>
        <w:br w:type="page"/>
      </w:r>
    </w:p>
    <w:p>
      <w:pPr>
        <w:pStyle w:val="3"/>
        <w:rPr>
          <w:color w:val="auto"/>
          <w:highlight w:val="none"/>
        </w:rPr>
      </w:pPr>
      <w:bookmarkStart w:id="187" w:name="_Toc2722"/>
      <w:r>
        <w:rPr>
          <w:rFonts w:hint="eastAsia"/>
          <w:color w:val="auto"/>
          <w:highlight w:val="none"/>
        </w:rPr>
        <w:t>第八篇 其它文件格式（如有需要）</w:t>
      </w:r>
      <w:bookmarkEnd w:id="187"/>
    </w:p>
    <w:p>
      <w:pPr>
        <w:rPr>
          <w:b/>
          <w:bCs/>
          <w:color w:val="auto"/>
          <w:highlight w:val="none"/>
        </w:rPr>
      </w:pPr>
      <w:r>
        <w:rPr>
          <w:rFonts w:hint="eastAsia"/>
          <w:b/>
          <w:bCs/>
          <w:color w:val="auto"/>
          <w:highlight w:val="none"/>
        </w:rPr>
        <w:t>格式一：</w:t>
      </w:r>
    </w:p>
    <w:p>
      <w:pPr>
        <w:jc w:val="center"/>
        <w:rPr>
          <w:b/>
          <w:bCs/>
          <w:color w:val="auto"/>
          <w:highlight w:val="none"/>
        </w:rPr>
      </w:pPr>
      <w:r>
        <w:rPr>
          <w:b/>
          <w:bCs/>
          <w:color w:val="auto"/>
          <w:highlight w:val="none"/>
        </w:rPr>
        <w:t>询问函、质疑函格式</w:t>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说明：本部分格式为投标人提交询问函、质疑函时使用，不属于投标文件格式的组成部分。</w:t>
      </w:r>
    </w:p>
    <w:p>
      <w:pPr>
        <w:jc w:val="center"/>
        <w:rPr>
          <w:b/>
          <w:bCs/>
          <w:color w:val="auto"/>
          <w:highlight w:val="none"/>
        </w:rPr>
      </w:pPr>
      <w:r>
        <w:rPr>
          <w:b/>
          <w:bCs/>
          <w:color w:val="auto"/>
          <w:highlight w:val="none"/>
        </w:rPr>
        <w:t>询问函</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国顺招标有限</w:t>
      </w:r>
      <w:r>
        <w:rPr>
          <w:color w:val="auto"/>
          <w:sz w:val="21"/>
          <w:szCs w:val="21"/>
          <w:highlight w:val="none"/>
        </w:rPr>
        <w:t>公司</w:t>
      </w:r>
    </w:p>
    <w:p>
      <w:pPr>
        <w:pStyle w:val="2"/>
        <w:autoSpaceDE w:val="0"/>
        <w:autoSpaceDN w:val="0"/>
        <w:spacing w:before="0" w:line="360" w:lineRule="auto"/>
        <w:ind w:left="0" w:firstLine="420" w:firstLineChars="200"/>
        <w:rPr>
          <w:color w:val="auto"/>
          <w:sz w:val="21"/>
          <w:szCs w:val="21"/>
          <w:highlight w:val="none"/>
        </w:rPr>
      </w:pPr>
      <w:r>
        <w:rPr>
          <w:color w:val="auto"/>
          <w:sz w:val="21"/>
          <w:szCs w:val="21"/>
          <w:highlight w:val="none"/>
        </w:rPr>
        <w:t>我单位已登记并准备参与</w:t>
      </w:r>
      <w:r>
        <w:rPr>
          <w:rFonts w:hint="eastAsia"/>
          <w:color w:val="auto"/>
          <w:sz w:val="21"/>
          <w:szCs w:val="21"/>
          <w:highlight w:val="none"/>
          <w:u w:val="single"/>
          <w:lang w:val="en-US"/>
        </w:rPr>
        <w:t xml:space="preserve">    </w:t>
      </w:r>
      <w:r>
        <w:rPr>
          <w:color w:val="auto"/>
          <w:sz w:val="21"/>
          <w:szCs w:val="21"/>
          <w:highlight w:val="none"/>
        </w:rPr>
        <w:t>项目（项目编号：</w:t>
      </w:r>
      <w:r>
        <w:rPr>
          <w:rFonts w:hint="eastAsia"/>
          <w:color w:val="auto"/>
          <w:sz w:val="21"/>
          <w:szCs w:val="21"/>
          <w:highlight w:val="none"/>
          <w:u w:val="single"/>
          <w:lang w:val="en-US"/>
        </w:rPr>
        <w:t xml:space="preserve">    </w:t>
      </w:r>
      <w:r>
        <w:rPr>
          <w:color w:val="auto"/>
          <w:sz w:val="21"/>
          <w:szCs w:val="21"/>
          <w:highlight w:val="none"/>
        </w:rPr>
        <w:t>）的投标活动，现有以下几个内容（或条款）存在疑问（或无法理解），特提出询问。</w:t>
      </w:r>
    </w:p>
    <w:p>
      <w:pPr>
        <w:pStyle w:val="2"/>
        <w:tabs>
          <w:tab w:val="left" w:pos="2890"/>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（事项一）</w:t>
      </w:r>
    </w:p>
    <w:p>
      <w:pPr>
        <w:pStyle w:val="20"/>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1</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（问题或条款内容）</w:t>
      </w:r>
    </w:p>
    <w:p>
      <w:pPr>
        <w:pStyle w:val="20"/>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2</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（说明疑问或无法理解原因）</w:t>
      </w:r>
    </w:p>
    <w:p>
      <w:pPr>
        <w:pStyle w:val="2"/>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rPr>
        <w:t>3</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 xml:space="preserve">（建议） </w:t>
      </w:r>
    </w:p>
    <w:p>
      <w:pPr>
        <w:pStyle w:val="2"/>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（事项二</w:t>
      </w:r>
      <w:r>
        <w:rPr>
          <w:rFonts w:hint="eastAsia"/>
          <w:color w:val="auto"/>
          <w:spacing w:val="-17"/>
          <w:sz w:val="21"/>
          <w:szCs w:val="21"/>
          <w:highlight w:val="none"/>
        </w:rPr>
        <w:t>）</w:t>
      </w:r>
    </w:p>
    <w:p>
      <w:pPr>
        <w:pStyle w:val="2"/>
        <w:autoSpaceDE w:val="0"/>
        <w:autoSpaceDN w:val="0"/>
        <w:spacing w:before="0" w:line="360" w:lineRule="auto"/>
        <w:ind w:left="0" w:firstLine="314" w:firstLineChars="200"/>
        <w:rPr>
          <w:color w:val="auto"/>
          <w:sz w:val="21"/>
          <w:szCs w:val="21"/>
          <w:highlight w:val="none"/>
        </w:rPr>
      </w:pPr>
      <w:r>
        <w:rPr>
          <w:color w:val="auto"/>
          <w:w w:val="75"/>
          <w:sz w:val="21"/>
          <w:szCs w:val="21"/>
          <w:highlight w:val="none"/>
        </w:rPr>
        <w:t>...</w:t>
      </w:r>
    </w:p>
    <w:p>
      <w:pPr>
        <w:pStyle w:val="2"/>
        <w:autoSpaceDE w:val="0"/>
        <w:autoSpaceDN w:val="0"/>
        <w:spacing w:before="0" w:line="360" w:lineRule="auto"/>
        <w:ind w:left="0" w:firstLine="420" w:firstLineChars="200"/>
        <w:rPr>
          <w:color w:val="auto"/>
          <w:sz w:val="21"/>
          <w:szCs w:val="21"/>
          <w:highlight w:val="none"/>
        </w:rPr>
      </w:pPr>
      <w:r>
        <w:rPr>
          <w:color w:val="auto"/>
          <w:sz w:val="21"/>
          <w:szCs w:val="21"/>
          <w:highlight w:val="none"/>
        </w:rPr>
        <w:t>随附相关证明材料如下：（目录）</w:t>
      </w:r>
    </w:p>
    <w:p>
      <w:pPr>
        <w:pStyle w:val="2"/>
        <w:tabs>
          <w:tab w:val="left" w:pos="10713"/>
        </w:tabs>
        <w:autoSpaceDE w:val="0"/>
        <w:autoSpaceDN w:val="0"/>
        <w:spacing w:before="0" w:line="360" w:lineRule="auto"/>
        <w:ind w:left="0" w:firstLine="420" w:firstLineChars="200"/>
        <w:rPr>
          <w:color w:val="auto"/>
          <w:sz w:val="21"/>
          <w:szCs w:val="21"/>
          <w:highlight w:val="none"/>
        </w:rPr>
      </w:pPr>
    </w:p>
    <w:p>
      <w:pPr>
        <w:pStyle w:val="2"/>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询问人（公章）：</w:t>
      </w:r>
    </w:p>
    <w:p>
      <w:pPr>
        <w:pStyle w:val="2"/>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法定代表人或授权代表（签字或盖章）：</w:t>
      </w:r>
    </w:p>
    <w:p>
      <w:pPr>
        <w:pStyle w:val="2"/>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地址/邮编：</w:t>
      </w:r>
    </w:p>
    <w:p>
      <w:pPr>
        <w:pStyle w:val="2"/>
        <w:tabs>
          <w:tab w:val="left" w:pos="10713"/>
        </w:tabs>
        <w:autoSpaceDE w:val="0"/>
        <w:autoSpaceDN w:val="0"/>
        <w:spacing w:before="0" w:line="360" w:lineRule="auto"/>
        <w:ind w:left="0" w:firstLine="420" w:firstLineChars="200"/>
        <w:rPr>
          <w:rFonts w:ascii="Times New Roman" w:eastAsia="Times New Roman"/>
          <w:color w:val="auto"/>
          <w:sz w:val="21"/>
          <w:szCs w:val="21"/>
          <w:highlight w:val="none"/>
        </w:rPr>
      </w:pPr>
      <w:r>
        <w:rPr>
          <w:color w:val="auto"/>
          <w:sz w:val="21"/>
          <w:szCs w:val="21"/>
          <w:highlight w:val="none"/>
        </w:rPr>
        <w:t>电话/传真：</w:t>
      </w:r>
    </w:p>
    <w:p>
      <w:pPr>
        <w:pStyle w:val="2"/>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日期： 年 月 日</w:t>
      </w:r>
    </w:p>
    <w:p>
      <w:pPr>
        <w:rPr>
          <w:color w:val="auto"/>
          <w:szCs w:val="21"/>
          <w:highlight w:val="none"/>
        </w:rPr>
      </w:pPr>
      <w:r>
        <w:rPr>
          <w:color w:val="auto"/>
          <w:szCs w:val="21"/>
          <w:highlight w:val="none"/>
        </w:rPr>
        <w:br w:type="page"/>
      </w:r>
    </w:p>
    <w:p>
      <w:pPr>
        <w:jc w:val="center"/>
        <w:rPr>
          <w:b/>
          <w:bCs/>
          <w:color w:val="auto"/>
          <w:highlight w:val="none"/>
        </w:rPr>
      </w:pPr>
      <w:r>
        <w:rPr>
          <w:b/>
          <w:bCs/>
          <w:color w:val="auto"/>
          <w:highlight w:val="none"/>
        </w:rPr>
        <w:t>质疑函</w:t>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一、质疑供应商基本信息质疑供应商：</w:t>
      </w:r>
    </w:p>
    <w:p>
      <w:pPr>
        <w:pStyle w:val="2"/>
        <w:tabs>
          <w:tab w:val="left" w:pos="3082"/>
          <w:tab w:val="left" w:pos="5720"/>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2"/>
        <w:tabs>
          <w:tab w:val="left" w:pos="3082"/>
          <w:tab w:val="left" w:pos="3511"/>
          <w:tab w:val="left" w:pos="6104"/>
        </w:tabs>
        <w:autoSpaceDE w:val="0"/>
        <w:autoSpaceDN w:val="0"/>
        <w:spacing w:line="360" w:lineRule="auto"/>
        <w:ind w:left="0" w:firstLine="420" w:firstLineChars="200"/>
        <w:rPr>
          <w:color w:val="auto"/>
          <w:sz w:val="21"/>
          <w:szCs w:val="21"/>
          <w:highlight w:val="none"/>
          <w:u w:val="single"/>
          <w:lang w:val="en-US"/>
        </w:rPr>
      </w:pPr>
      <w:r>
        <w:rPr>
          <w:color w:val="auto"/>
          <w:sz w:val="21"/>
          <w:szCs w:val="21"/>
          <w:highlight w:val="none"/>
        </w:rPr>
        <w:t>联系：</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联系电话：</w:t>
      </w:r>
      <w:r>
        <w:rPr>
          <w:rFonts w:hint="eastAsia"/>
          <w:color w:val="auto"/>
          <w:sz w:val="21"/>
          <w:szCs w:val="21"/>
          <w:highlight w:val="none"/>
          <w:u w:val="single"/>
          <w:lang w:val="en-US"/>
        </w:rPr>
        <w:t xml:space="preserve">               </w:t>
      </w:r>
    </w:p>
    <w:p>
      <w:pPr>
        <w:pStyle w:val="2"/>
        <w:tabs>
          <w:tab w:val="left" w:pos="3082"/>
          <w:tab w:val="left" w:pos="3511"/>
          <w:tab w:val="left" w:pos="610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授权代表：</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联系电话：</w:t>
      </w:r>
      <w:r>
        <w:rPr>
          <w:rFonts w:hint="eastAsia" w:ascii="Times New Roman"/>
          <w:color w:val="auto"/>
          <w:sz w:val="21"/>
          <w:szCs w:val="21"/>
          <w:highlight w:val="none"/>
          <w:u w:val="single"/>
          <w:lang w:val="en-US"/>
        </w:rPr>
        <w:t xml:space="preserve">               </w:t>
      </w:r>
    </w:p>
    <w:p>
      <w:pPr>
        <w:pStyle w:val="2"/>
        <w:tabs>
          <w:tab w:val="left" w:pos="3082"/>
          <w:tab w:val="left" w:pos="572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color w:val="auto"/>
          <w:sz w:val="21"/>
          <w:szCs w:val="21"/>
          <w:highlight w:val="none"/>
          <w:u w:val="single"/>
        </w:rPr>
        <w:tab/>
      </w:r>
      <w:r>
        <w:rPr>
          <w:color w:val="auto"/>
          <w:sz w:val="21"/>
          <w:szCs w:val="21"/>
          <w:highlight w:val="none"/>
          <w:u w:val="single"/>
        </w:rPr>
        <w:t xml:space="preserve">       </w:t>
      </w:r>
    </w:p>
    <w:p>
      <w:pPr>
        <w:pStyle w:val="2"/>
        <w:tabs>
          <w:tab w:val="left" w:pos="3082"/>
          <w:tab w:val="left" w:pos="5720"/>
        </w:tabs>
        <w:autoSpaceDE w:val="0"/>
        <w:autoSpaceDN w:val="0"/>
        <w:spacing w:line="360" w:lineRule="auto"/>
        <w:ind w:left="0" w:firstLine="420" w:firstLineChars="200"/>
        <w:rPr>
          <w:color w:val="auto"/>
          <w:sz w:val="21"/>
          <w:szCs w:val="21"/>
          <w:highlight w:val="none"/>
        </w:rPr>
      </w:pPr>
      <w:r>
        <w:rPr>
          <w:color w:val="auto"/>
          <w:sz w:val="21"/>
          <w:szCs w:val="21"/>
          <w:highlight w:val="none"/>
        </w:rPr>
        <w:t>二、质疑项目基本情况</w:t>
      </w:r>
    </w:p>
    <w:p>
      <w:pPr>
        <w:pStyle w:val="2"/>
        <w:tabs>
          <w:tab w:val="left" w:pos="408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质疑项目的名称：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2"/>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质疑项目的编号：</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u w:val="single"/>
        </w:rPr>
        <w:tab/>
      </w:r>
      <w:r>
        <w:rPr>
          <w:color w:val="auto"/>
          <w:sz w:val="21"/>
          <w:szCs w:val="21"/>
          <w:highlight w:val="none"/>
        </w:rPr>
        <w:t>包号：</w:t>
      </w:r>
      <w:r>
        <w:rPr>
          <w:rFonts w:hint="eastAsia"/>
          <w:color w:val="auto"/>
          <w:sz w:val="21"/>
          <w:szCs w:val="21"/>
          <w:highlight w:val="none"/>
          <w:u w:val="single"/>
          <w:lang w:val="en-US"/>
        </w:rPr>
        <w:t xml:space="preserve">  </w:t>
      </w:r>
      <w:r>
        <w:rPr>
          <w:color w:val="auto"/>
          <w:sz w:val="21"/>
          <w:szCs w:val="21"/>
          <w:highlight w:val="none"/>
          <w:u w:val="single"/>
        </w:rPr>
        <w:t xml:space="preserve">      </w:t>
      </w:r>
    </w:p>
    <w:p>
      <w:pPr>
        <w:pStyle w:val="2"/>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采购人名称：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采购文件获取日期：</w:t>
      </w:r>
      <w:r>
        <w:rPr>
          <w:color w:val="auto"/>
          <w:sz w:val="21"/>
          <w:szCs w:val="21"/>
          <w:highlight w:val="none"/>
          <w:u w:val="single"/>
        </w:rPr>
        <w:tab/>
      </w:r>
      <w:r>
        <w:rPr>
          <w:color w:val="auto"/>
          <w:sz w:val="21"/>
          <w:szCs w:val="21"/>
          <w:highlight w:val="none"/>
          <w:u w:val="single"/>
        </w:rPr>
        <w:t xml:space="preserve">      </w:t>
      </w:r>
    </w:p>
    <w:p>
      <w:pPr>
        <w:pStyle w:val="2"/>
        <w:tabs>
          <w:tab w:val="left" w:pos="4280"/>
        </w:tabs>
        <w:autoSpaceDE w:val="0"/>
        <w:autoSpaceDN w:val="0"/>
        <w:spacing w:line="360" w:lineRule="auto"/>
        <w:ind w:left="0" w:firstLine="420" w:firstLineChars="200"/>
        <w:rPr>
          <w:color w:val="auto"/>
          <w:sz w:val="21"/>
          <w:szCs w:val="21"/>
          <w:highlight w:val="none"/>
        </w:rPr>
      </w:pPr>
      <w:r>
        <w:rPr>
          <w:color w:val="auto"/>
          <w:sz w:val="21"/>
          <w:szCs w:val="21"/>
          <w:highlight w:val="none"/>
        </w:rPr>
        <w:t>三、质疑事项具体内容</w:t>
      </w:r>
    </w:p>
    <w:p>
      <w:pPr>
        <w:pStyle w:val="2"/>
        <w:tabs>
          <w:tab w:val="left" w:pos="3511"/>
          <w:tab w:val="left" w:pos="3631"/>
        </w:tabs>
        <w:autoSpaceDE w:val="0"/>
        <w:autoSpaceDN w:val="0"/>
        <w:spacing w:line="360" w:lineRule="auto"/>
        <w:ind w:left="0" w:firstLine="408" w:firstLineChars="200"/>
        <w:rPr>
          <w:color w:val="auto"/>
          <w:sz w:val="21"/>
          <w:szCs w:val="21"/>
          <w:highlight w:val="none"/>
          <w:u w:val="single"/>
        </w:rPr>
      </w:pPr>
      <w:r>
        <w:rPr>
          <w:color w:val="auto"/>
          <w:spacing w:val="-3"/>
          <w:sz w:val="21"/>
          <w:szCs w:val="21"/>
          <w:highlight w:val="none"/>
        </w:rPr>
        <w:t>质疑事项1：</w:t>
      </w:r>
      <w:r>
        <w:rPr>
          <w:color w:val="auto"/>
          <w:spacing w:val="-3"/>
          <w:sz w:val="21"/>
          <w:szCs w:val="21"/>
          <w:highlight w:val="none"/>
          <w:u w:val="single"/>
        </w:rPr>
        <w:tab/>
      </w:r>
      <w:r>
        <w:rPr>
          <w:color w:val="auto"/>
          <w:spacing w:val="-3"/>
          <w:sz w:val="21"/>
          <w:szCs w:val="21"/>
          <w:highlight w:val="none"/>
          <w:u w:val="single"/>
        </w:rPr>
        <w:tab/>
      </w:r>
      <w:r>
        <w:rPr>
          <w:color w:val="auto"/>
          <w:sz w:val="21"/>
          <w:szCs w:val="21"/>
          <w:highlight w:val="none"/>
          <w:u w:val="single"/>
        </w:rPr>
        <w:t xml:space="preserve">                    </w:t>
      </w:r>
    </w:p>
    <w:p>
      <w:pPr>
        <w:pStyle w:val="2"/>
        <w:tabs>
          <w:tab w:val="left" w:pos="3511"/>
          <w:tab w:val="left" w:pos="3631"/>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事实依据：</w:t>
      </w:r>
      <w:r>
        <w:rPr>
          <w:color w:val="auto"/>
          <w:sz w:val="21"/>
          <w:szCs w:val="21"/>
          <w:highlight w:val="none"/>
          <w:u w:val="single"/>
        </w:rPr>
        <w:tab/>
      </w:r>
      <w:r>
        <w:rPr>
          <w:color w:val="auto"/>
          <w:sz w:val="21"/>
          <w:szCs w:val="21"/>
          <w:highlight w:val="none"/>
          <w:u w:val="single"/>
        </w:rPr>
        <w:t xml:space="preserve">                    </w:t>
      </w:r>
    </w:p>
    <w:p>
      <w:pPr>
        <w:pStyle w:val="2"/>
        <w:tabs>
          <w:tab w:val="left" w:pos="3511"/>
          <w:tab w:val="left" w:pos="3631"/>
        </w:tabs>
        <w:autoSpaceDE w:val="0"/>
        <w:autoSpaceDN w:val="0"/>
        <w:spacing w:line="360" w:lineRule="auto"/>
        <w:ind w:left="0" w:firstLine="420" w:firstLineChars="200"/>
        <w:rPr>
          <w:color w:val="auto"/>
          <w:spacing w:val="60"/>
          <w:sz w:val="21"/>
          <w:szCs w:val="21"/>
          <w:highlight w:val="none"/>
          <w:u w:val="single"/>
        </w:rPr>
      </w:pPr>
      <w:r>
        <w:rPr>
          <w:color w:val="auto"/>
          <w:sz w:val="21"/>
          <w:szCs w:val="21"/>
          <w:highlight w:val="none"/>
        </w:rPr>
        <w:t>法律依据：</w:t>
      </w:r>
      <w:r>
        <w:rPr>
          <w:color w:val="auto"/>
          <w:sz w:val="21"/>
          <w:szCs w:val="21"/>
          <w:highlight w:val="none"/>
          <w:u w:val="single"/>
        </w:rPr>
        <w:tab/>
      </w:r>
      <w:r>
        <w:rPr>
          <w:color w:val="auto"/>
          <w:spacing w:val="-3"/>
          <w:sz w:val="21"/>
          <w:szCs w:val="21"/>
          <w:highlight w:val="none"/>
          <w:u w:val="single"/>
        </w:rPr>
        <w:t xml:space="preserve">                    </w:t>
      </w:r>
      <w:r>
        <w:rPr>
          <w:color w:val="auto"/>
          <w:spacing w:val="60"/>
          <w:sz w:val="21"/>
          <w:szCs w:val="21"/>
          <w:highlight w:val="none"/>
          <w:u w:val="single"/>
        </w:rPr>
        <w:t xml:space="preserve"> </w:t>
      </w:r>
    </w:p>
    <w:p>
      <w:pPr>
        <w:pStyle w:val="2"/>
        <w:tabs>
          <w:tab w:val="left" w:pos="3511"/>
          <w:tab w:val="left" w:pos="3631"/>
        </w:tabs>
        <w:autoSpaceDE w:val="0"/>
        <w:autoSpaceDN w:val="0"/>
        <w:spacing w:line="360" w:lineRule="auto"/>
        <w:ind w:left="0" w:firstLine="408" w:firstLineChars="200"/>
        <w:rPr>
          <w:rFonts w:ascii="Times New Roman" w:eastAsia="Times New Roman"/>
          <w:color w:val="auto"/>
          <w:sz w:val="21"/>
          <w:szCs w:val="21"/>
          <w:highlight w:val="none"/>
        </w:rPr>
      </w:pPr>
      <w:r>
        <w:rPr>
          <w:color w:val="auto"/>
          <w:spacing w:val="-3"/>
          <w:sz w:val="21"/>
          <w:szCs w:val="21"/>
          <w:highlight w:val="none"/>
        </w:rPr>
        <w:t>质疑事项2：</w:t>
      </w:r>
      <w:r>
        <w:rPr>
          <w:rFonts w:ascii="Times New Roman" w:eastAsia="Times New Roman"/>
          <w:color w:val="auto"/>
          <w:spacing w:val="-3"/>
          <w:sz w:val="21"/>
          <w:szCs w:val="21"/>
          <w:highlight w:val="none"/>
          <w:u w:val="single"/>
        </w:rPr>
        <w:t xml:space="preserve"> </w:t>
      </w:r>
      <w:r>
        <w:rPr>
          <w:rFonts w:ascii="Times New Roman" w:eastAsia="Times New Roman"/>
          <w:color w:val="auto"/>
          <w:spacing w:val="-3"/>
          <w:sz w:val="21"/>
          <w:szCs w:val="21"/>
          <w:highlight w:val="none"/>
          <w:u w:val="single"/>
        </w:rPr>
        <w:tab/>
      </w:r>
      <w:r>
        <w:rPr>
          <w:rFonts w:ascii="Times New Roman" w:eastAsia="Times New Roman"/>
          <w:color w:val="auto"/>
          <w:spacing w:val="-3"/>
          <w:sz w:val="21"/>
          <w:szCs w:val="21"/>
          <w:highlight w:val="none"/>
          <w:u w:val="single"/>
        </w:rPr>
        <w:tab/>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w:t>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四、与质疑事项相关的质疑请求</w:t>
      </w:r>
    </w:p>
    <w:p>
      <w:pPr>
        <w:pStyle w:val="2"/>
        <w:tabs>
          <w:tab w:val="left" w:pos="514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请求：</w:t>
      </w:r>
      <w:r>
        <w:rPr>
          <w:rFonts w:ascii="Times New Roman" w:eastAsia="Times New Roman"/>
          <w:color w:val="auto"/>
          <w:sz w:val="21"/>
          <w:szCs w:val="21"/>
          <w:highlight w:val="none"/>
          <w:u w:val="single"/>
        </w:rPr>
        <w:t xml:space="preserve"> </w:t>
      </w:r>
      <w:r>
        <w:rPr>
          <w:rFonts w:hint="eastAsia" w:ascii="Times New Roman"/>
          <w:color w:val="auto"/>
          <w:sz w:val="21"/>
          <w:szCs w:val="21"/>
          <w:highlight w:val="none"/>
          <w:u w:val="single"/>
          <w:lang w:val="en-US"/>
        </w:rPr>
        <w:t xml:space="preserve">                                           </w:t>
      </w:r>
    </w:p>
    <w:p>
      <w:pPr>
        <w:pStyle w:val="2"/>
        <w:tabs>
          <w:tab w:val="left" w:pos="3165"/>
          <w:tab w:val="left" w:pos="5818"/>
        </w:tabs>
        <w:autoSpaceDE w:val="0"/>
        <w:autoSpaceDN w:val="0"/>
        <w:spacing w:line="360" w:lineRule="auto"/>
        <w:ind w:left="0" w:firstLine="420" w:firstLineChars="200"/>
        <w:rPr>
          <w:color w:val="auto"/>
          <w:sz w:val="21"/>
          <w:szCs w:val="21"/>
          <w:highlight w:val="none"/>
        </w:rPr>
      </w:pPr>
    </w:p>
    <w:p>
      <w:pPr>
        <w:pStyle w:val="2"/>
        <w:tabs>
          <w:tab w:val="left" w:pos="3165"/>
          <w:tab w:val="left" w:pos="5818"/>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签字</w:t>
      </w:r>
      <w:r>
        <w:rPr>
          <w:color w:val="auto"/>
          <w:spacing w:val="-3"/>
          <w:sz w:val="21"/>
          <w:szCs w:val="21"/>
          <w:highlight w:val="none"/>
        </w:rPr>
        <w:t>(</w:t>
      </w:r>
      <w:r>
        <w:rPr>
          <w:color w:val="auto"/>
          <w:sz w:val="21"/>
          <w:szCs w:val="21"/>
          <w:highlight w:val="none"/>
        </w:rPr>
        <w:t>签章)：</w:t>
      </w:r>
      <w:r>
        <w:rPr>
          <w:color w:val="auto"/>
          <w:sz w:val="21"/>
          <w:szCs w:val="21"/>
          <w:highlight w:val="none"/>
          <w:u w:val="single"/>
        </w:rPr>
        <w:t xml:space="preserve"> </w:t>
      </w:r>
      <w:r>
        <w:rPr>
          <w:color w:val="auto"/>
          <w:sz w:val="21"/>
          <w:szCs w:val="21"/>
          <w:highlight w:val="none"/>
          <w:u w:val="single"/>
        </w:rPr>
        <w:tab/>
      </w:r>
    </w:p>
    <w:p>
      <w:pPr>
        <w:pStyle w:val="2"/>
        <w:tabs>
          <w:tab w:val="left" w:pos="3165"/>
          <w:tab w:val="left" w:pos="581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公章：</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日期： 年 月 日</w:t>
      </w:r>
    </w:p>
    <w:p>
      <w:pPr>
        <w:pStyle w:val="2"/>
        <w:autoSpaceDE w:val="0"/>
        <w:autoSpaceDN w:val="0"/>
        <w:spacing w:line="360" w:lineRule="auto"/>
        <w:ind w:left="0" w:firstLine="420" w:firstLineChars="200"/>
        <w:rPr>
          <w:color w:val="auto"/>
          <w:sz w:val="21"/>
          <w:szCs w:val="21"/>
          <w:highlight w:val="none"/>
        </w:rPr>
      </w:pP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质疑函制作说明：</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1、</w:t>
      </w:r>
      <w:r>
        <w:rPr>
          <w:color w:val="auto"/>
          <w:szCs w:val="21"/>
          <w:highlight w:val="none"/>
        </w:rPr>
        <w:t>供应商提出质疑时，应提交质疑函和必要的证明材料。</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2、</w:t>
      </w:r>
      <w:r>
        <w:rPr>
          <w:color w:val="auto"/>
          <w:szCs w:val="21"/>
          <w:highlight w:val="none"/>
        </w:rPr>
        <w:t>质疑供应商若委托代理人进行质疑的，质疑函应按要求列明</w:t>
      </w:r>
      <w:r>
        <w:rPr>
          <w:color w:val="auto"/>
          <w:spacing w:val="-4"/>
          <w:w w:val="80"/>
          <w:szCs w:val="21"/>
          <w:highlight w:val="none"/>
        </w:rPr>
        <w:t>“</w:t>
      </w:r>
      <w:r>
        <w:rPr>
          <w:color w:val="auto"/>
          <w:szCs w:val="21"/>
          <w:highlight w:val="none"/>
        </w:rPr>
        <w:t>授权代表</w:t>
      </w:r>
      <w:r>
        <w:rPr>
          <w:color w:val="auto"/>
          <w:spacing w:val="-4"/>
          <w:w w:val="80"/>
          <w:szCs w:val="21"/>
          <w:highlight w:val="none"/>
        </w:rPr>
        <w:t>”</w:t>
      </w:r>
      <w:r>
        <w:rPr>
          <w:color w:val="auto"/>
          <w:spacing w:val="-1"/>
          <w:szCs w:val="21"/>
          <w:highlight w:val="none"/>
        </w:rPr>
        <w:t>的有关内容，并在附件中提交由质疑供应商签署</w:t>
      </w:r>
      <w:r>
        <w:rPr>
          <w:color w:val="auto"/>
          <w:szCs w:val="21"/>
          <w:highlight w:val="none"/>
        </w:rPr>
        <w:t>的授权委托书。授权委托书应载明代理人的姓名或者名称、代理事项、具体权限、期限和相关事项。</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3、</w:t>
      </w:r>
      <w:r>
        <w:rPr>
          <w:color w:val="auto"/>
          <w:szCs w:val="21"/>
          <w:highlight w:val="none"/>
        </w:rPr>
        <w:t>质疑供应商若对项目的某一分包进行质疑，质疑函中应列明具体采购包号。</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4、</w:t>
      </w:r>
      <w:r>
        <w:rPr>
          <w:color w:val="auto"/>
          <w:szCs w:val="21"/>
          <w:highlight w:val="none"/>
        </w:rPr>
        <w:t>质疑函的质疑事项应具体、明确，并有必要的事实依据和法律依据。</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5、</w:t>
      </w:r>
      <w:r>
        <w:rPr>
          <w:color w:val="auto"/>
          <w:szCs w:val="21"/>
          <w:highlight w:val="none"/>
        </w:rPr>
        <w:t>质疑函的质疑请求应与质疑事项相关。</w:t>
      </w:r>
    </w:p>
    <w:p>
      <w:pPr>
        <w:pStyle w:val="20"/>
        <w:tabs>
          <w:tab w:val="left" w:pos="673"/>
        </w:tabs>
        <w:autoSpaceDE w:val="0"/>
        <w:autoSpaceDN w:val="0"/>
        <w:spacing w:line="360" w:lineRule="auto"/>
        <w:ind w:left="420" w:leftChars="200" w:firstLine="0" w:firstLineChars="0"/>
        <w:rPr>
          <w:color w:val="auto"/>
          <w:spacing w:val="-1"/>
          <w:szCs w:val="21"/>
          <w:highlight w:val="none"/>
        </w:rPr>
      </w:pPr>
      <w:r>
        <w:rPr>
          <w:color w:val="auto"/>
          <w:spacing w:val="-1"/>
          <w:szCs w:val="21"/>
          <w:highlight w:val="none"/>
        </w:rPr>
        <w:t>质疑供应商为自然人的，质疑函应由本人签字；质疑供应商为法人或者其他组织的，质疑函应由法定代表人、主要负责人，或者其授权代表签字或者盖章，并加盖公章。</w:t>
      </w:r>
    </w:p>
    <w:p>
      <w:pPr>
        <w:rPr>
          <w:color w:val="auto"/>
          <w:szCs w:val="21"/>
          <w:highlight w:val="none"/>
        </w:rPr>
      </w:pPr>
      <w:r>
        <w:rPr>
          <w:color w:val="auto"/>
          <w:szCs w:val="21"/>
          <w:highlight w:val="none"/>
        </w:rPr>
        <w:br w:type="page"/>
      </w:r>
    </w:p>
    <w:p>
      <w:pPr>
        <w:pStyle w:val="2"/>
        <w:rPr>
          <w:b/>
          <w:bCs/>
          <w:color w:val="auto"/>
          <w:highlight w:val="none"/>
        </w:rPr>
      </w:pPr>
      <w:r>
        <w:rPr>
          <w:rFonts w:hint="eastAsia"/>
          <w:b/>
          <w:bCs/>
          <w:color w:val="auto"/>
          <w:highlight w:val="none"/>
        </w:rPr>
        <w:t>格式二：</w:t>
      </w:r>
    </w:p>
    <w:p>
      <w:pPr>
        <w:jc w:val="center"/>
        <w:rPr>
          <w:b/>
          <w:bCs/>
          <w:color w:val="auto"/>
          <w:highlight w:val="none"/>
        </w:rPr>
      </w:pPr>
      <w:r>
        <w:rPr>
          <w:rFonts w:hint="eastAsia"/>
          <w:b/>
          <w:bCs/>
          <w:color w:val="auto"/>
          <w:highlight w:val="none"/>
        </w:rPr>
        <w:t>投标担保函</w:t>
      </w:r>
    </w:p>
    <w:p>
      <w:pPr>
        <w:wordWrap w:val="0"/>
        <w:spacing w:line="360" w:lineRule="auto"/>
        <w:jc w:val="right"/>
        <w:rPr>
          <w:rFonts w:ascii="仿宋_GB2312" w:eastAsia="仿宋_GB2312"/>
          <w:color w:val="auto"/>
          <w:sz w:val="32"/>
          <w:szCs w:val="32"/>
          <w:highlight w:val="none"/>
        </w:rPr>
      </w:pPr>
      <w:r>
        <w:rPr>
          <w:rFonts w:hint="eastAsia" w:ascii="宋体" w:hAnsi="宋体" w:cs="宋体"/>
          <w:color w:val="auto"/>
          <w:szCs w:val="21"/>
          <w:highlight w:val="none"/>
        </w:rPr>
        <w:t xml:space="preserve"> 编号：</w:t>
      </w:r>
      <w:r>
        <w:rPr>
          <w:rFonts w:hint="eastAsia" w:ascii="仿宋_GB2312" w:eastAsia="仿宋_GB2312"/>
          <w:color w:val="auto"/>
          <w:sz w:val="28"/>
          <w:szCs w:val="28"/>
          <w:highlight w:val="none"/>
        </w:rPr>
        <w:t xml:space="preserve"> </w:t>
      </w:r>
      <w:r>
        <w:rPr>
          <w:rFonts w:hint="eastAsia" w:ascii="仿宋_GB2312" w:eastAsia="仿宋_GB2312"/>
          <w:color w:val="auto"/>
          <w:sz w:val="32"/>
          <w:szCs w:val="32"/>
          <w:highlight w:val="non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（招标人或招标代理机构）：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（以下简称“投标人”）拟参加编号为</w:t>
      </w:r>
      <w:r>
        <w:rPr>
          <w:rFonts w:hint="eastAsia" w:ascii="宋体" w:hAnsi="宋体" w:cs="宋体"/>
          <w:color w:val="auto"/>
          <w:szCs w:val="21"/>
          <w:highlight w:val="none"/>
          <w:u w:val="single"/>
        </w:rPr>
        <w:t xml:space="preserve">            的</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一、保证责任的情形及保证金额</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（一）在投标人出现下列情形之一时，我方承担保证责任：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1．中标后投标人无正当理由不与招标人或者招标代理机构签订合同；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2．招标文件规定的投标人应当缴纳保证金的其他情形。</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（二）我方承担保证责任的最高金额为人民币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），即本项目的投标保证金金额。</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二、保证的方式及保证期间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我方的保证期间为：自本保函生效之日起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三、承担保证责任的程序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2．我方在收到索赔通知及相关证明材料后，在</w:t>
      </w:r>
      <w:r>
        <w:rPr>
          <w:rFonts w:hint="eastAsia" w:ascii="宋体" w:hAnsi="宋体" w:cs="宋体"/>
          <w:color w:val="auto"/>
          <w:szCs w:val="21"/>
          <w:highlight w:val="none"/>
          <w:u w:val="single"/>
        </w:rPr>
        <w:t>　　　</w:t>
      </w:r>
      <w:r>
        <w:rPr>
          <w:rFonts w:hint="eastAsia" w:ascii="宋体" w:hAnsi="宋体" w:cs="宋体"/>
          <w:color w:val="auto"/>
          <w:szCs w:val="21"/>
          <w:highlight w:val="none"/>
        </w:rPr>
        <w:t>个工作日内进行审查，符合应承担保证责任情形的，我方应按照你方的要求代投标人向你方支付投标保证金。</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四、保证责任的终止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2．我方按照本保函向你贵方履行了保证责任后，自我方向你贵方支付款项（支付款项从我方账户划出）之日起，保证责任终止。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3．按照法律法规的规定或出现我方保证责任终止的其它情形的，我方在本保函项下的保证责任亦终止。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五、免责条款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1．依照法律规定或你方与投标人的另行约定，全部或者部分免除投标人投标保证金义务时，我方亦免除相应的保证责任。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2．因你方原因致使投标人发生本保函第一条第（一）款约定情形的，我方不承担保证责任。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3．因不可抗力造成投标人发生本保函第一条约定情形的，我方不承担保证责任。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4．你方或其他有权机关对招标文件进行任何澄清或修改，加重我方保证责任的，我方对加重部分不承担保证责任，但该澄清或修改经我方事先书面同意的除外。</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六、争议的解决</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因本保函发生的纠纷，由你我双方协商解决，协商不成的，通过诉讼程序解决，诉讼管辖地法院为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法院。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七、保函的生效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保证人：（公章）</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pPr>
        <w:spacing w:line="360" w:lineRule="auto"/>
        <w:rPr>
          <w:rFonts w:ascii="宋体" w:hAnsi="宋体"/>
          <w:color w:val="auto"/>
          <w:szCs w:val="21"/>
          <w:highlight w:val="none"/>
        </w:rPr>
      </w:pPr>
      <w:r>
        <w:rPr>
          <w:rFonts w:hint="eastAsia" w:ascii="宋体" w:hAnsi="宋体"/>
          <w:color w:val="auto"/>
          <w:szCs w:val="21"/>
          <w:highlight w:val="none"/>
        </w:rPr>
        <w:t>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（1）若投标人不以投标担保函</w:t>
      </w:r>
      <w:r>
        <w:rPr>
          <w:rFonts w:hint="eastAsia" w:ascii="宋体" w:hAnsi="宋体" w:cs="宋体"/>
          <w:color w:val="auto"/>
          <w:szCs w:val="21"/>
          <w:highlight w:val="none"/>
        </w:rPr>
        <w:t>形式</w:t>
      </w:r>
      <w:r>
        <w:rPr>
          <w:rFonts w:hint="eastAsia" w:ascii="宋体" w:hAnsi="宋体"/>
          <w:color w:val="auto"/>
          <w:szCs w:val="21"/>
          <w:highlight w:val="none"/>
        </w:rPr>
        <w:t>提交投标保证金，则无需在投标文件中提供此格式。</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（2）若投标人以投标担保函形式提交投标保证金，则应将投标担保函原件交予招标代理机构。</w:t>
      </w:r>
    </w:p>
    <w:p>
      <w:pPr>
        <w:rPr>
          <w:rFonts w:ascii="宋体" w:hAnsi="宋体"/>
          <w:color w:val="auto"/>
          <w:szCs w:val="21"/>
          <w:highlight w:val="none"/>
        </w:rPr>
      </w:pPr>
      <w:r>
        <w:rPr>
          <w:rFonts w:hint="eastAsia" w:ascii="宋体" w:hAnsi="宋体"/>
          <w:color w:val="auto"/>
          <w:szCs w:val="21"/>
          <w:highlight w:val="none"/>
        </w:rPr>
        <w:br w:type="page"/>
      </w:r>
    </w:p>
    <w:p>
      <w:pPr>
        <w:pStyle w:val="2"/>
        <w:rPr>
          <w:b/>
          <w:bCs/>
          <w:color w:val="auto"/>
          <w:highlight w:val="none"/>
        </w:rPr>
      </w:pPr>
      <w:r>
        <w:rPr>
          <w:rFonts w:hint="eastAsia"/>
          <w:b/>
          <w:bCs/>
          <w:color w:val="auto"/>
          <w:highlight w:val="none"/>
        </w:rPr>
        <w:t>格式三：</w:t>
      </w:r>
    </w:p>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履约担保函</w:t>
      </w:r>
    </w:p>
    <w:p>
      <w:pPr>
        <w:spacing w:line="360" w:lineRule="auto"/>
        <w:ind w:firstLine="3512" w:firstLineChars="1666"/>
        <w:rPr>
          <w:rFonts w:ascii="宋体" w:hAnsi="宋体" w:cs="宋体"/>
          <w:b/>
          <w:color w:val="auto"/>
          <w:szCs w:val="21"/>
          <w:highlight w:val="none"/>
        </w:rPr>
      </w:pP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编号：</w:t>
      </w:r>
    </w:p>
    <w:p>
      <w:pPr>
        <w:spacing w:line="360" w:lineRule="auto"/>
        <w:rPr>
          <w:rFonts w:ascii="宋体" w:hAnsi="宋体" w:cs="宋体"/>
          <w:color w:val="auto"/>
          <w:szCs w:val="21"/>
          <w:highlight w:val="none"/>
        </w:rPr>
      </w:pPr>
      <w:r>
        <w:rPr>
          <w:rFonts w:hint="eastAsia" w:ascii="宋体" w:hAnsi="宋体" w:cs="宋体"/>
          <w:color w:val="auto"/>
          <w:szCs w:val="21"/>
          <w:highlight w:val="none"/>
        </w:rPr>
        <w:t>______________________(招标人)：</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鉴于你方与________________（以下简称供应商）于_____年_____月_____日签定编号为 的 《_____________政府采购合同》（以下简称主合同），且依据该合同的约定，供应商应在_____年_____月_____日前向你方交纳履约保证金，且可以履约担保函的形式交纳履约保证金。应供应商的申请，我方以保证的方式向你方提供如下履约保证金担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一、保证责任的情形及保证金额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(一)在供应商出现下列情形之一时，我方承担保证责任：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1.将中标项目转让给他人，或者在投标文件中未说明，且未经采购招标机构人同意，将中标项目分包给他人的；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2.主合同约定的应 当缴纳履约保证金的情形: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(1）未按主合同约定的质量、数量和期限供应货物／提供服务／完成工程的；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(2)_______________________________________________________________。</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(二)我方的保证范围是主合同约定的合同价款总额的______%数额为_______元（大写</w:t>
      </w:r>
      <w:r>
        <w:rPr>
          <w:rFonts w:hint="eastAsia" w:ascii="宋体" w:hAnsi="宋体" w:cs="宋体"/>
          <w:color w:val="auto"/>
          <w:szCs w:val="21"/>
          <w:highlight w:val="none"/>
        </w:rPr>
        <w:tab/>
      </w:r>
      <w:r>
        <w:rPr>
          <w:rFonts w:hint="eastAsia" w:ascii="宋体" w:hAnsi="宋体" w:cs="宋体"/>
          <w:color w:val="auto"/>
          <w:szCs w:val="21"/>
          <w:highlight w:val="none"/>
        </w:rPr>
        <w:t>__________），币种为__________。（即主合同履约保证金金额）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二、保证的方式及保证期间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我方保证的期间为：自本合同生效之日起至供应商按照主合同约定的供货／完工期限届满后______日内。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如果供应商未按主合同约定向贵方供应货物／提供服务／完成工程的，由我方在保证金额内向你方支付上述款项。</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三、承担保证责任的程序</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1.你方要求我方承担保证责任的 ，应在本保函保证期间内向我方发出书面索赔通知。索赔通知应写明要求索赔的金额，支付款项应到达的帐号。并附有证明供应商违约事实的证明材料。</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如果你方与供应商因货物质量问题产生争议，你方还需同时提供________部门出具的质量检测报告，或经诉讼（仲裁）程序裁决后的裁决书、调解书，本保证人即按照检测结果或裁决书、调解书决定是否承担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2.我方收到你方的书面索赔通知及相应证明材料，在_____工作日内进行核定后按照本保函的承诺承担保证责任。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四、保证责任的终止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2.我方按照本保函向你方履行了保证责任后，自我方向你方支付款项（支付款项从我方账户划出）之日起，保证责任即终止。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3.按照法律法规的规定或出现应终止我方保证责任的其它情形的，我方在本保函项下的保证责任亦终止。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4.你方与供应商修改主合同，加重我方保证责任的，我方对加重部分不承担保证责任，但该等修改事先经我方书面同意的除外；你方与供应离修改主合同履行期限，我方保证期间仍依修改前的履行期限计算，但该等修改事先经我方书面同意的除外。</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五、免责条款</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1.因你方违反主合同约定致使供应商不能履行义务的，我方不承担保证责任。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2.依照法律法规的规定或你方与供应商的另行约定，全部或者部分免除供应商应缴纳的保证金义务的，我方亦免除相应的保证责任。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3.因不可抗力造成供应商不能履行供货义务的，我方不承担保证责任。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六、争议的解决</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因本保函发生的纠纷，由你我双方协商解决，协商不成的，通过诉讼程序解决,诉讼管辖地法院为_______________法院。</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七、保函的生效</w:t>
      </w:r>
    </w:p>
    <w:p>
      <w:pPr>
        <w:spacing w:line="360" w:lineRule="auto"/>
        <w:ind w:firstLine="405"/>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保证人：（公章） </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2"/>
        <w:rPr>
          <w:b/>
          <w:bCs/>
          <w:color w:val="auto"/>
          <w:highlight w:val="none"/>
        </w:rPr>
      </w:pPr>
      <w:r>
        <w:rPr>
          <w:rFonts w:hint="eastAsia"/>
          <w:b/>
          <w:bCs/>
          <w:color w:val="auto"/>
          <w:highlight w:val="none"/>
        </w:rPr>
        <w:t>格式四：</w:t>
      </w:r>
    </w:p>
    <w:p>
      <w:pPr>
        <w:jc w:val="center"/>
        <w:rPr>
          <w:b/>
          <w:bCs/>
          <w:color w:val="auto"/>
          <w:highlight w:val="none"/>
        </w:rPr>
      </w:pPr>
      <w:r>
        <w:rPr>
          <w:rFonts w:hint="eastAsia"/>
          <w:b/>
          <w:bCs/>
          <w:color w:val="auto"/>
          <w:highlight w:val="none"/>
        </w:rPr>
        <w:t>联合体共同投标协议书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立约方：（甲公司全称）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（乙公司全称）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（甲公司全称）、（乙公司全称）、（……公司全称）自愿组成联合体，以一个投标供应商的身份共同参加（采购项目名称） （采购项目编号）的响应活动。经各方充分协商一致，就项目的响应和合同实施阶段的有关事务协商一致订立协议如下：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一、联合体各方关系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共同组成一个联合体，以一个投标供应商的身份共同参加本项目的响应。（甲公司全称）、（乙公司全称）、（……公司全称）作为联合体成员，若中标，联合体各方共同与（采购人）签订政府采购合同。</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二、联合体内部有关事项约定如下：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1.作为联合体的牵头单位，代表联合体双方负责投标和合同实施阶段的主办、协调工作。</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联合体将严格按照文件的各项要求，递交投标文件，切实执行一切合同文件，共同承担合同规定的一切义务和责任，同时按照内部职责的划分，承担自身所负的责任和风险，在法律在承担连带责任。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如果本联合体中标，（甲公司全称）负责本项目            部分，（乙公司全称）负责本项目              部分。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4.如中标，联合体各方共同与（采购人）签订合同书，并就中标项目向采购人负责有连带的和各自的法律责任；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5.联合体成员　（公司全称）　为（请填写：小型、微型）企业，将承担合同总金额　　%的工作内容（联合体成员中有小型、微型企业时适用）。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四、联合体如因违约过失责任而导致采购人经济损失或被索赔时，本联合体任何一方均同意无条件优先清偿采购人的一切债务和经济赔偿。</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五、本协议在自签署之日起生效，有效期内有效，如获中标资格，合同有效期延续至合同履行完毕之日。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六、本协议书正本一式  份，随投标文件装订   份，送采购人   份，联合体成员各一份；副本一式   份，联合体成员各执    份。</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甲公司全称：（盖章） </w:t>
      </w:r>
      <w:r>
        <w:rPr>
          <w:rFonts w:hint="eastAsia" w:ascii="宋体" w:hAnsi="宋体"/>
          <w:color w:val="auto"/>
          <w:szCs w:val="21"/>
          <w:highlight w:val="none"/>
        </w:rPr>
        <w:tab/>
      </w:r>
      <w:r>
        <w:rPr>
          <w:rFonts w:hint="eastAsia" w:ascii="宋体" w:hAnsi="宋体"/>
          <w:color w:val="auto"/>
          <w:szCs w:val="21"/>
          <w:highlight w:val="none"/>
        </w:rPr>
        <w:t xml:space="preserve">   乙公司全称：（盖章）</w:t>
      </w:r>
      <w:r>
        <w:rPr>
          <w:rFonts w:hint="eastAsia" w:ascii="宋体" w:hAnsi="宋体"/>
          <w:color w:val="auto"/>
          <w:szCs w:val="21"/>
          <w:highlight w:val="none"/>
        </w:rPr>
        <w:tab/>
      </w:r>
      <w:r>
        <w:rPr>
          <w:rFonts w:hint="eastAsia" w:ascii="宋体" w:hAnsi="宋体"/>
          <w:color w:val="auto"/>
          <w:szCs w:val="21"/>
          <w:highlight w:val="none"/>
        </w:rPr>
        <w:t xml:space="preserve">        ……公司全称（盖章）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法定代表人：（签字或盖章） 法定代表人（签字或盖章）</w:t>
      </w:r>
      <w:r>
        <w:rPr>
          <w:rFonts w:hint="eastAsia" w:ascii="宋体" w:hAnsi="宋体"/>
          <w:color w:val="auto"/>
          <w:szCs w:val="21"/>
          <w:highlight w:val="none"/>
        </w:rPr>
        <w:tab/>
      </w:r>
      <w:r>
        <w:rPr>
          <w:rFonts w:hint="eastAsia" w:ascii="宋体" w:hAnsi="宋体"/>
          <w:color w:val="auto"/>
          <w:szCs w:val="21"/>
          <w:highlight w:val="none"/>
        </w:rPr>
        <w:t xml:space="preserve"> 法定代表人（签字或盖章）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年　　月　　日</w:t>
      </w:r>
      <w:r>
        <w:rPr>
          <w:rFonts w:hint="eastAsia" w:ascii="宋体" w:hAnsi="宋体"/>
          <w:color w:val="auto"/>
          <w:szCs w:val="21"/>
          <w:highlight w:val="none"/>
        </w:rPr>
        <w:tab/>
      </w:r>
      <w:r>
        <w:rPr>
          <w:rFonts w:hint="eastAsia" w:ascii="宋体" w:hAnsi="宋体"/>
          <w:color w:val="auto"/>
          <w:szCs w:val="21"/>
          <w:highlight w:val="none"/>
        </w:rPr>
        <w:t>　　       年　　月　　日</w:t>
      </w:r>
      <w:r>
        <w:rPr>
          <w:rFonts w:hint="eastAsia" w:ascii="宋体" w:hAnsi="宋体"/>
          <w:color w:val="auto"/>
          <w:szCs w:val="21"/>
          <w:highlight w:val="none"/>
        </w:rPr>
        <w:tab/>
      </w:r>
      <w:r>
        <w:rPr>
          <w:rFonts w:hint="eastAsia" w:ascii="宋体" w:hAnsi="宋体"/>
          <w:color w:val="auto"/>
          <w:szCs w:val="21"/>
          <w:highlight w:val="none"/>
        </w:rPr>
        <w:t>　　     年　　月　　日</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注：1．联合投标时需签本协议，联合体各方成员应在本协议上共同盖章确认。</w:t>
      </w:r>
    </w:p>
    <w:p>
      <w:pPr>
        <w:ind w:firstLine="840" w:firstLineChars="400"/>
        <w:rPr>
          <w:color w:val="auto"/>
          <w:highlight w:val="none"/>
        </w:rPr>
      </w:pPr>
      <w:r>
        <w:rPr>
          <w:rFonts w:hint="eastAsia" w:ascii="宋体" w:hAnsi="宋体"/>
          <w:color w:val="auto"/>
          <w:szCs w:val="21"/>
          <w:highlight w:val="none"/>
        </w:rPr>
        <w:t>2．本协议内容不得擅自修改。此协议将作为签订合同的附件之一。</w:t>
      </w:r>
    </w:p>
    <w:p>
      <w:pPr>
        <w:spacing w:line="360" w:lineRule="auto"/>
        <w:rPr>
          <w:rFonts w:ascii="宋体" w:hAnsi="宋体" w:cs="宋体"/>
          <w:color w:val="auto"/>
          <w:highlight w:val="none"/>
        </w:rPr>
      </w:pPr>
    </w:p>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start="3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思源黑体 CN Heavy">
    <w:altName w:val="黑体"/>
    <w:panose1 w:val="020B0A00000000000000"/>
    <w:charset w:val="80"/>
    <w:family w:val="swiss"/>
    <w:pitch w:val="default"/>
    <w:sig w:usb0="00000000" w:usb1="00000000" w:usb2="00000016" w:usb3="00000000" w:csb0="60060107"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bowdo4AgAAb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9ujB2jgCAABvBAAADgAAAAAAAAABACAAAAAfAQAAZHJzL2Uyb0RvYy54&#10;bWxQSwUGAAAAAAYABgBZAQAAyQ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YGDQI5AgAAcA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YGDQI5AgAAcAQAAA4AAAAAAAAAAQAgAAAAHwEAAGRycy9lMm9Eb2Mu&#10;eG1sUEsFBgAAAAAGAAYAWQEAAMoFA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center"/>
      <w:rPr>
        <w:rFonts w:hint="eastAsia" w:eastAsia="宋体"/>
        <w:lang w:eastAsia="zh-CN"/>
      </w:rPr>
    </w:pPr>
    <w:r>
      <w:rPr>
        <w:rFonts w:hint="eastAsia"/>
        <w:lang w:eastAsia="zh-CN"/>
      </w:rPr>
      <w:t>东莞市塘厦镇第三幼儿园饭堂食材配送项目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A2D7C7"/>
    <w:multiLevelType w:val="singleLevel"/>
    <w:tmpl w:val="90A2D7C7"/>
    <w:lvl w:ilvl="0" w:tentative="0">
      <w:start w:val="1"/>
      <w:numFmt w:val="decimal"/>
      <w:suff w:val="nothing"/>
      <w:lvlText w:val="%1、"/>
      <w:lvlJc w:val="left"/>
    </w:lvl>
  </w:abstractNum>
  <w:abstractNum w:abstractNumId="1">
    <w:nsid w:val="99073AA4"/>
    <w:multiLevelType w:val="singleLevel"/>
    <w:tmpl w:val="99073AA4"/>
    <w:lvl w:ilvl="0" w:tentative="0">
      <w:start w:val="1"/>
      <w:numFmt w:val="chineseCounting"/>
      <w:suff w:val="space"/>
      <w:lvlText w:val="第%1篇"/>
      <w:lvlJc w:val="left"/>
      <w:rPr>
        <w:rFonts w:hint="eastAsia"/>
      </w:rPr>
    </w:lvl>
  </w:abstractNum>
  <w:abstractNum w:abstractNumId="2">
    <w:nsid w:val="AD20561C"/>
    <w:multiLevelType w:val="singleLevel"/>
    <w:tmpl w:val="AD20561C"/>
    <w:lvl w:ilvl="0" w:tentative="0">
      <w:start w:val="1"/>
      <w:numFmt w:val="chineseCounting"/>
      <w:lvlText w:val="（%1）"/>
      <w:lvlJc w:val="left"/>
      <w:rPr>
        <w:rFonts w:hint="eastAsia"/>
      </w:rPr>
    </w:lvl>
  </w:abstractNum>
  <w:abstractNum w:abstractNumId="3">
    <w:nsid w:val="E55BFF18"/>
    <w:multiLevelType w:val="singleLevel"/>
    <w:tmpl w:val="E55BFF18"/>
    <w:lvl w:ilvl="0" w:tentative="0">
      <w:start w:val="1"/>
      <w:numFmt w:val="decimal"/>
      <w:suff w:val="nothing"/>
      <w:lvlText w:val="（%1）"/>
      <w:lvlJc w:val="left"/>
    </w:lvl>
  </w:abstractNum>
  <w:abstractNum w:abstractNumId="4">
    <w:nsid w:val="F3851CDE"/>
    <w:multiLevelType w:val="singleLevel"/>
    <w:tmpl w:val="F3851CDE"/>
    <w:lvl w:ilvl="0" w:tentative="0">
      <w:start w:val="2"/>
      <w:numFmt w:val="chineseCounting"/>
      <w:suff w:val="nothing"/>
      <w:lvlText w:val="%1、"/>
      <w:lvlJc w:val="left"/>
      <w:rPr>
        <w:rFonts w:hint="eastAsia"/>
      </w:rPr>
    </w:lvl>
  </w:abstractNum>
  <w:abstractNum w:abstractNumId="5">
    <w:nsid w:val="F73DC5D7"/>
    <w:multiLevelType w:val="singleLevel"/>
    <w:tmpl w:val="F73DC5D7"/>
    <w:lvl w:ilvl="0" w:tentative="0">
      <w:start w:val="1"/>
      <w:numFmt w:val="decimal"/>
      <w:suff w:val="nothing"/>
      <w:lvlText w:val="（%1）"/>
      <w:lvlJc w:val="left"/>
      <w:pPr>
        <w:ind w:left="660"/>
      </w:pPr>
    </w:lvl>
  </w:abstractNum>
  <w:abstractNum w:abstractNumId="6">
    <w:nsid w:val="FF6E5B74"/>
    <w:multiLevelType w:val="singleLevel"/>
    <w:tmpl w:val="FF6E5B74"/>
    <w:lvl w:ilvl="0" w:tentative="0">
      <w:start w:val="1"/>
      <w:numFmt w:val="decimal"/>
      <w:suff w:val="nothing"/>
      <w:lvlText w:val="%1．"/>
      <w:lvlJc w:val="left"/>
      <w:pPr>
        <w:ind w:left="0" w:firstLine="400"/>
      </w:pPr>
      <w:rPr>
        <w:rFonts w:hint="default"/>
      </w:rPr>
    </w:lvl>
  </w:abstractNum>
  <w:abstractNum w:abstractNumId="7">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206CABF7"/>
    <w:multiLevelType w:val="singleLevel"/>
    <w:tmpl w:val="206CABF7"/>
    <w:lvl w:ilvl="0" w:tentative="0">
      <w:start w:val="1"/>
      <w:numFmt w:val="decimal"/>
      <w:suff w:val="nothing"/>
      <w:lvlText w:val="（%1）"/>
      <w:lvlJc w:val="left"/>
    </w:lvl>
  </w:abstractNum>
  <w:abstractNum w:abstractNumId="9">
    <w:nsid w:val="22532AD9"/>
    <w:multiLevelType w:val="singleLevel"/>
    <w:tmpl w:val="22532AD9"/>
    <w:lvl w:ilvl="0" w:tentative="0">
      <w:start w:val="1"/>
      <w:numFmt w:val="decimal"/>
      <w:lvlText w:val="%1)"/>
      <w:lvlJc w:val="left"/>
      <w:pPr>
        <w:tabs>
          <w:tab w:val="left" w:pos="312"/>
        </w:tabs>
      </w:pPr>
    </w:lvl>
  </w:abstractNum>
  <w:abstractNum w:abstractNumId="10">
    <w:nsid w:val="25AC778E"/>
    <w:multiLevelType w:val="multilevel"/>
    <w:tmpl w:val="25AC778E"/>
    <w:lvl w:ilvl="0" w:tentative="0">
      <w:start w:val="1"/>
      <w:numFmt w:val="japaneseCounting"/>
      <w:lvlText w:val="%1、"/>
      <w:lvlJc w:val="left"/>
      <w:pPr>
        <w:tabs>
          <w:tab w:val="left" w:pos="420"/>
        </w:tabs>
        <w:ind w:left="420" w:hanging="420"/>
      </w:pPr>
      <w:rPr>
        <w:rFonts w:ascii="宋体" w:hAnsi="宋体" w:eastAsia="宋体" w:cs="Courier New"/>
      </w:rPr>
    </w:lvl>
    <w:lvl w:ilvl="1" w:tentative="0">
      <w:start w:val="1"/>
      <w:numFmt w:val="decimal"/>
      <w:lvlText w:val="%2、"/>
      <w:lvlJc w:val="left"/>
      <w:pPr>
        <w:tabs>
          <w:tab w:val="left" w:pos="780"/>
        </w:tabs>
        <w:ind w:left="780" w:hanging="360"/>
      </w:pPr>
      <w:rPr>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32E25990"/>
    <w:multiLevelType w:val="singleLevel"/>
    <w:tmpl w:val="32E25990"/>
    <w:lvl w:ilvl="0" w:tentative="0">
      <w:start w:val="1"/>
      <w:numFmt w:val="decimal"/>
      <w:suff w:val="nothing"/>
      <w:lvlText w:val="%1、"/>
      <w:lvlJc w:val="left"/>
    </w:lvl>
  </w:abstractNum>
  <w:abstractNum w:abstractNumId="12">
    <w:nsid w:val="3F88662E"/>
    <w:multiLevelType w:val="singleLevel"/>
    <w:tmpl w:val="3F88662E"/>
    <w:lvl w:ilvl="0" w:tentative="0">
      <w:start w:val="1"/>
      <w:numFmt w:val="decimal"/>
      <w:suff w:val="space"/>
      <w:lvlText w:val="%1)"/>
      <w:lvlJc w:val="left"/>
    </w:lvl>
  </w:abstractNum>
  <w:abstractNum w:abstractNumId="13">
    <w:nsid w:val="636C59FA"/>
    <w:multiLevelType w:val="singleLevel"/>
    <w:tmpl w:val="636C59FA"/>
    <w:lvl w:ilvl="0" w:tentative="0">
      <w:start w:val="1"/>
      <w:numFmt w:val="decimal"/>
      <w:lvlText w:val="%1)"/>
      <w:lvlJc w:val="left"/>
      <w:pPr>
        <w:tabs>
          <w:tab w:val="left" w:pos="312"/>
        </w:tabs>
      </w:pPr>
    </w:lvl>
  </w:abstractNum>
  <w:num w:numId="1">
    <w:abstractNumId w:val="1"/>
  </w:num>
  <w:num w:numId="2">
    <w:abstractNumId w:val="11"/>
  </w:num>
  <w:num w:numId="3">
    <w:abstractNumId w:val="0"/>
  </w:num>
  <w:num w:numId="4">
    <w:abstractNumId w:val="3"/>
  </w:num>
  <w:num w:numId="5">
    <w:abstractNumId w:val="4"/>
  </w:num>
  <w:num w:numId="6">
    <w:abstractNumId w:val="7"/>
  </w:num>
  <w:num w:numId="7">
    <w:abstractNumId w:val="12"/>
  </w:num>
  <w:num w:numId="8">
    <w:abstractNumId w:val="8"/>
  </w:num>
  <w:num w:numId="9">
    <w:abstractNumId w:val="5"/>
  </w:num>
  <w:num w:numId="10">
    <w:abstractNumId w:val="10"/>
  </w:num>
  <w:num w:numId="11">
    <w:abstractNumId w:val="2"/>
  </w:num>
  <w:num w:numId="12">
    <w:abstractNumId w:val="6"/>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1MDBkMjlmY2UwNzIwYjliNzE3ZDM5ZDYxNGMzYjgifQ=="/>
  </w:docVars>
  <w:rsids>
    <w:rsidRoot w:val="0B696582"/>
    <w:rsid w:val="000239C0"/>
    <w:rsid w:val="00036EFF"/>
    <w:rsid w:val="001B4CC4"/>
    <w:rsid w:val="001D0F5C"/>
    <w:rsid w:val="00240B9E"/>
    <w:rsid w:val="00322F58"/>
    <w:rsid w:val="00402A62"/>
    <w:rsid w:val="004165F2"/>
    <w:rsid w:val="004F3033"/>
    <w:rsid w:val="0073568B"/>
    <w:rsid w:val="00750EC0"/>
    <w:rsid w:val="008755AA"/>
    <w:rsid w:val="0089082B"/>
    <w:rsid w:val="00890EDC"/>
    <w:rsid w:val="008C2A4C"/>
    <w:rsid w:val="00A24392"/>
    <w:rsid w:val="00A7029B"/>
    <w:rsid w:val="00AE7502"/>
    <w:rsid w:val="00B73293"/>
    <w:rsid w:val="00C21B40"/>
    <w:rsid w:val="00D77B21"/>
    <w:rsid w:val="01455ABA"/>
    <w:rsid w:val="017754C9"/>
    <w:rsid w:val="03DB3CD5"/>
    <w:rsid w:val="0428632B"/>
    <w:rsid w:val="057C5CF6"/>
    <w:rsid w:val="05BE394B"/>
    <w:rsid w:val="07342FC6"/>
    <w:rsid w:val="08F278CA"/>
    <w:rsid w:val="0AAB1D08"/>
    <w:rsid w:val="0B5B7E94"/>
    <w:rsid w:val="0B696582"/>
    <w:rsid w:val="0C502C33"/>
    <w:rsid w:val="0CD41D0B"/>
    <w:rsid w:val="0F1622A5"/>
    <w:rsid w:val="121918AE"/>
    <w:rsid w:val="126E350F"/>
    <w:rsid w:val="15380D0C"/>
    <w:rsid w:val="161909DD"/>
    <w:rsid w:val="18062A99"/>
    <w:rsid w:val="1BBB674D"/>
    <w:rsid w:val="1BC548EF"/>
    <w:rsid w:val="1BE705BF"/>
    <w:rsid w:val="1C8C2165"/>
    <w:rsid w:val="1DB725C0"/>
    <w:rsid w:val="1E440D57"/>
    <w:rsid w:val="20332F5E"/>
    <w:rsid w:val="209314D4"/>
    <w:rsid w:val="23477A98"/>
    <w:rsid w:val="244868B3"/>
    <w:rsid w:val="269A0871"/>
    <w:rsid w:val="28416767"/>
    <w:rsid w:val="2A213986"/>
    <w:rsid w:val="2A89565E"/>
    <w:rsid w:val="2B775BA3"/>
    <w:rsid w:val="2D3A4F1C"/>
    <w:rsid w:val="2DE33D62"/>
    <w:rsid w:val="2E462ABD"/>
    <w:rsid w:val="2F4F681A"/>
    <w:rsid w:val="2FE55D43"/>
    <w:rsid w:val="30C474C2"/>
    <w:rsid w:val="3158095E"/>
    <w:rsid w:val="31ED0D4A"/>
    <w:rsid w:val="32243FC1"/>
    <w:rsid w:val="34BE4BEB"/>
    <w:rsid w:val="35C1129C"/>
    <w:rsid w:val="36F40CDF"/>
    <w:rsid w:val="372D3A3D"/>
    <w:rsid w:val="373F6180"/>
    <w:rsid w:val="37423885"/>
    <w:rsid w:val="37A82279"/>
    <w:rsid w:val="38D064F5"/>
    <w:rsid w:val="3B2A432E"/>
    <w:rsid w:val="3C8E00EA"/>
    <w:rsid w:val="3E0202C6"/>
    <w:rsid w:val="43143B39"/>
    <w:rsid w:val="438833C2"/>
    <w:rsid w:val="468A6BFD"/>
    <w:rsid w:val="47735BD0"/>
    <w:rsid w:val="47BB609D"/>
    <w:rsid w:val="47CA196A"/>
    <w:rsid w:val="481D3236"/>
    <w:rsid w:val="498145E0"/>
    <w:rsid w:val="4B783BB4"/>
    <w:rsid w:val="4BE07E65"/>
    <w:rsid w:val="4C573AD4"/>
    <w:rsid w:val="4DAA2866"/>
    <w:rsid w:val="4F2676D5"/>
    <w:rsid w:val="5112378D"/>
    <w:rsid w:val="525B07C5"/>
    <w:rsid w:val="52E14EC4"/>
    <w:rsid w:val="53F51E89"/>
    <w:rsid w:val="57EE60DD"/>
    <w:rsid w:val="5A1A1C34"/>
    <w:rsid w:val="5B812734"/>
    <w:rsid w:val="5BE04967"/>
    <w:rsid w:val="5C015C21"/>
    <w:rsid w:val="5D744988"/>
    <w:rsid w:val="5E720F58"/>
    <w:rsid w:val="622349C8"/>
    <w:rsid w:val="64344366"/>
    <w:rsid w:val="64D3048A"/>
    <w:rsid w:val="6516700E"/>
    <w:rsid w:val="65851F87"/>
    <w:rsid w:val="66CA48D2"/>
    <w:rsid w:val="68226450"/>
    <w:rsid w:val="687065DC"/>
    <w:rsid w:val="69FB3BA8"/>
    <w:rsid w:val="6E003853"/>
    <w:rsid w:val="6ECE5FF3"/>
    <w:rsid w:val="6ED74C74"/>
    <w:rsid w:val="6F1E75D5"/>
    <w:rsid w:val="6F566CB3"/>
    <w:rsid w:val="6FE10E88"/>
    <w:rsid w:val="70323266"/>
    <w:rsid w:val="7152191D"/>
    <w:rsid w:val="717F42C4"/>
    <w:rsid w:val="7479143D"/>
    <w:rsid w:val="74951BFB"/>
    <w:rsid w:val="74F71418"/>
    <w:rsid w:val="7B017C91"/>
    <w:rsid w:val="7EA32264"/>
    <w:rsid w:val="7F2D0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eastAsia="宋体" w:asciiTheme="minorHAnsi" w:hAnsiTheme="minorHAnsi" w:cstheme="minorBidi"/>
      <w:kern w:val="2"/>
      <w:sz w:val="21"/>
      <w:szCs w:val="24"/>
      <w:lang w:val="en-US" w:eastAsia="zh-CN" w:bidi="ar-SA"/>
    </w:rPr>
  </w:style>
  <w:style w:type="paragraph" w:styleId="3">
    <w:name w:val="heading 1"/>
    <w:basedOn w:val="1"/>
    <w:next w:val="1"/>
    <w:link w:val="21"/>
    <w:qFormat/>
    <w:uiPriority w:val="0"/>
    <w:pPr>
      <w:keepNext/>
      <w:keepLines/>
      <w:spacing w:line="576" w:lineRule="auto"/>
      <w:jc w:val="center"/>
      <w:outlineLvl w:val="0"/>
    </w:pPr>
    <w:rPr>
      <w:b/>
      <w:kern w:val="44"/>
      <w:sz w:val="30"/>
    </w:rPr>
  </w:style>
  <w:style w:type="paragraph" w:styleId="4">
    <w:name w:val="heading 2"/>
    <w:basedOn w:val="1"/>
    <w:next w:val="1"/>
    <w:unhideWhenUsed/>
    <w:qFormat/>
    <w:uiPriority w:val="0"/>
    <w:pPr>
      <w:keepNext/>
      <w:keepLines/>
      <w:spacing w:line="413" w:lineRule="auto"/>
      <w:jc w:val="center"/>
      <w:outlineLvl w:val="1"/>
    </w:pPr>
    <w:rPr>
      <w:rFonts w:ascii="Arial" w:hAnsi="Arial"/>
      <w:b/>
      <w:sz w:val="28"/>
    </w:rPr>
  </w:style>
  <w:style w:type="paragraph" w:styleId="5">
    <w:name w:val="heading 3"/>
    <w:basedOn w:val="1"/>
    <w:next w:val="1"/>
    <w:unhideWhenUsed/>
    <w:qFormat/>
    <w:uiPriority w:val="0"/>
    <w:pPr>
      <w:keepNext/>
      <w:keepLines/>
      <w:spacing w:line="360" w:lineRule="auto"/>
      <w:outlineLvl w:val="2"/>
    </w:pPr>
    <w:rPr>
      <w:b/>
    </w:rPr>
  </w:style>
  <w:style w:type="paragraph" w:styleId="6">
    <w:name w:val="heading 4"/>
    <w:basedOn w:val="1"/>
    <w:next w:val="1"/>
    <w:unhideWhenUsed/>
    <w:qFormat/>
    <w:uiPriority w:val="9"/>
    <w:pPr>
      <w:keepNext/>
      <w:keepLines/>
      <w:spacing w:before="280" w:after="290" w:line="376" w:lineRule="auto"/>
      <w:outlineLvl w:val="3"/>
    </w:pPr>
    <w:rPr>
      <w:rFonts w:ascii="Cambria" w:hAnsi="Cambria" w:cs="Times New Roman"/>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spacing w:before="161"/>
      <w:ind w:left="120"/>
    </w:pPr>
    <w:rPr>
      <w:rFonts w:ascii="宋体" w:hAnsi="宋体" w:cs="宋体"/>
      <w:sz w:val="24"/>
      <w:lang w:val="zh-CN" w:bidi="zh-CN"/>
    </w:rPr>
  </w:style>
  <w:style w:type="paragraph" w:styleId="7">
    <w:name w:val="Normal Indent"/>
    <w:basedOn w:val="1"/>
    <w:semiHidden/>
    <w:unhideWhenUsed/>
    <w:qFormat/>
    <w:uiPriority w:val="99"/>
    <w:pPr>
      <w:ind w:firstLine="420" w:firstLineChars="200"/>
    </w:pPr>
  </w:style>
  <w:style w:type="paragraph" w:styleId="8">
    <w:name w:val="annotation text"/>
    <w:basedOn w:val="1"/>
    <w:qFormat/>
    <w:uiPriority w:val="0"/>
  </w:style>
  <w:style w:type="paragraph" w:styleId="9">
    <w:name w:val="Body Text Indent"/>
    <w:basedOn w:val="1"/>
    <w:qFormat/>
    <w:uiPriority w:val="0"/>
    <w:pPr>
      <w:spacing w:after="120"/>
      <w:ind w:left="420" w:leftChars="200"/>
    </w:pPr>
  </w:style>
  <w:style w:type="paragraph" w:styleId="10">
    <w:name w:val="Plain Text"/>
    <w:basedOn w:val="1"/>
    <w:qFormat/>
    <w:uiPriority w:val="0"/>
    <w:rPr>
      <w:rFonts w:ascii="宋体" w:hAnsi="Courier New" w:eastAsiaTheme="minorEastAsia"/>
      <w:szCs w:val="22"/>
    </w:rPr>
  </w:style>
  <w:style w:type="paragraph" w:styleId="11">
    <w:name w:val="Balloon Text"/>
    <w:basedOn w:val="1"/>
    <w:link w:val="28"/>
    <w:qFormat/>
    <w:uiPriority w:val="0"/>
    <w:rPr>
      <w:sz w:val="18"/>
      <w:szCs w:val="18"/>
    </w:rPr>
  </w:style>
  <w:style w:type="paragraph" w:styleId="12">
    <w:name w:val="footer"/>
    <w:basedOn w:val="1"/>
    <w:qFormat/>
    <w:uiPriority w:val="0"/>
    <w:pPr>
      <w:tabs>
        <w:tab w:val="center" w:pos="4153"/>
        <w:tab w:val="right" w:pos="8306"/>
      </w:tabs>
      <w:snapToGrid w:val="0"/>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Body Text First Indent 2"/>
    <w:basedOn w:val="9"/>
    <w:qFormat/>
    <w:uiPriority w:val="0"/>
    <w:pPr>
      <w:spacing w:line="360" w:lineRule="auto"/>
      <w:ind w:firstLine="420" w:firstLineChars="200"/>
    </w:pPr>
    <w:rPr>
      <w:bCs/>
      <w:szCs w:val="21"/>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qFormat/>
    <w:uiPriority w:val="99"/>
    <w:rPr>
      <w:color w:val="0000FF"/>
      <w:u w:val="single"/>
    </w:rPr>
  </w:style>
  <w:style w:type="character" w:styleId="19">
    <w:name w:val="annotation reference"/>
    <w:basedOn w:val="17"/>
    <w:qFormat/>
    <w:uiPriority w:val="0"/>
    <w:rPr>
      <w:sz w:val="21"/>
      <w:szCs w:val="21"/>
    </w:rPr>
  </w:style>
  <w:style w:type="paragraph" w:styleId="20">
    <w:name w:val="List Paragraph"/>
    <w:basedOn w:val="1"/>
    <w:qFormat/>
    <w:uiPriority w:val="34"/>
    <w:pPr>
      <w:ind w:firstLine="420" w:firstLineChars="200"/>
    </w:pPr>
  </w:style>
  <w:style w:type="character" w:customStyle="1" w:styleId="21">
    <w:name w:val="标题 1 Char"/>
    <w:link w:val="3"/>
    <w:qFormat/>
    <w:uiPriority w:val="0"/>
    <w:rPr>
      <w:b/>
      <w:kern w:val="44"/>
      <w:sz w:val="30"/>
    </w:rPr>
  </w:style>
  <w:style w:type="paragraph" w:customStyle="1" w:styleId="22">
    <w:name w:val="Table Paragraph"/>
    <w:basedOn w:val="1"/>
    <w:qFormat/>
    <w:uiPriority w:val="1"/>
  </w:style>
  <w:style w:type="paragraph" w:customStyle="1" w:styleId="23">
    <w:name w:val="正文缩进2格"/>
    <w:basedOn w:val="1"/>
    <w:next w:val="1"/>
    <w:qFormat/>
    <w:uiPriority w:val="0"/>
    <w:pPr>
      <w:spacing w:line="600" w:lineRule="exact"/>
      <w:ind w:firstLine="639" w:firstLineChars="206"/>
      <w:jc w:val="both"/>
    </w:pPr>
    <w:rPr>
      <w:rFonts w:ascii="仿宋_GB2312" w:hAnsi="宋体" w:eastAsia="仿宋_GB2312"/>
      <w:sz w:val="31"/>
    </w:rPr>
  </w:style>
  <w:style w:type="paragraph" w:customStyle="1" w:styleId="24">
    <w:name w:val="WPSOffice手动目录 1"/>
    <w:qFormat/>
    <w:uiPriority w:val="0"/>
    <w:rPr>
      <w:rFonts w:asciiTheme="minorHAnsi" w:hAnsiTheme="minorHAnsi" w:eastAsiaTheme="minorEastAsia" w:cstheme="minorBidi"/>
      <w:lang w:val="en-US" w:eastAsia="zh-CN" w:bidi="ar-SA"/>
    </w:rPr>
  </w:style>
  <w:style w:type="paragraph" w:customStyle="1" w:styleId="25">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6">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27">
    <w:name w:val="列出段落1"/>
    <w:basedOn w:val="1"/>
    <w:qFormat/>
    <w:uiPriority w:val="0"/>
    <w:pPr>
      <w:ind w:firstLine="420" w:firstLineChars="200"/>
    </w:pPr>
    <w:rPr>
      <w:rFonts w:ascii="Calibri" w:hAnsi="Calibri"/>
      <w:kern w:val="0"/>
      <w:sz w:val="20"/>
      <w:szCs w:val="20"/>
    </w:rPr>
  </w:style>
  <w:style w:type="character" w:customStyle="1" w:styleId="28">
    <w:name w:val="批注框文本 Char"/>
    <w:basedOn w:val="17"/>
    <w:link w:val="11"/>
    <w:qFormat/>
    <w:uiPriority w:val="0"/>
    <w:rPr>
      <w:rFonts w:asciiTheme="minorHAnsi" w:hAnsiTheme="minorHAnsi" w:cstheme="minorBidi"/>
      <w:kern w:val="2"/>
      <w:sz w:val="18"/>
      <w:szCs w:val="18"/>
    </w:rPr>
  </w:style>
  <w:style w:type="paragraph" w:customStyle="1" w:styleId="29">
    <w:name w:val="Other|1"/>
    <w:basedOn w:val="1"/>
    <w:qFormat/>
    <w:uiPriority w:val="0"/>
    <w:pPr>
      <w:jc w:val="center"/>
    </w:pPr>
    <w:rPr>
      <w:rFonts w:ascii="宋体" w:hAnsi="宋体" w:cs="宋体"/>
      <w:sz w:val="14"/>
      <w:szCs w:val="14"/>
      <w:lang w:val="zh-TW" w:eastAsia="zh-TW" w:bidi="zh-TW"/>
    </w:rPr>
  </w:style>
  <w:style w:type="paragraph" w:customStyle="1" w:styleId="30">
    <w:name w:val="Char"/>
    <w:qFormat/>
    <w:uiPriority w:val="0"/>
    <w:pPr>
      <w:adjustRightInd w:val="0"/>
      <w:snapToGrid w:val="0"/>
      <w:spacing w:after="160" w:line="240" w:lineRule="exact"/>
      <w:ind w:left="-62" w:right="36" w:rightChars="15"/>
    </w:pPr>
    <w:rPr>
      <w:rFonts w:ascii="Arial" w:hAnsi="Arial" w:eastAsia="Times New Roman" w:cs="Times New Roman"/>
      <w:lang w:val="en-US" w:eastAsia="en-US" w:bidi="ar-SA"/>
    </w:rPr>
  </w:style>
  <w:style w:type="paragraph" w:customStyle="1" w:styleId="31">
    <w:name w:val="List Paragraph1"/>
    <w:basedOn w:val="1"/>
    <w:qFormat/>
    <w:uiPriority w:val="0"/>
    <w:pPr>
      <w:widowControl w:val="0"/>
      <w:adjustRightInd/>
      <w:snapToGrid/>
      <w:spacing w:after="0"/>
      <w:ind w:firstLine="420" w:firstLineChars="200"/>
      <w:jc w:val="both"/>
    </w:pPr>
    <w:rPr>
      <w:rFonts w:ascii="Calibri" w:hAnsi="Calibri" w:eastAsia="宋体"/>
      <w:kern w:val="2"/>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68</Pages>
  <Words>33166</Words>
  <Characters>34211</Characters>
  <Lines>343</Lines>
  <Paragraphs>96</Paragraphs>
  <TotalTime>15</TotalTime>
  <ScaleCrop>false</ScaleCrop>
  <LinksUpToDate>false</LinksUpToDate>
  <CharactersWithSpaces>35816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2022-03-25T07:20:00Z</dcterms:created>
  <dc:creator>国顺-陈锦涛</dc:creator>
  <cp:lastModifiedBy>国顺</cp:lastModifiedBy>
  <cp:lastPrinted>2023-04-10T09:08:00Z</cp:lastPrinted>
  <dcterms:modified xsi:type="dcterms:W3CDTF">2023-06-19T09:30:29Z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96FD4052C9DC41618049F5CCFC839230_13</vt:lpwstr>
  </property>
</Properties>
</file>