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9"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p>
      <w:pPr>
        <w:rPr>
          <w:color w:val="auto"/>
          <w:highlight w:val="none"/>
        </w:rPr>
      </w:pP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8"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东莞市横沥镇第二小学图书馆定制商品类（书柜、家具等）购置项目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GSDG2023-015A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 xml:space="preserve">东莞市横沥镇第二小学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3</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6</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19</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4"/>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东莞市横沥镇第二小学图书馆定制商品类（书柜、家具等）购置项目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00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2"/>
        <w:spacing w:line="360" w:lineRule="auto"/>
        <w:jc w:val="left"/>
        <w:rPr>
          <w:rFonts w:ascii="宋体" w:hAnsi="宋体" w:cs="宋体"/>
          <w:bCs/>
          <w:color w:val="auto"/>
          <w:sz w:val="21"/>
          <w:szCs w:val="21"/>
          <w:highlight w:val="none"/>
        </w:rPr>
      </w:pPr>
      <w:bookmarkStart w:id="4" w:name="_Toc28359079"/>
      <w:bookmarkStart w:id="5" w:name="_Toc28359002"/>
      <w:bookmarkStart w:id="6" w:name="_Toc2169"/>
      <w:bookmarkStart w:id="7" w:name="_Toc35393790"/>
      <w:bookmarkStart w:id="8" w:name="_Toc35393621"/>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GSDG2023-015A</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东莞市横沥镇第二小学图书馆定制商品类（书柜、家具等）购置项目</w:t>
      </w:r>
    </w:p>
    <w:bookmarkEnd w:id="9"/>
    <w:p>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rPr>
        <w:t>预算金额：</w:t>
      </w:r>
      <w:r>
        <w:rPr>
          <w:rFonts w:hint="eastAsia" w:ascii="宋体" w:hAnsi="宋体" w:cs="宋体"/>
          <w:b/>
          <w:bCs/>
          <w:color w:val="auto"/>
          <w:sz w:val="21"/>
          <w:szCs w:val="21"/>
          <w:highlight w:val="none"/>
          <w:lang w:val="en-US" w:eastAsia="zh-CN"/>
        </w:rPr>
        <w:t>¥</w:t>
      </w:r>
      <w:r>
        <w:rPr>
          <w:rFonts w:hint="eastAsia" w:ascii="宋体" w:hAnsi="宋体" w:cs="宋体"/>
          <w:b/>
          <w:bCs/>
          <w:color w:val="auto"/>
          <w:sz w:val="21"/>
          <w:szCs w:val="21"/>
          <w:highlight w:val="none"/>
          <w:u w:val="single"/>
          <w:lang w:val="en-US" w:eastAsia="zh-CN"/>
        </w:rPr>
        <w:t>689,158.80</w:t>
      </w:r>
      <w:r>
        <w:rPr>
          <w:rFonts w:hint="eastAsia" w:ascii="宋体" w:hAnsi="宋体" w:cs="宋体"/>
          <w:b/>
          <w:bCs/>
          <w:color w:val="auto"/>
          <w:sz w:val="21"/>
          <w:szCs w:val="21"/>
          <w:highlight w:val="none"/>
          <w:lang w:val="en-US" w:eastAsia="zh-CN"/>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4270"/>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4270" w:type="dxa"/>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3628" w:type="dxa"/>
            <w:vAlign w:val="center"/>
          </w:tcPr>
          <w:p>
            <w:pPr>
              <w:spacing w:line="360" w:lineRule="auto"/>
              <w:jc w:val="center"/>
              <w:rPr>
                <w:rFonts w:hAnsi="宋体"/>
                <w:b/>
                <w:color w:val="auto"/>
                <w:szCs w:val="21"/>
                <w:highlight w:val="none"/>
              </w:rPr>
            </w:pPr>
            <w:r>
              <w:rPr>
                <w:rFonts w:hint="eastAsia" w:hAnsi="宋体"/>
                <w:b/>
                <w:color w:val="auto"/>
                <w:szCs w:val="21"/>
                <w:highlight w:val="none"/>
                <w:lang w:val="en-US" w:eastAsia="zh-CN"/>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0" w:type="auto"/>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4270" w:type="dxa"/>
            <w:vAlign w:val="center"/>
          </w:tcPr>
          <w:p>
            <w:pPr>
              <w:spacing w:line="360" w:lineRule="auto"/>
              <w:jc w:val="center"/>
              <w:rPr>
                <w:rFonts w:hAnsi="宋体"/>
                <w:color w:val="auto"/>
                <w:szCs w:val="21"/>
                <w:highlight w:val="none"/>
              </w:rPr>
            </w:pPr>
            <w:r>
              <w:rPr>
                <w:rFonts w:hint="eastAsia" w:hAnsi="宋体"/>
                <w:color w:val="auto"/>
                <w:szCs w:val="21"/>
                <w:highlight w:val="none"/>
              </w:rPr>
              <w:t>东莞市横沥镇第二小学图书馆定制商品类（书柜、家具等）购置一项</w:t>
            </w:r>
          </w:p>
        </w:tc>
        <w:tc>
          <w:tcPr>
            <w:tcW w:w="3628" w:type="dxa"/>
            <w:vAlign w:val="center"/>
          </w:tcPr>
          <w:p>
            <w:pPr>
              <w:spacing w:line="360" w:lineRule="auto"/>
              <w:jc w:val="center"/>
              <w:rPr>
                <w:rFonts w:hAnsi="宋体"/>
                <w:color w:val="auto"/>
                <w:szCs w:val="21"/>
                <w:highlight w:val="none"/>
              </w:rPr>
            </w:pPr>
            <w:r>
              <w:rPr>
                <w:rFonts w:hint="eastAsia" w:hAnsi="宋体"/>
                <w:color w:val="auto"/>
                <w:szCs w:val="21"/>
                <w:highlight w:val="none"/>
              </w:rPr>
              <w:t>合同签订后</w:t>
            </w:r>
            <w:r>
              <w:rPr>
                <w:rFonts w:hint="eastAsia" w:hAnsi="宋体"/>
                <w:color w:val="auto"/>
                <w:szCs w:val="21"/>
                <w:highlight w:val="none"/>
                <w:lang w:val="en-US" w:eastAsia="zh-CN"/>
              </w:rPr>
              <w:t>30</w:t>
            </w:r>
            <w:r>
              <w:rPr>
                <w:rFonts w:hint="eastAsia" w:hAnsi="宋体"/>
                <w:color w:val="auto"/>
                <w:szCs w:val="21"/>
                <w:highlight w:val="none"/>
              </w:rPr>
              <w:t>天内完成项目实施及验收合格。</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 w:val="21"/>
          <w:szCs w:val="21"/>
          <w:highlight w:val="none"/>
        </w:rPr>
        <w:t>合同履行期限：</w:t>
      </w:r>
      <w:r>
        <w:rPr>
          <w:rFonts w:hint="eastAsia" w:ascii="宋体" w:hAnsi="宋体" w:cs="宋体"/>
          <w:b w:val="0"/>
          <w:bCs/>
          <w:color w:val="auto"/>
          <w:kern w:val="2"/>
          <w:sz w:val="21"/>
          <w:szCs w:val="21"/>
          <w:highlight w:val="none"/>
          <w:lang w:val="en-US" w:eastAsia="zh-CN" w:bidi="ar-SA"/>
        </w:rPr>
        <w:t>合同签订后30天内完成项目实施及验收合格</w:t>
      </w:r>
      <w:r>
        <w:rPr>
          <w:rFonts w:hint="eastAsia" w:ascii="宋体" w:hAnsi="宋体" w:eastAsia="宋体" w:cs="宋体"/>
          <w:b w:val="0"/>
          <w:bCs/>
          <w:color w:val="auto"/>
          <w:kern w:val="2"/>
          <w:sz w:val="21"/>
          <w:szCs w:val="21"/>
          <w:highlight w:val="none"/>
          <w:lang w:val="en-US" w:eastAsia="zh-CN" w:bidi="ar-SA"/>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bookmarkStart w:id="180" w:name="_GoBack"/>
      <w:bookmarkEnd w:id="180"/>
    </w:p>
    <w:p>
      <w:pPr>
        <w:pStyle w:val="2"/>
        <w:spacing w:line="360" w:lineRule="auto"/>
        <w:jc w:val="left"/>
        <w:rPr>
          <w:rFonts w:ascii="宋体" w:hAnsi="宋体" w:cs="宋体"/>
          <w:b w:val="0"/>
          <w:color w:val="auto"/>
          <w:sz w:val="21"/>
          <w:szCs w:val="21"/>
          <w:highlight w:val="none"/>
        </w:rPr>
      </w:pPr>
      <w:bookmarkStart w:id="10" w:name="_Toc35393622"/>
      <w:bookmarkStart w:id="11" w:name="_Toc25198"/>
      <w:bookmarkStart w:id="12" w:name="_Toc35393791"/>
      <w:bookmarkStart w:id="13" w:name="_Toc28359080"/>
      <w:bookmarkStart w:id="14" w:name="_Toc28359003"/>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04"/>
      <w:bookmarkStart w:id="17" w:name="_Toc28359081"/>
      <w:r>
        <w:rPr>
          <w:rFonts w:hint="eastAsia" w:ascii="宋体" w:hAnsi="宋体"/>
          <w:color w:val="auto"/>
          <w:szCs w:val="21"/>
          <w:highlight w:val="none"/>
        </w:rPr>
        <w:t>1.投标供应商应具备《政府采购法》第二十二条规定的条件，提供下列材料：</w:t>
      </w:r>
      <w:bookmarkEnd w:id="15"/>
    </w:p>
    <w:p>
      <w:pPr>
        <w:widowControl/>
        <w:spacing w:line="360" w:lineRule="auto"/>
        <w:ind w:firstLine="420" w:firstLineChars="200"/>
        <w:rPr>
          <w:rFonts w:hint="eastAsia" w:ascii="宋体" w:hAnsi="宋体" w:eastAsia="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w:t>
      </w:r>
      <w:r>
        <w:rPr>
          <w:rFonts w:hint="eastAsia" w:ascii="宋体" w:hAnsi="宋体" w:eastAsia="宋体"/>
          <w:color w:val="auto"/>
          <w:szCs w:val="21"/>
          <w:highlight w:val="none"/>
        </w:rPr>
        <w:t>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或提供相关承诺函）</w:t>
      </w:r>
    </w:p>
    <w:p>
      <w:pPr>
        <w:widowControl/>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3）具有良好的商业信誉和健全的财务会计制度：供应商必须具有良好的商业信誉和健全的财务会计制度（提供</w:t>
      </w:r>
      <w:r>
        <w:rPr>
          <w:rFonts w:hint="eastAsia" w:ascii="宋体" w:hAnsi="宋体" w:eastAsia="宋体"/>
          <w:color w:val="auto"/>
          <w:szCs w:val="21"/>
          <w:highlight w:val="none"/>
          <w:lang w:val="en-US" w:eastAsia="zh-CN"/>
        </w:rPr>
        <w:t>2021年度或2022年度</w:t>
      </w:r>
      <w:r>
        <w:rPr>
          <w:rFonts w:hint="eastAsia" w:ascii="宋体" w:hAnsi="宋体" w:eastAsia="宋体"/>
          <w:color w:val="auto"/>
          <w:szCs w:val="21"/>
          <w:highlight w:val="none"/>
        </w:rPr>
        <w:t>财务状况报告或基本开户行出具的资信证明）。(或提供相关承诺函）</w:t>
      </w:r>
    </w:p>
    <w:p>
      <w:pPr>
        <w:widowControl/>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w:t>
      </w:r>
      <w:r>
        <w:rPr>
          <w:rFonts w:hint="eastAsia" w:ascii="宋体" w:hAnsi="宋体" w:eastAsia="宋体"/>
          <w:color w:val="auto"/>
          <w:szCs w:val="21"/>
          <w:highlight w:val="none"/>
          <w:lang w:eastAsia="zh-CN"/>
        </w:rPr>
        <w:t>履行合同所必需的</w:t>
      </w:r>
      <w:r>
        <w:rPr>
          <w:rFonts w:hint="eastAsia" w:ascii="宋体" w:hAnsi="宋体" w:eastAsia="宋体"/>
          <w:color w:val="auto"/>
          <w:szCs w:val="21"/>
          <w:highlight w:val="none"/>
        </w:rPr>
        <w:t>设备和专业技术能力：填报设备及专业技术能力情况，格式自拟。(或提供相关承诺函）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6）信用记录：供应商未被列入“信用中国”网站(www.creditchina.gov.cn)“记录失信被执行人或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 xml:space="preserve">”记录名单；不处于中国政府采购网(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outlineLvl w:val="2"/>
        <w:rPr>
          <w:rFonts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pPr>
        <w:pStyle w:val="2"/>
        <w:spacing w:line="360" w:lineRule="auto"/>
        <w:jc w:val="left"/>
        <w:rPr>
          <w:rFonts w:ascii="宋体" w:hAnsi="宋体" w:cs="宋体"/>
          <w:bCs/>
          <w:color w:val="auto"/>
          <w:sz w:val="21"/>
          <w:szCs w:val="21"/>
          <w:highlight w:val="none"/>
        </w:rPr>
      </w:pPr>
      <w:bookmarkStart w:id="19" w:name="_Toc35393623"/>
      <w:bookmarkStart w:id="20" w:name="_Toc35393792"/>
      <w:bookmarkStart w:id="21" w:name="_Toc173"/>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 xml:space="preserve">日（节假日除外），上午9：00～12：00，下午14：30～17：30（北京时间）； </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0"/>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2"/>
        <w:spacing w:line="360" w:lineRule="auto"/>
        <w:jc w:val="left"/>
        <w:rPr>
          <w:rFonts w:ascii="宋体" w:hAnsi="宋体" w:cs="宋体"/>
          <w:bCs/>
          <w:color w:val="auto"/>
          <w:sz w:val="21"/>
          <w:szCs w:val="21"/>
          <w:highlight w:val="none"/>
        </w:rPr>
      </w:pPr>
      <w:bookmarkStart w:id="22" w:name="_Toc28359005"/>
      <w:bookmarkStart w:id="23" w:name="_Toc28359082"/>
      <w:bookmarkStart w:id="24" w:name="_Toc35393793"/>
      <w:bookmarkStart w:id="25" w:name="_Toc35393624"/>
      <w:bookmarkStart w:id="26" w:name="_Toc28585"/>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7</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10</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10</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00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
        <w:spacing w:line="360" w:lineRule="auto"/>
        <w:jc w:val="left"/>
        <w:rPr>
          <w:rFonts w:ascii="宋体" w:hAnsi="宋体" w:cs="宋体"/>
          <w:bCs/>
          <w:color w:val="auto"/>
          <w:sz w:val="21"/>
          <w:szCs w:val="21"/>
          <w:highlight w:val="none"/>
        </w:rPr>
      </w:pPr>
      <w:bookmarkStart w:id="27" w:name="_Toc28359007"/>
      <w:bookmarkStart w:id="28" w:name="_Toc35393625"/>
      <w:bookmarkStart w:id="29" w:name="_Toc35393794"/>
      <w:bookmarkStart w:id="30" w:name="_Toc25695"/>
      <w:bookmarkStart w:id="31" w:name="_Toc28359084"/>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2"/>
        <w:spacing w:line="360" w:lineRule="auto"/>
        <w:jc w:val="left"/>
        <w:rPr>
          <w:rFonts w:ascii="宋体" w:hAnsi="宋体" w:cs="宋体"/>
          <w:bCs/>
          <w:color w:val="auto"/>
          <w:sz w:val="21"/>
          <w:szCs w:val="21"/>
          <w:highlight w:val="none"/>
        </w:rPr>
      </w:pPr>
      <w:bookmarkStart w:id="32" w:name="_Toc35393626"/>
      <w:bookmarkStart w:id="33" w:name="_Toc1519"/>
      <w:bookmarkStart w:id="34" w:name="_Toc35393795"/>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28359085"/>
      <w:bookmarkStart w:id="36" w:name="_Toc35393796"/>
      <w:bookmarkStart w:id="37" w:name="_Toc28359008"/>
      <w:bookmarkStart w:id="38" w:name="_Toc35393627"/>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中国政府采购网(http://www.ccgp.gov.cn/)以及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2"/>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 xml:space="preserve">东莞市横沥镇第二小学  </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址：东莞市</w:t>
      </w:r>
      <w:r>
        <w:rPr>
          <w:rFonts w:hint="eastAsia" w:ascii="宋体" w:hAnsi="宋体" w:cs="宋体"/>
          <w:color w:val="auto"/>
          <w:szCs w:val="21"/>
          <w:highlight w:val="none"/>
          <w:lang w:val="en-US" w:eastAsia="zh-CN"/>
        </w:rPr>
        <w:t>横沥</w:t>
      </w:r>
      <w:r>
        <w:rPr>
          <w:rFonts w:hint="eastAsia" w:ascii="宋体" w:hAnsi="宋体" w:cs="宋体"/>
          <w:color w:val="auto"/>
          <w:szCs w:val="21"/>
          <w:highlight w:val="none"/>
          <w:lang w:eastAsia="zh-CN"/>
        </w:rPr>
        <w:t>镇</w:t>
      </w:r>
    </w:p>
    <w:p>
      <w:pPr>
        <w:spacing w:line="360" w:lineRule="auto"/>
        <w:ind w:left="263" w:hanging="262" w:hangingChars="125"/>
        <w:rPr>
          <w:rFonts w:hint="eastAsia" w:ascii="宋体" w:hAnsi="宋体" w:cs="宋体"/>
          <w:color w:val="auto"/>
          <w:szCs w:val="21"/>
          <w:highlight w:val="none"/>
        </w:rPr>
      </w:pPr>
      <w:r>
        <w:rPr>
          <w:rFonts w:hint="eastAsia" w:ascii="宋体" w:hAnsi="宋体" w:cs="宋体"/>
          <w:color w:val="auto"/>
          <w:szCs w:val="21"/>
          <w:highlight w:val="none"/>
        </w:rPr>
        <w:t>联系人：陈老师</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联系方式：0769-83795092</w:t>
      </w:r>
    </w:p>
    <w:p>
      <w:pPr>
        <w:spacing w:line="360" w:lineRule="auto"/>
        <w:ind w:left="264" w:hanging="264" w:hangingChars="125"/>
        <w:outlineLvl w:val="2"/>
        <w:rPr>
          <w:rFonts w:ascii="宋体" w:hAnsi="宋体" w:cs="宋体"/>
          <w:b/>
          <w:bCs/>
          <w:color w:val="auto"/>
          <w:szCs w:val="21"/>
          <w:highlight w:val="none"/>
        </w:rPr>
      </w:pPr>
      <w:bookmarkStart w:id="41" w:name="_Toc4580"/>
      <w:bookmarkStart w:id="42" w:name="_Toc28359086"/>
      <w:bookmarkStart w:id="43" w:name="_Toc28359009"/>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87"/>
      <w:bookmarkStart w:id="45" w:name="_Toc28359010"/>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2"/>
        <w:spacing w:line="360" w:lineRule="auto"/>
        <w:rPr>
          <w:color w:val="auto"/>
          <w:highlight w:val="none"/>
          <w:lang w:val="zh-CN"/>
        </w:rPr>
      </w:pPr>
      <w:bookmarkStart w:id="48" w:name="_Toc396137231"/>
      <w:bookmarkStart w:id="49" w:name="_Toc497983494"/>
      <w:bookmarkStart w:id="50" w:name="_Toc652"/>
      <w:bookmarkStart w:id="51" w:name="_Toc413402429"/>
      <w:r>
        <w:rPr>
          <w:rFonts w:hint="eastAsia"/>
          <w:color w:val="auto"/>
          <w:highlight w:val="none"/>
          <w:lang w:val="zh-CN"/>
        </w:rPr>
        <w:t>一、投标须知前附表</w:t>
      </w:r>
      <w:bookmarkEnd w:id="48"/>
      <w:bookmarkEnd w:id="49"/>
      <w:bookmarkEnd w:id="50"/>
      <w:bookmarkEnd w:id="51"/>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jc w:val="both"/>
              <w:rPr>
                <w:b/>
                <w:bCs/>
                <w:color w:val="auto"/>
                <w:highlight w:val="none"/>
              </w:rPr>
            </w:pPr>
            <w:r>
              <w:rPr>
                <w:rFonts w:hint="eastAsia"/>
                <w:color w:val="auto"/>
                <w:highlight w:val="none"/>
              </w:rPr>
              <w:t>投标保证金金额：</w:t>
            </w:r>
            <w:r>
              <w:rPr>
                <w:rFonts w:hint="eastAsia"/>
                <w:color w:val="auto"/>
                <w:highlight w:val="none"/>
                <w:lang w:val="en-US" w:eastAsia="zh-CN"/>
              </w:rPr>
              <w:t>/</w:t>
            </w:r>
          </w:p>
          <w:p>
            <w:pPr>
              <w:spacing w:line="300" w:lineRule="exact"/>
              <w:jc w:val="both"/>
              <w:rPr>
                <w:rFonts w:ascii="宋体" w:hAnsi="宋体"/>
                <w:color w:val="auto"/>
                <w:szCs w:val="21"/>
                <w:highlight w:val="none"/>
                <w:lang w:val="zh-CN"/>
              </w:rPr>
            </w:pPr>
            <w:r>
              <w:rPr>
                <w:rFonts w:hint="eastAsia"/>
                <w:color w:val="auto"/>
                <w:highlight w:val="none"/>
              </w:rPr>
              <w:t>2、</w:t>
            </w:r>
            <w:r>
              <w:rPr>
                <w:rFonts w:hint="eastAsia" w:ascii="宋体" w:hAnsi="宋体"/>
                <w:color w:val="auto"/>
                <w:szCs w:val="21"/>
                <w:highlight w:val="none"/>
                <w:lang w:val="zh-CN"/>
              </w:rPr>
              <w:t>保证金递交账户：</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收款人：国顺招标有限公司</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开户行：广发银行股份有限公司东莞城区支行</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账  号：9550880226934600216</w:t>
            </w:r>
          </w:p>
          <w:p>
            <w:pPr>
              <w:pStyle w:val="4"/>
              <w:rPr>
                <w:color w:val="auto"/>
                <w:highlight w:val="none"/>
              </w:rPr>
            </w:pPr>
            <w:r>
              <w:rPr>
                <w:rFonts w:hint="eastAsia" w:ascii="宋体" w:hAnsi="宋体"/>
                <w:color w:val="auto"/>
                <w:szCs w:val="21"/>
                <w:highlight w:val="none"/>
                <w:lang w:val="zh-CN"/>
              </w:rPr>
              <w:t>（各投标人在转账或电汇时须在用途栏上写明项目编号）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合同价的5%。如须合同生效后才可办理保函的，提交保函时间不得超过合同签订日（含）起15个工作日。保函有效期间截止时间为本合同期满后且经采购人验收合格后的30日。</w:t>
            </w:r>
          </w:p>
          <w:p>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4"/>
              </w:numPr>
              <w:spacing w:line="360" w:lineRule="auto"/>
              <w:rPr>
                <w:rFonts w:ascii="宋体" w:hAnsi="宋体" w:cs="宋体"/>
                <w:color w:val="auto"/>
                <w:highlight w:val="none"/>
              </w:rPr>
            </w:pP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国家计委[计价格[2002]1980号]文和国家发改委[发改价格[2011]534号]文及相关规定向</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单位收取，按差额定率累进法计算，以</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通知书中确定的</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总金额作为收费的计算</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服务费最低收费标准为</w:t>
            </w:r>
            <w:r>
              <w:rPr>
                <w:rFonts w:hint="eastAsia" w:ascii="宋体" w:hAnsi="宋体" w:cs="宋体"/>
                <w:color w:val="auto"/>
                <w:highlight w:val="none"/>
                <w:lang w:val="en-US" w:eastAsia="zh-CN"/>
              </w:rPr>
              <w:t>陆</w:t>
            </w:r>
            <w:r>
              <w:rPr>
                <w:rFonts w:hint="eastAsia" w:ascii="宋体" w:hAnsi="宋体" w:eastAsia="宋体" w:cs="宋体"/>
                <w:color w:val="auto"/>
                <w:highlight w:val="none"/>
              </w:rPr>
              <w:t>仟元整。</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2"/>
        <w:numPr>
          <w:ilvl w:val="0"/>
          <w:numId w:val="5"/>
        </w:numPr>
        <w:rPr>
          <w:color w:val="auto"/>
          <w:highlight w:val="none"/>
        </w:rPr>
      </w:pPr>
      <w:bookmarkStart w:id="52" w:name="_Toc21639"/>
      <w:r>
        <w:rPr>
          <w:rFonts w:hint="eastAsia"/>
          <w:color w:val="auto"/>
          <w:highlight w:val="none"/>
        </w:rPr>
        <w:t>投标须知</w:t>
      </w:r>
      <w:bookmarkEnd w:id="52"/>
    </w:p>
    <w:p>
      <w:pPr>
        <w:pStyle w:val="4"/>
        <w:rPr>
          <w:color w:val="auto"/>
          <w:highlight w:val="none"/>
        </w:rPr>
      </w:pPr>
      <w:bookmarkStart w:id="53" w:name="_Toc20860"/>
      <w:bookmarkStart w:id="54" w:name="_Toc2381"/>
      <w:r>
        <w:rPr>
          <w:rFonts w:hint="eastAsia"/>
          <w:color w:val="auto"/>
          <w:highlight w:val="none"/>
        </w:rPr>
        <w:t>1.适用范围</w:t>
      </w:r>
      <w:bookmarkEnd w:id="53"/>
      <w:bookmarkEnd w:id="54"/>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4"/>
        <w:rPr>
          <w:color w:val="auto"/>
          <w:highlight w:val="none"/>
        </w:rPr>
      </w:pPr>
      <w:bookmarkStart w:id="55" w:name="_Toc15203"/>
      <w:bookmarkStart w:id="56" w:name="_Toc6621"/>
      <w:r>
        <w:rPr>
          <w:rFonts w:hint="eastAsia"/>
          <w:color w:val="auto"/>
          <w:highlight w:val="none"/>
        </w:rPr>
        <w:t>2.</w:t>
      </w:r>
      <w:bookmarkStart w:id="57" w:name="_Toc1530"/>
      <w:bookmarkStart w:id="58" w:name="_Toc303084246"/>
      <w:bookmarkStart w:id="59" w:name="_Toc298847174"/>
      <w:bookmarkStart w:id="60" w:name="_Toc382049092"/>
      <w:r>
        <w:rPr>
          <w:rFonts w:hint="eastAsia"/>
          <w:color w:val="auto"/>
          <w:highlight w:val="none"/>
        </w:rPr>
        <w:t>定义</w:t>
      </w:r>
      <w:bookmarkEnd w:id="55"/>
      <w:bookmarkEnd w:id="56"/>
      <w:bookmarkEnd w:id="57"/>
      <w:bookmarkEnd w:id="58"/>
      <w:bookmarkEnd w:id="59"/>
      <w:bookmarkEnd w:id="60"/>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招标人：是指依法进行政府采购的国家机关、事业单位等团体组织。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评标委员会：评标委员会是依据《中华人民共和国政府采购法》及其实施条例、《政府采购货物和服务招标投标管理办法》等组建的专门负责本次招标其评标工作的临时性机构。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4"/>
        <w:rPr>
          <w:color w:val="auto"/>
          <w:highlight w:val="none"/>
        </w:rPr>
      </w:pPr>
      <w:bookmarkStart w:id="61" w:name="_Toc31531"/>
      <w:bookmarkStart w:id="62" w:name="_Toc1072"/>
      <w:r>
        <w:rPr>
          <w:rFonts w:hint="eastAsia"/>
          <w:color w:val="auto"/>
          <w:highlight w:val="none"/>
        </w:rPr>
        <w:t>3.货物和服务</w:t>
      </w:r>
      <w:bookmarkEnd w:id="61"/>
      <w:bookmarkEnd w:id="6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政府采购应当采购本国产品，确需采购进口产品（是指通过中国海关报关验放进入中国境内且产自关境外的产品）的，</w:t>
      </w:r>
      <w:bookmarkStart w:id="63" w:name="_Toc211763038"/>
      <w:r>
        <w:rPr>
          <w:rFonts w:hint="eastAsia" w:ascii="宋体" w:hAnsi="宋体" w:cs="宋体"/>
          <w:iCs/>
          <w:color w:val="auto"/>
          <w:szCs w:val="21"/>
          <w:highlight w:val="none"/>
        </w:rPr>
        <w:t>应当获得财政部门核准。依据《政府采购进口产品管理办法</w:t>
      </w:r>
      <w:bookmarkEnd w:id="63"/>
      <w:r>
        <w:rPr>
          <w:rFonts w:hint="eastAsia" w:ascii="宋体" w:hAnsi="宋体" w:cs="宋体"/>
          <w:iCs/>
          <w:color w:val="auto"/>
          <w:szCs w:val="21"/>
          <w:highlight w:val="none"/>
        </w:rPr>
        <w:t>》优先采购向我国企业转让技术、与我国企业签订消化吸收再创新方案的供应商的进口产品。</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若所投产品属于政府强制采购节能产品的，则投标人必须提供该产品国家强制性节能产品进行响应，并提供有效的中国节能产品认证证书，否则视为无效投标。</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投标人提供的所有服务，其质量、技术等特征必须符合国家、行业现行法律、法规的相关标准和《中华人民共和国政府采购法》的有关规定及用户需求。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4"/>
        <w:rPr>
          <w:color w:val="auto"/>
          <w:highlight w:val="none"/>
        </w:rPr>
      </w:pPr>
      <w:bookmarkStart w:id="64" w:name="_Toc16909"/>
      <w:bookmarkStart w:id="65" w:name="_Toc32610"/>
      <w:r>
        <w:rPr>
          <w:rFonts w:hint="eastAsia"/>
          <w:color w:val="auto"/>
          <w:highlight w:val="none"/>
        </w:rPr>
        <w:t>4.投标费用</w:t>
      </w:r>
      <w:bookmarkEnd w:id="64"/>
      <w:bookmarkEnd w:id="6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4"/>
        <w:rPr>
          <w:color w:val="auto"/>
          <w:highlight w:val="none"/>
        </w:rPr>
      </w:pPr>
      <w:bookmarkStart w:id="66" w:name="_Toc24409"/>
      <w:bookmarkStart w:id="67" w:name="_Toc13316"/>
      <w:r>
        <w:rPr>
          <w:rFonts w:hint="eastAsia"/>
          <w:color w:val="auto"/>
          <w:highlight w:val="none"/>
        </w:rPr>
        <w:t>5.知识产权</w:t>
      </w:r>
      <w:bookmarkEnd w:id="66"/>
      <w:bookmarkEnd w:id="6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4"/>
        <w:rPr>
          <w:color w:val="auto"/>
          <w:highlight w:val="none"/>
        </w:rPr>
      </w:pPr>
      <w:bookmarkStart w:id="68" w:name="_Toc25911"/>
      <w:bookmarkStart w:id="69" w:name="_Toc25530"/>
      <w:r>
        <w:rPr>
          <w:rFonts w:hint="eastAsia"/>
          <w:color w:val="auto"/>
          <w:highlight w:val="none"/>
        </w:rPr>
        <w:t>6.关于联合体投标</w:t>
      </w:r>
      <w:bookmarkEnd w:id="68"/>
      <w:bookmarkEnd w:id="6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联合体各方均应当符合《政府采购法》第二十二条规定的条件。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4"/>
        <w:rPr>
          <w:color w:val="auto"/>
          <w:highlight w:val="none"/>
        </w:rPr>
      </w:pPr>
      <w:bookmarkStart w:id="70" w:name="_Toc27528"/>
      <w:bookmarkStart w:id="71" w:name="_Toc24312"/>
      <w:r>
        <w:rPr>
          <w:rFonts w:hint="eastAsia"/>
          <w:color w:val="auto"/>
          <w:highlight w:val="none"/>
        </w:rPr>
        <w:t>7.关于分支机构投标</w:t>
      </w:r>
      <w:bookmarkEnd w:id="70"/>
      <w:bookmarkEnd w:id="71"/>
    </w:p>
    <w:p>
      <w:pPr>
        <w:pStyle w:val="20"/>
        <w:numPr>
          <w:ilvl w:val="0"/>
          <w:numId w:val="6"/>
        </w:numPr>
        <w:spacing w:line="400" w:lineRule="exact"/>
        <w:ind w:firstLineChars="0"/>
        <w:jc w:val="both"/>
        <w:rPr>
          <w:rFonts w:ascii="宋体" w:hAnsi="宋体" w:cs="宋体"/>
          <w:vanish/>
          <w:color w:val="auto"/>
          <w:szCs w:val="21"/>
          <w:highlight w:val="none"/>
        </w:rPr>
      </w:pPr>
      <w:bookmarkStart w:id="72" w:name="EB389f116341dd4693875bc7987e7327f3"/>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2"/>
    </w:p>
    <w:p>
      <w:pPr>
        <w:spacing w:line="360" w:lineRule="auto"/>
        <w:rPr>
          <w:rFonts w:ascii="宋体" w:hAnsi="宋体" w:cs="宋体"/>
          <w:color w:val="auto"/>
          <w:szCs w:val="21"/>
          <w:highlight w:val="none"/>
        </w:rPr>
      </w:pPr>
    </w:p>
    <w:p>
      <w:pPr>
        <w:pStyle w:val="4"/>
        <w:rPr>
          <w:color w:val="auto"/>
          <w:highlight w:val="none"/>
        </w:rPr>
      </w:pPr>
      <w:bookmarkStart w:id="73" w:name="_Toc15490"/>
      <w:bookmarkStart w:id="74" w:name="_Toc13645"/>
      <w:r>
        <w:rPr>
          <w:rFonts w:hint="eastAsia"/>
          <w:color w:val="auto"/>
          <w:highlight w:val="none"/>
        </w:rPr>
        <w:t>8.招标文件的组成</w:t>
      </w:r>
      <w:bookmarkEnd w:id="73"/>
      <w:bookmarkEnd w:id="74"/>
    </w:p>
    <w:p>
      <w:pPr>
        <w:pStyle w:val="20"/>
        <w:numPr>
          <w:ilvl w:val="0"/>
          <w:numId w:val="6"/>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4"/>
        <w:rPr>
          <w:color w:val="auto"/>
          <w:highlight w:val="none"/>
        </w:rPr>
      </w:pPr>
      <w:bookmarkStart w:id="75" w:name="_Toc7789"/>
      <w:bookmarkStart w:id="76" w:name="_Toc644"/>
      <w:r>
        <w:rPr>
          <w:rFonts w:hint="eastAsia"/>
          <w:color w:val="auto"/>
          <w:highlight w:val="none"/>
        </w:rPr>
        <w:t>9.招标文件的澄清或修改</w:t>
      </w:r>
      <w:bookmarkEnd w:id="75"/>
      <w:bookmarkEnd w:id="76"/>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8"/>
        <w:ind w:left="0"/>
        <w:rPr>
          <w:color w:val="auto"/>
          <w:sz w:val="21"/>
          <w:szCs w:val="21"/>
          <w:highlight w:val="none"/>
        </w:rPr>
      </w:pPr>
    </w:p>
    <w:p>
      <w:pPr>
        <w:pStyle w:val="4"/>
        <w:rPr>
          <w:color w:val="auto"/>
          <w:highlight w:val="none"/>
        </w:rPr>
      </w:pPr>
      <w:bookmarkStart w:id="77" w:name="_Toc708"/>
      <w:bookmarkStart w:id="78" w:name="_Toc6458"/>
      <w:r>
        <w:rPr>
          <w:rFonts w:hint="eastAsia"/>
          <w:color w:val="auto"/>
          <w:highlight w:val="none"/>
        </w:rPr>
        <w:t>10.投标文件的语言及度量衡单位</w:t>
      </w:r>
      <w:bookmarkEnd w:id="77"/>
      <w:bookmarkEnd w:id="78"/>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4"/>
        <w:rPr>
          <w:color w:val="auto"/>
          <w:highlight w:val="none"/>
        </w:rPr>
      </w:pPr>
      <w:bookmarkStart w:id="79" w:name="_Toc307934854"/>
      <w:bookmarkStart w:id="80" w:name="_Toc382049103"/>
      <w:bookmarkStart w:id="81" w:name="_Toc303084256"/>
      <w:bookmarkStart w:id="82" w:name="_Toc28866"/>
      <w:bookmarkStart w:id="83" w:name="_Toc8246"/>
      <w:bookmarkStart w:id="84" w:name="_Toc29420"/>
      <w:r>
        <w:rPr>
          <w:rFonts w:hint="eastAsia"/>
          <w:color w:val="auto"/>
          <w:highlight w:val="none"/>
        </w:rPr>
        <w:t>11.投标文件的组成</w:t>
      </w:r>
      <w:bookmarkEnd w:id="79"/>
      <w:bookmarkEnd w:id="80"/>
      <w:bookmarkEnd w:id="81"/>
      <w:bookmarkEnd w:id="82"/>
      <w:bookmarkEnd w:id="83"/>
      <w:bookmarkEnd w:id="8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4"/>
        <w:rPr>
          <w:color w:val="auto"/>
          <w:highlight w:val="none"/>
        </w:rPr>
      </w:pPr>
      <w:bookmarkStart w:id="85" w:name="_Toc5980"/>
      <w:bookmarkStart w:id="86" w:name="_Toc11356"/>
      <w:r>
        <w:rPr>
          <w:rFonts w:hint="eastAsia"/>
          <w:color w:val="auto"/>
          <w:highlight w:val="none"/>
        </w:rPr>
        <w:t>12.投标文件编制</w:t>
      </w:r>
      <w:bookmarkEnd w:id="85"/>
      <w:bookmarkEnd w:id="86"/>
    </w:p>
    <w:p>
      <w:pPr>
        <w:pStyle w:val="20"/>
        <w:numPr>
          <w:ilvl w:val="0"/>
          <w:numId w:val="6"/>
        </w:numPr>
        <w:spacing w:line="400" w:lineRule="exact"/>
        <w:ind w:firstLineChars="0"/>
        <w:jc w:val="both"/>
        <w:rPr>
          <w:rFonts w:ascii="宋体" w:hAnsi="宋体" w:cs="宋体"/>
          <w:vanish/>
          <w:color w:val="auto"/>
          <w:szCs w:val="21"/>
          <w:highlight w:val="none"/>
        </w:rPr>
      </w:pPr>
      <w:bookmarkStart w:id="87" w:name="_Toc30308425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7"/>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4"/>
        <w:rPr>
          <w:color w:val="auto"/>
          <w:highlight w:val="none"/>
        </w:rPr>
      </w:pPr>
      <w:bookmarkStart w:id="88" w:name="_Toc28034"/>
      <w:bookmarkStart w:id="89" w:name="_Toc1355"/>
      <w:r>
        <w:rPr>
          <w:rFonts w:hint="eastAsia"/>
          <w:color w:val="auto"/>
          <w:highlight w:val="none"/>
        </w:rPr>
        <w:t>13.投标报价说明</w:t>
      </w:r>
      <w:bookmarkEnd w:id="88"/>
      <w:bookmarkEnd w:id="8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4"/>
        <w:rPr>
          <w:color w:val="auto"/>
          <w:highlight w:val="none"/>
        </w:rPr>
      </w:pPr>
      <w:bookmarkStart w:id="90" w:name="_Toc6729"/>
      <w:bookmarkStart w:id="91" w:name="_Toc34"/>
      <w:r>
        <w:rPr>
          <w:rFonts w:hint="eastAsia"/>
          <w:color w:val="auto"/>
          <w:highlight w:val="none"/>
        </w:rPr>
        <w:t>14.投标人所提供的服务或货物的证明文件</w:t>
      </w:r>
      <w:bookmarkEnd w:id="90"/>
      <w:bookmarkEnd w:id="91"/>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bookmarkStart w:id="92" w:name="_Hlt107925638"/>
      <w:bookmarkEnd w:id="92"/>
      <w:bookmarkStart w:id="93" w:name="_Hlt107925668"/>
      <w:bookmarkEnd w:id="93"/>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0"/>
        <w:spacing w:line="400" w:lineRule="exact"/>
        <w:ind w:left="425" w:firstLine="0" w:firstLineChars="0"/>
        <w:jc w:val="both"/>
        <w:rPr>
          <w:rFonts w:ascii="宋体" w:hAnsi="宋体" w:cs="宋体"/>
          <w:color w:val="auto"/>
          <w:szCs w:val="21"/>
          <w:highlight w:val="none"/>
        </w:rPr>
      </w:pPr>
    </w:p>
    <w:p>
      <w:pPr>
        <w:pStyle w:val="4"/>
        <w:rPr>
          <w:color w:val="auto"/>
          <w:highlight w:val="none"/>
        </w:rPr>
      </w:pPr>
      <w:bookmarkStart w:id="94" w:name="_Toc10940"/>
      <w:bookmarkStart w:id="95" w:name="_Toc29725"/>
      <w:r>
        <w:rPr>
          <w:rFonts w:hint="eastAsia"/>
          <w:color w:val="auto"/>
          <w:highlight w:val="none"/>
        </w:rPr>
        <w:t>15.★投标有效期</w:t>
      </w:r>
      <w:bookmarkEnd w:id="94"/>
      <w:bookmarkEnd w:id="9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4"/>
        <w:rPr>
          <w:rFonts w:hint="eastAsia" w:eastAsia="宋体"/>
          <w:color w:val="auto"/>
          <w:highlight w:val="none"/>
          <w:lang w:eastAsia="zh-CN"/>
        </w:rPr>
      </w:pPr>
      <w:bookmarkStart w:id="96" w:name="_Toc5483"/>
      <w:bookmarkStart w:id="97" w:name="_Toc15529"/>
      <w:r>
        <w:rPr>
          <w:rFonts w:hint="eastAsia"/>
          <w:color w:val="auto"/>
          <w:highlight w:val="none"/>
        </w:rPr>
        <w:t>16.★投标保证金</w:t>
      </w:r>
      <w:bookmarkEnd w:id="96"/>
      <w:bookmarkEnd w:id="97"/>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pPr>
        <w:pStyle w:val="20"/>
        <w:numPr>
          <w:ilvl w:val="0"/>
          <w:numId w:val="6"/>
        </w:numPr>
        <w:spacing w:line="400" w:lineRule="exact"/>
        <w:ind w:firstLineChars="0"/>
        <w:jc w:val="both"/>
        <w:rPr>
          <w:rFonts w:ascii="宋体" w:hAnsi="宋体" w:cs="宋体"/>
          <w:vanish/>
          <w:color w:val="auto"/>
          <w:szCs w:val="21"/>
          <w:highlight w:val="none"/>
        </w:rPr>
      </w:pPr>
      <w:bookmarkStart w:id="98" w:name="_Ref179619405"/>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采用银行转账、电汇方式提交的,付至招标代理机构指定账户上。 (详见投标人资料表)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6"/>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8"/>
        <w:rPr>
          <w:color w:val="auto"/>
          <w:sz w:val="21"/>
          <w:szCs w:val="21"/>
          <w:highlight w:val="none"/>
        </w:rPr>
      </w:pPr>
    </w:p>
    <w:p>
      <w:pPr>
        <w:pStyle w:val="4"/>
        <w:rPr>
          <w:color w:val="auto"/>
          <w:highlight w:val="none"/>
        </w:rPr>
      </w:pPr>
      <w:bookmarkStart w:id="99" w:name="_Toc16724"/>
      <w:bookmarkStart w:id="100" w:name="_Toc303084264"/>
      <w:bookmarkStart w:id="101" w:name="_Toc24997"/>
      <w:bookmarkStart w:id="102" w:name="_Toc382049111"/>
      <w:bookmarkStart w:id="103" w:name="_Toc16286"/>
      <w:r>
        <w:rPr>
          <w:rFonts w:hint="eastAsia"/>
          <w:color w:val="auto"/>
          <w:highlight w:val="none"/>
        </w:rPr>
        <w:t>17.投标文件的装订，签署，密封和标记</w:t>
      </w:r>
      <w:bookmarkEnd w:id="99"/>
      <w:bookmarkEnd w:id="100"/>
      <w:bookmarkEnd w:id="101"/>
      <w:bookmarkEnd w:id="102"/>
      <w:bookmarkEnd w:id="103"/>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4"/>
        <w:rPr>
          <w:color w:val="auto"/>
          <w:highlight w:val="none"/>
        </w:rPr>
      </w:pPr>
      <w:bookmarkStart w:id="104" w:name="_Toc17636"/>
      <w:bookmarkStart w:id="105" w:name="_Toc30088"/>
      <w:r>
        <w:rPr>
          <w:rFonts w:hint="eastAsia"/>
          <w:color w:val="auto"/>
          <w:highlight w:val="none"/>
        </w:rPr>
        <w:t>18.迟交的投标文件</w:t>
      </w:r>
      <w:bookmarkEnd w:id="104"/>
      <w:bookmarkEnd w:id="10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4"/>
        <w:rPr>
          <w:color w:val="auto"/>
          <w:highlight w:val="none"/>
        </w:rPr>
      </w:pPr>
      <w:bookmarkStart w:id="106" w:name="_Toc15912"/>
      <w:bookmarkStart w:id="107" w:name="_Toc24269"/>
      <w:r>
        <w:rPr>
          <w:rFonts w:hint="eastAsia"/>
          <w:color w:val="auto"/>
          <w:highlight w:val="none"/>
        </w:rPr>
        <w:t>19.投标样品、投标演示（如有要求）</w:t>
      </w:r>
      <w:bookmarkEnd w:id="106"/>
      <w:bookmarkEnd w:id="10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4"/>
        <w:rPr>
          <w:color w:val="auto"/>
          <w:highlight w:val="none"/>
        </w:rPr>
      </w:pPr>
      <w:bookmarkStart w:id="108" w:name="_Toc9777"/>
      <w:bookmarkStart w:id="109" w:name="_Toc382049112"/>
      <w:bookmarkStart w:id="110" w:name="_Toc22355"/>
      <w:bookmarkStart w:id="111" w:name="_Toc303084265"/>
      <w:bookmarkStart w:id="112" w:name="_Toc28098"/>
      <w:r>
        <w:rPr>
          <w:rFonts w:hint="eastAsia"/>
          <w:color w:val="auto"/>
          <w:highlight w:val="none"/>
        </w:rPr>
        <w:t>20.投标截止期</w:t>
      </w:r>
      <w:bookmarkEnd w:id="108"/>
      <w:bookmarkEnd w:id="109"/>
      <w:bookmarkEnd w:id="110"/>
      <w:bookmarkEnd w:id="111"/>
      <w:bookmarkEnd w:id="11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4"/>
        <w:rPr>
          <w:color w:val="auto"/>
          <w:highlight w:val="none"/>
        </w:rPr>
      </w:pPr>
      <w:bookmarkStart w:id="113" w:name="_Toc22260"/>
      <w:bookmarkStart w:id="114" w:name="_Toc4270"/>
      <w:r>
        <w:rPr>
          <w:rFonts w:hint="eastAsia"/>
          <w:color w:val="auto"/>
          <w:highlight w:val="none"/>
        </w:rPr>
        <w:t>21.投标文件的补充、修改与撤回</w:t>
      </w:r>
      <w:bookmarkEnd w:id="113"/>
      <w:bookmarkEnd w:id="11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8"/>
        <w:spacing w:line="360" w:lineRule="auto"/>
        <w:rPr>
          <w:color w:val="auto"/>
          <w:sz w:val="21"/>
          <w:szCs w:val="21"/>
          <w:highlight w:val="none"/>
        </w:rPr>
      </w:pPr>
    </w:p>
    <w:p>
      <w:pPr>
        <w:pStyle w:val="5"/>
        <w:overflowPunct w:val="0"/>
        <w:spacing w:before="0" w:after="0" w:line="400" w:lineRule="exact"/>
        <w:rPr>
          <w:rFonts w:ascii="宋体" w:hAnsi="宋体" w:cs="宋体"/>
          <w:color w:val="auto"/>
          <w:sz w:val="21"/>
          <w:szCs w:val="21"/>
          <w:highlight w:val="none"/>
        </w:rPr>
      </w:pPr>
      <w:bookmarkStart w:id="115" w:name="_Toc174"/>
      <w:r>
        <w:rPr>
          <w:rFonts w:hint="eastAsia" w:ascii="宋体" w:hAnsi="宋体" w:cs="宋体"/>
          <w:color w:val="auto"/>
          <w:sz w:val="21"/>
          <w:szCs w:val="21"/>
          <w:highlight w:val="none"/>
        </w:rPr>
        <w:t>22.开标</w:t>
      </w:r>
      <w:bookmarkEnd w:id="11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4"/>
        <w:rPr>
          <w:color w:val="auto"/>
          <w:highlight w:val="none"/>
        </w:rPr>
      </w:pPr>
      <w:bookmarkStart w:id="116" w:name="_Toc318"/>
      <w:bookmarkStart w:id="117" w:name="_Toc23244"/>
      <w:r>
        <w:rPr>
          <w:rFonts w:hint="eastAsia"/>
          <w:color w:val="auto"/>
          <w:highlight w:val="none"/>
        </w:rPr>
        <w:t>23.评标委员会及评标方法</w:t>
      </w:r>
      <w:bookmarkEnd w:id="116"/>
      <w:bookmarkEnd w:id="11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4"/>
        <w:rPr>
          <w:color w:val="auto"/>
          <w:highlight w:val="none"/>
        </w:rPr>
      </w:pPr>
      <w:bookmarkStart w:id="118" w:name="_Toc21911"/>
      <w:bookmarkStart w:id="119" w:name="_Toc15635"/>
      <w:r>
        <w:rPr>
          <w:rFonts w:hint="eastAsia"/>
          <w:color w:val="auto"/>
          <w:highlight w:val="none"/>
        </w:rPr>
        <w:t>24.评审原则及评标过程的保密</w:t>
      </w:r>
      <w:bookmarkEnd w:id="118"/>
      <w:bookmarkEnd w:id="11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评审的基本原则：评标委员会将依据《中华人民共和国政府采购法》及国家和地方政府有关法规的规定，遵循“客观、公正、审慎”的原则进行评审工作。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4"/>
        <w:rPr>
          <w:color w:val="auto"/>
          <w:highlight w:val="none"/>
        </w:rPr>
      </w:pPr>
      <w:bookmarkStart w:id="120" w:name="_Toc10950"/>
      <w:bookmarkStart w:id="121" w:name="_Toc12318"/>
      <w:r>
        <w:rPr>
          <w:rFonts w:hint="eastAsia"/>
          <w:color w:val="auto"/>
          <w:highlight w:val="none"/>
        </w:rPr>
        <w:t>25.投标文件的初审</w:t>
      </w:r>
      <w:bookmarkEnd w:id="120"/>
      <w:bookmarkEnd w:id="121"/>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4"/>
        <w:rPr>
          <w:color w:val="auto"/>
          <w:highlight w:val="none"/>
        </w:rPr>
      </w:pPr>
      <w:bookmarkStart w:id="122" w:name="_Toc19657"/>
      <w:bookmarkStart w:id="123" w:name="_Toc24775"/>
      <w:r>
        <w:rPr>
          <w:rFonts w:hint="eastAsia"/>
          <w:color w:val="auto"/>
          <w:highlight w:val="none"/>
        </w:rPr>
        <w:t>26.商务、技术、价格评审</w:t>
      </w:r>
      <w:bookmarkEnd w:id="122"/>
      <w:bookmarkEnd w:id="123"/>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4"/>
        <w:rPr>
          <w:color w:val="auto"/>
          <w:highlight w:val="none"/>
        </w:rPr>
      </w:pPr>
      <w:bookmarkStart w:id="124" w:name="_Toc316375620"/>
      <w:bookmarkStart w:id="125" w:name="_Toc20328"/>
      <w:bookmarkStart w:id="126" w:name="_Toc19304"/>
      <w:bookmarkStart w:id="127" w:name="_Toc5898"/>
      <w:bookmarkStart w:id="128" w:name="_Toc382049120"/>
      <w:r>
        <w:rPr>
          <w:rFonts w:hint="eastAsia"/>
          <w:color w:val="auto"/>
          <w:highlight w:val="none"/>
        </w:rPr>
        <w:t>27.纪律和保密</w:t>
      </w:r>
      <w:bookmarkEnd w:id="124"/>
      <w:r>
        <w:rPr>
          <w:rFonts w:hint="eastAsia"/>
          <w:color w:val="auto"/>
          <w:highlight w:val="none"/>
        </w:rPr>
        <w:t>事项</w:t>
      </w:r>
      <w:bookmarkEnd w:id="125"/>
      <w:bookmarkEnd w:id="126"/>
      <w:bookmarkEnd w:id="127"/>
      <w:bookmarkEnd w:id="128"/>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4"/>
        <w:rPr>
          <w:color w:val="auto"/>
          <w:highlight w:val="none"/>
        </w:rPr>
      </w:pPr>
      <w:bookmarkStart w:id="129" w:name="_Toc1994"/>
      <w:bookmarkStart w:id="130" w:name="_Toc4954"/>
      <w:bookmarkStart w:id="131" w:name="_Toc508284011"/>
      <w:r>
        <w:rPr>
          <w:rFonts w:hint="eastAsia"/>
          <w:color w:val="auto"/>
          <w:highlight w:val="none"/>
        </w:rPr>
        <w:t>28.合同授予标准</w:t>
      </w:r>
      <w:bookmarkEnd w:id="129"/>
      <w:bookmarkEnd w:id="130"/>
      <w:bookmarkEnd w:id="131"/>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4"/>
        <w:rPr>
          <w:color w:val="auto"/>
          <w:highlight w:val="none"/>
        </w:rPr>
      </w:pPr>
      <w:bookmarkStart w:id="132" w:name="_Toc14141"/>
      <w:bookmarkStart w:id="133" w:name="_Toc508284013"/>
      <w:bookmarkStart w:id="134" w:name="_Toc22043"/>
      <w:r>
        <w:rPr>
          <w:rFonts w:hint="eastAsia"/>
          <w:color w:val="auto"/>
          <w:highlight w:val="none"/>
        </w:rPr>
        <w:t>30.发布采购结果</w:t>
      </w:r>
      <w:bookmarkEnd w:id="132"/>
      <w:bookmarkEnd w:id="133"/>
      <w:bookmarkEnd w:id="134"/>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4"/>
        <w:rPr>
          <w:color w:val="auto"/>
          <w:highlight w:val="none"/>
        </w:rPr>
      </w:pPr>
      <w:bookmarkStart w:id="135" w:name="_Toc8411"/>
      <w:bookmarkStart w:id="136" w:name="_Toc11977"/>
      <w:r>
        <w:rPr>
          <w:rFonts w:hint="eastAsia"/>
          <w:color w:val="auto"/>
          <w:highlight w:val="none"/>
        </w:rPr>
        <w:t>30.合同的签订与履行</w:t>
      </w:r>
      <w:bookmarkEnd w:id="135"/>
      <w:bookmarkEnd w:id="136"/>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8"/>
        <w:rPr>
          <w:color w:val="auto"/>
          <w:sz w:val="21"/>
          <w:szCs w:val="21"/>
          <w:highlight w:val="none"/>
        </w:rPr>
      </w:pPr>
    </w:p>
    <w:p>
      <w:pPr>
        <w:pStyle w:val="4"/>
        <w:rPr>
          <w:color w:val="auto"/>
          <w:highlight w:val="none"/>
        </w:rPr>
      </w:pPr>
      <w:bookmarkStart w:id="137" w:name="_Toc23400"/>
      <w:bookmarkStart w:id="138" w:name="_Toc19434"/>
      <w:r>
        <w:rPr>
          <w:rFonts w:hint="eastAsia"/>
          <w:color w:val="auto"/>
          <w:highlight w:val="none"/>
        </w:rPr>
        <w:t>31.招标文件的解释权</w:t>
      </w:r>
      <w:bookmarkEnd w:id="137"/>
      <w:bookmarkEnd w:id="138"/>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rPr>
          <w:color w:val="auto"/>
          <w:highlight w:val="none"/>
        </w:rPr>
      </w:pPr>
      <w:bookmarkStart w:id="139" w:name="_Toc27892"/>
      <w:r>
        <w:rPr>
          <w:rFonts w:hint="eastAsia"/>
          <w:color w:val="auto"/>
          <w:highlight w:val="none"/>
        </w:rPr>
        <w:t>用户需求书</w:t>
      </w:r>
      <w:bookmarkEnd w:id="139"/>
    </w:p>
    <w:p>
      <w:pPr>
        <w:jc w:val="center"/>
        <w:outlineLvl w:val="1"/>
        <w:rPr>
          <w:b/>
          <w:bCs/>
          <w:color w:val="auto"/>
          <w:sz w:val="28"/>
          <w:szCs w:val="36"/>
          <w:highlight w:val="none"/>
        </w:rPr>
      </w:pPr>
      <w:bookmarkStart w:id="140" w:name="_Toc16006"/>
      <w:r>
        <w:rPr>
          <w:rFonts w:hint="eastAsia"/>
          <w:b/>
          <w:bCs/>
          <w:color w:val="auto"/>
          <w:sz w:val="28"/>
          <w:szCs w:val="36"/>
          <w:highlight w:val="none"/>
        </w:rPr>
        <w:t>商务要求</w:t>
      </w:r>
      <w:bookmarkEnd w:id="140"/>
    </w:p>
    <w:tbl>
      <w:tblPr>
        <w:tblStyle w:val="15"/>
        <w:tblW w:w="513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7"/>
        <w:gridCol w:w="1369"/>
        <w:gridCol w:w="67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序号</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条款名称</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1</w:t>
            </w:r>
          </w:p>
        </w:tc>
        <w:tc>
          <w:tcPr>
            <w:tcW w:w="136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olor w:val="auto"/>
                <w:szCs w:val="21"/>
                <w:highlight w:val="none"/>
              </w:rPr>
            </w:pPr>
            <w:r>
              <w:rPr>
                <w:rFonts w:hint="eastAsia" w:ascii="宋体" w:hAnsi="宋体" w:cs="宋体"/>
                <w:color w:val="auto"/>
                <w:sz w:val="21"/>
                <w:szCs w:val="21"/>
                <w:highlight w:val="none"/>
                <w:lang w:val="en-US" w:eastAsia="zh-CN"/>
              </w:rPr>
              <w:t>供货</w:t>
            </w:r>
            <w:r>
              <w:rPr>
                <w:rFonts w:hint="eastAsia" w:ascii="宋体" w:hAnsi="宋体" w:eastAsia="宋体" w:cs="宋体"/>
                <w:color w:val="auto"/>
                <w:sz w:val="21"/>
                <w:szCs w:val="21"/>
                <w:highlight w:val="none"/>
              </w:rPr>
              <w:t>期</w:t>
            </w:r>
          </w:p>
        </w:tc>
        <w:tc>
          <w:tcPr>
            <w:tcW w:w="6733"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ascii="宋体" w:hAnsi="宋体" w:eastAsia="宋体"/>
                <w:color w:val="auto"/>
                <w:szCs w:val="21"/>
                <w:highlight w:val="none"/>
              </w:rPr>
            </w:pPr>
            <w:r>
              <w:rPr>
                <w:rFonts w:hint="eastAsia" w:ascii="宋体" w:hAnsi="宋体" w:eastAsia="宋体" w:cs="宋体"/>
                <w:bCs/>
                <w:color w:val="auto"/>
                <w:kern w:val="44"/>
                <w:sz w:val="21"/>
                <w:szCs w:val="21"/>
                <w:highlight w:val="none"/>
              </w:rPr>
              <w:t>自合同签订之日起</w:t>
            </w:r>
            <w:r>
              <w:rPr>
                <w:rFonts w:hint="eastAsia" w:ascii="宋体" w:hAnsi="宋体" w:cs="宋体"/>
                <w:bCs/>
                <w:color w:val="auto"/>
                <w:kern w:val="44"/>
                <w:sz w:val="21"/>
                <w:szCs w:val="21"/>
                <w:highlight w:val="none"/>
                <w:lang w:val="en-US" w:eastAsia="zh-CN"/>
              </w:rPr>
              <w:t>30</w:t>
            </w:r>
            <w:r>
              <w:rPr>
                <w:rFonts w:hint="eastAsia" w:ascii="宋体" w:hAnsi="宋体" w:eastAsia="宋体" w:cs="宋体"/>
                <w:bCs/>
                <w:color w:val="auto"/>
                <w:kern w:val="44"/>
                <w:sz w:val="21"/>
                <w:szCs w:val="21"/>
                <w:highlight w:val="none"/>
              </w:rPr>
              <w:t>天</w:t>
            </w:r>
            <w:r>
              <w:rPr>
                <w:rFonts w:hint="eastAsia" w:ascii="宋体" w:hAnsi="宋体" w:eastAsia="宋体" w:cs="宋体"/>
                <w:bCs/>
                <w:color w:val="auto"/>
                <w:kern w:val="44"/>
                <w:sz w:val="21"/>
                <w:szCs w:val="21"/>
                <w:highlight w:val="none"/>
                <w:lang w:val="en-US" w:eastAsia="zh-CN"/>
              </w:rPr>
              <w:t>内完成供货、安装、调试及验收</w:t>
            </w:r>
            <w:r>
              <w:rPr>
                <w:rFonts w:hint="eastAsia" w:ascii="宋体" w:hAnsi="宋体" w:eastAsia="宋体" w:cs="宋体"/>
                <w:bCs/>
                <w:color w:val="auto"/>
                <w:kern w:val="44"/>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4"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2</w:t>
            </w:r>
          </w:p>
        </w:tc>
        <w:tc>
          <w:tcPr>
            <w:tcW w:w="136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olor w:val="auto"/>
                <w:szCs w:val="21"/>
                <w:highlight w:val="none"/>
              </w:rPr>
            </w:pPr>
            <w:r>
              <w:rPr>
                <w:rFonts w:hint="eastAsia" w:ascii="宋体" w:hAnsi="宋体" w:eastAsia="宋体" w:cs="宋体"/>
                <w:color w:val="auto"/>
                <w:sz w:val="21"/>
                <w:szCs w:val="21"/>
                <w:highlight w:val="none"/>
                <w:lang w:val="en-US" w:eastAsia="zh-CN"/>
              </w:rPr>
              <w:t>质保期</w:t>
            </w:r>
          </w:p>
        </w:tc>
        <w:tc>
          <w:tcPr>
            <w:tcW w:w="6733" w:type="dxa"/>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60" w:lineRule="auto"/>
              <w:ind w:firstLine="420" w:firstLineChars="200"/>
              <w:textAlignment w:val="auto"/>
              <w:rPr>
                <w:rFonts w:hint="default" w:ascii="宋体" w:hAnsi="宋体" w:eastAsia="宋体"/>
                <w:color w:val="auto"/>
                <w:szCs w:val="21"/>
                <w:highlight w:val="none"/>
                <w:lang w:val="en-US" w:eastAsia="zh-CN"/>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6"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w:t>
            </w:r>
          </w:p>
        </w:tc>
        <w:tc>
          <w:tcPr>
            <w:tcW w:w="136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theme="minorBidi"/>
                <w:color w:val="auto"/>
                <w:sz w:val="22"/>
                <w:szCs w:val="21"/>
                <w:highlight w:val="none"/>
                <w:lang w:val="en-US" w:eastAsia="zh-CN" w:bidi="ar-SA"/>
              </w:rPr>
            </w:pPr>
            <w:r>
              <w:rPr>
                <w:rFonts w:hint="eastAsia" w:ascii="宋体" w:hAnsi="宋体" w:eastAsia="宋体" w:cs="宋体"/>
                <w:color w:val="auto"/>
                <w:sz w:val="21"/>
                <w:szCs w:val="21"/>
                <w:highlight w:val="none"/>
              </w:rPr>
              <w:t>付款方式</w:t>
            </w:r>
          </w:p>
        </w:tc>
        <w:tc>
          <w:tcPr>
            <w:tcW w:w="6733" w:type="dxa"/>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（1）签订合同后,支付合同总价的</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spacing w:beforeAutospacing="0" w:afterAutospacing="0" w:line="360" w:lineRule="auto"/>
              <w:ind w:firstLine="420" w:firstLineChars="200"/>
              <w:textAlignment w:val="auto"/>
              <w:rPr>
                <w:rFonts w:hint="default" w:ascii="宋体" w:hAnsi="宋体" w:eastAsia="宋体" w:cstheme="minorBidi"/>
                <w:color w:val="auto"/>
                <w:sz w:val="22"/>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）供货安装及调试结束，提交全部报告材料,并验收合格后,支付合同总价的</w:t>
            </w:r>
            <w:r>
              <w:rPr>
                <w:rFonts w:hint="eastAsia" w:ascii="宋体" w:hAnsi="宋体" w:cs="宋体"/>
                <w:color w:val="auto"/>
                <w:sz w:val="21"/>
                <w:szCs w:val="21"/>
                <w:highlight w:val="none"/>
                <w:lang w:val="en-US" w:eastAsia="zh-CN"/>
              </w:rPr>
              <w:t>70</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4</w:t>
            </w:r>
          </w:p>
        </w:tc>
        <w:tc>
          <w:tcPr>
            <w:tcW w:w="136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olor w:val="auto"/>
                <w:szCs w:val="21"/>
                <w:highlight w:val="none"/>
              </w:rPr>
            </w:pPr>
            <w:r>
              <w:rPr>
                <w:rFonts w:hint="eastAsia" w:ascii="宋体" w:hAnsi="宋体" w:eastAsia="宋体" w:cs="宋体"/>
                <w:color w:val="auto"/>
                <w:sz w:val="21"/>
                <w:szCs w:val="21"/>
                <w:highlight w:val="none"/>
              </w:rPr>
              <w:t>服务地点</w:t>
            </w:r>
          </w:p>
        </w:tc>
        <w:tc>
          <w:tcPr>
            <w:tcW w:w="6733"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eastAsia="宋体"/>
                <w:color w:val="auto"/>
                <w:szCs w:val="21"/>
                <w:highlight w:val="none"/>
                <w:lang w:val="en-US" w:eastAsia="zh-CN"/>
              </w:rPr>
            </w:pPr>
            <w:r>
              <w:rPr>
                <w:rFonts w:hint="eastAsia" w:ascii="宋体" w:hAnsi="宋体" w:eastAsia="宋体" w:cs="宋体"/>
                <w:color w:val="auto"/>
                <w:sz w:val="21"/>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5</w:t>
            </w:r>
          </w:p>
        </w:tc>
        <w:tc>
          <w:tcPr>
            <w:tcW w:w="136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olor w:val="auto"/>
                <w:szCs w:val="21"/>
                <w:highlight w:val="none"/>
                <w:lang w:eastAsia="zh-CN"/>
              </w:rPr>
            </w:pP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要求</w:t>
            </w:r>
          </w:p>
        </w:tc>
        <w:tc>
          <w:tcPr>
            <w:tcW w:w="6733"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ascii="宋体" w:hAnsi="宋体" w:eastAsia="宋体"/>
                <w:color w:val="auto"/>
                <w:szCs w:val="21"/>
                <w:highlight w:val="none"/>
              </w:rPr>
            </w:pPr>
            <w:r>
              <w:rPr>
                <w:rFonts w:hint="eastAsia" w:ascii="宋体" w:hAnsi="宋体" w:eastAsia="宋体" w:cs="宋体"/>
                <w:color w:val="auto"/>
                <w:sz w:val="21"/>
                <w:szCs w:val="21"/>
                <w:highlight w:val="none"/>
              </w:rPr>
              <w:t>投标报价应包括本次招标所有服务内容的费用，包括人工、材料、机械设备使用费、措施费、税费以及合同实施过程中的不可预见费用等全部费用。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6</w:t>
            </w:r>
          </w:p>
        </w:tc>
        <w:tc>
          <w:tcPr>
            <w:tcW w:w="136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theme="minorBidi"/>
                <w:color w:val="auto"/>
                <w:sz w:val="22"/>
                <w:szCs w:val="21"/>
                <w:highlight w:val="none"/>
                <w:lang w:val="en-US" w:eastAsia="zh-CN" w:bidi="ar-SA"/>
              </w:rPr>
            </w:pPr>
            <w:r>
              <w:rPr>
                <w:rFonts w:hint="eastAsia" w:ascii="宋体" w:hAnsi="宋体" w:eastAsia="宋体" w:cs="宋体"/>
                <w:color w:val="auto"/>
                <w:sz w:val="21"/>
                <w:szCs w:val="21"/>
                <w:highlight w:val="none"/>
              </w:rPr>
              <w:t>投标有效期</w:t>
            </w:r>
          </w:p>
        </w:tc>
        <w:tc>
          <w:tcPr>
            <w:tcW w:w="6733"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ascii="宋体" w:hAnsi="宋体" w:eastAsia="宋体" w:cstheme="minorBidi"/>
                <w:color w:val="auto"/>
                <w:sz w:val="22"/>
                <w:szCs w:val="21"/>
                <w:highlight w:val="none"/>
                <w:lang w:val="en-US" w:eastAsia="zh-CN" w:bidi="ar-SA"/>
              </w:rPr>
            </w:pPr>
            <w:r>
              <w:rPr>
                <w:rFonts w:hint="eastAsia" w:ascii="宋体" w:hAnsi="宋体" w:eastAsia="宋体" w:cs="宋体"/>
                <w:color w:val="auto"/>
                <w:sz w:val="21"/>
                <w:szCs w:val="21"/>
                <w:highlight w:val="none"/>
              </w:rPr>
              <w:t>自开标</w:t>
            </w:r>
            <w:r>
              <w:rPr>
                <w:rFonts w:hint="eastAsia" w:ascii="宋体" w:hAnsi="宋体" w:eastAsia="宋体" w:cs="宋体"/>
                <w:color w:val="auto"/>
                <w:sz w:val="21"/>
                <w:szCs w:val="21"/>
                <w:highlight w:val="none"/>
                <w:lang w:val="en-US" w:eastAsia="zh-CN"/>
              </w:rPr>
              <w:t>之</w:t>
            </w:r>
            <w:r>
              <w:rPr>
                <w:rFonts w:hint="eastAsia" w:ascii="宋体" w:hAnsi="宋体" w:eastAsia="宋体" w:cs="宋体"/>
                <w:color w:val="auto"/>
                <w:sz w:val="21"/>
                <w:szCs w:val="21"/>
                <w:highlight w:val="none"/>
              </w:rPr>
              <w:t>日起90天。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136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olor w:val="auto"/>
                <w:szCs w:val="21"/>
                <w:highlight w:val="none"/>
              </w:rPr>
            </w:pPr>
            <w:r>
              <w:rPr>
                <w:rFonts w:hint="eastAsia" w:ascii="宋体" w:hAnsi="宋体" w:eastAsia="宋体" w:cs="宋体"/>
                <w:color w:val="auto"/>
                <w:sz w:val="21"/>
                <w:szCs w:val="21"/>
                <w:highlight w:val="none"/>
              </w:rPr>
              <w:t>合同条款</w:t>
            </w:r>
          </w:p>
        </w:tc>
        <w:tc>
          <w:tcPr>
            <w:tcW w:w="6733"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olor w:val="auto"/>
                <w:szCs w:val="21"/>
                <w:highlight w:val="none"/>
                <w:lang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实质响应合同各条款。</w:t>
            </w:r>
          </w:p>
        </w:tc>
      </w:tr>
    </w:tbl>
    <w:p>
      <w:pPr>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8"/>
        <w:jc w:val="center"/>
        <w:rPr>
          <w:rFonts w:hint="eastAsia"/>
          <w:b/>
          <w:bCs/>
          <w:color w:val="auto"/>
          <w:sz w:val="28"/>
          <w:szCs w:val="36"/>
          <w:highlight w:val="none"/>
        </w:rPr>
      </w:pPr>
      <w:r>
        <w:rPr>
          <w:rFonts w:hint="eastAsia"/>
          <w:b/>
          <w:bCs/>
          <w:color w:val="auto"/>
          <w:sz w:val="28"/>
          <w:szCs w:val="36"/>
          <w:highlight w:val="none"/>
        </w:rPr>
        <w:t>技术要求</w:t>
      </w:r>
    </w:p>
    <w:p>
      <w:pPr>
        <w:widowControl w:val="0"/>
        <w:numPr>
          <w:ilvl w:val="0"/>
          <w:numId w:val="0"/>
        </w:numPr>
        <w:tabs>
          <w:tab w:val="left" w:pos="426"/>
          <w:tab w:val="left" w:pos="709"/>
        </w:tabs>
        <w:adjustRightInd/>
        <w:snapToGrid/>
        <w:spacing w:after="0" w:line="360" w:lineRule="auto"/>
        <w:ind w:leftChars="0"/>
        <w:jc w:val="both"/>
        <w:outlineLvl w:val="3"/>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一、采购清单</w:t>
      </w:r>
    </w:p>
    <w:p>
      <w:pPr>
        <w:widowControl w:val="0"/>
        <w:adjustRightInd/>
        <w:snapToGrid/>
        <w:spacing w:after="0" w:line="440" w:lineRule="exact"/>
        <w:ind w:firstLine="420" w:firstLineChars="200"/>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柜体材质为免漆板实木多层夹板E1级或者E0级。</w:t>
      </w:r>
    </w:p>
    <w:p>
      <w:pPr>
        <w:widowControl w:val="0"/>
        <w:adjustRightInd/>
        <w:snapToGrid/>
        <w:spacing w:after="0" w:line="440" w:lineRule="exact"/>
        <w:ind w:firstLine="420" w:firstLineChars="200"/>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柜体与门板板材厚度为18厘，背板5厘，背面见光为加厚背板18厘。</w:t>
      </w:r>
    </w:p>
    <w:p>
      <w:pPr>
        <w:widowControl w:val="0"/>
        <w:adjustRightInd/>
        <w:snapToGrid/>
        <w:spacing w:after="0" w:line="440" w:lineRule="exact"/>
        <w:ind w:firstLine="420" w:firstLineChars="200"/>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所有18厘板材为见光面PUR封边工艺，5厘背板无封边。铰链为DTC缓冲门铰。</w:t>
      </w:r>
    </w:p>
    <w:p>
      <w:pPr>
        <w:widowControl w:val="0"/>
        <w:adjustRightInd/>
        <w:snapToGrid/>
        <w:spacing w:after="0" w:line="440" w:lineRule="exact"/>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 xml:space="preserve">    4、</w:t>
      </w:r>
      <w:r>
        <w:rPr>
          <w:rFonts w:hint="eastAsia" w:ascii="宋体" w:hAnsi="宋体" w:eastAsia="宋体" w:cs="宋体"/>
          <w:color w:val="auto"/>
          <w:kern w:val="2"/>
          <w:sz w:val="21"/>
          <w:szCs w:val="21"/>
          <w:highlight w:val="none"/>
          <w:lang w:val="zh-CN"/>
        </w:rPr>
        <w:t>最终颜色及款式以</w:t>
      </w:r>
      <w:r>
        <w:rPr>
          <w:rFonts w:hint="eastAsia" w:ascii="宋体" w:hAnsi="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lang w:val="zh-CN"/>
        </w:rPr>
        <w:t>确认最终实物色卡型号为准</w:t>
      </w:r>
      <w:r>
        <w:rPr>
          <w:rFonts w:hint="eastAsia" w:ascii="宋体" w:hAnsi="宋体" w:cs="宋体"/>
          <w:color w:val="auto"/>
          <w:kern w:val="2"/>
          <w:sz w:val="21"/>
          <w:szCs w:val="21"/>
          <w:highlight w:val="none"/>
          <w:lang w:val="zh-CN"/>
        </w:rPr>
        <w:t>。</w:t>
      </w:r>
    </w:p>
    <w:tbl>
      <w:tblPr>
        <w:tblStyle w:val="1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9"/>
        <w:gridCol w:w="1466"/>
        <w:gridCol w:w="1581"/>
        <w:gridCol w:w="1038"/>
        <w:gridCol w:w="1581"/>
        <w:gridCol w:w="7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规格W*H</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数量(㎡\m)</w:t>
            </w:r>
          </w:p>
        </w:tc>
        <w:tc>
          <w:tcPr>
            <w:tcW w:w="2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异形服务台1组（服务台区）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5.78m长</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0.8m高</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5.78m</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柜体材质为免漆板实木多层夹板E1级或者E0级。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柜体与门板板材厚度为18厘，背板5厘，背面见光为加厚背板18厘。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所有18厘板材为见光面PUR封边工艺，5厘背板无封边。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铰链为DTC缓冲门铰。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最终颜色及款式以采购人确认最终实物色卡型号为准。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深度700，开放柜，深度超深</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人造石台面</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不锈钢踢脚线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服务台右门边矮柜深度1100按4组计算（公共阅读区）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3.2m长</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1.6m高</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20.48㎡</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柜体材质为免漆板实木多层夹板E1级或者E0级。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柜体与门板板材厚度为18厘，背板5厘，背面见光为加厚背板18厘。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所有18厘板材为见光面PUR封边工艺，5厘背板无封边。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铰链为DTC缓冲门铰。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最终颜色及款式以采购人确认最终实物色卡型号为准。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双面木柜双拼色板，总深度1100按4组。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踏步正面书柜1组（公共阅读区）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6.273m宽</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3.5m高</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21.96㎡</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柜体材质为免漆板实木多层夹板E1级或者E0级。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柜体与门板板材厚度为18厘，背板5厘，背面见光为加厚背板18厘。</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所有18厘板材为见光面PUR封边工艺，5厘背板无封边。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铰链为DTC缓冲门铰。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最终颜色及款式以采购人确认最终实物色卡型号为准。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深度300，开放柜有背板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踏步侧面书柜1组（公共阅读区）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8.375m宽</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3.5m高</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29.31㎡</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柜体材质为免漆板实木多层夹板E1级或者E0级。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柜体与门板板材厚度为18厘，背板5厘，背面见光为加厚背板18厘。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所有18厘板材为见光面PUR封边工艺，5厘背板无封边。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铰链为DTC缓冲门铰。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最终颜色及款式以采购人确认最终实物色卡型号为准。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深度300，开放柜有背板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踏步左边斜角柜1组（公共阅读区）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3.2m宽</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3.5m高</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柜体材质为免漆板实木多层夹板E1级或者E0级。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柜体与门板板材厚度为18厘，背板5厘，背面见光为加厚背板18厘。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所有18厘板材为见光面PUR封边工艺，5厘背板无封边。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铰链为DTC缓冲门铰。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最终颜色及款式以采购人确认最终实物色卡型号为准。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深度300，开放柜有背板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●中间矮柜17组（公共阅读区）</w:t>
            </w:r>
          </w:p>
          <w:p>
            <w:pPr>
              <w:keepNext w:val="0"/>
              <w:keepLines w:val="0"/>
              <w:widowControl/>
              <w:suppressLineNumbers w:val="0"/>
              <w:jc w:val="center"/>
              <w:textAlignment w:val="center"/>
              <w:rPr>
                <w:rFonts w:hint="eastAsia" w:eastAsia="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（核心产品）</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1.6m宽</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1.6m高</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87.04㎡</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柜体材质为免漆板实木多层夹板E1级或者E0级。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柜体与门板板材厚度为18厘，背板5厘，背面见光为加厚背板18厘。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所有18厘板材为见光面PUR封边工艺，5厘背板无封边。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铰链为DTC缓冲门铰。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最终颜色及款式以采购人确认最终实物色卡型号为准。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双面木柜双拼色板，总深度550按2组。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过道左右柜1组（公共阅读区）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2.55m宽</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3.5m高</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8.93㎡</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柜体材质为免漆板实木多层夹板E1级或者E0级。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柜体与门板板材厚度为18厘，背板5厘，背面见光为加厚背板18厘。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所有18厘板材为见光面PUR封边工艺，5厘背板无封边。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铰链为DTC缓冲门铰。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最终颜色及款式以采购人确认最终实物色卡型号为准。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深度300，开放柜有背板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过道左右柜1组（公共阅读区）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2.55m宽</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3.5m高</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8.93㎡</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柜体材质为免漆板实木多层夹板E1级或者E0级。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柜体与门板板材厚度为18厘，背板5厘，背面见光为加厚背板18厘。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所有18厘板材为见光面PUR封边工艺，5厘背板无封边。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铰链为DTC缓冲门铰。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最终颜色及款式以采购人确认最终实物色卡型号为准。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深度300，开放柜有背板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过道左右柜1组（公共阅读区）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2.77m宽</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3.5m高</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9.695㎡</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柜体材质为免漆板实木多层夹板E1级或者E0级。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柜体与门板板材厚度为18厘，背板5厘，背面见光为加厚背板18厘。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所有18厘板材为见光面PUR封边工艺，5厘背板无封边。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铰链为DTC缓冲门铰。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最终颜色及款式以采购人确认最终实物色卡型号为准。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深度300，开放柜有背板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过道左右柜1组（公共阅读区）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2.77m宽</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3.5m高</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9.695㎡</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柜体材质为免漆板实木多层夹板E1级或者E0级。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柜体与门板板材厚度为18厘，背板5厘，背面见光为加厚背板18厘。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所有18厘板材为见光面PUR封边工艺，5厘背板无封边。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铰链为DTC缓冲门铰。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最终颜色及款式以采购人确认最终实物色卡型号为准。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深度300，开放柜有背板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过道长柜1组（公共阅读区）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9.88m宽</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3.5m高</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34.58㎡</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柜体材质为免漆板实木多层夹板E1级或者E0级。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柜体与门板板材厚度为18厘，背板5厘，背面见光为加厚背板18厘。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所有18厘板材为见光面PUR封边工艺，5厘背板无封边。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铰链为DTC缓冲门铰。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最终颜色及款式以采购人确认最终实物色卡型号为准。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深度350，开放柜有背板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高柜1组深度550按2组计算（公共阅读区）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9.78m宽</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3.5m高</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34.23*2=68.46㎡</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柜体材质为免漆板实木多层夹板E1级或者E0级。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柜体与门板板材厚度为18厘，背板5厘，背面见光为加厚背板18厘。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所有18厘板材为见光面PUR封边工艺，5厘背板无封边。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铰链为DTC缓冲门铰。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最终颜色及款式以采购人确认最终实物色卡型号为准。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深度550按2组，双面柜无背板，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高柜1组（公共阅读区）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5.78m宽</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3.5m高</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柜体材质为免漆板实木多层夹板E1级或者E0级。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柜体与门板板材厚度为18厘，背板5厘，背面见光为加厚背板18厘。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所有18厘板材为见光面PUR封边工艺，5厘背板无封边。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铰链为DTC缓冲门铰。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最终颜色及款式以采购人确认最终实物色卡型号为准。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深度300，开放柜有背板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高柜1组（公共阅读区）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3.8m宽</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3.5m高</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柜体材质为免漆板实木多层夹板E1级或者E0级。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柜体与门板板材厚度为18厘，背板5厘，背面见光为加厚背板18厘。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所有18厘板材为见光面PUR封边工艺，5厘背板无封边。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铰链为DTC缓冲门铰。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最终颜色及款式以采购人确认最终实物色卡型号为准。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深度300，开放柜无背板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服务台椅子1把（服务台区）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一体成型强塑内板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双材料搭配皮质与麻布搭配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铁艺椅腿承重强防爆气杆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静音滑轮保护地板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坐凳60把颜色可选择（公共阅读区）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 </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深灰色 油蜡皮 饱满海绵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木纹椅肢 U型靠背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金属材质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方桌15张（公共阅读区）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80*160*75</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橡胶木大板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桌面厚20mm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60mm加粗实木桌腿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环保水性漆工艺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升级榫卯工艺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软垫50个（榻榻米阅读区）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Ф0.4m*0.12m高</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 </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质感科技皮 高密度海绵内芯 密度板 耐磨耐刮免打理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橘红色亮光油蜡皮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圆形大软垫8个（公共阅读区）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Ф0.45m*0.03m高</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 </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PU工艺高级仿皮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EPP颗粒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防水面料，环保工艺，手感亲肤细腻，免拆洗设计，脏了湿毛巾擦下即可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皮艺专业设备，粗线加工，持久耐用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拉链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沙发1组（公共阅读区）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工艺环保加厚西皮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防水防污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耐用耐刮不掉皮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匠心工艺 实木框架坚硬耐腐蚀不易开裂环保无异味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坐垫填充高回弹海绵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户外野营桌子套装1桌4椅（公共阅读区）图片供参考</w:t>
            </w:r>
          </w:p>
        </w:tc>
        <w:tc>
          <w:tcPr>
            <w:tcW w:w="4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 </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采用坚韧榉木 牢固结实厚实 坚硬质朴 不易变形 经久耐腐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卷起收纳 更便携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宽广桌面 随心置放物件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桌脚三角结构 结构稳固承重强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方凳子直径0.5*0.5高0.5米5件（庭院区）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玻璃钢+户外环保汽车漆</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 </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1、用高密度硬泡沫深化雕刻完成，原始造型，最终外观以采购人确认为准.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2、根据采购人最终确认的产品泡沫原型翻制石膏模具为过渡模具，制作出玻璃钢模种，将模种多次打磨整形，直至模种表面平顺光滑。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3、根据模种翻制玻璃钢生产模具。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4、产品制作：玻璃钢为手糊工艺制作，使用原材料原材料196#不饱和聚酯树脂和3层铂金玻璃钢纤维毡，并根据产品的特性，使用40*40*3mm 龙骨钢结构加固。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5、表面使用专用原子灰点补打磨平整顺滑，再喷底漆，固化后再次打磨检查直至无任何缺陷。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6、喷面漆：根据采购人要求调色，户外产品喷汽车漆并罩两次汽车光油，人为因素损坏除外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圆凳子直径0.36*高0.42米13件（庭院区）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玻璃钢+户外环保汽车漆</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13.00 </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1、用高密度硬泡沫深化雕刻完成，原始造型，最终外观以采购人确认为准.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2、根据采购人最终确认的产品泡沫原型翻制石膏模具为过渡模具，制作出玻璃钢模种，将模种多次打磨整形，直至模种表面平顺光滑。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3、根据模种翻制玻璃钢生产模具。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4、产品制作：玻璃钢为手糊工艺制作，使用原材料原材料196#不饱和聚酯树脂和3层铂金玻璃钢纤维毡，并根据产品的特性，使用40*40*3mm 龙骨钢结构加固。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5、表面使用专用原子灰点补打磨平整顺滑，再喷底漆，固化后再次打磨检查直至无任何缺陷。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6、喷面漆：根据采购人要求调色，户外产品喷汽车漆并罩两次汽车光油，人为因素损坏除外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圆桌子直径0.8*高0.42米1件（庭院区）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玻璃钢+户外环保汽车漆</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1、用高密度硬泡沫深化雕刻完成，原始造型，最终外观以采购人确认为准.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2、根据采购人最终确认的产品泡沫原型翻制石膏模具为过渡模具，制作出玻璃钢模种，将模种多次打磨整形，直至模种表面平顺光滑。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3、根据模种翻制玻璃钢生产模具。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4、产品制作 ：玻璃钢为手糊工艺制作，使用原材料原材料196#不饱和聚酯树脂和3层铂金玻璃钢纤维毡，并根据产品的特性，使用40*40*3mm 龙骨钢结构加固。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5、表面使用专用原子灰点补打磨平整顺滑，再喷底漆，固化后再次打磨检查直至无任何缺陷。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6、喷面漆：根据采购人要求调色，户外产品喷汽车漆并罩两次汽车光油，人为因素损坏除外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定制不锈钢台面1组（庭院区）</w:t>
            </w:r>
          </w:p>
        </w:tc>
        <w:tc>
          <w:tcPr>
            <w:tcW w:w="4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24.03 </w:t>
            </w:r>
          </w:p>
        </w:tc>
        <w:tc>
          <w:tcPr>
            <w:tcW w:w="2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材质304#不锈钢 厚1.5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1剪折，激光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2氩弧焊接，304#焊条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3烤室外哑白漆，一遍底漆，一遍面漆共2次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4现场拼接自然接缝，固定桌面</w:t>
            </w:r>
          </w:p>
        </w:tc>
      </w:tr>
    </w:tbl>
    <w:p>
      <w:pPr>
        <w:rPr>
          <w:rFonts w:hint="eastAsia" w:ascii="宋体" w:hAnsi="宋体" w:cs="宋体"/>
          <w:b/>
          <w:bCs/>
          <w:color w:val="auto"/>
          <w:kern w:val="0"/>
          <w:szCs w:val="21"/>
          <w:highlight w:val="none"/>
          <w:lang w:val="zh-CN" w:bidi="zh-CN"/>
        </w:rPr>
      </w:pPr>
    </w:p>
    <w:p>
      <w:pPr>
        <w:pStyle w:val="8"/>
        <w:rPr>
          <w:rFonts w:hint="eastAsia" w:ascii="宋体" w:hAnsi="宋体" w:cs="宋体"/>
          <w:b/>
          <w:bCs/>
          <w:color w:val="auto"/>
          <w:kern w:val="0"/>
          <w:szCs w:val="21"/>
          <w:highlight w:val="none"/>
          <w:lang w:val="zh-CN" w:bidi="zh-CN"/>
        </w:rPr>
      </w:pPr>
    </w:p>
    <w:p>
      <w:pPr>
        <w:rPr>
          <w:rFonts w:hint="eastAsia"/>
          <w:color w:val="auto"/>
          <w:highlight w:val="none"/>
          <w:lang w:val="zh-CN"/>
        </w:rPr>
      </w:pP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二、说明</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招标文件</w:t>
      </w:r>
      <w:r>
        <w:rPr>
          <w:rFonts w:hint="eastAsia" w:ascii="宋体" w:hAnsi="宋体" w:eastAsia="宋体"/>
          <w:color w:val="auto"/>
          <w:sz w:val="21"/>
          <w:szCs w:val="21"/>
          <w:highlight w:val="none"/>
        </w:rPr>
        <w:t>的技术规格中指出的</w:t>
      </w:r>
      <w:r>
        <w:rPr>
          <w:rFonts w:hint="eastAsia" w:ascii="宋体" w:hAnsi="宋体" w:eastAsia="宋体"/>
          <w:color w:val="auto"/>
          <w:sz w:val="21"/>
          <w:szCs w:val="21"/>
          <w:highlight w:val="none"/>
          <w:lang w:val="en-US" w:eastAsia="zh-CN"/>
        </w:rPr>
        <w:t>参考图片、</w:t>
      </w:r>
      <w:r>
        <w:rPr>
          <w:rFonts w:hint="eastAsia" w:ascii="宋体" w:hAnsi="宋体" w:eastAsia="宋体"/>
          <w:color w:val="auto"/>
          <w:sz w:val="21"/>
          <w:szCs w:val="21"/>
          <w:highlight w:val="none"/>
        </w:rPr>
        <w:t>工艺、材料和设备的标准或品牌仅起说明作用，并没有任何限制性。</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在</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rPr>
        <w:t>中可以选用替代标准，但这些替代要实质上满足或优于</w:t>
      </w:r>
      <w:r>
        <w:rPr>
          <w:rFonts w:hint="eastAsia" w:ascii="宋体" w:hAnsi="宋体"/>
          <w:color w:val="auto"/>
          <w:sz w:val="21"/>
          <w:szCs w:val="21"/>
          <w:highlight w:val="none"/>
          <w:lang w:val="en-US" w:eastAsia="zh-CN"/>
        </w:rPr>
        <w:t>招标文件</w:t>
      </w:r>
      <w:r>
        <w:rPr>
          <w:rFonts w:hint="eastAsia" w:ascii="宋体" w:hAnsi="宋体" w:eastAsia="宋体"/>
          <w:color w:val="auto"/>
          <w:sz w:val="21"/>
          <w:szCs w:val="21"/>
          <w:highlight w:val="none"/>
        </w:rPr>
        <w:t>的要求</w:t>
      </w:r>
      <w:r>
        <w:rPr>
          <w:rFonts w:hint="eastAsia" w:ascii="宋体" w:hAnsi="宋体" w:eastAsia="宋体" w:cs="宋体"/>
          <w:color w:val="auto"/>
          <w:sz w:val="21"/>
          <w:szCs w:val="21"/>
          <w:highlight w:val="none"/>
        </w:rPr>
        <w:t>，</w:t>
      </w:r>
      <w:r>
        <w:rPr>
          <w:rFonts w:hint="eastAsia" w:ascii="宋体" w:hAnsi="宋体" w:eastAsia="宋体" w:cs="Times New Roman"/>
          <w:color w:val="auto"/>
          <w:sz w:val="21"/>
          <w:szCs w:val="21"/>
          <w:highlight w:val="none"/>
        </w:rPr>
        <w:t>所投产品的外形尺寸上下浮动不超过5%</w:t>
      </w:r>
      <w:r>
        <w:rPr>
          <w:rFonts w:hint="eastAsia" w:ascii="宋体" w:hAnsi="宋体" w:eastAsia="宋体"/>
          <w:color w:val="auto"/>
          <w:sz w:val="21"/>
          <w:szCs w:val="21"/>
          <w:highlight w:val="none"/>
        </w:rPr>
        <w:t>。项目评审时，由评</w:t>
      </w:r>
      <w:r>
        <w:rPr>
          <w:rFonts w:hint="eastAsia" w:ascii="宋体" w:hAnsi="宋体"/>
          <w:color w:val="auto"/>
          <w:sz w:val="21"/>
          <w:szCs w:val="21"/>
          <w:highlight w:val="none"/>
          <w:lang w:val="en-US" w:eastAsia="zh-CN"/>
        </w:rPr>
        <w:t>审小组</w:t>
      </w:r>
      <w:r>
        <w:rPr>
          <w:rFonts w:hint="eastAsia" w:ascii="宋体" w:hAnsi="宋体" w:eastAsia="宋体"/>
          <w:color w:val="auto"/>
          <w:sz w:val="21"/>
          <w:szCs w:val="21"/>
          <w:highlight w:val="none"/>
        </w:rPr>
        <w:t>负责对</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提供的替代标准的响应性进行审查。</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2、本项目</w:t>
      </w:r>
      <w:r>
        <w:rPr>
          <w:rFonts w:hint="eastAsia" w:ascii="宋体" w:hAnsi="宋体" w:eastAsia="宋体"/>
          <w:color w:val="auto"/>
          <w:sz w:val="21"/>
          <w:szCs w:val="21"/>
          <w:highlight w:val="none"/>
          <w:lang w:val="en-US" w:eastAsia="zh-CN"/>
        </w:rPr>
        <w:t>合同履行</w:t>
      </w:r>
      <w:r>
        <w:rPr>
          <w:rFonts w:hint="eastAsia" w:ascii="宋体" w:hAnsi="宋体" w:eastAsia="宋体"/>
          <w:color w:val="auto"/>
          <w:sz w:val="21"/>
          <w:szCs w:val="21"/>
          <w:highlight w:val="none"/>
        </w:rPr>
        <w:t>期间，应遵循国家、省、市有关法律、法规、标准、技术规范和规范性文件的最新规定,如国家、省、市出台相关新政策、规定的，按照国家、省、市的最新政策、规定执行。</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应充分结合本</w:t>
      </w:r>
      <w:r>
        <w:rPr>
          <w:rFonts w:hint="eastAsia" w:ascii="宋体" w:hAnsi="宋体" w:eastAsia="宋体"/>
          <w:color w:val="auto"/>
          <w:sz w:val="21"/>
          <w:szCs w:val="21"/>
          <w:highlight w:val="none"/>
          <w:lang w:val="en-US" w:eastAsia="zh-CN"/>
        </w:rPr>
        <w:t>招标文件</w:t>
      </w:r>
      <w:r>
        <w:rPr>
          <w:rFonts w:hint="eastAsia" w:ascii="宋体" w:hAnsi="宋体" w:eastAsia="宋体"/>
          <w:color w:val="auto"/>
          <w:sz w:val="21"/>
          <w:szCs w:val="21"/>
          <w:highlight w:val="none"/>
        </w:rPr>
        <w:t>上下文了解项目</w:t>
      </w:r>
      <w:r>
        <w:rPr>
          <w:rFonts w:hint="eastAsia" w:ascii="宋体" w:hAnsi="宋体" w:eastAsia="宋体"/>
          <w:color w:val="auto"/>
          <w:sz w:val="21"/>
          <w:szCs w:val="21"/>
          <w:highlight w:val="none"/>
          <w:lang w:eastAsia="zh-CN"/>
        </w:rPr>
        <w:t>采购</w:t>
      </w:r>
      <w:r>
        <w:rPr>
          <w:rFonts w:hint="eastAsia" w:ascii="宋体" w:hAnsi="宋体" w:eastAsia="宋体"/>
          <w:color w:val="auto"/>
          <w:sz w:val="21"/>
          <w:szCs w:val="21"/>
          <w:highlight w:val="none"/>
        </w:rPr>
        <w:t>需求</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并在</w:t>
      </w:r>
      <w:r>
        <w:rPr>
          <w:rFonts w:hint="eastAsia" w:ascii="宋体" w:hAnsi="宋体" w:eastAsia="宋体"/>
          <w:color w:val="auto"/>
          <w:sz w:val="21"/>
          <w:szCs w:val="21"/>
          <w:highlight w:val="none"/>
          <w:lang w:val="zh-CN"/>
        </w:rPr>
        <w:t>投标文件中提供所投产品彩页原件或原厂商的官方技术白皮书或原厂商所作的技术参数说明等详细技术资料。</w:t>
      </w:r>
    </w:p>
    <w:p>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8"/>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pStyle w:val="6"/>
        <w:rPr>
          <w:color w:val="auto"/>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3"/>
        <w:numPr>
          <w:ilvl w:val="0"/>
          <w:numId w:val="1"/>
        </w:numPr>
        <w:rPr>
          <w:color w:val="auto"/>
          <w:highlight w:val="none"/>
        </w:rPr>
      </w:pPr>
      <w:bookmarkStart w:id="141" w:name="_Toc28584"/>
      <w:r>
        <w:rPr>
          <w:rFonts w:hint="eastAsia"/>
          <w:color w:val="auto"/>
          <w:highlight w:val="none"/>
        </w:rPr>
        <w:t>详细评审</w:t>
      </w:r>
      <w:bookmarkEnd w:id="141"/>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20分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rPr>
              <w:t>业绩</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bCs/>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投标人</w:t>
            </w:r>
            <w:r>
              <w:rPr>
                <w:rFonts w:hint="eastAsia" w:ascii="宋体" w:hAnsi="宋体" w:eastAsia="宋体" w:cs="宋体"/>
                <w:bCs/>
                <w:color w:val="auto"/>
                <w:sz w:val="21"/>
                <w:szCs w:val="21"/>
                <w:highlight w:val="none"/>
              </w:rPr>
              <w:t>具有</w:t>
            </w:r>
            <w:r>
              <w:rPr>
                <w:rFonts w:hint="eastAsia" w:ascii="宋体" w:eastAsia="宋体" w:cs="宋体"/>
                <w:bCs/>
                <w:color w:val="auto"/>
                <w:sz w:val="21"/>
                <w:szCs w:val="21"/>
                <w:highlight w:val="none"/>
                <w:lang w:val="en-US" w:eastAsia="zh-CN"/>
              </w:rPr>
              <w:t>家具供货</w:t>
            </w:r>
            <w:r>
              <w:rPr>
                <w:rFonts w:hint="eastAsia" w:ascii="宋体" w:hAnsi="宋体" w:eastAsia="宋体" w:cs="宋体"/>
                <w:bCs/>
                <w:color w:val="auto"/>
                <w:sz w:val="21"/>
                <w:szCs w:val="21"/>
                <w:highlight w:val="none"/>
              </w:rPr>
              <w:t>类</w:t>
            </w:r>
            <w:r>
              <w:rPr>
                <w:rFonts w:hint="eastAsia" w:ascii="宋体" w:hAnsi="宋体" w:eastAsia="宋体" w:cs="宋体"/>
                <w:bCs/>
                <w:color w:val="auto"/>
                <w:sz w:val="21"/>
                <w:szCs w:val="21"/>
                <w:highlight w:val="none"/>
                <w:lang w:val="zh-CN"/>
              </w:rPr>
              <w:t>项目业绩</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zh-CN"/>
              </w:rPr>
              <w:t>，每提供一个合同业绩得</w:t>
            </w:r>
            <w:r>
              <w:rPr>
                <w:rFonts w:hint="eastAsia" w:asci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pStyle w:val="23"/>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注：须提供合同复印件并加盖</w:t>
            </w:r>
            <w:r>
              <w:rPr>
                <w:rFonts w:hint="eastAsia" w:ascii="宋体" w:eastAsia="宋体" w:cs="宋体"/>
                <w:bCs/>
                <w:color w:val="auto"/>
                <w:sz w:val="21"/>
                <w:szCs w:val="21"/>
                <w:highlight w:val="none"/>
                <w:lang w:val="zh-CN"/>
              </w:rPr>
              <w:t>投标人</w:t>
            </w:r>
            <w:r>
              <w:rPr>
                <w:rFonts w:hint="eastAsia" w:ascii="宋体" w:hAnsi="宋体" w:eastAsia="宋体" w:cs="宋体"/>
                <w:bCs/>
                <w:color w:val="auto"/>
                <w:sz w:val="21"/>
                <w:szCs w:val="21"/>
                <w:highlight w:val="none"/>
                <w:lang w:val="zh-CN"/>
              </w:rPr>
              <w:t>公章，不符合以上要求</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荣誉</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eastAsia="宋体" w:cs="宋体"/>
                <w:bCs/>
                <w:color w:val="auto"/>
                <w:sz w:val="21"/>
                <w:szCs w:val="21"/>
                <w:highlight w:val="none"/>
                <w:lang w:val="en-US" w:eastAsia="zh-CN"/>
              </w:rPr>
            </w:pPr>
            <w:r>
              <w:rPr>
                <w:rFonts w:hint="eastAsia" w:ascii="宋体" w:eastAsia="宋体" w:cs="宋体"/>
                <w:bCs/>
                <w:color w:val="auto"/>
                <w:sz w:val="21"/>
                <w:szCs w:val="21"/>
                <w:highlight w:val="none"/>
                <w:lang w:val="en-US" w:eastAsia="zh-CN"/>
              </w:rPr>
              <w:t>6分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eastAsia="宋体" w:cs="宋体"/>
                <w:bCs/>
                <w:color w:val="auto"/>
                <w:sz w:val="21"/>
                <w:szCs w:val="21"/>
                <w:highlight w:val="none"/>
                <w:lang w:val="en-US" w:eastAsia="zh-CN"/>
              </w:rPr>
            </w:pPr>
            <w:r>
              <w:rPr>
                <w:rFonts w:hint="eastAsia" w:ascii="宋体" w:eastAsia="宋体" w:cs="宋体"/>
                <w:bCs/>
                <w:color w:val="auto"/>
                <w:sz w:val="21"/>
                <w:szCs w:val="21"/>
                <w:highlight w:val="none"/>
                <w:lang w:val="en-US" w:eastAsia="zh-CN"/>
              </w:rPr>
              <w:t>根据投标人获得的荣誉奖项进行评审，每提供一个得2分，最高得6分。</w:t>
            </w:r>
          </w:p>
          <w:p>
            <w:pPr>
              <w:pStyle w:val="23"/>
              <w:keepNext w:val="0"/>
              <w:keepLines w:val="0"/>
              <w:pageBreakBefore w:val="0"/>
              <w:kinsoku/>
              <w:wordWrap/>
              <w:overflowPunct/>
              <w:topLinePunct w:val="0"/>
              <w:autoSpaceDE/>
              <w:autoSpaceDN/>
              <w:bidi w:val="0"/>
              <w:spacing w:after="0" w:line="240" w:lineRule="auto"/>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eastAsia="宋体" w:cs="宋体"/>
                <w:bCs/>
                <w:color w:val="auto"/>
                <w:sz w:val="21"/>
                <w:szCs w:val="21"/>
                <w:highlight w:val="none"/>
                <w:lang w:val="en-US" w:eastAsia="zh-CN"/>
              </w:rPr>
              <w:t>注：须提供相关证书复印件并加盖投标人公章，否则不得分。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color w:val="auto"/>
                <w:kern w:val="2"/>
                <w:sz w:val="21"/>
                <w:szCs w:val="21"/>
                <w:highlight w:val="none"/>
                <w:lang w:val="en-US" w:eastAsia="zh-CN"/>
              </w:rPr>
              <w:t>服务便利性</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bCs/>
                <w:color w:val="auto"/>
                <w:sz w:val="21"/>
                <w:szCs w:val="21"/>
                <w:highlight w:val="none"/>
                <w:lang w:val="en-US" w:eastAsia="zh-CN"/>
              </w:rPr>
              <w:t>4分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提供的服务响应时间承诺进行评分。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承诺在接到采购人通知后1小时内到现场，得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承诺在接到采购人通知后2小时内到现场，得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承诺在接到采购人通知后3小时内到现场，得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未承诺或承诺在接到采购人通知后超过3小时到现场，不得分。</w:t>
            </w:r>
          </w:p>
          <w:p>
            <w:pPr>
              <w:pStyle w:val="23"/>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注：须提供服务承诺书并加盖</w:t>
            </w:r>
            <w:r>
              <w:rPr>
                <w:rFonts w:hint="eastAsia" w:asci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50分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overflowPunct/>
              <w:topLinePunct w:val="0"/>
              <w:bidi w:val="0"/>
              <w:adjustRightInd/>
              <w:snapToGrid/>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供货方案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overflowPunct/>
              <w:topLinePunct w:val="0"/>
              <w:bidi w:val="0"/>
              <w:adjustRightInd/>
              <w:snapToGrid/>
              <w:spacing w:after="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before="72" w:beforeLines="20" w:after="0"/>
              <w:ind w:firstLine="420" w:firstLineChars="200"/>
              <w:rPr>
                <w:rFonts w:eastAsia="宋体"/>
                <w:color w:val="auto"/>
                <w:highlight w:val="none"/>
              </w:rPr>
            </w:pPr>
            <w:r>
              <w:rPr>
                <w:rFonts w:eastAsia="宋体"/>
                <w:color w:val="auto"/>
                <w:highlight w:val="none"/>
              </w:rPr>
              <w:t>根据</w:t>
            </w:r>
            <w:r>
              <w:rPr>
                <w:rFonts w:hint="eastAsia"/>
                <w:color w:val="auto"/>
                <w:highlight w:val="none"/>
                <w:lang w:eastAsia="zh-CN"/>
              </w:rPr>
              <w:t>投标人</w:t>
            </w:r>
            <w:r>
              <w:rPr>
                <w:rFonts w:eastAsia="宋体"/>
                <w:color w:val="auto"/>
                <w:highlight w:val="none"/>
              </w:rPr>
              <w:t xml:space="preserve">供货、安装、等实施进度计划方案详尽可行，供货、安装、调试等实施进度进行综合评价： </w:t>
            </w:r>
          </w:p>
          <w:p>
            <w:pPr>
              <w:pageBreakBefore w:val="0"/>
              <w:kinsoku/>
              <w:overflowPunct/>
              <w:topLinePunct w:val="0"/>
              <w:bidi w:val="0"/>
              <w:spacing w:before="72" w:beforeLines="20" w:after="0"/>
              <w:ind w:firstLine="420" w:firstLineChars="200"/>
              <w:rPr>
                <w:rFonts w:eastAsia="宋体"/>
                <w:color w:val="auto"/>
                <w:highlight w:val="none"/>
              </w:rPr>
            </w:pPr>
            <w:r>
              <w:rPr>
                <w:rFonts w:eastAsia="宋体"/>
                <w:color w:val="auto"/>
                <w:highlight w:val="none"/>
              </w:rPr>
              <w:t>方案科学完整合理，可行性强，可操作性强，针对性强，得</w:t>
            </w:r>
            <w:r>
              <w:rPr>
                <w:rFonts w:hint="eastAsia"/>
                <w:color w:val="auto"/>
                <w:highlight w:val="none"/>
                <w:lang w:val="en-US" w:eastAsia="zh-CN"/>
              </w:rPr>
              <w:t>20</w:t>
            </w:r>
            <w:r>
              <w:rPr>
                <w:rFonts w:eastAsia="宋体"/>
                <w:color w:val="auto"/>
                <w:highlight w:val="none"/>
              </w:rPr>
              <w:t xml:space="preserve">分； </w:t>
            </w:r>
          </w:p>
          <w:p>
            <w:pPr>
              <w:pageBreakBefore w:val="0"/>
              <w:kinsoku/>
              <w:overflowPunct/>
              <w:topLinePunct w:val="0"/>
              <w:bidi w:val="0"/>
              <w:spacing w:before="72" w:beforeLines="20" w:after="0"/>
              <w:ind w:firstLine="420" w:firstLineChars="200"/>
              <w:rPr>
                <w:rFonts w:eastAsia="宋体"/>
                <w:color w:val="auto"/>
                <w:highlight w:val="none"/>
              </w:rPr>
            </w:pPr>
            <w:r>
              <w:rPr>
                <w:rFonts w:eastAsia="宋体"/>
                <w:color w:val="auto"/>
                <w:highlight w:val="none"/>
              </w:rPr>
              <w:t>方案完整合理，可行性强，可操作性一般，针对性一般，得</w:t>
            </w:r>
            <w:r>
              <w:rPr>
                <w:rFonts w:hint="eastAsia"/>
                <w:color w:val="auto"/>
                <w:highlight w:val="none"/>
                <w:lang w:val="en-US" w:eastAsia="zh-CN"/>
              </w:rPr>
              <w:t>14</w:t>
            </w:r>
            <w:r>
              <w:rPr>
                <w:rFonts w:eastAsia="宋体"/>
                <w:color w:val="auto"/>
                <w:highlight w:val="none"/>
              </w:rPr>
              <w:t xml:space="preserve">分； </w:t>
            </w:r>
          </w:p>
          <w:p>
            <w:pPr>
              <w:pageBreakBefore w:val="0"/>
              <w:kinsoku/>
              <w:overflowPunct/>
              <w:topLinePunct w:val="0"/>
              <w:bidi w:val="0"/>
              <w:spacing w:before="72" w:beforeLines="20" w:after="0"/>
              <w:ind w:firstLine="420" w:firstLineChars="200"/>
              <w:rPr>
                <w:rFonts w:eastAsia="宋体"/>
                <w:color w:val="auto"/>
                <w:highlight w:val="none"/>
              </w:rPr>
            </w:pPr>
            <w:r>
              <w:rPr>
                <w:rFonts w:eastAsia="宋体"/>
                <w:color w:val="auto"/>
                <w:highlight w:val="none"/>
              </w:rPr>
              <w:t>方案基本完整，可行性一般，可操作性一般，针对性一般，得</w:t>
            </w:r>
            <w:r>
              <w:rPr>
                <w:rFonts w:hint="eastAsia"/>
                <w:color w:val="auto"/>
                <w:highlight w:val="none"/>
                <w:lang w:val="en-US" w:eastAsia="zh-CN"/>
              </w:rPr>
              <w:t>8</w:t>
            </w:r>
            <w:r>
              <w:rPr>
                <w:rFonts w:eastAsia="宋体"/>
                <w:color w:val="auto"/>
                <w:highlight w:val="none"/>
              </w:rPr>
              <w:t xml:space="preserve">分； </w:t>
            </w:r>
          </w:p>
          <w:p>
            <w:pPr>
              <w:pageBreakBefore w:val="0"/>
              <w:kinsoku/>
              <w:overflowPunct/>
              <w:topLinePunct w:val="0"/>
              <w:bidi w:val="0"/>
              <w:spacing w:before="72" w:beforeLines="20" w:after="0"/>
              <w:ind w:firstLine="420" w:firstLineChars="200"/>
              <w:rPr>
                <w:rFonts w:eastAsia="宋体"/>
                <w:color w:val="auto"/>
                <w:highlight w:val="none"/>
              </w:rPr>
            </w:pPr>
            <w:r>
              <w:rPr>
                <w:rFonts w:eastAsia="宋体"/>
                <w:color w:val="auto"/>
                <w:highlight w:val="none"/>
              </w:rPr>
              <w:t>方案基本完整，可行性差，可操作性差，针对性差，得</w:t>
            </w:r>
            <w:r>
              <w:rPr>
                <w:rFonts w:hint="eastAsia"/>
                <w:color w:val="auto"/>
                <w:highlight w:val="none"/>
                <w:lang w:val="en-US" w:eastAsia="zh-CN"/>
              </w:rPr>
              <w:t>2</w:t>
            </w:r>
            <w:r>
              <w:rPr>
                <w:rFonts w:eastAsia="宋体"/>
                <w:color w:val="auto"/>
                <w:highlight w:val="none"/>
              </w:rPr>
              <w:t xml:space="preserve">分； </w:t>
            </w:r>
          </w:p>
          <w:p>
            <w:pPr>
              <w:pageBreakBefore w:val="0"/>
              <w:kinsoku/>
              <w:overflowPunct/>
              <w:topLinePunct w:val="0"/>
              <w:bidi w:val="0"/>
              <w:spacing w:before="72" w:beforeLines="20" w:after="0"/>
              <w:ind w:firstLine="420" w:firstLineChars="200"/>
              <w:rPr>
                <w:rFonts w:hint="eastAsia" w:eastAsia="宋体" w:asciiTheme="minorHAnsi" w:hAnsiTheme="minorHAnsi" w:cstheme="minorBidi"/>
                <w:color w:val="auto"/>
                <w:kern w:val="2"/>
                <w:sz w:val="21"/>
                <w:szCs w:val="24"/>
                <w:highlight w:val="none"/>
                <w:lang w:val="en-US" w:eastAsia="zh-CN" w:bidi="ar-SA"/>
              </w:rPr>
            </w:pPr>
            <w:r>
              <w:rPr>
                <w:rFonts w:eastAsia="宋体"/>
                <w:color w:val="auto"/>
                <w:highlight w:val="none"/>
              </w:rPr>
              <w:t>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overflowPunct/>
              <w:topLinePunct w:val="0"/>
              <w:bidi w:val="0"/>
              <w:adjustRightInd/>
              <w:snapToGrid/>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质量保障措施</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overflowPunct/>
              <w:topLinePunct w:val="0"/>
              <w:bidi w:val="0"/>
              <w:adjustRightInd/>
              <w:snapToGrid/>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1</w:t>
            </w:r>
            <w:r>
              <w:rPr>
                <w:rFonts w:hint="eastAsia" w:ascii="宋体" w:hAnsi="宋体" w:cs="宋体"/>
                <w:color w:val="auto"/>
                <w:kern w:val="2"/>
                <w:sz w:val="21"/>
                <w:szCs w:val="21"/>
                <w:highlight w:val="none"/>
                <w:lang w:val="en-US" w:eastAsia="zh-CN"/>
              </w:rPr>
              <w:t>0分</w:t>
            </w:r>
          </w:p>
        </w:tc>
        <w:tc>
          <w:tcPr>
            <w:tcW w:w="546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w:t>
            </w:r>
            <w:r>
              <w:rPr>
                <w:rFonts w:hint="eastAsia" w:ascii="宋体" w:hAnsi="宋体" w:cs="宋体"/>
                <w:bCs/>
                <w:color w:val="auto"/>
                <w:kern w:val="2"/>
                <w:sz w:val="21"/>
                <w:szCs w:val="21"/>
                <w:highlight w:val="none"/>
                <w:lang w:val="zh-CN"/>
              </w:rPr>
              <w:t>投标人</w:t>
            </w:r>
            <w:r>
              <w:rPr>
                <w:rFonts w:hint="eastAsia" w:ascii="宋体" w:hAnsi="宋体" w:eastAsia="宋体" w:cs="宋体"/>
                <w:bCs/>
                <w:color w:val="auto"/>
                <w:kern w:val="2"/>
                <w:sz w:val="21"/>
                <w:szCs w:val="21"/>
                <w:highlight w:val="none"/>
                <w:lang w:val="zh-CN"/>
              </w:rPr>
              <w:t>提供质量保障措施方案（包括但不限于质量目标、项目质量的控制）进行评审：</w:t>
            </w:r>
          </w:p>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质量目标非常明确、项目质量的控制非常详细、检验手段非常科学，得</w:t>
            </w:r>
            <w:r>
              <w:rPr>
                <w:rFonts w:hint="eastAsia" w:ascii="宋体" w:hAnsi="宋体" w:cs="宋体"/>
                <w:bCs/>
                <w:color w:val="auto"/>
                <w:kern w:val="2"/>
                <w:sz w:val="21"/>
                <w:szCs w:val="21"/>
                <w:highlight w:val="none"/>
                <w:lang w:val="en-US" w:eastAsia="zh-CN"/>
              </w:rPr>
              <w:t>10</w:t>
            </w:r>
            <w:r>
              <w:rPr>
                <w:rFonts w:hint="eastAsia" w:ascii="宋体" w:hAnsi="宋体" w:eastAsia="宋体" w:cs="宋体"/>
                <w:bCs/>
                <w:color w:val="auto"/>
                <w:kern w:val="2"/>
                <w:sz w:val="21"/>
                <w:szCs w:val="21"/>
                <w:highlight w:val="none"/>
                <w:lang w:val="zh-CN"/>
              </w:rPr>
              <w:t>分；</w:t>
            </w:r>
          </w:p>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质量目标比较明确、项目质量的控制较为详细、检验手段比较科学，得</w:t>
            </w:r>
            <w:r>
              <w:rPr>
                <w:rFonts w:hint="eastAsia" w:ascii="宋体" w:hAnsi="宋体" w:cs="宋体"/>
                <w:bCs/>
                <w:color w:val="auto"/>
                <w:kern w:val="2"/>
                <w:sz w:val="21"/>
                <w:szCs w:val="21"/>
                <w:highlight w:val="none"/>
                <w:lang w:val="en-US" w:eastAsia="zh-CN"/>
              </w:rPr>
              <w:t>7</w:t>
            </w:r>
            <w:r>
              <w:rPr>
                <w:rFonts w:hint="eastAsia" w:ascii="宋体" w:hAnsi="宋体" w:eastAsia="宋体" w:cs="宋体"/>
                <w:bCs/>
                <w:color w:val="auto"/>
                <w:kern w:val="2"/>
                <w:sz w:val="21"/>
                <w:szCs w:val="21"/>
                <w:highlight w:val="none"/>
                <w:lang w:val="zh-CN"/>
              </w:rPr>
              <w:t>分；</w:t>
            </w:r>
          </w:p>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质量目标基本明确、项目质量的控制一般、检验手段一般，得</w:t>
            </w:r>
            <w:r>
              <w:rPr>
                <w:rFonts w:hint="eastAsia" w:ascii="宋体"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分；</w:t>
            </w:r>
          </w:p>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质量目标不够明确、项目质量的控制不够可行、检验手段一般，得1分；</w:t>
            </w:r>
          </w:p>
          <w:p>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zh-CN"/>
              </w:rPr>
              <w:t>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8610"/>
              </w:tabs>
              <w:kinsoku/>
              <w:wordWrap/>
              <w:overflowPunct/>
              <w:topLinePunct w:val="0"/>
              <w:autoSpaceDE/>
              <w:autoSpaceDN/>
              <w:bidi w:val="0"/>
              <w:spacing w:after="0"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验收方案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eastAsia="宋体" w:cs="宋体"/>
                <w:bCs/>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提供的</w:t>
            </w:r>
            <w:r>
              <w:rPr>
                <w:rFonts w:hint="eastAsia" w:ascii="宋体" w:hAnsi="宋体" w:eastAsia="宋体" w:cs="宋体"/>
                <w:bCs/>
                <w:color w:val="auto"/>
                <w:sz w:val="21"/>
                <w:szCs w:val="21"/>
                <w:highlight w:val="none"/>
                <w:lang w:val="zh-CN"/>
              </w:rPr>
              <w:t>验收方案、承诺验收达到标准、整改方案及标准等进行综合评价: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完整科学、可行性强，完全满足并优于</w:t>
            </w:r>
            <w:r>
              <w:rPr>
                <w:rFonts w:hint="eastAsia" w:ascii="宋体" w:hAnsi="宋体" w:cs="宋体"/>
                <w:bCs/>
                <w:color w:val="auto"/>
                <w:sz w:val="21"/>
                <w:szCs w:val="21"/>
                <w:highlight w:val="none"/>
                <w:lang w:val="zh-CN"/>
              </w:rPr>
              <w:t>招标文件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完整、可行性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强，满足并优于</w:t>
            </w:r>
            <w:r>
              <w:rPr>
                <w:rFonts w:hint="eastAsia" w:ascii="宋体" w:hAnsi="宋体" w:cs="宋体"/>
                <w:bCs/>
                <w:color w:val="auto"/>
                <w:sz w:val="21"/>
                <w:szCs w:val="21"/>
                <w:highlight w:val="none"/>
                <w:lang w:val="zh-CN"/>
              </w:rPr>
              <w:t>招标文件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lang w:val="zh-CN"/>
              </w:rPr>
              <w:t>完整、可行性一般，符合</w:t>
            </w:r>
            <w:r>
              <w:rPr>
                <w:rFonts w:hint="eastAsia" w:ascii="宋体" w:hAnsi="宋体" w:cs="宋体"/>
                <w:bCs/>
                <w:color w:val="auto"/>
                <w:sz w:val="21"/>
                <w:szCs w:val="21"/>
                <w:highlight w:val="none"/>
                <w:lang w:val="zh-CN"/>
              </w:rPr>
              <w:t>招标文件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基本完整、可行性较差，基本符合</w:t>
            </w:r>
            <w:r>
              <w:rPr>
                <w:rFonts w:hint="eastAsia" w:ascii="宋体" w:hAnsi="宋体" w:cs="宋体"/>
                <w:bCs/>
                <w:color w:val="auto"/>
                <w:sz w:val="21"/>
                <w:szCs w:val="21"/>
                <w:highlight w:val="none"/>
                <w:lang w:val="zh-CN"/>
              </w:rPr>
              <w:t>招标文件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rPr>
              <w:t>未提供对应方案的不得分</w:t>
            </w:r>
            <w:r>
              <w:rPr>
                <w:rFonts w:hint="eastAsia" w:ascii="宋体" w:hAns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overflowPunct/>
              <w:topLinePunct w:val="0"/>
              <w:bidi w:val="0"/>
              <w:adjustRightInd/>
              <w:snapToGrid/>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售后服务</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overflowPunct/>
              <w:topLinePunct w:val="0"/>
              <w:bidi w:val="0"/>
              <w:adjustRightInd/>
              <w:snapToGrid/>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w:t>
            </w:r>
            <w:r>
              <w:rPr>
                <w:rFonts w:hint="eastAsia" w:ascii="宋体" w:hAnsi="宋体" w:cs="宋体"/>
                <w:bCs/>
                <w:color w:val="auto"/>
                <w:kern w:val="2"/>
                <w:sz w:val="21"/>
                <w:szCs w:val="21"/>
                <w:highlight w:val="none"/>
                <w:lang w:val="zh-CN"/>
              </w:rPr>
              <w:t>投标人</w:t>
            </w:r>
            <w:r>
              <w:rPr>
                <w:rFonts w:hint="eastAsia" w:ascii="宋体" w:hAnsi="宋体" w:eastAsia="宋体" w:cs="宋体"/>
                <w:bCs/>
                <w:color w:val="auto"/>
                <w:kern w:val="2"/>
                <w:sz w:val="21"/>
                <w:szCs w:val="21"/>
                <w:highlight w:val="none"/>
                <w:lang w:val="zh-CN"/>
              </w:rPr>
              <w:t>提供的售后服务方案进行综合评审：</w:t>
            </w:r>
          </w:p>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cs="宋体"/>
                <w:bCs/>
                <w:color w:val="auto"/>
                <w:kern w:val="2"/>
                <w:sz w:val="21"/>
                <w:szCs w:val="21"/>
                <w:highlight w:val="none"/>
                <w:lang w:val="zh-CN"/>
              </w:rPr>
              <w:t>投标人</w:t>
            </w:r>
            <w:r>
              <w:rPr>
                <w:rFonts w:hint="eastAsia" w:ascii="宋体" w:hAnsi="宋体" w:eastAsia="宋体" w:cs="宋体"/>
                <w:bCs/>
                <w:color w:val="auto"/>
                <w:kern w:val="2"/>
                <w:sz w:val="21"/>
                <w:szCs w:val="21"/>
                <w:highlight w:val="none"/>
                <w:lang w:val="zh-CN"/>
              </w:rPr>
              <w:t>提供的售后服务方案、应急服务方案和配送方案非常详细、具体，科学合理，可行性高，得</w:t>
            </w:r>
            <w:r>
              <w:rPr>
                <w:rFonts w:hint="eastAsia" w:ascii="宋体" w:hAnsi="宋体" w:eastAsia="宋体" w:cs="宋体"/>
                <w:bCs/>
                <w:color w:val="auto"/>
                <w:kern w:val="2"/>
                <w:sz w:val="21"/>
                <w:szCs w:val="21"/>
                <w:highlight w:val="none"/>
                <w:lang w:val="en-US" w:eastAsia="zh-CN"/>
              </w:rPr>
              <w:t>1</w:t>
            </w:r>
            <w:r>
              <w:rPr>
                <w:rFonts w:hint="eastAsia" w:ascii="宋体" w:hAnsi="宋体" w:cs="宋体"/>
                <w:bCs/>
                <w:color w:val="auto"/>
                <w:kern w:val="2"/>
                <w:sz w:val="21"/>
                <w:szCs w:val="21"/>
                <w:highlight w:val="none"/>
                <w:lang w:val="en-US" w:eastAsia="zh-CN"/>
              </w:rPr>
              <w:t>0</w:t>
            </w:r>
            <w:r>
              <w:rPr>
                <w:rFonts w:hint="eastAsia" w:ascii="宋体" w:hAnsi="宋体" w:eastAsia="宋体" w:cs="宋体"/>
                <w:bCs/>
                <w:color w:val="auto"/>
                <w:kern w:val="2"/>
                <w:sz w:val="21"/>
                <w:szCs w:val="21"/>
                <w:highlight w:val="none"/>
                <w:lang w:val="zh-CN"/>
              </w:rPr>
              <w:t>分；</w:t>
            </w:r>
          </w:p>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cs="宋体"/>
                <w:bCs/>
                <w:color w:val="auto"/>
                <w:kern w:val="2"/>
                <w:sz w:val="21"/>
                <w:szCs w:val="21"/>
                <w:highlight w:val="none"/>
                <w:lang w:val="zh-CN"/>
              </w:rPr>
              <w:t>投标人</w:t>
            </w:r>
            <w:r>
              <w:rPr>
                <w:rFonts w:hint="eastAsia" w:ascii="宋体" w:hAnsi="宋体" w:eastAsia="宋体" w:cs="宋体"/>
                <w:bCs/>
                <w:color w:val="auto"/>
                <w:kern w:val="2"/>
                <w:sz w:val="21"/>
                <w:szCs w:val="21"/>
                <w:highlight w:val="none"/>
                <w:lang w:val="zh-CN"/>
              </w:rPr>
              <w:t>提供的售后服务方案、应急服务方案和配送方案较详细、具体，可行性较高，得</w:t>
            </w:r>
            <w:r>
              <w:rPr>
                <w:rFonts w:hint="eastAsia" w:ascii="宋体" w:hAnsi="宋体" w:cs="宋体"/>
                <w:bCs/>
                <w:color w:val="auto"/>
                <w:kern w:val="2"/>
                <w:sz w:val="21"/>
                <w:szCs w:val="21"/>
                <w:highlight w:val="none"/>
                <w:lang w:val="en-US" w:eastAsia="zh-CN"/>
              </w:rPr>
              <w:t>7</w:t>
            </w:r>
            <w:r>
              <w:rPr>
                <w:rFonts w:hint="eastAsia" w:ascii="宋体" w:hAnsi="宋体" w:eastAsia="宋体" w:cs="宋体"/>
                <w:bCs/>
                <w:color w:val="auto"/>
                <w:kern w:val="2"/>
                <w:sz w:val="21"/>
                <w:szCs w:val="21"/>
                <w:highlight w:val="none"/>
                <w:lang w:val="zh-CN"/>
              </w:rPr>
              <w:t>分；</w:t>
            </w:r>
          </w:p>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cs="宋体"/>
                <w:bCs/>
                <w:color w:val="auto"/>
                <w:kern w:val="2"/>
                <w:sz w:val="21"/>
                <w:szCs w:val="21"/>
                <w:highlight w:val="none"/>
                <w:lang w:val="zh-CN"/>
              </w:rPr>
              <w:t>投标人</w:t>
            </w:r>
            <w:r>
              <w:rPr>
                <w:rFonts w:hint="eastAsia" w:ascii="宋体" w:hAnsi="宋体" w:eastAsia="宋体" w:cs="宋体"/>
                <w:bCs/>
                <w:color w:val="auto"/>
                <w:kern w:val="2"/>
                <w:sz w:val="21"/>
                <w:szCs w:val="21"/>
                <w:highlight w:val="none"/>
                <w:lang w:val="zh-CN"/>
              </w:rPr>
              <w:t>提供的售后服务方案、应急服务方案和配送方案一般，可行性一般，得</w:t>
            </w:r>
            <w:r>
              <w:rPr>
                <w:rFonts w:hint="eastAsia" w:ascii="宋体"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分；</w:t>
            </w:r>
          </w:p>
          <w:p>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cs="宋体"/>
                <w:bCs/>
                <w:color w:val="auto"/>
                <w:kern w:val="2"/>
                <w:sz w:val="21"/>
                <w:szCs w:val="21"/>
                <w:highlight w:val="none"/>
                <w:lang w:val="zh-CN"/>
              </w:rPr>
              <w:t>投标人</w:t>
            </w:r>
            <w:r>
              <w:rPr>
                <w:rFonts w:hint="eastAsia" w:ascii="宋体" w:hAnsi="宋体" w:eastAsia="宋体" w:cs="宋体"/>
                <w:bCs/>
                <w:color w:val="auto"/>
                <w:kern w:val="2"/>
                <w:sz w:val="21"/>
                <w:szCs w:val="21"/>
                <w:highlight w:val="none"/>
                <w:lang w:val="zh-CN"/>
              </w:rPr>
              <w:t>提供的售后服务方案、应急服务方案和配送方案差的，可行性差的，得</w:t>
            </w: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zh-CN"/>
              </w:rPr>
              <w:t>分；</w:t>
            </w:r>
          </w:p>
          <w:p>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rPr>
              <w:t>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响应</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30分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响应报价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分</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zh-CN"/>
              </w:rPr>
              <w:t>招标文件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的价格分统一按照下列公式计算：</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报价)×价格权值</w:t>
            </w:r>
          </w:p>
        </w:tc>
      </w:tr>
    </w:tbl>
    <w:p>
      <w:pPr>
        <w:rPr>
          <w:color w:val="auto"/>
          <w:highlight w:val="none"/>
        </w:rPr>
      </w:pPr>
      <w:r>
        <w:rPr>
          <w:color w:val="auto"/>
          <w:highlight w:val="none"/>
        </w:rPr>
        <w:br w:type="page"/>
      </w:r>
    </w:p>
    <w:p>
      <w:pPr>
        <w:pStyle w:val="3"/>
        <w:numPr>
          <w:ilvl w:val="0"/>
          <w:numId w:val="1"/>
        </w:numPr>
        <w:rPr>
          <w:color w:val="auto"/>
          <w:highlight w:val="none"/>
        </w:rPr>
      </w:pPr>
      <w:bookmarkStart w:id="142" w:name="_Toc32522"/>
      <w:r>
        <w:rPr>
          <w:rFonts w:hint="eastAsia"/>
          <w:color w:val="auto"/>
          <w:highlight w:val="none"/>
        </w:rPr>
        <w:t>合同文本参考格式</w:t>
      </w:r>
      <w:bookmarkEnd w:id="142"/>
    </w:p>
    <w:p>
      <w:pPr>
        <w:jc w:val="center"/>
        <w:outlineLvl w:val="1"/>
        <w:rPr>
          <w:color w:val="auto"/>
          <w:sz w:val="18"/>
          <w:szCs w:val="21"/>
          <w:highlight w:val="none"/>
        </w:rPr>
      </w:pPr>
      <w:bookmarkStart w:id="143" w:name="_Toc1541"/>
      <w:r>
        <w:rPr>
          <w:rFonts w:hint="eastAsia" w:ascii="宋体" w:hAnsi="宋体" w:cs="宋体"/>
          <w:b/>
          <w:bCs/>
          <w:color w:val="auto"/>
          <w:sz w:val="22"/>
          <w:szCs w:val="22"/>
          <w:highlight w:val="none"/>
        </w:rPr>
        <w:t>（本格式编排在招标文件中，供投标人参考，投标时不需填写）</w:t>
      </w:r>
      <w:bookmarkEnd w:id="143"/>
    </w:p>
    <w:p>
      <w:pPr>
        <w:spacing w:line="360" w:lineRule="auto"/>
        <w:rPr>
          <w:color w:val="auto"/>
          <w:highlight w:val="none"/>
        </w:rPr>
      </w:pPr>
      <w:r>
        <w:rPr>
          <w:rFonts w:hint="eastAsia"/>
          <w:color w:val="auto"/>
          <w:highlight w:val="none"/>
        </w:rPr>
        <w:t>甲方：</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r>
        <w:rPr>
          <w:rFonts w:hint="eastAsia"/>
          <w:color w:val="auto"/>
          <w:highlight w:val="none"/>
        </w:rPr>
        <w:t xml:space="preserve">乙方：  </w:t>
      </w:r>
      <w:r>
        <w:rPr>
          <w:rFonts w:hint="eastAsia"/>
          <w:color w:val="auto"/>
          <w:highlight w:val="none"/>
        </w:rPr>
        <w:tab/>
      </w:r>
    </w:p>
    <w:p>
      <w:pPr>
        <w:spacing w:line="360" w:lineRule="auto"/>
        <w:rPr>
          <w:color w:val="auto"/>
          <w:highlight w:val="none"/>
        </w:rPr>
      </w:pPr>
      <w:r>
        <w:rPr>
          <w:rFonts w:hint="eastAsia"/>
          <w:color w:val="auto"/>
          <w:highlight w:val="none"/>
        </w:rPr>
        <w:t xml:space="preserve">电话： </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p>
    <w:p>
      <w:pPr>
        <w:spacing w:line="360" w:lineRule="auto"/>
        <w:ind w:firstLine="420" w:firstLineChars="200"/>
        <w:rPr>
          <w:color w:val="auto"/>
          <w:highlight w:val="none"/>
        </w:rPr>
      </w:pPr>
      <w:r>
        <w:rPr>
          <w:rFonts w:hint="eastAsia"/>
          <w:color w:val="auto"/>
          <w:highlight w:val="none"/>
        </w:rPr>
        <w:t>根据</w:t>
      </w:r>
      <w:r>
        <w:rPr>
          <w:rFonts w:hint="eastAsia"/>
          <w:color w:val="auto"/>
          <w:highlight w:val="none"/>
          <w:u w:val="single"/>
        </w:rPr>
        <w:t xml:space="preserve">   </w:t>
      </w:r>
      <w:r>
        <w:rPr>
          <w:rFonts w:hint="eastAsia"/>
          <w:color w:val="auto"/>
          <w:highlight w:val="none"/>
        </w:rPr>
        <w:t>项目的采购结果，按照《中华人民共和国政府采购法》，《中华人民共和国民法典(合同编)》的规定，经双方协商，本着平等互利和诚实信用的原则，一致同意遵守本合同如下。</w:t>
      </w:r>
    </w:p>
    <w:p>
      <w:pPr>
        <w:spacing w:line="360" w:lineRule="auto"/>
        <w:outlineLvl w:val="1"/>
        <w:rPr>
          <w:b/>
          <w:bCs/>
          <w:color w:val="auto"/>
          <w:highlight w:val="none"/>
        </w:rPr>
      </w:pPr>
      <w:bookmarkStart w:id="144" w:name="_Toc864"/>
      <w:r>
        <w:rPr>
          <w:rFonts w:hint="eastAsia"/>
          <w:b/>
          <w:bCs/>
          <w:color w:val="auto"/>
          <w:highlight w:val="none"/>
        </w:rPr>
        <w:t>一、合同金额</w:t>
      </w:r>
      <w:bookmarkEnd w:id="144"/>
    </w:p>
    <w:p>
      <w:pPr>
        <w:spacing w:line="360" w:lineRule="auto"/>
        <w:ind w:firstLine="420" w:firstLineChars="200"/>
        <w:rPr>
          <w:color w:val="auto"/>
          <w:highlight w:val="none"/>
        </w:rPr>
      </w:pPr>
      <w:r>
        <w:rPr>
          <w:rFonts w:hint="eastAsia"/>
          <w:color w:val="auto"/>
          <w:highlight w:val="none"/>
        </w:rPr>
        <w:t xml:space="preserve">合同金额为（大写）： </w:t>
      </w:r>
      <w:r>
        <w:rPr>
          <w:rFonts w:hint="eastAsia"/>
          <w:color w:val="auto"/>
          <w:highlight w:val="none"/>
        </w:rPr>
        <w:tab/>
      </w:r>
      <w:r>
        <w:rPr>
          <w:rFonts w:hint="eastAsia"/>
          <w:color w:val="auto"/>
          <w:highlight w:val="none"/>
        </w:rPr>
        <w:t xml:space="preserve">元（￥ </w:t>
      </w:r>
      <w:r>
        <w:rPr>
          <w:rFonts w:hint="eastAsia"/>
          <w:color w:val="auto"/>
          <w:highlight w:val="none"/>
        </w:rPr>
        <w:tab/>
      </w:r>
      <w:r>
        <w:rPr>
          <w:rFonts w:hint="eastAsia"/>
          <w:color w:val="auto"/>
          <w:highlight w:val="none"/>
        </w:rPr>
        <w:t>元）人民币。</w:t>
      </w:r>
    </w:p>
    <w:p>
      <w:pPr>
        <w:spacing w:line="360" w:lineRule="auto"/>
        <w:outlineLvl w:val="1"/>
        <w:rPr>
          <w:b/>
          <w:bCs/>
          <w:color w:val="auto"/>
          <w:highlight w:val="none"/>
        </w:rPr>
      </w:pPr>
      <w:bookmarkStart w:id="145" w:name="_Toc32599"/>
      <w:r>
        <w:rPr>
          <w:rFonts w:hint="eastAsia"/>
          <w:b/>
          <w:bCs/>
          <w:color w:val="auto"/>
          <w:highlight w:val="none"/>
        </w:rPr>
        <w:t>二、服务范围</w:t>
      </w:r>
      <w:bookmarkEnd w:id="145"/>
    </w:p>
    <w:p>
      <w:pPr>
        <w:spacing w:line="360" w:lineRule="auto"/>
        <w:ind w:firstLine="420" w:firstLineChars="200"/>
        <w:rPr>
          <w:color w:val="auto"/>
          <w:highlight w:val="none"/>
        </w:rPr>
      </w:pPr>
      <w:r>
        <w:rPr>
          <w:rFonts w:hint="eastAsia"/>
          <w:color w:val="auto"/>
          <w:highlight w:val="none"/>
        </w:rPr>
        <w:t>甲方聘请乙方提供以下服务：</w:t>
      </w:r>
    </w:p>
    <w:p>
      <w:pPr>
        <w:spacing w:line="360" w:lineRule="auto"/>
        <w:ind w:firstLine="420" w:firstLineChars="200"/>
        <w:rPr>
          <w:color w:val="auto"/>
          <w:highlight w:val="none"/>
        </w:rPr>
      </w:pPr>
      <w:r>
        <w:rPr>
          <w:rFonts w:hint="eastAsia"/>
          <w:color w:val="auto"/>
          <w:highlight w:val="none"/>
        </w:rPr>
        <w:t xml:space="preserve">1.               </w:t>
      </w:r>
    </w:p>
    <w:p>
      <w:pPr>
        <w:spacing w:line="360" w:lineRule="auto"/>
        <w:ind w:firstLine="420" w:firstLineChars="200"/>
        <w:rPr>
          <w:color w:val="auto"/>
          <w:highlight w:val="none"/>
        </w:rPr>
      </w:pPr>
      <w:r>
        <w:rPr>
          <w:rFonts w:hint="eastAsia"/>
          <w:color w:val="auto"/>
          <w:highlight w:val="none"/>
        </w:rPr>
        <w:t xml:space="preserve">2．              </w:t>
      </w:r>
    </w:p>
    <w:p>
      <w:pPr>
        <w:spacing w:line="360" w:lineRule="auto"/>
        <w:outlineLvl w:val="1"/>
        <w:rPr>
          <w:b/>
          <w:bCs/>
          <w:color w:val="auto"/>
          <w:highlight w:val="none"/>
        </w:rPr>
      </w:pPr>
      <w:bookmarkStart w:id="146" w:name="_Toc28304"/>
      <w:r>
        <w:rPr>
          <w:rFonts w:hint="eastAsia"/>
          <w:b/>
          <w:bCs/>
          <w:color w:val="auto"/>
          <w:highlight w:val="none"/>
        </w:rPr>
        <w:t>三、甲方乙方的权利和义务</w:t>
      </w:r>
      <w:bookmarkEnd w:id="146"/>
    </w:p>
    <w:p>
      <w:pPr>
        <w:spacing w:line="360" w:lineRule="auto"/>
        <w:ind w:firstLine="420" w:firstLineChars="200"/>
        <w:rPr>
          <w:color w:val="auto"/>
          <w:highlight w:val="none"/>
        </w:rPr>
      </w:pPr>
      <w:r>
        <w:rPr>
          <w:rFonts w:hint="eastAsia"/>
          <w:color w:val="auto"/>
          <w:highlight w:val="none"/>
        </w:rPr>
        <w:t>甲方的权利和义务：</w:t>
      </w:r>
    </w:p>
    <w:p>
      <w:pPr>
        <w:spacing w:line="360" w:lineRule="auto"/>
        <w:ind w:firstLine="420" w:firstLineChars="200"/>
        <w:rPr>
          <w:color w:val="auto"/>
          <w:highlight w:val="none"/>
        </w:rPr>
      </w:pPr>
      <w:r>
        <w:rPr>
          <w:rFonts w:hint="eastAsia"/>
          <w:color w:val="auto"/>
          <w:highlight w:val="none"/>
        </w:rPr>
        <w:t>乙方的权利和义务：</w:t>
      </w:r>
    </w:p>
    <w:p>
      <w:pPr>
        <w:spacing w:line="360" w:lineRule="auto"/>
        <w:outlineLvl w:val="1"/>
        <w:rPr>
          <w:b/>
          <w:bCs/>
          <w:color w:val="auto"/>
          <w:highlight w:val="none"/>
        </w:rPr>
      </w:pPr>
      <w:bookmarkStart w:id="147" w:name="_Toc31228"/>
      <w:r>
        <w:rPr>
          <w:rFonts w:hint="eastAsia"/>
          <w:b/>
          <w:bCs/>
          <w:color w:val="auto"/>
          <w:highlight w:val="none"/>
        </w:rPr>
        <w:t>四、服务期间（项目完成期限）</w:t>
      </w:r>
      <w:bookmarkEnd w:id="147"/>
    </w:p>
    <w:p>
      <w:pPr>
        <w:spacing w:line="360" w:lineRule="auto"/>
        <w:ind w:firstLine="420" w:firstLineChars="200"/>
        <w:rPr>
          <w:color w:val="auto"/>
          <w:highlight w:val="none"/>
        </w:rPr>
      </w:pPr>
      <w:r>
        <w:rPr>
          <w:rFonts w:hint="eastAsia"/>
          <w:color w:val="auto"/>
          <w:highlight w:val="none"/>
        </w:rPr>
        <w:t xml:space="preserve">1.委托服务期间自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highlight w:val="none"/>
        </w:rPr>
        <w:t xml:space="preserve">月至     年 </w:t>
      </w:r>
      <w:r>
        <w:rPr>
          <w:rFonts w:hint="eastAsia"/>
          <w:color w:val="auto"/>
          <w:highlight w:val="none"/>
        </w:rPr>
        <w:tab/>
      </w:r>
      <w:r>
        <w:rPr>
          <w:rFonts w:hint="eastAsia"/>
          <w:color w:val="auto"/>
          <w:highlight w:val="none"/>
        </w:rPr>
        <w:t>止。</w:t>
      </w:r>
    </w:p>
    <w:p>
      <w:pPr>
        <w:spacing w:line="360" w:lineRule="auto"/>
        <w:outlineLvl w:val="1"/>
        <w:rPr>
          <w:b/>
          <w:bCs/>
          <w:color w:val="auto"/>
          <w:highlight w:val="none"/>
        </w:rPr>
      </w:pPr>
      <w:bookmarkStart w:id="148" w:name="_Toc1315"/>
      <w:r>
        <w:rPr>
          <w:rFonts w:hint="eastAsia"/>
          <w:b/>
          <w:bCs/>
          <w:color w:val="auto"/>
          <w:highlight w:val="none"/>
        </w:rPr>
        <w:t>五、付款方式</w:t>
      </w:r>
      <w:bookmarkEnd w:id="148"/>
    </w:p>
    <w:p>
      <w:pPr>
        <w:spacing w:line="360" w:lineRule="auto"/>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本合同的付款方式为：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line="360" w:lineRule="auto"/>
        <w:outlineLvl w:val="1"/>
        <w:rPr>
          <w:b/>
          <w:bCs/>
          <w:color w:val="auto"/>
          <w:highlight w:val="none"/>
        </w:rPr>
      </w:pPr>
      <w:bookmarkStart w:id="149" w:name="_Toc29016"/>
      <w:r>
        <w:rPr>
          <w:rFonts w:hint="eastAsia"/>
          <w:b/>
          <w:bCs/>
          <w:color w:val="auto"/>
          <w:highlight w:val="none"/>
        </w:rPr>
        <w:t>六、知识产权归属</w:t>
      </w:r>
      <w:bookmarkEnd w:id="149"/>
    </w:p>
    <w:p>
      <w:pPr>
        <w:spacing w:line="360" w:lineRule="auto"/>
        <w:outlineLvl w:val="1"/>
        <w:rPr>
          <w:b/>
          <w:bCs/>
          <w:color w:val="auto"/>
          <w:highlight w:val="none"/>
        </w:rPr>
      </w:pPr>
      <w:bookmarkStart w:id="150" w:name="_Toc491"/>
      <w:r>
        <w:rPr>
          <w:rFonts w:hint="eastAsia"/>
          <w:b/>
          <w:bCs/>
          <w:color w:val="auto"/>
          <w:highlight w:val="none"/>
        </w:rPr>
        <w:t>七、保密</w:t>
      </w:r>
      <w:bookmarkEnd w:id="150"/>
    </w:p>
    <w:p>
      <w:pPr>
        <w:spacing w:line="360" w:lineRule="auto"/>
        <w:outlineLvl w:val="1"/>
        <w:rPr>
          <w:b/>
          <w:bCs/>
          <w:color w:val="auto"/>
          <w:highlight w:val="none"/>
        </w:rPr>
      </w:pPr>
      <w:bookmarkStart w:id="151" w:name="_Toc5642"/>
      <w:r>
        <w:rPr>
          <w:rFonts w:hint="eastAsia"/>
          <w:b/>
          <w:bCs/>
          <w:color w:val="auto"/>
          <w:highlight w:val="none"/>
        </w:rPr>
        <w:t>八、违约责任与赔偿损失</w:t>
      </w:r>
      <w:bookmarkEnd w:id="151"/>
    </w:p>
    <w:p>
      <w:pPr>
        <w:spacing w:line="360" w:lineRule="auto"/>
        <w:ind w:firstLine="420" w:firstLineChars="200"/>
        <w:rPr>
          <w:color w:val="auto"/>
          <w:highlight w:val="none"/>
        </w:rPr>
      </w:pPr>
      <w:r>
        <w:rPr>
          <w:rFonts w:hint="eastAsia"/>
          <w:color w:val="auto"/>
          <w:highlight w:val="none"/>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spacing w:line="360" w:lineRule="auto"/>
        <w:ind w:firstLine="420" w:firstLineChars="200"/>
        <w:rPr>
          <w:color w:val="auto"/>
          <w:highlight w:val="none"/>
        </w:rPr>
      </w:pPr>
      <w:r>
        <w:rPr>
          <w:rFonts w:hint="eastAsia"/>
          <w:color w:val="auto"/>
          <w:highlight w:val="none"/>
        </w:rPr>
        <w:t>2.甲方无正当理由拒收接受服务，到期拒付服务款项的，甲方向乙方偿付本合同总的5%的违约金。甲方人逾期付款，则每日按本合同总价的3‰向乙方偿付违约金。</w:t>
      </w:r>
    </w:p>
    <w:p>
      <w:pPr>
        <w:spacing w:line="360" w:lineRule="auto"/>
        <w:ind w:firstLine="420" w:firstLineChars="200"/>
        <w:rPr>
          <w:color w:val="auto"/>
          <w:highlight w:val="none"/>
        </w:rPr>
      </w:pPr>
      <w:r>
        <w:rPr>
          <w:rFonts w:hint="eastAsia"/>
          <w:color w:val="auto"/>
          <w:highlight w:val="none"/>
        </w:rPr>
        <w:t>3.对于因甲方原因导致变更、中止或者终止政府采购合同的，甲方应当依照以下合同约定对供应商受到的损失予以赔偿或者补偿：</w:t>
      </w:r>
    </w:p>
    <w:p>
      <w:pPr>
        <w:spacing w:line="360" w:lineRule="auto"/>
        <w:ind w:firstLine="420" w:firstLineChars="200"/>
        <w:rPr>
          <w:color w:val="auto"/>
          <w:highlight w:val="none"/>
        </w:rPr>
      </w:pPr>
      <w:r>
        <w:rPr>
          <w:rFonts w:hint="eastAsia"/>
          <w:color w:val="auto"/>
          <w:highlight w:val="none"/>
        </w:rPr>
        <w:t>4.其它违约责任按《中华人民共和国民法典(合同编)》处理</w:t>
      </w:r>
    </w:p>
    <w:p>
      <w:pPr>
        <w:spacing w:line="360" w:lineRule="auto"/>
        <w:outlineLvl w:val="1"/>
        <w:rPr>
          <w:b/>
          <w:bCs/>
          <w:color w:val="auto"/>
          <w:highlight w:val="none"/>
        </w:rPr>
      </w:pPr>
      <w:bookmarkStart w:id="152" w:name="_Toc30679"/>
      <w:r>
        <w:rPr>
          <w:rFonts w:hint="eastAsia"/>
          <w:b/>
          <w:bCs/>
          <w:color w:val="auto"/>
          <w:highlight w:val="none"/>
        </w:rPr>
        <w:t>九、争议的解决</w:t>
      </w:r>
      <w:bookmarkEnd w:id="152"/>
    </w:p>
    <w:p>
      <w:pPr>
        <w:spacing w:line="360" w:lineRule="auto"/>
        <w:ind w:firstLine="420" w:firstLineChars="200"/>
        <w:rPr>
          <w:color w:val="auto"/>
          <w:highlight w:val="none"/>
        </w:rPr>
      </w:pPr>
      <w:r>
        <w:rPr>
          <w:rFonts w:hint="eastAsia"/>
          <w:color w:val="auto"/>
          <w:highlight w:val="none"/>
        </w:rPr>
        <w:t>合同执行过程中发生的任何争议，如双方不能通过友好协商解决，按相关法律法规处理。</w:t>
      </w:r>
    </w:p>
    <w:p>
      <w:pPr>
        <w:spacing w:line="360" w:lineRule="auto"/>
        <w:outlineLvl w:val="1"/>
        <w:rPr>
          <w:b/>
          <w:bCs/>
          <w:color w:val="auto"/>
          <w:highlight w:val="none"/>
        </w:rPr>
      </w:pPr>
      <w:bookmarkStart w:id="153" w:name="_Toc26856"/>
      <w:r>
        <w:rPr>
          <w:rFonts w:hint="eastAsia"/>
          <w:b/>
          <w:bCs/>
          <w:color w:val="auto"/>
          <w:highlight w:val="none"/>
        </w:rPr>
        <w:t>十、不可抗力</w:t>
      </w:r>
      <w:bookmarkEnd w:id="153"/>
    </w:p>
    <w:p>
      <w:pPr>
        <w:spacing w:line="360" w:lineRule="auto"/>
        <w:ind w:firstLine="420" w:firstLineChars="200"/>
        <w:rPr>
          <w:color w:val="auto"/>
          <w:highlight w:val="none"/>
        </w:rPr>
      </w:pPr>
      <w:r>
        <w:rPr>
          <w:rFonts w:hint="eastAsia"/>
          <w:color w:val="auto"/>
          <w:highlight w:val="none"/>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spacing w:line="360" w:lineRule="auto"/>
        <w:outlineLvl w:val="1"/>
        <w:rPr>
          <w:b/>
          <w:bCs/>
          <w:color w:val="auto"/>
          <w:highlight w:val="none"/>
        </w:rPr>
      </w:pPr>
      <w:bookmarkStart w:id="154" w:name="_Toc16247"/>
      <w:r>
        <w:rPr>
          <w:rFonts w:hint="eastAsia"/>
          <w:b/>
          <w:bCs/>
          <w:color w:val="auto"/>
          <w:highlight w:val="none"/>
        </w:rPr>
        <w:t>十一、税费</w:t>
      </w:r>
      <w:bookmarkEnd w:id="154"/>
    </w:p>
    <w:p>
      <w:pPr>
        <w:spacing w:line="360" w:lineRule="auto"/>
        <w:ind w:firstLine="420" w:firstLineChars="200"/>
        <w:rPr>
          <w:color w:val="auto"/>
          <w:highlight w:val="none"/>
        </w:rPr>
      </w:pPr>
      <w:r>
        <w:rPr>
          <w:rFonts w:hint="eastAsia"/>
          <w:color w:val="auto"/>
          <w:highlight w:val="none"/>
        </w:rPr>
        <w:t>在中国境内、外发生的与本合同执行有关的一切税费均由乙方负担。</w:t>
      </w:r>
    </w:p>
    <w:p>
      <w:pPr>
        <w:spacing w:line="360" w:lineRule="auto"/>
        <w:outlineLvl w:val="1"/>
        <w:rPr>
          <w:b/>
          <w:bCs/>
          <w:color w:val="auto"/>
          <w:highlight w:val="none"/>
        </w:rPr>
      </w:pPr>
      <w:bookmarkStart w:id="155" w:name="_Toc14065"/>
      <w:r>
        <w:rPr>
          <w:rFonts w:hint="eastAsia"/>
          <w:b/>
          <w:bCs/>
          <w:color w:val="auto"/>
          <w:highlight w:val="none"/>
        </w:rPr>
        <w:t>十二、其它</w:t>
      </w:r>
      <w:bookmarkEnd w:id="155"/>
    </w:p>
    <w:p>
      <w:pPr>
        <w:spacing w:line="360" w:lineRule="auto"/>
        <w:ind w:firstLine="420" w:firstLineChars="200"/>
        <w:rPr>
          <w:color w:val="auto"/>
          <w:highlight w:val="none"/>
        </w:rPr>
      </w:pPr>
      <w:r>
        <w:rPr>
          <w:rFonts w:hint="eastAsia"/>
          <w:color w:val="auto"/>
          <w:highlight w:val="none"/>
        </w:rPr>
        <w:t>1.本合同所有附件、招标文件、投标文件、中标通知书均为合同的有效组成部分，与本合同具有同等法 律效力。</w:t>
      </w:r>
    </w:p>
    <w:p>
      <w:pPr>
        <w:spacing w:line="360" w:lineRule="auto"/>
        <w:ind w:firstLine="420" w:firstLineChars="200"/>
        <w:rPr>
          <w:color w:val="auto"/>
          <w:highlight w:val="none"/>
        </w:rPr>
      </w:pPr>
      <w:r>
        <w:rPr>
          <w:rFonts w:hint="eastAsia"/>
          <w:color w:val="auto"/>
          <w:highlight w:val="none"/>
        </w:rPr>
        <w:t>2.在执行本合同的过程中，所有经双方签署确认的文件（包括会议纪要、补充协议、往来信函）即成为 本合同的有效组成部分。</w:t>
      </w:r>
    </w:p>
    <w:p>
      <w:pPr>
        <w:spacing w:line="360" w:lineRule="auto"/>
        <w:ind w:firstLine="420" w:firstLineChars="200"/>
        <w:rPr>
          <w:color w:val="auto"/>
          <w:highlight w:val="none"/>
        </w:rPr>
      </w:pPr>
      <w:r>
        <w:rPr>
          <w:rFonts w:hint="eastAsia"/>
          <w:color w:val="auto"/>
          <w:highlight w:val="none"/>
        </w:rPr>
        <w:t>3.如一方地址、电话、传真号码有变更，应在变更当日内书面通知对方，否则，应承担相应责任。</w:t>
      </w:r>
    </w:p>
    <w:p>
      <w:pPr>
        <w:spacing w:line="360" w:lineRule="auto"/>
        <w:ind w:firstLine="420" w:firstLineChars="200"/>
        <w:rPr>
          <w:color w:val="auto"/>
          <w:highlight w:val="none"/>
        </w:rPr>
      </w:pPr>
      <w:r>
        <w:rPr>
          <w:rFonts w:hint="eastAsia"/>
          <w:color w:val="auto"/>
          <w:highlight w:val="none"/>
        </w:rPr>
        <w:t xml:space="preserve">4.除甲方事先书面同意外，乙方不得部分或全部转让其应履行的合同项下的义务。 </w:t>
      </w:r>
    </w:p>
    <w:p>
      <w:pPr>
        <w:spacing w:line="360" w:lineRule="auto"/>
        <w:outlineLvl w:val="1"/>
        <w:rPr>
          <w:b/>
          <w:bCs/>
          <w:color w:val="auto"/>
          <w:highlight w:val="none"/>
        </w:rPr>
      </w:pPr>
      <w:bookmarkStart w:id="156" w:name="_Toc13763"/>
      <w:r>
        <w:rPr>
          <w:rFonts w:hint="eastAsia"/>
          <w:b/>
          <w:bCs/>
          <w:color w:val="auto"/>
          <w:highlight w:val="none"/>
        </w:rPr>
        <w:t>十三、合同生效</w:t>
      </w:r>
      <w:bookmarkEnd w:id="156"/>
    </w:p>
    <w:p>
      <w:pPr>
        <w:spacing w:line="360" w:lineRule="auto"/>
        <w:ind w:firstLine="420" w:firstLineChars="200"/>
        <w:rPr>
          <w:color w:val="auto"/>
          <w:highlight w:val="none"/>
        </w:rPr>
      </w:pPr>
      <w:r>
        <w:rPr>
          <w:rFonts w:hint="eastAsia"/>
          <w:color w:val="auto"/>
          <w:highlight w:val="none"/>
        </w:rPr>
        <w:t>本合同在甲乙双方法人代表或其授权代表签字盖章后生效。</w:t>
      </w:r>
    </w:p>
    <w:p>
      <w:pPr>
        <w:spacing w:line="360" w:lineRule="auto"/>
        <w:ind w:firstLine="420" w:firstLineChars="200"/>
        <w:rPr>
          <w:color w:val="auto"/>
          <w:highlight w:val="none"/>
        </w:rPr>
      </w:pPr>
      <w:r>
        <w:rPr>
          <w:rFonts w:hint="eastAsia"/>
          <w:color w:val="auto"/>
          <w:highlight w:val="none"/>
        </w:rPr>
        <w:t>合同一式    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rPr>
        <w:t xml:space="preserve">                                      乙方（盖章）： </w:t>
      </w:r>
    </w:p>
    <w:p>
      <w:pPr>
        <w:spacing w:line="360" w:lineRule="auto"/>
        <w:rPr>
          <w:color w:val="auto"/>
          <w:highlight w:val="none"/>
        </w:rPr>
      </w:pPr>
      <w:r>
        <w:rPr>
          <w:rFonts w:hint="eastAsia"/>
          <w:color w:val="auto"/>
          <w:highlight w:val="none"/>
        </w:rPr>
        <w:t>代表：</w:t>
      </w:r>
      <w:r>
        <w:rPr>
          <w:rFonts w:hint="eastAsia"/>
          <w:color w:val="auto"/>
          <w:highlight w:val="none"/>
        </w:rPr>
        <w:tab/>
      </w:r>
      <w:r>
        <w:rPr>
          <w:rFonts w:hint="eastAsia"/>
          <w:color w:val="auto"/>
          <w:highlight w:val="none"/>
        </w:rPr>
        <w:t xml:space="preserve">                                                  代表：</w:t>
      </w:r>
    </w:p>
    <w:p>
      <w:pPr>
        <w:spacing w:line="360" w:lineRule="auto"/>
        <w:rPr>
          <w:color w:val="auto"/>
          <w:highlight w:val="none"/>
        </w:rPr>
      </w:pPr>
    </w:p>
    <w:p>
      <w:pPr>
        <w:spacing w:line="360" w:lineRule="auto"/>
        <w:rPr>
          <w:color w:val="auto"/>
          <w:highlight w:val="none"/>
        </w:rPr>
      </w:pPr>
      <w:r>
        <w:rPr>
          <w:rFonts w:hint="eastAsia"/>
          <w:color w:val="auto"/>
          <w:highlight w:val="none"/>
        </w:rPr>
        <w:t>签定地点：</w:t>
      </w:r>
    </w:p>
    <w:p>
      <w:pPr>
        <w:spacing w:line="360" w:lineRule="auto"/>
        <w:rPr>
          <w:color w:val="auto"/>
          <w:highlight w:val="none"/>
        </w:rPr>
      </w:pPr>
      <w:r>
        <w:rPr>
          <w:rFonts w:hint="eastAsia"/>
          <w:color w:val="auto"/>
          <w:highlight w:val="none"/>
        </w:rPr>
        <w:t>签定日期：</w:t>
      </w:r>
    </w:p>
    <w:p>
      <w:pPr>
        <w:spacing w:line="360" w:lineRule="auto"/>
        <w:rPr>
          <w:color w:val="auto"/>
          <w:highlight w:val="none"/>
        </w:rPr>
      </w:pPr>
      <w:r>
        <w:rPr>
          <w:rFonts w:hint="eastAsia"/>
          <w:color w:val="auto"/>
          <w:highlight w:val="none"/>
        </w:rPr>
        <w:t>开户名称：</w:t>
      </w:r>
    </w:p>
    <w:p>
      <w:pPr>
        <w:spacing w:line="360" w:lineRule="auto"/>
        <w:rPr>
          <w:color w:val="auto"/>
          <w:highlight w:val="none"/>
        </w:rPr>
      </w:pPr>
      <w:r>
        <w:rPr>
          <w:rFonts w:hint="eastAsia"/>
          <w:color w:val="auto"/>
          <w:highlight w:val="none"/>
        </w:rPr>
        <w:t xml:space="preserve">银行帐号： </w:t>
      </w:r>
    </w:p>
    <w:p>
      <w:pPr>
        <w:spacing w:line="360" w:lineRule="auto"/>
        <w:rPr>
          <w:color w:val="auto"/>
          <w:highlight w:val="none"/>
        </w:rPr>
      </w:pPr>
      <w:r>
        <w:rPr>
          <w:rFonts w:hint="eastAsia"/>
          <w:color w:val="auto"/>
          <w:highlight w:val="none"/>
        </w:rPr>
        <w:t>开 户 行：</w:t>
      </w:r>
    </w:p>
    <w:p>
      <w:pPr>
        <w:rPr>
          <w:color w:val="auto"/>
          <w:highlight w:val="none"/>
        </w:rPr>
      </w:pPr>
      <w:r>
        <w:rPr>
          <w:rFonts w:hint="eastAsia"/>
          <w:color w:val="auto"/>
          <w:highlight w:val="none"/>
        </w:rPr>
        <w:br w:type="page"/>
      </w:r>
    </w:p>
    <w:p>
      <w:pPr>
        <w:pStyle w:val="3"/>
        <w:rPr>
          <w:color w:val="auto"/>
          <w:highlight w:val="none"/>
        </w:rPr>
      </w:pPr>
      <w:bookmarkStart w:id="157" w:name="_Toc17794"/>
      <w:r>
        <w:rPr>
          <w:rFonts w:hint="eastAsia"/>
          <w:color w:val="auto"/>
          <w:highlight w:val="none"/>
        </w:rPr>
        <w:t>第六篇 投标文件格式</w:t>
      </w:r>
      <w:bookmarkEnd w:id="157"/>
    </w:p>
    <w:p>
      <w:pPr>
        <w:rPr>
          <w:b/>
          <w:bCs/>
          <w:color w:val="auto"/>
          <w:highlight w:val="none"/>
        </w:rPr>
      </w:pPr>
      <w:r>
        <w:rPr>
          <w:rFonts w:hint="eastAsia"/>
          <w:b/>
          <w:bCs/>
          <w:color w:val="auto"/>
          <w:highlight w:val="none"/>
        </w:rPr>
        <w:t>注意事项：</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8"/>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58" w:name="_Toc32213"/>
      <w:r>
        <w:rPr>
          <w:rFonts w:hint="eastAsia"/>
          <w:b/>
          <w:bCs/>
          <w:color w:val="auto"/>
          <w:highlight w:val="none"/>
        </w:rPr>
        <w:t>（封面格式仅供参考）</w:t>
      </w:r>
      <w:bookmarkEnd w:id="158"/>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59" w:name="_Toc14748"/>
      <w:r>
        <w:rPr>
          <w:rFonts w:ascii="宋体" w:hAnsi="宋体" w:cs="宋体"/>
          <w:b/>
          <w:color w:val="auto"/>
          <w:spacing w:val="10"/>
          <w:kern w:val="0"/>
          <w:sz w:val="38"/>
          <w:szCs w:val="38"/>
          <w:highlight w:val="none"/>
          <w:lang w:val="zh-CN" w:bidi="zh-CN"/>
        </w:rPr>
        <w:t>投标文件封面</w:t>
      </w:r>
      <w:bookmarkEnd w:id="159"/>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0"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60"/>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8"/>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8"/>
        <w:jc w:val="center"/>
        <w:rPr>
          <w:b/>
          <w:color w:val="auto"/>
          <w:sz w:val="12"/>
          <w:highlight w:val="none"/>
        </w:rPr>
      </w:pPr>
      <w:r>
        <w:rPr>
          <w:b/>
          <w:color w:val="auto"/>
          <w:highlight w:val="none"/>
        </w:rPr>
        <w:t>投标函</w:t>
      </w:r>
    </w:p>
    <w:p>
      <w:pPr>
        <w:pStyle w:val="8"/>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8"/>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8"/>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投标总价</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r>
              <w:rPr>
                <w:rFonts w:hint="eastAsia"/>
                <w:color w:val="auto"/>
                <w:highlight w:val="none"/>
              </w:rPr>
              <w:t>小写：</w:t>
            </w:r>
          </w:p>
          <w:p>
            <w:pPr>
              <w:spacing w:line="360" w:lineRule="auto"/>
              <w:rPr>
                <w:rFonts w:hint="eastAsia" w:eastAsia="宋体"/>
                <w:color w:val="auto"/>
                <w:highlight w:val="none"/>
                <w:lang w:eastAsia="zh-CN"/>
              </w:rPr>
            </w:pPr>
            <w:r>
              <w:rPr>
                <w:rFonts w:hint="eastAsia"/>
                <w:color w:val="auto"/>
                <w:highlight w:val="none"/>
              </w:rPr>
              <w:t>大写：</w:t>
            </w: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8"/>
        <w:rPr>
          <w:b/>
          <w:bCs/>
          <w:color w:val="auto"/>
          <w:highlight w:val="none"/>
          <w:lang w:val="en-US"/>
        </w:rPr>
      </w:pPr>
      <w:r>
        <w:rPr>
          <w:rFonts w:hint="eastAsia"/>
          <w:b/>
          <w:bCs/>
          <w:color w:val="auto"/>
          <w:highlight w:val="none"/>
          <w:lang w:val="en-US"/>
        </w:rPr>
        <w:t>格式四：</w:t>
      </w:r>
    </w:p>
    <w:p>
      <w:pPr>
        <w:pStyle w:val="2"/>
        <w:spacing w:line="360" w:lineRule="auto"/>
        <w:rPr>
          <w:color w:val="auto"/>
          <w:sz w:val="24"/>
          <w:highlight w:val="none"/>
        </w:rPr>
      </w:pPr>
      <w:bookmarkStart w:id="161" w:name="_Toc23039"/>
      <w:r>
        <w:rPr>
          <w:color w:val="auto"/>
          <w:sz w:val="24"/>
          <w:highlight w:val="none"/>
        </w:rPr>
        <w:t>法定代表人证明书</w:t>
      </w:r>
      <w:bookmarkEnd w:id="161"/>
    </w:p>
    <w:p>
      <w:pPr>
        <w:pStyle w:val="8"/>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8"/>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3693"/>
        </w:tabs>
        <w:spacing w:line="242" w:lineRule="exact"/>
        <w:ind w:right="104"/>
        <w:jc w:val="right"/>
        <w:rPr>
          <w:color w:val="auto"/>
          <w:sz w:val="21"/>
          <w:szCs w:val="21"/>
          <w:highlight w:val="none"/>
        </w:rPr>
      </w:pPr>
    </w:p>
    <w:p>
      <w:pPr>
        <w:pStyle w:val="8"/>
        <w:tabs>
          <w:tab w:val="left" w:pos="3693"/>
        </w:tabs>
        <w:spacing w:line="242" w:lineRule="exact"/>
        <w:ind w:right="104"/>
        <w:jc w:val="right"/>
        <w:rPr>
          <w:color w:val="auto"/>
          <w:sz w:val="21"/>
          <w:szCs w:val="21"/>
          <w:highlight w:val="none"/>
        </w:rPr>
      </w:pPr>
    </w:p>
    <w:p>
      <w:pPr>
        <w:pStyle w:val="8"/>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8"/>
        <w:rPr>
          <w:color w:val="auto"/>
          <w:highlight w:val="none"/>
          <w:lang w:val="en-US"/>
        </w:rPr>
      </w:pPr>
    </w:p>
    <w:p>
      <w:pPr>
        <w:rPr>
          <w:color w:val="auto"/>
          <w:highlight w:val="none"/>
        </w:rPr>
      </w:pPr>
    </w:p>
    <w:p>
      <w:pPr>
        <w:pStyle w:val="8"/>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8"/>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8"/>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8"/>
        <w:tabs>
          <w:tab w:val="left" w:pos="10713"/>
        </w:tabs>
        <w:spacing w:before="0" w:line="360" w:lineRule="auto"/>
        <w:ind w:left="0"/>
        <w:jc w:val="right"/>
        <w:rPr>
          <w:color w:val="auto"/>
          <w:sz w:val="21"/>
          <w:szCs w:val="21"/>
          <w:highlight w:val="none"/>
        </w:rPr>
      </w:pPr>
    </w:p>
    <w:p>
      <w:pPr>
        <w:pStyle w:val="8"/>
        <w:tabs>
          <w:tab w:val="left" w:pos="10713"/>
        </w:tabs>
        <w:spacing w:before="0" w:line="360" w:lineRule="auto"/>
        <w:ind w:left="0"/>
        <w:jc w:val="right"/>
        <w:rPr>
          <w:color w:val="auto"/>
          <w:sz w:val="21"/>
          <w:szCs w:val="21"/>
          <w:highlight w:val="none"/>
        </w:rPr>
      </w:pP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8"/>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8"/>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5"/>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8"/>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8"/>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w:t>
      </w:r>
      <w:r>
        <w:rPr>
          <w:rFonts w:hint="eastAsia" w:ascii="宋体" w:hAnsi="宋体"/>
          <w:color w:val="auto"/>
          <w:szCs w:val="21"/>
          <w:highlight w:val="none"/>
          <w:lang w:val="en-US" w:eastAsia="zh-CN"/>
        </w:rPr>
        <w:t>1</w:t>
      </w:r>
      <w:r>
        <w:rPr>
          <w:rFonts w:hint="eastAsia" w:ascii="宋体" w:hAnsi="宋体"/>
          <w:color w:val="auto"/>
          <w:szCs w:val="21"/>
          <w:highlight w:val="none"/>
        </w:rPr>
        <w:t>年度</w:t>
      </w:r>
      <w:r>
        <w:rPr>
          <w:rFonts w:hint="eastAsia" w:ascii="宋体" w:hAnsi="宋体"/>
          <w:color w:val="auto"/>
          <w:szCs w:val="21"/>
          <w:highlight w:val="none"/>
          <w:lang w:val="en-US" w:eastAsia="zh-CN"/>
        </w:rPr>
        <w:t>或2022年度</w:t>
      </w:r>
      <w:r>
        <w:rPr>
          <w:rFonts w:hint="eastAsia" w:ascii="宋体" w:hAnsi="宋体"/>
          <w:color w:val="auto"/>
          <w:szCs w:val="21"/>
          <w:highlight w:val="none"/>
        </w:rPr>
        <w:t>财务状况报告或基本开户行出具的资信证明）。</w:t>
      </w:r>
      <w:r>
        <w:rPr>
          <w:rFonts w:hint="eastAsia"/>
          <w:color w:val="auto"/>
          <w:sz w:val="20"/>
          <w:highlight w:val="none"/>
        </w:rPr>
        <w:t>(或提供相关承诺函）</w:t>
      </w:r>
    </w:p>
    <w:p>
      <w:pPr>
        <w:widowControl/>
        <w:spacing w:line="360" w:lineRule="auto"/>
        <w:rPr>
          <w:color w:val="auto"/>
          <w:sz w:val="20"/>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color w:val="auto"/>
          <w:sz w:val="20"/>
          <w:highlight w:val="none"/>
        </w:rPr>
        <w:t>(或提供相关承诺函）</w:t>
      </w:r>
    </w:p>
    <w:p>
      <w:pPr>
        <w:rPr>
          <w:color w:val="auto"/>
          <w:sz w:val="20"/>
          <w:highlight w:val="none"/>
        </w:rPr>
      </w:pPr>
      <w:r>
        <w:rPr>
          <w:rFonts w:hint="eastAsia"/>
          <w:color w:val="auto"/>
          <w:sz w:val="20"/>
          <w:highlight w:val="none"/>
        </w:rPr>
        <w:br w:type="page"/>
      </w:r>
    </w:p>
    <w:p>
      <w:pPr>
        <w:pStyle w:val="8"/>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8"/>
        <w:jc w:val="center"/>
        <w:rPr>
          <w:b/>
          <w:bCs/>
          <w:color w:val="auto"/>
          <w:highlight w:val="none"/>
          <w:lang w:val="en-US"/>
        </w:rPr>
      </w:pPr>
      <w:r>
        <w:rPr>
          <w:b/>
          <w:bCs/>
          <w:color w:val="auto"/>
          <w:highlight w:val="none"/>
          <w:lang w:val="en-US"/>
        </w:rPr>
        <w:t>投标人业绩情况表</w:t>
      </w:r>
    </w:p>
    <w:p>
      <w:pPr>
        <w:pStyle w:val="8"/>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8"/>
        <w:rPr>
          <w:color w:val="auto"/>
          <w:highlight w:val="none"/>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bl>
    <w:p>
      <w:pPr>
        <w:pStyle w:val="8"/>
        <w:rPr>
          <w:color w:val="auto"/>
          <w:highlight w:val="none"/>
          <w:lang w:val="en-US"/>
        </w:rPr>
      </w:pPr>
    </w:p>
    <w:p>
      <w:pPr>
        <w:rPr>
          <w:color w:val="auto"/>
          <w:highlight w:val="none"/>
        </w:rPr>
      </w:pP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0"/>
        <w:tabs>
          <w:tab w:val="left" w:pos="731"/>
        </w:tabs>
        <w:autoSpaceDE w:val="0"/>
        <w:autoSpaceDN w:val="0"/>
        <w:spacing w:line="360" w:lineRule="auto"/>
        <w:ind w:firstLine="423"/>
        <w:rPr>
          <w:rFonts w:ascii="宋体" w:hAnsi="宋体" w:cs="宋体"/>
          <w:color w:val="auto"/>
          <w:w w:val="101"/>
          <w:szCs w:val="21"/>
          <w:highlight w:val="none"/>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bl>
    <w:p>
      <w:pPr>
        <w:pStyle w:val="8"/>
        <w:rPr>
          <w:color w:val="auto"/>
          <w:sz w:val="21"/>
          <w:szCs w:val="21"/>
          <w:highlight w:val="none"/>
          <w:lang w:val="en-US"/>
        </w:rPr>
      </w:pPr>
    </w:p>
    <w:p>
      <w:pPr>
        <w:rPr>
          <w:color w:val="auto"/>
          <w:szCs w:val="21"/>
          <w:highlight w:val="none"/>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8"/>
        <w:autoSpaceDE w:val="0"/>
        <w:autoSpaceDN w:val="0"/>
        <w:spacing w:before="0" w:line="360" w:lineRule="auto"/>
        <w:ind w:left="0" w:firstLine="420" w:firstLineChars="200"/>
        <w:rPr>
          <w:color w:val="auto"/>
          <w:sz w:val="21"/>
          <w:szCs w:val="21"/>
          <w:highlight w:val="none"/>
          <w:lang w:val="en-US"/>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8"/>
        <w:spacing w:before="8"/>
        <w:rPr>
          <w:color w:val="auto"/>
          <w:sz w:val="13"/>
          <w:highlight w:val="none"/>
        </w:rPr>
      </w:pPr>
    </w:p>
    <w:p>
      <w:pPr>
        <w:pStyle w:val="2"/>
        <w:rPr>
          <w:color w:val="auto"/>
          <w:highlight w:val="none"/>
        </w:rPr>
      </w:pPr>
      <w:bookmarkStart w:id="162" w:name="_Toc20098"/>
      <w:r>
        <w:rPr>
          <w:color w:val="auto"/>
          <w:highlight w:val="none"/>
        </w:rPr>
        <w:t>履约进度计划表</w:t>
      </w:r>
      <w:bookmarkEnd w:id="162"/>
    </w:p>
    <w:p>
      <w:pPr>
        <w:pStyle w:val="8"/>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2"/>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63" w:name="_Toc2912"/>
      <w:r>
        <w:rPr>
          <w:rFonts w:hint="eastAsia"/>
          <w:b/>
          <w:bCs/>
          <w:color w:val="auto"/>
          <w:sz w:val="24"/>
          <w:szCs w:val="32"/>
          <w:highlight w:val="none"/>
        </w:rPr>
        <w:t>格式十四：</w:t>
      </w:r>
      <w:bookmarkEnd w:id="163"/>
    </w:p>
    <w:p>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8"/>
        <w:jc w:val="center"/>
        <w:rPr>
          <w:b/>
          <w:bCs/>
          <w:color w:val="auto"/>
          <w:highlight w:val="none"/>
        </w:rPr>
      </w:pPr>
      <w:r>
        <w:rPr>
          <w:b/>
          <w:bCs/>
          <w:color w:val="auto"/>
          <w:highlight w:val="none"/>
        </w:rPr>
        <w:t>各类证明材料</w:t>
      </w:r>
    </w:p>
    <w:p>
      <w:pPr>
        <w:pStyle w:val="20"/>
        <w:tabs>
          <w:tab w:val="left" w:pos="673"/>
        </w:tabs>
        <w:spacing w:line="360" w:lineRule="auto"/>
        <w:ind w:firstLine="0" w:firstLineChars="0"/>
        <w:outlineLvl w:val="1"/>
        <w:rPr>
          <w:rFonts w:ascii="宋体" w:hAnsi="宋体" w:cs="宋体"/>
          <w:color w:val="auto"/>
          <w:szCs w:val="21"/>
          <w:highlight w:val="none"/>
        </w:rPr>
      </w:pPr>
      <w:bookmarkStart w:id="164" w:name="_Toc14919"/>
      <w:r>
        <w:rPr>
          <w:rFonts w:hint="eastAsia" w:ascii="宋体" w:hAnsi="宋体" w:cs="宋体"/>
          <w:color w:val="auto"/>
          <w:szCs w:val="21"/>
          <w:highlight w:val="none"/>
        </w:rPr>
        <w:t>1、招标文件要求提供的其他资料。</w:t>
      </w:r>
      <w:bookmarkEnd w:id="164"/>
    </w:p>
    <w:p>
      <w:pPr>
        <w:pStyle w:val="20"/>
        <w:tabs>
          <w:tab w:val="left" w:pos="673"/>
        </w:tabs>
        <w:spacing w:line="360" w:lineRule="auto"/>
        <w:ind w:firstLine="0" w:firstLineChars="0"/>
        <w:outlineLvl w:val="1"/>
        <w:rPr>
          <w:rFonts w:ascii="宋体" w:hAnsi="宋体" w:cs="宋体"/>
          <w:color w:val="auto"/>
          <w:szCs w:val="21"/>
          <w:highlight w:val="none"/>
        </w:rPr>
      </w:pPr>
      <w:bookmarkStart w:id="165" w:name="_Toc7938"/>
      <w:r>
        <w:rPr>
          <w:rFonts w:hint="eastAsia" w:ascii="宋体" w:hAnsi="宋体" w:cs="宋体"/>
          <w:color w:val="auto"/>
          <w:szCs w:val="21"/>
          <w:highlight w:val="none"/>
        </w:rPr>
        <w:t>2、投标人认为需提供的其他资料。</w:t>
      </w:r>
      <w:bookmarkEnd w:id="165"/>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66" w:name="_Toc30382"/>
      <w:r>
        <w:rPr>
          <w:rFonts w:hint="eastAsia" w:ascii="宋体" w:hAnsi="宋体" w:cs="宋体"/>
          <w:b/>
          <w:bCs/>
          <w:color w:val="auto"/>
          <w:sz w:val="24"/>
          <w:highlight w:val="none"/>
        </w:rPr>
        <w:t>格式十五：</w:t>
      </w:r>
      <w:bookmarkEnd w:id="166"/>
    </w:p>
    <w:p>
      <w:pPr>
        <w:pStyle w:val="20"/>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0"/>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67" w:name="_Toc3970"/>
      <w:r>
        <w:rPr>
          <w:rFonts w:hint="eastAsia" w:ascii="宋体" w:hAnsi="宋体" w:cs="宋体"/>
          <w:b/>
          <w:bCs/>
          <w:color w:val="auto"/>
          <w:sz w:val="24"/>
          <w:highlight w:val="none"/>
        </w:rPr>
        <w:t>格式十五：</w:t>
      </w:r>
      <w:bookmarkEnd w:id="167"/>
    </w:p>
    <w:p>
      <w:pPr>
        <w:pStyle w:val="8"/>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8"/>
        <w:spacing w:before="8"/>
        <w:rPr>
          <w:color w:val="auto"/>
          <w:sz w:val="21"/>
          <w:szCs w:val="21"/>
          <w:highlight w:val="none"/>
        </w:rPr>
      </w:pPr>
    </w:p>
    <w:p>
      <w:pPr>
        <w:jc w:val="center"/>
        <w:outlineLvl w:val="1"/>
        <w:rPr>
          <w:rFonts w:ascii="宋体" w:hAnsi="宋体" w:cs="宋体"/>
          <w:b/>
          <w:bCs/>
          <w:color w:val="auto"/>
          <w:szCs w:val="21"/>
          <w:highlight w:val="none"/>
        </w:rPr>
      </w:pPr>
      <w:bookmarkStart w:id="168" w:name="_Toc4401"/>
      <w:r>
        <w:rPr>
          <w:rFonts w:hint="eastAsia" w:ascii="宋体" w:hAnsi="宋体" w:cs="宋体"/>
          <w:b/>
          <w:bCs/>
          <w:color w:val="auto"/>
          <w:szCs w:val="21"/>
          <w:highlight w:val="none"/>
        </w:rPr>
        <w:t>需要招标人提供的附加条件</w:t>
      </w:r>
      <w:bookmarkEnd w:id="168"/>
    </w:p>
    <w:p>
      <w:pPr>
        <w:pStyle w:val="8"/>
        <w:autoSpaceDE w:val="0"/>
        <w:autoSpaceDN w:val="0"/>
        <w:spacing w:before="0" w:line="360" w:lineRule="auto"/>
        <w:ind w:left="0"/>
        <w:rPr>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2"/>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8"/>
        <w:outlineLvl w:val="1"/>
        <w:rPr>
          <w:b/>
          <w:bCs/>
          <w:color w:val="auto"/>
          <w:highlight w:val="none"/>
          <w:lang w:val="en-US"/>
        </w:rPr>
      </w:pPr>
      <w:bookmarkStart w:id="169" w:name="_Toc25747"/>
      <w:r>
        <w:rPr>
          <w:rFonts w:hint="eastAsia"/>
          <w:b/>
          <w:bCs/>
          <w:color w:val="auto"/>
          <w:highlight w:val="none"/>
          <w:lang w:val="en-US"/>
        </w:rPr>
        <w:t>格式十六：</w:t>
      </w:r>
      <w:bookmarkEnd w:id="169"/>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170" w:name="_Toc27211"/>
      <w:r>
        <w:rPr>
          <w:rFonts w:hint="eastAsia"/>
          <w:color w:val="auto"/>
          <w:highlight w:val="none"/>
        </w:rPr>
        <w:t>第七篇 开标文件格式</w:t>
      </w:r>
      <w:bookmarkEnd w:id="170"/>
    </w:p>
    <w:p>
      <w:pPr>
        <w:jc w:val="center"/>
        <w:outlineLvl w:val="1"/>
        <w:rPr>
          <w:b/>
          <w:bCs/>
          <w:color w:val="auto"/>
          <w:highlight w:val="none"/>
        </w:rPr>
      </w:pPr>
      <w:bookmarkStart w:id="171" w:name="_Toc32249"/>
      <w:r>
        <w:rPr>
          <w:rFonts w:hint="eastAsia"/>
          <w:b/>
          <w:bCs/>
          <w:color w:val="auto"/>
          <w:highlight w:val="none"/>
        </w:rPr>
        <w:t>（封面格式仅供参考）</w:t>
      </w:r>
      <w:bookmarkEnd w:id="171"/>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72"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72"/>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73"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73"/>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8"/>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8"/>
        <w:spacing w:before="0" w:line="360" w:lineRule="auto"/>
        <w:ind w:left="0"/>
        <w:outlineLvl w:val="1"/>
        <w:rPr>
          <w:b/>
          <w:bCs/>
          <w:color w:val="auto"/>
          <w:sz w:val="21"/>
          <w:szCs w:val="21"/>
          <w:highlight w:val="none"/>
          <w:lang w:val="en-US"/>
        </w:rPr>
      </w:pPr>
      <w:bookmarkStart w:id="174" w:name="_Toc32100"/>
      <w:r>
        <w:rPr>
          <w:rFonts w:hint="eastAsia"/>
          <w:b/>
          <w:bCs/>
          <w:color w:val="auto"/>
          <w:sz w:val="21"/>
          <w:szCs w:val="21"/>
          <w:highlight w:val="none"/>
          <w:lang w:val="en-US"/>
        </w:rPr>
        <w:t>1、开标一览表</w:t>
      </w:r>
      <w:bookmarkEnd w:id="174"/>
    </w:p>
    <w:p>
      <w:pPr>
        <w:spacing w:line="360" w:lineRule="auto"/>
        <w:outlineLvl w:val="1"/>
        <w:rPr>
          <w:rFonts w:ascii="宋体" w:hAnsi="宋体" w:cs="宋体"/>
          <w:b/>
          <w:bCs/>
          <w:color w:val="auto"/>
          <w:szCs w:val="21"/>
          <w:highlight w:val="none"/>
        </w:rPr>
      </w:pPr>
      <w:bookmarkStart w:id="175" w:name="_Toc8054"/>
      <w:r>
        <w:rPr>
          <w:rFonts w:hint="eastAsia" w:ascii="宋体" w:hAnsi="宋体" w:cs="宋体"/>
          <w:b/>
          <w:bCs/>
          <w:color w:val="auto"/>
          <w:szCs w:val="21"/>
          <w:highlight w:val="none"/>
        </w:rPr>
        <w:t>2、分项报价表</w:t>
      </w:r>
      <w:bookmarkEnd w:id="175"/>
    </w:p>
    <w:p>
      <w:pPr>
        <w:pStyle w:val="8"/>
        <w:spacing w:before="0" w:line="360" w:lineRule="auto"/>
        <w:ind w:left="0"/>
        <w:outlineLvl w:val="1"/>
        <w:rPr>
          <w:b/>
          <w:bCs/>
          <w:color w:val="auto"/>
          <w:sz w:val="21"/>
          <w:szCs w:val="21"/>
          <w:highlight w:val="none"/>
          <w:lang w:val="en-US"/>
        </w:rPr>
      </w:pPr>
      <w:bookmarkStart w:id="176" w:name="_Toc5011"/>
      <w:r>
        <w:rPr>
          <w:rFonts w:hint="eastAsia"/>
          <w:b/>
          <w:bCs/>
          <w:color w:val="auto"/>
          <w:sz w:val="21"/>
          <w:szCs w:val="21"/>
          <w:highlight w:val="none"/>
          <w:lang w:val="en-US"/>
        </w:rPr>
        <w:t>3、法定代表人证明书</w:t>
      </w:r>
      <w:bookmarkEnd w:id="176"/>
    </w:p>
    <w:p>
      <w:pPr>
        <w:pStyle w:val="8"/>
        <w:spacing w:before="0" w:line="360" w:lineRule="auto"/>
        <w:ind w:left="0"/>
        <w:outlineLvl w:val="1"/>
        <w:rPr>
          <w:b/>
          <w:bCs/>
          <w:color w:val="auto"/>
          <w:sz w:val="21"/>
          <w:szCs w:val="21"/>
          <w:highlight w:val="none"/>
          <w:lang w:val="en-US"/>
        </w:rPr>
      </w:pPr>
      <w:bookmarkStart w:id="177" w:name="_Toc27439"/>
      <w:r>
        <w:rPr>
          <w:rFonts w:hint="eastAsia"/>
          <w:b/>
          <w:bCs/>
          <w:color w:val="auto"/>
          <w:sz w:val="21"/>
          <w:szCs w:val="21"/>
          <w:highlight w:val="none"/>
          <w:lang w:val="en-US"/>
        </w:rPr>
        <w:t>4、法定代表人授权书</w:t>
      </w:r>
      <w:bookmarkEnd w:id="177"/>
    </w:p>
    <w:p>
      <w:pPr>
        <w:spacing w:line="360" w:lineRule="auto"/>
        <w:outlineLvl w:val="1"/>
        <w:rPr>
          <w:rFonts w:ascii="宋体" w:hAnsi="宋体" w:cs="宋体"/>
          <w:b/>
          <w:bCs/>
          <w:color w:val="auto"/>
          <w:szCs w:val="21"/>
          <w:highlight w:val="none"/>
        </w:rPr>
      </w:pPr>
      <w:bookmarkStart w:id="178" w:name="_Toc16304"/>
      <w:r>
        <w:rPr>
          <w:rFonts w:hint="eastAsia" w:ascii="宋体" w:hAnsi="宋体" w:cs="宋体"/>
          <w:b/>
          <w:bCs/>
          <w:color w:val="auto"/>
          <w:szCs w:val="21"/>
          <w:highlight w:val="none"/>
        </w:rPr>
        <w:t>5、投标保证金</w:t>
      </w:r>
      <w:bookmarkEnd w:id="178"/>
    </w:p>
    <w:p>
      <w:pPr>
        <w:rPr>
          <w:color w:val="auto"/>
          <w:highlight w:val="none"/>
        </w:rPr>
      </w:pPr>
    </w:p>
    <w:p>
      <w:pPr>
        <w:pStyle w:val="8"/>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179" w:name="_Toc2722"/>
      <w:r>
        <w:rPr>
          <w:rFonts w:hint="eastAsia"/>
          <w:color w:val="auto"/>
          <w:highlight w:val="none"/>
        </w:rPr>
        <w:t>第八篇 其它文件格式（如有需要）</w:t>
      </w:r>
      <w:bookmarkEnd w:id="179"/>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8"/>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8"/>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8"/>
        <w:tabs>
          <w:tab w:val="left" w:pos="10713"/>
        </w:tabs>
        <w:autoSpaceDE w:val="0"/>
        <w:autoSpaceDN w:val="0"/>
        <w:spacing w:before="0" w:line="360" w:lineRule="auto"/>
        <w:ind w:left="0" w:firstLine="420" w:firstLineChars="200"/>
        <w:rPr>
          <w:color w:val="auto"/>
          <w:sz w:val="21"/>
          <w:szCs w:val="21"/>
          <w:highlight w:val="none"/>
        </w:rPr>
      </w:pP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8"/>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8"/>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8"/>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8"/>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8"/>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8"/>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8"/>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8"/>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8"/>
        <w:tabs>
          <w:tab w:val="left" w:pos="3165"/>
          <w:tab w:val="left" w:pos="5818"/>
        </w:tabs>
        <w:autoSpaceDE w:val="0"/>
        <w:autoSpaceDN w:val="0"/>
        <w:spacing w:line="360" w:lineRule="auto"/>
        <w:ind w:left="0" w:firstLine="420" w:firstLineChars="200"/>
        <w:rPr>
          <w:color w:val="auto"/>
          <w:sz w:val="21"/>
          <w:szCs w:val="21"/>
          <w:highlight w:val="none"/>
        </w:rPr>
      </w:pPr>
    </w:p>
    <w:p>
      <w:pPr>
        <w:pStyle w:val="8"/>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8"/>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8"/>
        <w:autoSpaceDE w:val="0"/>
        <w:autoSpaceDN w:val="0"/>
        <w:spacing w:line="360" w:lineRule="auto"/>
        <w:ind w:left="0" w:firstLine="420" w:firstLineChars="200"/>
        <w:rPr>
          <w:color w:val="auto"/>
          <w:sz w:val="21"/>
          <w:szCs w:val="21"/>
          <w:highlight w:val="none"/>
        </w:rPr>
      </w:pP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0"/>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8"/>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8"/>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3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思源黑体 CN Heavy">
    <w:altName w:val="黑体"/>
    <w:panose1 w:val="000000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GDQ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r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UdrKv3&#10;VfcAY2hZ2OoHy2OaKJW3q0OAtEnxKFCnCjoVDxjE1LN+aeKk/3lOUU9/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YGDQI5AgAAcAQAAA4AAAAAAAAAAQAgAAAAHwEAAGRycy9lMm9Eb2Mu&#10;eG1sUEsFBgAAAAAGAAYAWQEAAMo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eastAsia" w:eastAsia="宋体"/>
        <w:lang w:eastAsia="zh-CN"/>
      </w:rPr>
    </w:pPr>
    <w:r>
      <w:rPr>
        <w:rFonts w:hint="eastAsia"/>
        <w:lang w:eastAsia="zh-CN"/>
      </w:rPr>
      <w:t>东莞市横沥镇第二小学图书馆定制商品类（书柜、家具等）购置项目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D7C7"/>
    <w:multiLevelType w:val="singleLevel"/>
    <w:tmpl w:val="90A2D7C7"/>
    <w:lvl w:ilvl="0" w:tentative="0">
      <w:start w:val="1"/>
      <w:numFmt w:val="decimal"/>
      <w:suff w:val="nothing"/>
      <w:lvlText w:val="%1、"/>
      <w:lvlJc w:val="left"/>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E55BFF18"/>
    <w:multiLevelType w:val="singleLevel"/>
    <w:tmpl w:val="E55BFF18"/>
    <w:lvl w:ilvl="0" w:tentative="0">
      <w:start w:val="1"/>
      <w:numFmt w:val="decimal"/>
      <w:suff w:val="nothing"/>
      <w:lvlText w:val="（%1）"/>
      <w:lvlJc w:val="left"/>
    </w:lvl>
  </w:abstractNum>
  <w:abstractNum w:abstractNumId="3">
    <w:nsid w:val="F3851CDE"/>
    <w:multiLevelType w:val="singleLevel"/>
    <w:tmpl w:val="F3851CDE"/>
    <w:lvl w:ilvl="0" w:tentative="0">
      <w:start w:val="2"/>
      <w:numFmt w:val="chineseCounting"/>
      <w:suff w:val="nothing"/>
      <w:lvlText w:val="%1、"/>
      <w:lvlJc w:val="left"/>
      <w:rPr>
        <w:rFonts w:hint="eastAsia"/>
      </w:rPr>
    </w:lvl>
  </w:abstractNum>
  <w:abstractNum w:abstractNumId="4">
    <w:nsid w:val="F73DC5D7"/>
    <w:multiLevelType w:val="singleLevel"/>
    <w:tmpl w:val="F73DC5D7"/>
    <w:lvl w:ilvl="0" w:tentative="0">
      <w:start w:val="1"/>
      <w:numFmt w:val="decimal"/>
      <w:suff w:val="nothing"/>
      <w:lvlText w:val="（%1）"/>
      <w:lvlJc w:val="left"/>
      <w:pPr>
        <w:ind w:left="66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F88662E"/>
    <w:multiLevelType w:val="singleLevel"/>
    <w:tmpl w:val="3F88662E"/>
    <w:lvl w:ilvl="0" w:tentative="0">
      <w:start w:val="1"/>
      <w:numFmt w:val="decimal"/>
      <w:suff w:val="space"/>
      <w:lvlText w:val="%1)"/>
      <w:lvlJc w:val="left"/>
    </w:lvl>
  </w:abstractNum>
  <w:num w:numId="1">
    <w:abstractNumId w:val="1"/>
  </w:num>
  <w:num w:numId="2">
    <w:abstractNumId w:val="7"/>
  </w:num>
  <w:num w:numId="3">
    <w:abstractNumId w:val="0"/>
  </w:num>
  <w:num w:numId="4">
    <w:abstractNumId w:val="2"/>
  </w:num>
  <w:num w:numId="5">
    <w:abstractNumId w:val="3"/>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7754C9"/>
    <w:rsid w:val="02E16409"/>
    <w:rsid w:val="03DB3CD5"/>
    <w:rsid w:val="0428632B"/>
    <w:rsid w:val="057C5CF6"/>
    <w:rsid w:val="05BE394B"/>
    <w:rsid w:val="07342FC6"/>
    <w:rsid w:val="08F278CA"/>
    <w:rsid w:val="09B5710F"/>
    <w:rsid w:val="0AAB1D08"/>
    <w:rsid w:val="0B5B7E94"/>
    <w:rsid w:val="0B696582"/>
    <w:rsid w:val="0C502C33"/>
    <w:rsid w:val="0CD41D0B"/>
    <w:rsid w:val="0EE44FB1"/>
    <w:rsid w:val="0F1622A5"/>
    <w:rsid w:val="121918AE"/>
    <w:rsid w:val="126E350F"/>
    <w:rsid w:val="15380D0C"/>
    <w:rsid w:val="161909DD"/>
    <w:rsid w:val="18062A99"/>
    <w:rsid w:val="1BBB674D"/>
    <w:rsid w:val="1BE705BF"/>
    <w:rsid w:val="1DB725C0"/>
    <w:rsid w:val="1E440D57"/>
    <w:rsid w:val="20332F5E"/>
    <w:rsid w:val="209314D4"/>
    <w:rsid w:val="21050EBA"/>
    <w:rsid w:val="23477A98"/>
    <w:rsid w:val="244868B3"/>
    <w:rsid w:val="269A0871"/>
    <w:rsid w:val="296F69DB"/>
    <w:rsid w:val="2A213986"/>
    <w:rsid w:val="2D3A4F1C"/>
    <w:rsid w:val="2DE33D62"/>
    <w:rsid w:val="2E462ABD"/>
    <w:rsid w:val="2F4F681A"/>
    <w:rsid w:val="2FE55D43"/>
    <w:rsid w:val="30C474C2"/>
    <w:rsid w:val="3158095E"/>
    <w:rsid w:val="31ED0D4A"/>
    <w:rsid w:val="32243FC1"/>
    <w:rsid w:val="34BE4BEB"/>
    <w:rsid w:val="35C1129C"/>
    <w:rsid w:val="366B3EFE"/>
    <w:rsid w:val="36CD5FE4"/>
    <w:rsid w:val="372D3A3D"/>
    <w:rsid w:val="373F6180"/>
    <w:rsid w:val="37423885"/>
    <w:rsid w:val="37A82279"/>
    <w:rsid w:val="38D064F5"/>
    <w:rsid w:val="3B2A432E"/>
    <w:rsid w:val="3C8E00EA"/>
    <w:rsid w:val="3E0202C6"/>
    <w:rsid w:val="43143B39"/>
    <w:rsid w:val="438833C2"/>
    <w:rsid w:val="468A6BFD"/>
    <w:rsid w:val="47735BD0"/>
    <w:rsid w:val="47BB609D"/>
    <w:rsid w:val="47CA196A"/>
    <w:rsid w:val="481D3236"/>
    <w:rsid w:val="498145E0"/>
    <w:rsid w:val="4BE07E65"/>
    <w:rsid w:val="4C573AD4"/>
    <w:rsid w:val="4DAA2866"/>
    <w:rsid w:val="4F2676D5"/>
    <w:rsid w:val="5112378D"/>
    <w:rsid w:val="525B07C5"/>
    <w:rsid w:val="52E14EC4"/>
    <w:rsid w:val="53F51E89"/>
    <w:rsid w:val="57EE60DD"/>
    <w:rsid w:val="593C536A"/>
    <w:rsid w:val="59CC3158"/>
    <w:rsid w:val="5A3B2A1F"/>
    <w:rsid w:val="5B812734"/>
    <w:rsid w:val="5BE04967"/>
    <w:rsid w:val="5C015C21"/>
    <w:rsid w:val="5D744988"/>
    <w:rsid w:val="5E720F58"/>
    <w:rsid w:val="60B62A58"/>
    <w:rsid w:val="622349C8"/>
    <w:rsid w:val="64344366"/>
    <w:rsid w:val="64D3048A"/>
    <w:rsid w:val="65851F87"/>
    <w:rsid w:val="66CA48D2"/>
    <w:rsid w:val="687065DC"/>
    <w:rsid w:val="69FB3BA8"/>
    <w:rsid w:val="6BD53AA5"/>
    <w:rsid w:val="6E003853"/>
    <w:rsid w:val="6ECE5FF3"/>
    <w:rsid w:val="6ED74C74"/>
    <w:rsid w:val="6F566CB3"/>
    <w:rsid w:val="6FE10E88"/>
    <w:rsid w:val="7152191D"/>
    <w:rsid w:val="717F42C4"/>
    <w:rsid w:val="74951BFB"/>
    <w:rsid w:val="74F71418"/>
    <w:rsid w:val="79D81617"/>
    <w:rsid w:val="7B001B00"/>
    <w:rsid w:val="7B017C91"/>
    <w:rsid w:val="7EA32264"/>
    <w:rsid w:val="7F2D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1"/>
    <w:qFormat/>
    <w:uiPriority w:val="0"/>
    <w:pPr>
      <w:keepNext/>
      <w:keepLines/>
      <w:spacing w:line="576" w:lineRule="auto"/>
      <w:jc w:val="center"/>
      <w:outlineLvl w:val="0"/>
    </w:pPr>
    <w:rPr>
      <w:b/>
      <w:kern w:val="44"/>
      <w:sz w:val="30"/>
    </w:rPr>
  </w:style>
  <w:style w:type="paragraph" w:styleId="2">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4">
    <w:name w:val="heading 3"/>
    <w:basedOn w:val="1"/>
    <w:next w:val="1"/>
    <w:unhideWhenUsed/>
    <w:qFormat/>
    <w:uiPriority w:val="0"/>
    <w:pPr>
      <w:keepNext/>
      <w:keepLines/>
      <w:spacing w:line="360" w:lineRule="auto"/>
      <w:outlineLvl w:val="2"/>
    </w:pPr>
    <w:rPr>
      <w:b/>
    </w:rPr>
  </w:style>
  <w:style w:type="paragraph" w:styleId="5">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7">
    <w:name w:val="annotation text"/>
    <w:basedOn w:val="1"/>
    <w:qFormat/>
    <w:uiPriority w:val="0"/>
  </w:style>
  <w:style w:type="paragraph" w:styleId="8">
    <w:name w:val="Body Text"/>
    <w:basedOn w:val="1"/>
    <w:next w:val="1"/>
    <w:qFormat/>
    <w:uiPriority w:val="1"/>
    <w:pPr>
      <w:spacing w:before="161"/>
      <w:ind w:left="120"/>
    </w:pPr>
    <w:rPr>
      <w:rFonts w:ascii="宋体" w:hAnsi="宋体" w:cs="宋体"/>
      <w:sz w:val="24"/>
      <w:lang w:val="zh-CN" w:bidi="zh-CN"/>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eastAsiaTheme="minorEastAsia"/>
      <w:szCs w:val="22"/>
    </w:rPr>
  </w:style>
  <w:style w:type="paragraph" w:styleId="11">
    <w:name w:val="Balloon Text"/>
    <w:basedOn w:val="1"/>
    <w:link w:val="28"/>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First Indent 2"/>
    <w:basedOn w:val="9"/>
    <w:qFormat/>
    <w:uiPriority w:val="0"/>
    <w:pPr>
      <w:spacing w:line="360" w:lineRule="auto"/>
      <w:ind w:firstLine="420" w:firstLineChars="200"/>
    </w:pPr>
    <w:rPr>
      <w:bCs/>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99"/>
    <w:rPr>
      <w:color w:val="0000FF"/>
      <w:u w:val="single"/>
    </w:rPr>
  </w:style>
  <w:style w:type="character" w:styleId="19">
    <w:name w:val="annotation reference"/>
    <w:basedOn w:val="17"/>
    <w:qFormat/>
    <w:uiPriority w:val="0"/>
    <w:rPr>
      <w:sz w:val="21"/>
      <w:szCs w:val="21"/>
    </w:rPr>
  </w:style>
  <w:style w:type="paragraph" w:styleId="20">
    <w:name w:val="List Paragraph"/>
    <w:basedOn w:val="1"/>
    <w:qFormat/>
    <w:uiPriority w:val="34"/>
    <w:pPr>
      <w:ind w:firstLine="420" w:firstLineChars="200"/>
    </w:pPr>
  </w:style>
  <w:style w:type="character" w:customStyle="1" w:styleId="21">
    <w:name w:val="标题 1 Char"/>
    <w:link w:val="3"/>
    <w:qFormat/>
    <w:uiPriority w:val="0"/>
    <w:rPr>
      <w:b/>
      <w:kern w:val="44"/>
      <w:sz w:val="30"/>
    </w:rPr>
  </w:style>
  <w:style w:type="paragraph" w:customStyle="1" w:styleId="22">
    <w:name w:val="Table Paragraph"/>
    <w:basedOn w:val="1"/>
    <w:qFormat/>
    <w:uiPriority w:val="1"/>
  </w:style>
  <w:style w:type="paragraph" w:customStyle="1" w:styleId="23">
    <w:name w:val="正文缩进2格"/>
    <w:basedOn w:val="1"/>
    <w:next w:val="1"/>
    <w:qFormat/>
    <w:uiPriority w:val="0"/>
    <w:pPr>
      <w:spacing w:line="600" w:lineRule="exact"/>
      <w:ind w:firstLine="639" w:firstLineChars="206"/>
      <w:jc w:val="both"/>
    </w:pPr>
    <w:rPr>
      <w:rFonts w:ascii="仿宋_GB2312" w:hAnsi="宋体" w:eastAsia="仿宋_GB2312"/>
      <w:sz w:val="31"/>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7">
    <w:name w:val="列出段落1"/>
    <w:basedOn w:val="1"/>
    <w:qFormat/>
    <w:uiPriority w:val="0"/>
    <w:pPr>
      <w:ind w:firstLine="420" w:firstLineChars="200"/>
    </w:pPr>
    <w:rPr>
      <w:rFonts w:ascii="Calibri" w:hAnsi="Calibri"/>
      <w:kern w:val="0"/>
      <w:sz w:val="20"/>
      <w:szCs w:val="20"/>
    </w:rPr>
  </w:style>
  <w:style w:type="character" w:customStyle="1" w:styleId="28">
    <w:name w:val="批注框文本 Char"/>
    <w:basedOn w:val="17"/>
    <w:link w:val="11"/>
    <w:qFormat/>
    <w:uiPriority w:val="0"/>
    <w:rPr>
      <w:rFonts w:asciiTheme="minorHAnsi" w:hAnsiTheme="minorHAnsi" w:cstheme="minorBidi"/>
      <w:kern w:val="2"/>
      <w:sz w:val="18"/>
      <w:szCs w:val="18"/>
    </w:rPr>
  </w:style>
  <w:style w:type="paragraph" w:customStyle="1" w:styleId="29">
    <w:name w:val="Other|1"/>
    <w:basedOn w:val="1"/>
    <w:qFormat/>
    <w:uiPriority w:val="0"/>
    <w:pPr>
      <w:jc w:val="center"/>
    </w:pPr>
    <w:rPr>
      <w:rFonts w:ascii="宋体" w:hAnsi="宋体" w:cs="宋体"/>
      <w:sz w:val="14"/>
      <w:szCs w:val="14"/>
      <w:lang w:val="zh-TW" w:eastAsia="zh-TW" w:bidi="zh-TW"/>
    </w:rPr>
  </w:style>
  <w:style w:type="paragraph" w:customStyle="1" w:styleId="30">
    <w:name w:val="Char"/>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1">
    <w:name w:val="List Paragraph1"/>
    <w:basedOn w:val="1"/>
    <w:qFormat/>
    <w:uiPriority w:val="0"/>
    <w:pPr>
      <w:widowControl w:val="0"/>
      <w:adjustRightInd/>
      <w:snapToGrid/>
      <w:spacing w:after="0"/>
      <w:ind w:firstLine="420" w:firstLineChars="200"/>
      <w:jc w:val="both"/>
    </w:pPr>
    <w:rPr>
      <w:rFonts w:ascii="Calibri" w:hAnsi="Calibri"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68</Pages>
  <Words>30932</Words>
  <Characters>32250</Characters>
  <Lines>343</Lines>
  <Paragraphs>96</Paragraphs>
  <TotalTime>1</TotalTime>
  <ScaleCrop>false</ScaleCrop>
  <LinksUpToDate>false</LinksUpToDate>
  <CharactersWithSpaces>33872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2023-06-16T01:30:00Z</cp:lastPrinted>
  <dcterms:modified xsi:type="dcterms:W3CDTF">2023-06-19T01:30:54Z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864CB2E623FF4317B5C97010C9DF6CC4_13</vt:lpwstr>
  </property>
</Properties>
</file>