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p>
    <w:p>
      <w:pPr>
        <w:jc w:val="center"/>
        <w:rPr>
          <w:color w:val="auto"/>
          <w:highlight w:val="none"/>
        </w:rPr>
      </w:pPr>
    </w:p>
    <w:p>
      <w:pPr>
        <w:jc w:val="center"/>
        <w:rPr>
          <w:color w:val="auto"/>
          <w:highlight w:val="none"/>
        </w:rPr>
      </w:pPr>
    </w:p>
    <w:p>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8" cstate="print"/>
                    <a:stretch>
                      <a:fillRect/>
                    </a:stretch>
                  </pic:blipFill>
                  <pic:spPr>
                    <a:xfrm>
                      <a:off x="0" y="0"/>
                      <a:ext cx="1563370" cy="1588135"/>
                    </a:xfrm>
                    <a:prstGeom prst="rect">
                      <a:avLst/>
                    </a:prstGeom>
                  </pic:spPr>
                </pic:pic>
              </a:graphicData>
            </a:graphic>
          </wp:inline>
        </w:drawing>
      </w:r>
    </w:p>
    <w:p>
      <w:pPr>
        <w:rPr>
          <w:color w:val="auto"/>
          <w:highlight w:val="none"/>
        </w:rPr>
      </w:pPr>
    </w:p>
    <w:p>
      <w:pPr>
        <w:rPr>
          <w:color w:val="auto"/>
          <w:highlight w:val="none"/>
        </w:rPr>
      </w:pP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5"/>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exact"/>
        </w:trPr>
        <w:tc>
          <w:tcPr>
            <w:tcW w:w="1347"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652"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东莞市天雅园林绿化有限公司苗木协议供应商服务资格采购项目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47"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652"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GSDG2023-011C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47"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652" w:type="pct"/>
            <w:tcBorders>
              <w:top w:val="nil"/>
              <w:left w:val="nil"/>
              <w:bottom w:val="nil"/>
              <w:right w:val="nil"/>
            </w:tcBorders>
            <w:vAlign w:val="center"/>
          </w:tcPr>
          <w:p>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东莞市天雅园林绿化有限公司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47"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652" w:type="pct"/>
            <w:tcBorders>
              <w:top w:val="nil"/>
              <w:left w:val="nil"/>
              <w:bottom w:val="nil"/>
              <w:right w:val="nil"/>
            </w:tcBorders>
            <w:vAlign w:val="center"/>
          </w:tcPr>
          <w:p>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pPr>
        <w:rPr>
          <w:color w:val="auto"/>
          <w:highlight w:val="none"/>
        </w:rPr>
      </w:pPr>
    </w:p>
    <w:p>
      <w:pPr>
        <w:rPr>
          <w:color w:val="auto"/>
          <w:highlight w:val="none"/>
        </w:rPr>
      </w:pPr>
    </w:p>
    <w:p>
      <w:pPr>
        <w:jc w:val="center"/>
        <w:rPr>
          <w:color w:val="auto"/>
          <w:sz w:val="24"/>
          <w:szCs w:val="32"/>
          <w:highlight w:val="none"/>
        </w:rPr>
      </w:pPr>
    </w:p>
    <w:p>
      <w:pPr>
        <w:jc w:val="center"/>
        <w:rPr>
          <w:color w:val="auto"/>
          <w:sz w:val="24"/>
          <w:szCs w:val="32"/>
          <w:highlight w:val="none"/>
        </w:rPr>
      </w:pPr>
    </w:p>
    <w:p>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3</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6</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1</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pPr>
            <w:jc w:val="center"/>
            <w:rPr>
              <w:b/>
              <w:bCs/>
              <w:color w:val="auto"/>
              <w:sz w:val="24"/>
              <w:szCs w:val="32"/>
              <w:highlight w:val="none"/>
            </w:rPr>
          </w:pPr>
          <w:r>
            <w:rPr>
              <w:rFonts w:ascii="宋体" w:hAnsi="宋体"/>
              <w:b/>
              <w:bCs/>
              <w:color w:val="auto"/>
              <w:sz w:val="24"/>
              <w:szCs w:val="32"/>
              <w:highlight w:val="none"/>
            </w:rPr>
            <w:t>目录</w:t>
          </w:r>
        </w:p>
        <w:p>
          <w:pPr>
            <w:pStyle w:val="30"/>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pPr>
            <w:pStyle w:val="30"/>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30"/>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31"/>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31"/>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本项目不收取投标保证金</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32"/>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30"/>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30"/>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30"/>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30"/>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30"/>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30"/>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pPr>
        <w:pStyle w:val="3"/>
        <w:numPr>
          <w:ilvl w:val="0"/>
          <w:numId w:val="2"/>
        </w:numPr>
        <w:rPr>
          <w:color w:val="auto"/>
          <w:highlight w:val="none"/>
        </w:rPr>
      </w:pPr>
      <w:bookmarkStart w:id="3" w:name="_Toc6185"/>
      <w:r>
        <w:rPr>
          <w:rFonts w:hint="eastAsia"/>
          <w:color w:val="auto"/>
          <w:highlight w:val="none"/>
        </w:rPr>
        <w:t>投标邀请</w:t>
      </w:r>
      <w:bookmarkEnd w:id="3"/>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东莞市天雅园林绿化有限公司苗木协议供应商服务资格采购项目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东莞市南城街道鸿福西路81号国际商会大厦13A01室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25</w:t>
      </w:r>
      <w:bookmarkStart w:id="182" w:name="_GoBack"/>
      <w:bookmarkEnd w:id="182"/>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15</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00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pStyle w:val="2"/>
        <w:spacing w:line="360" w:lineRule="auto"/>
        <w:jc w:val="left"/>
        <w:rPr>
          <w:rFonts w:ascii="宋体" w:hAnsi="宋体" w:cs="宋体"/>
          <w:bCs/>
          <w:color w:val="auto"/>
          <w:sz w:val="21"/>
          <w:szCs w:val="21"/>
          <w:highlight w:val="none"/>
        </w:rPr>
      </w:pPr>
      <w:bookmarkStart w:id="4" w:name="_Toc28359002"/>
      <w:bookmarkStart w:id="5" w:name="_Toc28359079"/>
      <w:bookmarkStart w:id="6" w:name="_Toc35393621"/>
      <w:bookmarkStart w:id="7" w:name="_Toc2169"/>
      <w:bookmarkStart w:id="8" w:name="_Toc35393790"/>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GSDG2023-011C</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东莞市天雅园林绿化有限公司苗木协议供应商服务资格采购项目</w:t>
      </w:r>
    </w:p>
    <w:bookmarkEnd w:id="9"/>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pPr>
        <w:numPr>
          <w:ilvl w:val="0"/>
          <w:numId w:val="3"/>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9"/>
        <w:tblW w:w="90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5594"/>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4" w:type="dxa"/>
            <w:vAlign w:val="center"/>
          </w:tcPr>
          <w:p>
            <w:pPr>
              <w:spacing w:line="360" w:lineRule="auto"/>
              <w:jc w:val="center"/>
              <w:rPr>
                <w:rFonts w:hAnsi="宋体"/>
                <w:color w:val="auto"/>
                <w:szCs w:val="21"/>
                <w:highlight w:val="none"/>
              </w:rPr>
            </w:pPr>
            <w:r>
              <w:rPr>
                <w:rFonts w:hint="eastAsia" w:hAnsi="宋体"/>
                <w:color w:val="auto"/>
                <w:szCs w:val="21"/>
                <w:highlight w:val="none"/>
              </w:rPr>
              <w:t>包号</w:t>
            </w:r>
          </w:p>
        </w:tc>
        <w:tc>
          <w:tcPr>
            <w:tcW w:w="5594" w:type="dxa"/>
            <w:vAlign w:val="center"/>
          </w:tcPr>
          <w:p>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2408" w:type="dxa"/>
            <w:vAlign w:val="center"/>
          </w:tcPr>
          <w:p>
            <w:pPr>
              <w:spacing w:line="360" w:lineRule="auto"/>
              <w:jc w:val="center"/>
              <w:rPr>
                <w:rFonts w:hint="default" w:hAnsi="宋体" w:eastAsia="宋体"/>
                <w:b/>
                <w:color w:val="auto"/>
                <w:szCs w:val="21"/>
                <w:highlight w:val="none"/>
                <w:lang w:val="en-US" w:eastAsia="zh-CN"/>
              </w:rPr>
            </w:pPr>
            <w:r>
              <w:rPr>
                <w:rFonts w:hint="eastAsia" w:hAnsi="宋体"/>
                <w:b/>
                <w:color w:val="auto"/>
                <w:szCs w:val="21"/>
                <w:highlight w:val="none"/>
                <w:lang w:val="en-US" w:eastAsia="zh-CN"/>
              </w:rPr>
              <w:t>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044" w:type="dxa"/>
            <w:vAlign w:val="center"/>
          </w:tcPr>
          <w:p>
            <w:pPr>
              <w:spacing w:line="360" w:lineRule="auto"/>
              <w:jc w:val="center"/>
              <w:rPr>
                <w:rFonts w:hAnsi="宋体"/>
                <w:color w:val="auto"/>
                <w:szCs w:val="21"/>
                <w:highlight w:val="none"/>
              </w:rPr>
            </w:pPr>
            <w:r>
              <w:rPr>
                <w:rFonts w:hint="eastAsia" w:hAnsi="宋体"/>
                <w:color w:val="auto"/>
                <w:szCs w:val="21"/>
                <w:highlight w:val="none"/>
              </w:rPr>
              <w:t>包A</w:t>
            </w:r>
          </w:p>
        </w:tc>
        <w:tc>
          <w:tcPr>
            <w:tcW w:w="5594" w:type="dxa"/>
            <w:vAlign w:val="center"/>
          </w:tcPr>
          <w:p>
            <w:pPr>
              <w:spacing w:line="360" w:lineRule="auto"/>
              <w:jc w:val="center"/>
              <w:rPr>
                <w:rFonts w:hint="eastAsia" w:hAnsi="宋体" w:eastAsia="宋体"/>
                <w:color w:val="auto"/>
                <w:szCs w:val="21"/>
                <w:highlight w:val="none"/>
                <w:lang w:eastAsia="zh-CN"/>
              </w:rPr>
            </w:pPr>
            <w:r>
              <w:rPr>
                <w:rFonts w:hint="eastAsia" w:hAnsi="宋体"/>
                <w:color w:val="auto"/>
                <w:szCs w:val="21"/>
                <w:highlight w:val="none"/>
                <w:lang w:eastAsia="zh-CN"/>
              </w:rPr>
              <w:t>东莞市天雅园林绿化有限公司苗木协议供应商服务资格采购项目</w:t>
            </w:r>
          </w:p>
        </w:tc>
        <w:tc>
          <w:tcPr>
            <w:tcW w:w="2408" w:type="dxa"/>
            <w:vAlign w:val="center"/>
          </w:tcPr>
          <w:p>
            <w:pPr>
              <w:spacing w:line="360" w:lineRule="auto"/>
              <w:jc w:val="center"/>
              <w:rPr>
                <w:rFonts w:hint="default" w:hAnsi="宋体" w:eastAsia="宋体"/>
                <w:color w:val="auto"/>
                <w:szCs w:val="21"/>
                <w:highlight w:val="none"/>
                <w:lang w:val="en-US" w:eastAsia="zh-CN"/>
              </w:rPr>
            </w:pPr>
            <w:r>
              <w:rPr>
                <w:rFonts w:hint="eastAsia" w:hAnsi="宋体"/>
                <w:color w:val="auto"/>
                <w:szCs w:val="21"/>
                <w:highlight w:val="none"/>
                <w:lang w:val="en-US" w:eastAsia="zh-CN"/>
              </w:rPr>
              <w:t>两家</w:t>
            </w: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3、合同履行期限：</w:t>
      </w:r>
      <w:r>
        <w:rPr>
          <w:rFonts w:hint="eastAsia" w:ascii="宋体" w:hAnsi="宋体" w:cs="宋体"/>
          <w:color w:val="auto"/>
          <w:sz w:val="21"/>
          <w:szCs w:val="21"/>
          <w:highlight w:val="none"/>
          <w:lang w:eastAsia="zh-CN"/>
        </w:rPr>
        <w:t>合同签订</w:t>
      </w:r>
      <w:r>
        <w:rPr>
          <w:rFonts w:hint="eastAsia" w:ascii="宋体" w:hAnsi="宋体" w:cs="宋体"/>
          <w:color w:val="auto"/>
          <w:sz w:val="21"/>
          <w:szCs w:val="21"/>
          <w:highlight w:val="none"/>
          <w:lang w:val="en-US" w:eastAsia="zh-CN"/>
        </w:rPr>
        <w:t>之日起1年</w:t>
      </w:r>
      <w:r>
        <w:rPr>
          <w:rFonts w:hint="eastAsia" w:ascii="宋体" w:hAnsi="宋体" w:cs="宋体"/>
          <w:color w:val="auto"/>
          <w:sz w:val="21"/>
          <w:szCs w:val="21"/>
          <w:highlight w:val="none"/>
          <w:lang w:eastAsia="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pPr>
        <w:pStyle w:val="2"/>
        <w:spacing w:line="360" w:lineRule="auto"/>
        <w:jc w:val="left"/>
        <w:rPr>
          <w:rFonts w:ascii="宋体" w:hAnsi="宋体" w:cs="宋体"/>
          <w:b w:val="0"/>
          <w:color w:val="auto"/>
          <w:sz w:val="21"/>
          <w:szCs w:val="21"/>
          <w:highlight w:val="none"/>
        </w:rPr>
      </w:pPr>
      <w:bookmarkStart w:id="10" w:name="_Toc25198"/>
      <w:bookmarkStart w:id="11" w:name="_Toc35393791"/>
      <w:bookmarkStart w:id="12" w:name="_Toc35393622"/>
      <w:bookmarkStart w:id="13" w:name="_Toc28359080"/>
      <w:bookmarkStart w:id="14" w:name="_Toc28359003"/>
      <w:r>
        <w:rPr>
          <w:rFonts w:hint="eastAsia" w:ascii="宋体" w:hAnsi="宋体" w:cs="宋体"/>
          <w:bCs/>
          <w:color w:val="auto"/>
          <w:sz w:val="21"/>
          <w:szCs w:val="21"/>
          <w:highlight w:val="none"/>
        </w:rPr>
        <w:t>二、申请人的资格要求：</w:t>
      </w:r>
      <w:bookmarkEnd w:id="10"/>
      <w:bookmarkEnd w:id="11"/>
      <w:bookmarkEnd w:id="12"/>
      <w:bookmarkEnd w:id="13"/>
      <w:bookmarkEnd w:id="14"/>
    </w:p>
    <w:p>
      <w:pPr>
        <w:spacing w:after="0" w:line="360" w:lineRule="auto"/>
        <w:ind w:firstLine="411" w:firstLineChars="196"/>
        <w:rPr>
          <w:rFonts w:ascii="宋体" w:hAnsi="宋体" w:eastAsia="宋体"/>
          <w:color w:val="auto"/>
          <w:sz w:val="21"/>
          <w:szCs w:val="21"/>
        </w:rPr>
      </w:pPr>
      <w:bookmarkStart w:id="15" w:name="_Toc35393623"/>
      <w:bookmarkStart w:id="16" w:name="_Toc28359081"/>
      <w:bookmarkStart w:id="17" w:name="_Toc35393792"/>
      <w:bookmarkStart w:id="18" w:name="_Toc28359004"/>
      <w:bookmarkStart w:id="19" w:name="_Toc173"/>
      <w:r>
        <w:rPr>
          <w:rFonts w:hint="eastAsia" w:ascii="宋体" w:hAnsi="宋体" w:eastAsia="宋体"/>
          <w:color w:val="auto"/>
          <w:sz w:val="21"/>
          <w:szCs w:val="21"/>
        </w:rPr>
        <w:t>1、一般要求：</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color w:val="auto"/>
          <w:szCs w:val="21"/>
        </w:rPr>
        <w:t>（1）投标人须为在中华人民共和国境内登记注册的具有独立承担民事责任能力的法人或其他组织</w:t>
      </w:r>
      <w:r>
        <w:rPr>
          <w:rFonts w:hint="eastAsia" w:ascii="宋体" w:hAnsi="宋体"/>
          <w:color w:val="auto"/>
          <w:szCs w:val="21"/>
          <w:lang w:val="en-US" w:eastAsia="zh-CN"/>
        </w:rPr>
        <w:t>或自然人</w:t>
      </w:r>
      <w:r>
        <w:rPr>
          <w:rFonts w:hint="eastAsia" w:ascii="宋体" w:hAnsi="宋体"/>
          <w:color w:val="auto"/>
          <w:szCs w:val="21"/>
          <w:lang w:eastAsia="zh-CN"/>
        </w:rPr>
        <w:t>。</w:t>
      </w:r>
      <w:r>
        <w:rPr>
          <w:rFonts w:hint="eastAsia" w:ascii="宋体" w:hAnsi="宋体" w:eastAsia="宋体" w:cs="宋体"/>
          <w:color w:val="auto"/>
          <w:sz w:val="21"/>
          <w:szCs w:val="21"/>
          <w:highlight w:val="none"/>
        </w:rPr>
        <w:t>分支机构投标的，须提供总公司和分公司营业执照副本复印件，总公司出具给分支机构的授权书。</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（2）参加采购活动前三年内，在经营活动中没有重大违法记录（提供书面声明）；</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 xml:space="preserve">（3）投标人的单位负责人为同一人或者存在直接控股、管理关系的不同投标人，不得参加同一合同项下的采购活动。为本项目提供整体设计、规范编制或者项目管理、监理、检测等服务的投标人，不得参加本采购项目的采购活动； </w:t>
      </w:r>
    </w:p>
    <w:p>
      <w:pPr>
        <w:spacing w:after="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5</w:t>
      </w:r>
      <w:r>
        <w:rPr>
          <w:rFonts w:hint="eastAsia" w:ascii="宋体" w:hAnsi="宋体" w:eastAsia="宋体"/>
          <w:color w:val="auto"/>
          <w:sz w:val="21"/>
          <w:szCs w:val="21"/>
        </w:rPr>
        <w:t>）本项目（是/否）接受联合体投标：否</w:t>
      </w:r>
    </w:p>
    <w:p>
      <w:pPr>
        <w:pStyle w:val="2"/>
        <w:spacing w:line="360" w:lineRule="auto"/>
        <w:jc w:val="left"/>
        <w:rPr>
          <w:rFonts w:ascii="宋体" w:hAnsi="宋体" w:cs="宋体"/>
          <w:bCs/>
          <w:color w:val="auto"/>
          <w:sz w:val="21"/>
          <w:szCs w:val="21"/>
          <w:highlight w:val="none"/>
        </w:rPr>
      </w:pPr>
      <w:r>
        <w:rPr>
          <w:rFonts w:hint="eastAsia" w:ascii="宋体" w:hAnsi="宋体" w:cs="宋体"/>
          <w:bCs/>
          <w:color w:val="auto"/>
          <w:sz w:val="21"/>
          <w:szCs w:val="21"/>
          <w:highlight w:val="none"/>
        </w:rPr>
        <w:t>三、获取招标文件</w:t>
      </w:r>
      <w:bookmarkEnd w:id="15"/>
      <w:bookmarkEnd w:id="16"/>
      <w:bookmarkEnd w:id="17"/>
      <w:bookmarkEnd w:id="18"/>
      <w:bookmarkEnd w:id="19"/>
    </w:p>
    <w:p>
      <w:pPr>
        <w:pStyle w:val="26"/>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w:t>
      </w:r>
    </w:p>
    <w:p>
      <w:pPr>
        <w:pStyle w:val="26"/>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日（节假日除外），上午9：00～12：00，下午14：30～17：30（北京时间）； </w:t>
      </w:r>
    </w:p>
    <w:p>
      <w:pPr>
        <w:pStyle w:val="26"/>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pPr>
        <w:pStyle w:val="26"/>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pPr>
        <w:pStyle w:val="26"/>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3、获取招标文件地点：东莞市南城街道鸿福西路81号国际商会大厦13A01室；</w:t>
      </w:r>
    </w:p>
    <w:p>
      <w:pPr>
        <w:pStyle w:val="26"/>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pPr>
        <w:pStyle w:val="26"/>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pPr>
        <w:pStyle w:val="26"/>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w:t>
      </w:r>
      <w:r>
        <w:rPr>
          <w:rFonts w:hint="eastAsia" w:ascii="宋体" w:hAnsi="宋体"/>
          <w:color w:val="auto"/>
          <w:szCs w:val="21"/>
          <w:highlight w:val="none"/>
          <w:lang w:eastAsia="zh-CN"/>
        </w:rPr>
        <w:t>国顺招标网</w:t>
      </w:r>
      <w:r>
        <w:rPr>
          <w:rFonts w:hint="eastAsia" w:ascii="宋体" w:hAnsi="宋体" w:cs="宋体"/>
          <w:color w:val="auto"/>
          <w:szCs w:val="21"/>
          <w:highlight w:val="none"/>
          <w:lang w:val="en-US" w:eastAsia="zh-CN"/>
        </w:rPr>
        <w:t>上报名或现场领购</w:t>
      </w:r>
      <w:r>
        <w:rPr>
          <w:rFonts w:hint="eastAsia" w:ascii="宋体" w:hAnsi="宋体" w:cs="宋体"/>
          <w:color w:val="auto"/>
          <w:szCs w:val="21"/>
          <w:highlight w:val="none"/>
        </w:rPr>
        <w:t>。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pPr>
        <w:pStyle w:val="2"/>
        <w:spacing w:line="360" w:lineRule="auto"/>
        <w:jc w:val="left"/>
        <w:rPr>
          <w:rFonts w:ascii="宋体" w:hAnsi="宋体" w:cs="宋体"/>
          <w:bCs/>
          <w:color w:val="auto"/>
          <w:sz w:val="21"/>
          <w:szCs w:val="21"/>
          <w:highlight w:val="none"/>
        </w:rPr>
      </w:pPr>
      <w:bookmarkStart w:id="20" w:name="_Toc28359082"/>
      <w:bookmarkStart w:id="21" w:name="_Toc28359005"/>
      <w:bookmarkStart w:id="22" w:name="_Toc35393793"/>
      <w:bookmarkStart w:id="23" w:name="_Toc35393624"/>
      <w:bookmarkStart w:id="24" w:name="_Toc28585"/>
      <w:r>
        <w:rPr>
          <w:rFonts w:hint="eastAsia" w:ascii="宋体" w:hAnsi="宋体" w:cs="宋体"/>
          <w:bCs/>
          <w:color w:val="auto"/>
          <w:sz w:val="21"/>
          <w:szCs w:val="21"/>
          <w:highlight w:val="none"/>
        </w:rPr>
        <w:t>四、提交投标文件</w:t>
      </w:r>
      <w:bookmarkEnd w:id="20"/>
      <w:bookmarkEnd w:id="21"/>
      <w:r>
        <w:rPr>
          <w:rFonts w:hint="eastAsia" w:ascii="宋体" w:hAnsi="宋体" w:cs="宋体"/>
          <w:bCs/>
          <w:color w:val="auto"/>
          <w:sz w:val="21"/>
          <w:szCs w:val="21"/>
          <w:highlight w:val="none"/>
        </w:rPr>
        <w:t>截止时间、开标时间和地点</w:t>
      </w:r>
      <w:bookmarkEnd w:id="22"/>
      <w:bookmarkEnd w:id="23"/>
      <w:bookmarkEnd w:id="24"/>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25</w:t>
      </w:r>
      <w:r>
        <w:rPr>
          <w:rFonts w:hint="eastAsia" w:ascii="宋体" w:hAnsi="宋体" w:cs="宋体"/>
          <w:color w:val="auto"/>
          <w:szCs w:val="21"/>
          <w:highlight w:val="none"/>
          <w:u w:val="single"/>
        </w:rPr>
        <w:t>日</w:t>
      </w:r>
      <w:r>
        <w:rPr>
          <w:rFonts w:hint="eastAsia" w:ascii="宋体" w:hAnsi="宋体" w:cs="宋体"/>
          <w:bCs/>
          <w:color w:val="auto"/>
          <w:szCs w:val="21"/>
          <w:highlight w:val="none"/>
          <w:u w:val="single"/>
          <w:lang w:val="en-US" w:eastAsia="zh-CN"/>
        </w:rPr>
        <w:t>15</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00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地点：东莞市南城街道鸿福西路81号国际商会大厦13A01室</w:t>
      </w:r>
    </w:p>
    <w:p>
      <w:pPr>
        <w:pStyle w:val="2"/>
        <w:spacing w:line="360" w:lineRule="auto"/>
        <w:jc w:val="left"/>
        <w:rPr>
          <w:rFonts w:ascii="宋体" w:hAnsi="宋体" w:cs="宋体"/>
          <w:bCs/>
          <w:color w:val="auto"/>
          <w:sz w:val="21"/>
          <w:szCs w:val="21"/>
          <w:highlight w:val="none"/>
        </w:rPr>
      </w:pPr>
      <w:bookmarkStart w:id="25" w:name="_Toc25695"/>
      <w:bookmarkStart w:id="26" w:name="_Toc35393625"/>
      <w:bookmarkStart w:id="27" w:name="_Toc28359084"/>
      <w:bookmarkStart w:id="28" w:name="_Toc35393794"/>
      <w:bookmarkStart w:id="29" w:name="_Toc28359007"/>
      <w:r>
        <w:rPr>
          <w:rFonts w:hint="eastAsia" w:ascii="宋体" w:hAnsi="宋体" w:cs="宋体"/>
          <w:bCs/>
          <w:color w:val="auto"/>
          <w:sz w:val="21"/>
          <w:szCs w:val="21"/>
          <w:highlight w:val="none"/>
        </w:rPr>
        <w:t>五、公告期限</w:t>
      </w:r>
      <w:bookmarkEnd w:id="25"/>
      <w:bookmarkEnd w:id="26"/>
      <w:bookmarkEnd w:id="27"/>
      <w:bookmarkEnd w:id="28"/>
      <w:bookmarkEnd w:id="29"/>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2"/>
        <w:spacing w:line="360" w:lineRule="auto"/>
        <w:jc w:val="left"/>
        <w:rPr>
          <w:rFonts w:ascii="宋体" w:hAnsi="宋体" w:cs="宋体"/>
          <w:bCs/>
          <w:color w:val="auto"/>
          <w:sz w:val="21"/>
          <w:szCs w:val="21"/>
          <w:highlight w:val="none"/>
        </w:rPr>
      </w:pPr>
      <w:bookmarkStart w:id="30" w:name="_Toc1519"/>
      <w:bookmarkStart w:id="31" w:name="_Toc35393795"/>
      <w:bookmarkStart w:id="32" w:name="_Toc35393626"/>
      <w:r>
        <w:rPr>
          <w:rFonts w:hint="eastAsia" w:ascii="宋体" w:hAnsi="宋体" w:cs="宋体"/>
          <w:bCs/>
          <w:color w:val="auto"/>
          <w:sz w:val="21"/>
          <w:szCs w:val="21"/>
          <w:highlight w:val="none"/>
        </w:rPr>
        <w:t>六、其他补充事宜</w:t>
      </w:r>
      <w:bookmarkEnd w:id="30"/>
      <w:bookmarkEnd w:id="31"/>
      <w:bookmarkEnd w:id="32"/>
    </w:p>
    <w:p>
      <w:pPr>
        <w:widowControl/>
        <w:spacing w:line="360" w:lineRule="auto"/>
        <w:ind w:firstLine="420" w:firstLineChars="200"/>
        <w:rPr>
          <w:rFonts w:ascii="宋体" w:hAnsi="宋体"/>
          <w:color w:val="auto"/>
          <w:szCs w:val="21"/>
          <w:highlight w:val="none"/>
        </w:rPr>
      </w:pPr>
      <w:bookmarkStart w:id="33" w:name="_Toc35393627"/>
      <w:bookmarkStart w:id="34" w:name="_Toc28359085"/>
      <w:bookmarkStart w:id="35" w:name="_Toc28359008"/>
      <w:bookmarkStart w:id="36" w:name="_Toc35393796"/>
      <w:r>
        <w:rPr>
          <w:rFonts w:hint="eastAsia" w:ascii="宋体" w:hAnsi="宋体"/>
          <w:color w:val="auto"/>
          <w:szCs w:val="21"/>
          <w:highlight w:val="none"/>
        </w:rPr>
        <w:t>1、招标文件公示/下载媒体</w:t>
      </w:r>
    </w:p>
    <w:p>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中国政府采购网(http://www.ccgp.gov.cn/)以及</w:t>
      </w:r>
      <w:r>
        <w:rPr>
          <w:rFonts w:hint="eastAsia" w:ascii="宋体" w:hAnsi="宋体"/>
          <w:color w:val="auto"/>
          <w:szCs w:val="21"/>
          <w:highlight w:val="none"/>
          <w:lang w:eastAsia="zh-CN"/>
        </w:rPr>
        <w:t>国顺招标网（http://www.guoshunzb.com/）</w:t>
      </w:r>
      <w:r>
        <w:rPr>
          <w:rFonts w:hint="eastAsia" w:ascii="宋体" w:hAnsi="宋体"/>
          <w:color w:val="auto"/>
          <w:szCs w:val="21"/>
          <w:highlight w:val="none"/>
        </w:rPr>
        <w:t xml:space="preserve"> </w:t>
      </w:r>
    </w:p>
    <w:p>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pPr>
        <w:pStyle w:val="2"/>
        <w:spacing w:line="360" w:lineRule="auto"/>
        <w:jc w:val="left"/>
        <w:rPr>
          <w:rFonts w:ascii="宋体" w:hAnsi="宋体" w:cs="宋体"/>
          <w:bCs/>
          <w:color w:val="auto"/>
          <w:sz w:val="21"/>
          <w:szCs w:val="21"/>
          <w:highlight w:val="none"/>
        </w:rPr>
      </w:pPr>
      <w:bookmarkStart w:id="37" w:name="_Toc5139"/>
      <w:r>
        <w:rPr>
          <w:rFonts w:hint="eastAsia" w:ascii="宋体" w:hAnsi="宋体" w:cs="宋体"/>
          <w:bCs/>
          <w:color w:val="auto"/>
          <w:sz w:val="21"/>
          <w:szCs w:val="21"/>
          <w:highlight w:val="none"/>
        </w:rPr>
        <w:t>七、对本次招标提出询问，请按以下方式联系。</w:t>
      </w:r>
      <w:bookmarkEnd w:id="33"/>
      <w:bookmarkEnd w:id="34"/>
      <w:bookmarkEnd w:id="35"/>
      <w:bookmarkEnd w:id="36"/>
      <w:bookmarkEnd w:id="37"/>
    </w:p>
    <w:p>
      <w:pPr>
        <w:widowControl/>
        <w:spacing w:line="360" w:lineRule="auto"/>
        <w:outlineLvl w:val="2"/>
        <w:rPr>
          <w:rFonts w:ascii="宋体" w:hAnsi="宋体" w:cs="宋体"/>
          <w:b/>
          <w:bCs/>
          <w:color w:val="auto"/>
          <w:szCs w:val="21"/>
          <w:highlight w:val="none"/>
        </w:rPr>
      </w:pPr>
      <w:bookmarkStart w:id="38" w:name="_Toc31577"/>
      <w:r>
        <w:rPr>
          <w:rFonts w:hint="eastAsia" w:ascii="宋体" w:hAnsi="宋体" w:cs="宋体"/>
          <w:b/>
          <w:bCs/>
          <w:color w:val="auto"/>
          <w:szCs w:val="21"/>
          <w:highlight w:val="none"/>
        </w:rPr>
        <w:t>1.招标人信息</w:t>
      </w:r>
      <w:bookmarkEnd w:id="38"/>
    </w:p>
    <w:p>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东莞市天雅园林绿化有限公司</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址：东莞市</w:t>
      </w:r>
      <w:r>
        <w:rPr>
          <w:rFonts w:hint="eastAsia" w:ascii="宋体" w:hAnsi="宋体" w:cs="宋体"/>
          <w:color w:val="auto"/>
          <w:szCs w:val="21"/>
          <w:highlight w:val="none"/>
          <w:lang w:val="en-US" w:eastAsia="zh-CN"/>
        </w:rPr>
        <w:t>横沥镇</w:t>
      </w:r>
    </w:p>
    <w:p>
      <w:pPr>
        <w:spacing w:line="360" w:lineRule="auto"/>
        <w:ind w:left="263" w:hanging="262" w:hangingChars="125"/>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 xml:space="preserve"> 陈工</w:t>
      </w:r>
    </w:p>
    <w:p>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联系方式：</w:t>
      </w:r>
      <w:bookmarkStart w:id="39" w:name="_Toc28359086"/>
      <w:bookmarkStart w:id="40" w:name="_Toc28359009"/>
      <w:r>
        <w:rPr>
          <w:rFonts w:hint="eastAsia" w:ascii="宋体" w:hAnsi="宋体" w:cs="宋体"/>
          <w:color w:val="auto"/>
          <w:szCs w:val="21"/>
          <w:highlight w:val="none"/>
          <w:lang w:val="en-US" w:eastAsia="zh-CN"/>
        </w:rPr>
        <w:t>0769-83717616</w:t>
      </w:r>
      <w:r>
        <w:rPr>
          <w:rFonts w:hint="eastAsia"/>
          <w:color w:val="auto"/>
          <w:highlight w:val="none"/>
          <w:lang w:val="en-US" w:eastAsia="zh-CN"/>
        </w:rPr>
        <w:t xml:space="preserve"> </w:t>
      </w:r>
    </w:p>
    <w:p>
      <w:pPr>
        <w:spacing w:line="360" w:lineRule="auto"/>
        <w:ind w:left="264" w:hanging="264" w:hangingChars="125"/>
        <w:outlineLvl w:val="2"/>
        <w:rPr>
          <w:rFonts w:ascii="宋体" w:hAnsi="宋体" w:cs="宋体"/>
          <w:b/>
          <w:bCs/>
          <w:color w:val="auto"/>
          <w:szCs w:val="21"/>
          <w:highlight w:val="none"/>
        </w:rPr>
      </w:pPr>
      <w:bookmarkStart w:id="41" w:name="_Toc4580"/>
      <w:r>
        <w:rPr>
          <w:rFonts w:hint="eastAsia" w:ascii="宋体" w:hAnsi="宋体" w:cs="宋体"/>
          <w:b/>
          <w:bCs/>
          <w:color w:val="auto"/>
          <w:szCs w:val="21"/>
          <w:highlight w:val="none"/>
        </w:rPr>
        <w:t>2.招标代理机构信息</w:t>
      </w:r>
      <w:bookmarkEnd w:id="39"/>
      <w:bookmarkEnd w:id="40"/>
      <w:bookmarkEnd w:id="41"/>
    </w:p>
    <w:p>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址：东莞市南城街道鸿福西路81号国际商会大厦13A01室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2" w:name="_Toc28359010"/>
      <w:bookmarkStart w:id="43" w:name="_Toc28359087"/>
      <w:r>
        <w:rPr>
          <w:rFonts w:hint="eastAsia" w:ascii="宋体" w:hAnsi="宋体" w:cs="宋体"/>
          <w:color w:val="auto"/>
          <w:szCs w:val="21"/>
          <w:highlight w:val="none"/>
        </w:rPr>
        <w:t>0769-22980090　　　　　　　　　　　　</w:t>
      </w:r>
    </w:p>
    <w:p>
      <w:pPr>
        <w:spacing w:line="360" w:lineRule="auto"/>
        <w:outlineLvl w:val="2"/>
        <w:rPr>
          <w:rFonts w:ascii="宋体" w:hAnsi="宋体" w:cs="宋体"/>
          <w:b/>
          <w:bCs/>
          <w:color w:val="auto"/>
          <w:szCs w:val="21"/>
          <w:highlight w:val="none"/>
        </w:rPr>
      </w:pPr>
      <w:bookmarkStart w:id="44" w:name="_Toc9440"/>
      <w:r>
        <w:rPr>
          <w:rFonts w:hint="eastAsia" w:ascii="宋体" w:hAnsi="宋体" w:cs="宋体"/>
          <w:b/>
          <w:bCs/>
          <w:color w:val="auto"/>
          <w:szCs w:val="21"/>
          <w:highlight w:val="none"/>
        </w:rPr>
        <w:t>3.项目联系方式</w:t>
      </w:r>
      <w:bookmarkEnd w:id="42"/>
      <w:bookmarkEnd w:id="43"/>
      <w:bookmarkEnd w:id="44"/>
    </w:p>
    <w:p>
      <w:pPr>
        <w:pStyle w:val="12"/>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pPr>
        <w:pStyle w:val="12"/>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pPr>
        <w:rPr>
          <w:color w:val="auto"/>
          <w:highlight w:val="none"/>
        </w:rPr>
      </w:pPr>
      <w:bookmarkStart w:id="45" w:name="_Toc29954"/>
      <w:r>
        <w:rPr>
          <w:rFonts w:hint="eastAsia"/>
          <w:color w:val="auto"/>
          <w:highlight w:val="none"/>
        </w:rPr>
        <w:br w:type="page"/>
      </w:r>
    </w:p>
    <w:p>
      <w:pPr>
        <w:pStyle w:val="3"/>
        <w:numPr>
          <w:ilvl w:val="0"/>
          <w:numId w:val="2"/>
        </w:numPr>
        <w:spacing w:line="360" w:lineRule="auto"/>
        <w:rPr>
          <w:color w:val="auto"/>
          <w:highlight w:val="none"/>
        </w:rPr>
      </w:pPr>
      <w:r>
        <w:rPr>
          <w:rFonts w:hint="eastAsia"/>
          <w:color w:val="auto"/>
          <w:highlight w:val="none"/>
        </w:rPr>
        <w:t>投标人须知</w:t>
      </w:r>
      <w:bookmarkEnd w:id="45"/>
    </w:p>
    <w:p>
      <w:pPr>
        <w:pStyle w:val="2"/>
        <w:spacing w:line="360" w:lineRule="auto"/>
        <w:rPr>
          <w:color w:val="auto"/>
          <w:highlight w:val="none"/>
          <w:lang w:val="zh-CN"/>
        </w:rPr>
      </w:pPr>
      <w:bookmarkStart w:id="46" w:name="_Toc413402429"/>
      <w:bookmarkStart w:id="47" w:name="_Toc396137231"/>
      <w:bookmarkStart w:id="48" w:name="_Toc497983494"/>
      <w:bookmarkStart w:id="49" w:name="_Toc652"/>
      <w:r>
        <w:rPr>
          <w:rFonts w:hint="eastAsia"/>
          <w:color w:val="auto"/>
          <w:highlight w:val="none"/>
          <w:lang w:val="zh-CN"/>
        </w:rPr>
        <w:t>一、投标须知前附表</w:t>
      </w:r>
      <w:bookmarkEnd w:id="46"/>
      <w:bookmarkEnd w:id="47"/>
      <w:bookmarkEnd w:id="48"/>
      <w:bookmarkEnd w:id="49"/>
    </w:p>
    <w:tbl>
      <w:tblPr>
        <w:tblStyle w:val="19"/>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投标报价</w:t>
            </w:r>
            <w:r>
              <w:rPr>
                <w:rFonts w:hint="eastAsia" w:ascii="宋体" w:hAnsi="宋体" w:cs="宋体"/>
                <w:color w:val="auto"/>
                <w:szCs w:val="21"/>
                <w:highlight w:val="none"/>
                <w:lang w:val="en-US" w:eastAsia="zh-CN"/>
              </w:rPr>
              <w:t>按下浮率进行报价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0"/>
              </w:numPr>
              <w:spacing w:line="360" w:lineRule="auto"/>
              <w:jc w:val="both"/>
              <w:rPr>
                <w:b/>
                <w:bCs/>
                <w:color w:val="auto"/>
                <w:highlight w:val="none"/>
              </w:rPr>
            </w:pPr>
            <w:r>
              <w:rPr>
                <w:rFonts w:hint="eastAsia"/>
                <w:color w:val="auto"/>
                <w:highlight w:val="none"/>
                <w:lang w:val="en-US" w:eastAsia="zh-CN"/>
              </w:rPr>
              <w:t>1、</w:t>
            </w:r>
            <w:r>
              <w:rPr>
                <w:rFonts w:hint="eastAsia"/>
                <w:color w:val="auto"/>
                <w:highlight w:val="none"/>
              </w:rPr>
              <w:t>投标保证金金额</w:t>
            </w:r>
            <w:r>
              <w:rPr>
                <w:rFonts w:hint="eastAsia" w:eastAsia="宋体"/>
                <w:color w:val="auto"/>
                <w:highlight w:val="none"/>
              </w:rPr>
              <w:t>：</w:t>
            </w:r>
            <w:r>
              <w:rPr>
                <w:rFonts w:hint="eastAsia" w:eastAsia="宋体"/>
                <w:color w:val="auto"/>
                <w:highlight w:val="none"/>
                <w:lang w:val="en-US" w:eastAsia="zh-CN"/>
              </w:rPr>
              <w:t>/</w:t>
            </w:r>
          </w:p>
          <w:p>
            <w:pPr>
              <w:spacing w:line="300" w:lineRule="exact"/>
              <w:jc w:val="both"/>
              <w:rPr>
                <w:rFonts w:ascii="宋体" w:hAnsi="宋体"/>
                <w:color w:val="auto"/>
                <w:szCs w:val="21"/>
                <w:highlight w:val="none"/>
                <w:lang w:val="zh-CN"/>
              </w:rPr>
            </w:pPr>
            <w:r>
              <w:rPr>
                <w:rFonts w:hint="eastAsia"/>
                <w:color w:val="auto"/>
                <w:highlight w:val="none"/>
              </w:rPr>
              <w:t>2、</w:t>
            </w:r>
            <w:r>
              <w:rPr>
                <w:rFonts w:hint="eastAsia" w:ascii="宋体" w:hAnsi="宋体"/>
                <w:color w:val="auto"/>
                <w:szCs w:val="21"/>
                <w:highlight w:val="none"/>
                <w:lang w:val="zh-CN"/>
              </w:rPr>
              <w:t>保证金递交账户：</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收款人：国顺招标有限公司</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开户行：广发银行股份有限公司东莞城区支行</w:t>
            </w:r>
          </w:p>
          <w:p>
            <w:pPr>
              <w:spacing w:line="300" w:lineRule="exact"/>
              <w:jc w:val="both"/>
              <w:rPr>
                <w:rFonts w:ascii="宋体" w:hAnsi="宋体"/>
                <w:color w:val="auto"/>
                <w:szCs w:val="21"/>
                <w:highlight w:val="none"/>
                <w:lang w:val="zh-CN"/>
              </w:rPr>
            </w:pPr>
            <w:r>
              <w:rPr>
                <w:rFonts w:hint="eastAsia" w:ascii="宋体" w:hAnsi="宋体"/>
                <w:color w:val="auto"/>
                <w:szCs w:val="21"/>
                <w:highlight w:val="none"/>
                <w:lang w:val="zh-CN"/>
              </w:rPr>
              <w:t>账  号：9550880226934600216</w:t>
            </w:r>
          </w:p>
          <w:p>
            <w:pPr>
              <w:pStyle w:val="4"/>
              <w:rPr>
                <w:color w:val="auto"/>
                <w:highlight w:val="none"/>
              </w:rPr>
            </w:pPr>
            <w:r>
              <w:rPr>
                <w:rFonts w:hint="eastAsia" w:ascii="宋体" w:hAnsi="宋体"/>
                <w:color w:val="auto"/>
                <w:szCs w:val="21"/>
                <w:highlight w:val="none"/>
                <w:lang w:val="zh-CN"/>
              </w:rPr>
              <w:t>（</w:t>
            </w:r>
            <w:r>
              <w:rPr>
                <w:rFonts w:hint="eastAsia" w:ascii="宋体" w:hAnsi="宋体"/>
                <w:color w:val="auto"/>
                <w:szCs w:val="21"/>
                <w:highlight w:val="none"/>
                <w:lang w:val="en-US" w:eastAsia="zh-CN"/>
              </w:rPr>
              <w:t>本项目不收取投标保证金</w:t>
            </w:r>
            <w:r>
              <w:rPr>
                <w:rFonts w:hint="eastAsia" w:ascii="宋体" w:hAnsi="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pPr>
              <w:spacing w:line="360" w:lineRule="auto"/>
              <w:ind w:right="-38" w:rightChars="-18"/>
              <w:jc w:val="center"/>
              <w:rPr>
                <w:color w:val="auto"/>
                <w:highlight w:val="none"/>
              </w:rPr>
            </w:pPr>
            <w:r>
              <w:rPr>
                <w:rFonts w:hint="eastAsia" w:ascii="宋体" w:hAnsi="宋体" w:cs="宋体"/>
                <w:bCs/>
                <w:color w:val="auto"/>
                <w:szCs w:val="21"/>
                <w:highlight w:val="none"/>
              </w:rPr>
              <w:t>（如有需要）</w:t>
            </w:r>
          </w:p>
        </w:tc>
        <w:tc>
          <w:tcPr>
            <w:tcW w:w="7103"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说明：中标人应在签订合同前递交履约保证金，履约保证金可采用保证金（银行转账、电汇）方式，或采用履约保函方式。</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函为担保机构、国有或股份制商业银行支行以上级别银行开具的保函，保函金额为合同价的5%。如须合同生效后才可办理保函的，提交保函时间不得超过合同签订日（含）起15个工作日。保函有效期间截止时间为本合同期满后且经采购人验收合格后的30日。</w:t>
            </w:r>
          </w:p>
          <w:p>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t>履约保证金在合同期满后或产品验收合格后，中标人向采购人提交退回履约保证金的申请、履约保证金汇款凭证复印件、采购合同、采购项目验收报告原件、中标通知书复印件，前往采购人办理履约保证金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pPr>
              <w:numPr>
                <w:ilvl w:val="0"/>
                <w:numId w:val="4"/>
              </w:numPr>
              <w:spacing w:line="360" w:lineRule="auto"/>
              <w:rPr>
                <w:rFonts w:ascii="宋体" w:hAnsi="宋体" w:cs="宋体"/>
                <w:color w:val="auto"/>
                <w:highlight w:val="none"/>
              </w:rPr>
            </w:pPr>
            <w:r>
              <w:rPr>
                <w:rFonts w:hint="eastAsia" w:ascii="宋体" w:hAnsi="宋体" w:eastAsia="宋体"/>
                <w:color w:val="auto"/>
                <w:sz w:val="21"/>
                <w:szCs w:val="21"/>
                <w:highlight w:val="none"/>
                <w:lang w:val="en-US" w:eastAsia="zh-CN"/>
              </w:rPr>
              <w:t>本项目向每家中标</w:t>
            </w:r>
            <w:r>
              <w:rPr>
                <w:rFonts w:hint="eastAsia" w:ascii="宋体" w:hAnsi="宋体"/>
                <w:color w:val="auto"/>
                <w:sz w:val="21"/>
                <w:szCs w:val="21"/>
                <w:highlight w:val="none"/>
                <w:lang w:val="en-US" w:eastAsia="zh-CN"/>
              </w:rPr>
              <w:t>单位</w:t>
            </w:r>
            <w:r>
              <w:rPr>
                <w:rFonts w:hint="eastAsia" w:ascii="宋体" w:hAnsi="宋体" w:eastAsia="宋体"/>
                <w:color w:val="auto"/>
                <w:sz w:val="21"/>
                <w:szCs w:val="21"/>
                <w:highlight w:val="none"/>
                <w:lang w:val="en-US" w:eastAsia="zh-CN"/>
              </w:rPr>
              <w:t>定额收取中标服务费人民币</w:t>
            </w:r>
            <w:r>
              <w:rPr>
                <w:rFonts w:hint="eastAsia" w:ascii="宋体" w:hAnsi="宋体"/>
                <w:color w:val="auto"/>
                <w:sz w:val="21"/>
                <w:szCs w:val="21"/>
                <w:highlight w:val="none"/>
                <w:lang w:val="en-US" w:eastAsia="zh-CN"/>
              </w:rPr>
              <w:t>壹万</w:t>
            </w:r>
            <w:r>
              <w:rPr>
                <w:rFonts w:hint="eastAsia" w:ascii="宋体" w:hAnsi="宋体" w:eastAsia="宋体"/>
                <w:color w:val="auto"/>
                <w:sz w:val="21"/>
                <w:szCs w:val="21"/>
                <w:highlight w:val="none"/>
                <w:lang w:val="en-US" w:eastAsia="zh-CN"/>
              </w:rPr>
              <w:t>元整（¥</w:t>
            </w:r>
            <w:r>
              <w:rPr>
                <w:rFonts w:hint="eastAsia" w:ascii="宋体" w:hAnsi="宋体"/>
                <w:color w:val="auto"/>
                <w:sz w:val="21"/>
                <w:szCs w:val="21"/>
                <w:highlight w:val="none"/>
                <w:lang w:val="en-US" w:eastAsia="zh-CN"/>
              </w:rPr>
              <w:t>10</w:t>
            </w:r>
            <w:r>
              <w:rPr>
                <w:rFonts w:hint="eastAsia" w:ascii="宋体" w:hAnsi="宋体" w:eastAsia="宋体"/>
                <w:color w:val="auto"/>
                <w:sz w:val="21"/>
                <w:szCs w:val="21"/>
                <w:highlight w:val="none"/>
                <w:lang w:val="en-US" w:eastAsia="zh-CN"/>
              </w:rPr>
              <w:t>,000.00）</w:t>
            </w:r>
            <w:r>
              <w:rPr>
                <w:rFonts w:hint="eastAsia" w:ascii="宋体" w:hAnsi="宋体" w:cs="宋体"/>
                <w:color w:val="auto"/>
                <w:highlight w:val="none"/>
              </w:rPr>
              <w:t>。</w:t>
            </w:r>
          </w:p>
          <w:p>
            <w:pPr>
              <w:spacing w:line="360" w:lineRule="auto"/>
              <w:rPr>
                <w:color w:val="auto"/>
                <w:highlight w:val="none"/>
              </w:rPr>
            </w:pPr>
            <w:r>
              <w:rPr>
                <w:rFonts w:hint="eastAsia"/>
                <w:color w:val="auto"/>
                <w:highlight w:val="none"/>
              </w:rPr>
              <w:t>（2）中标服务费以转账或现金的形式支付。招标代理机构服务费汇入账号：</w:t>
            </w:r>
          </w:p>
          <w:p>
            <w:pPr>
              <w:spacing w:line="360" w:lineRule="auto"/>
              <w:rPr>
                <w:color w:val="auto"/>
                <w:highlight w:val="none"/>
              </w:rPr>
            </w:pPr>
            <w:r>
              <w:rPr>
                <w:rFonts w:hint="eastAsia"/>
                <w:color w:val="auto"/>
                <w:highlight w:val="none"/>
              </w:rPr>
              <w:t>收 款 人：国顺招标有限公司</w:t>
            </w:r>
          </w:p>
          <w:p>
            <w:pPr>
              <w:spacing w:line="360" w:lineRule="auto"/>
              <w:rPr>
                <w:color w:val="auto"/>
                <w:highlight w:val="none"/>
              </w:rPr>
            </w:pPr>
            <w:r>
              <w:rPr>
                <w:rFonts w:hint="eastAsia"/>
                <w:color w:val="auto"/>
                <w:highlight w:val="none"/>
              </w:rPr>
              <w:t>开户银行：广发银行股份有限公司东莞南城支行</w:t>
            </w:r>
          </w:p>
          <w:p>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pPr>
        <w:rPr>
          <w:color w:val="auto"/>
          <w:highlight w:val="none"/>
        </w:rPr>
      </w:pPr>
      <w:r>
        <w:rPr>
          <w:color w:val="auto"/>
          <w:highlight w:val="none"/>
        </w:rPr>
        <w:br w:type="page"/>
      </w:r>
    </w:p>
    <w:p>
      <w:pPr>
        <w:pStyle w:val="2"/>
        <w:numPr>
          <w:ilvl w:val="0"/>
          <w:numId w:val="5"/>
        </w:numPr>
        <w:rPr>
          <w:color w:val="auto"/>
          <w:highlight w:val="none"/>
        </w:rPr>
      </w:pPr>
      <w:bookmarkStart w:id="50" w:name="_Toc21639"/>
      <w:r>
        <w:rPr>
          <w:rFonts w:hint="eastAsia"/>
          <w:color w:val="auto"/>
          <w:highlight w:val="none"/>
        </w:rPr>
        <w:t>投标须知</w:t>
      </w:r>
      <w:bookmarkEnd w:id="50"/>
    </w:p>
    <w:p>
      <w:pPr>
        <w:pStyle w:val="4"/>
        <w:rPr>
          <w:color w:val="auto"/>
          <w:highlight w:val="none"/>
        </w:rPr>
      </w:pPr>
      <w:bookmarkStart w:id="51" w:name="_Toc2381"/>
      <w:bookmarkStart w:id="52" w:name="_Toc20860"/>
      <w:r>
        <w:rPr>
          <w:rFonts w:hint="eastAsia"/>
          <w:color w:val="auto"/>
          <w:highlight w:val="none"/>
        </w:rPr>
        <w:t>1.适用范围</w:t>
      </w:r>
      <w:bookmarkEnd w:id="51"/>
      <w:bookmarkEnd w:id="52"/>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pPr>
        <w:spacing w:line="400" w:lineRule="exact"/>
        <w:rPr>
          <w:rFonts w:ascii="宋体" w:hAnsi="宋体" w:cs="宋体"/>
          <w:color w:val="auto"/>
          <w:szCs w:val="21"/>
          <w:highlight w:val="none"/>
        </w:rPr>
      </w:pPr>
    </w:p>
    <w:p>
      <w:pPr>
        <w:pStyle w:val="4"/>
        <w:rPr>
          <w:color w:val="auto"/>
          <w:highlight w:val="none"/>
        </w:rPr>
      </w:pPr>
      <w:bookmarkStart w:id="53" w:name="_Toc6621"/>
      <w:bookmarkStart w:id="54" w:name="_Toc15203"/>
      <w:r>
        <w:rPr>
          <w:rFonts w:hint="eastAsia"/>
          <w:color w:val="auto"/>
          <w:highlight w:val="none"/>
        </w:rPr>
        <w:t>2.</w:t>
      </w:r>
      <w:bookmarkStart w:id="55" w:name="_Toc298847174"/>
      <w:bookmarkStart w:id="56" w:name="_Toc303084246"/>
      <w:bookmarkStart w:id="57" w:name="_Toc1530"/>
      <w:bookmarkStart w:id="58" w:name="_Toc382049092"/>
      <w:r>
        <w:rPr>
          <w:rFonts w:hint="eastAsia"/>
          <w:color w:val="auto"/>
          <w:highlight w:val="none"/>
        </w:rPr>
        <w:t>定义</w:t>
      </w:r>
      <w:bookmarkEnd w:id="53"/>
      <w:bookmarkEnd w:id="54"/>
      <w:bookmarkEnd w:id="55"/>
      <w:bookmarkEnd w:id="56"/>
      <w:bookmarkEnd w:id="57"/>
      <w:bookmarkEnd w:id="58"/>
    </w:p>
    <w:p>
      <w:pPr>
        <w:pStyle w:val="26"/>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招标人：是指依法进行政府采购的国家机关、事业单位等团体组织。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评标委员会：评标委员会是依据《中华人民共和国政府采购法》及其实施条例、《政府采购货物和服务招标投标管理办法》等组建的专门负责本次招标其评标工作的临时性机构。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pPr>
        <w:spacing w:line="400" w:lineRule="exact"/>
        <w:rPr>
          <w:rFonts w:ascii="宋体" w:hAnsi="宋体" w:cs="宋体"/>
          <w:color w:val="auto"/>
          <w:szCs w:val="21"/>
          <w:highlight w:val="none"/>
        </w:rPr>
      </w:pPr>
    </w:p>
    <w:p>
      <w:pPr>
        <w:pStyle w:val="4"/>
        <w:rPr>
          <w:color w:val="auto"/>
          <w:highlight w:val="none"/>
        </w:rPr>
      </w:pPr>
      <w:bookmarkStart w:id="59" w:name="_Toc31531"/>
      <w:bookmarkStart w:id="60" w:name="_Toc1072"/>
      <w:r>
        <w:rPr>
          <w:rFonts w:hint="eastAsia"/>
          <w:color w:val="auto"/>
          <w:highlight w:val="none"/>
        </w:rPr>
        <w:t>3.货物和服务</w:t>
      </w:r>
      <w:bookmarkEnd w:id="59"/>
      <w:bookmarkEnd w:id="60"/>
    </w:p>
    <w:p>
      <w:pPr>
        <w:pStyle w:val="26"/>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政府采购应当采购本国产品，确需采购进口产品（是指通过中国海关报关验放进入中国境内且产自关境外的产品）的，</w:t>
      </w:r>
      <w:bookmarkStart w:id="61" w:name="_Toc211763038"/>
      <w:r>
        <w:rPr>
          <w:rFonts w:hint="eastAsia" w:ascii="宋体" w:hAnsi="宋体" w:cs="宋体"/>
          <w:iCs/>
          <w:color w:val="auto"/>
          <w:szCs w:val="21"/>
          <w:highlight w:val="none"/>
        </w:rPr>
        <w:t>应当获得财政部门核准。依据《政府采购进口产品管理办法</w:t>
      </w:r>
      <w:bookmarkEnd w:id="61"/>
      <w:r>
        <w:rPr>
          <w:rFonts w:hint="eastAsia" w:ascii="宋体" w:hAnsi="宋体" w:cs="宋体"/>
          <w:iCs/>
          <w:color w:val="auto"/>
          <w:szCs w:val="21"/>
          <w:highlight w:val="none"/>
        </w:rPr>
        <w:t>》优先采购向我国企业转让技术、与我国企业签订消化吸收再创新方案的供应商的进口产品。</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若所投产品属于政府强制采购节能产品的，则投标人必须提供该产品国家强制性节能产品进行响应，并提供有效的中国节能产品认证证书，否则视为无效投标。</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投标人提供的所有服务，其质量、技术等特征必须符合国家、行业现行法律、法规的相关标准和《中华人民共和国政府采购法》的有关规定及用户需求。</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pPr>
        <w:numPr>
          <w:ilvl w:val="1"/>
          <w:numId w:val="6"/>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spacing w:line="400" w:lineRule="exact"/>
        <w:rPr>
          <w:rFonts w:ascii="宋体" w:hAnsi="宋体" w:cs="宋体"/>
          <w:color w:val="auto"/>
          <w:szCs w:val="21"/>
          <w:highlight w:val="none"/>
        </w:rPr>
      </w:pPr>
    </w:p>
    <w:p>
      <w:pPr>
        <w:pStyle w:val="4"/>
        <w:rPr>
          <w:color w:val="auto"/>
          <w:highlight w:val="none"/>
        </w:rPr>
      </w:pPr>
      <w:bookmarkStart w:id="62" w:name="_Toc32610"/>
      <w:bookmarkStart w:id="63" w:name="_Toc16909"/>
      <w:r>
        <w:rPr>
          <w:rFonts w:hint="eastAsia"/>
          <w:color w:val="auto"/>
          <w:highlight w:val="none"/>
        </w:rPr>
        <w:t>4.投标费用</w:t>
      </w:r>
      <w:bookmarkEnd w:id="62"/>
      <w:bookmarkEnd w:id="63"/>
    </w:p>
    <w:p>
      <w:pPr>
        <w:pStyle w:val="26"/>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pPr>
        <w:spacing w:line="400" w:lineRule="exact"/>
        <w:jc w:val="both"/>
        <w:rPr>
          <w:rFonts w:ascii="宋体" w:hAnsi="宋体" w:cs="宋体"/>
          <w:color w:val="auto"/>
          <w:szCs w:val="21"/>
          <w:highlight w:val="none"/>
        </w:rPr>
      </w:pPr>
    </w:p>
    <w:p>
      <w:pPr>
        <w:pStyle w:val="4"/>
        <w:rPr>
          <w:color w:val="auto"/>
          <w:highlight w:val="none"/>
        </w:rPr>
      </w:pPr>
      <w:bookmarkStart w:id="64" w:name="_Toc13316"/>
      <w:bookmarkStart w:id="65" w:name="_Toc24409"/>
      <w:r>
        <w:rPr>
          <w:rFonts w:hint="eastAsia"/>
          <w:color w:val="auto"/>
          <w:highlight w:val="none"/>
        </w:rPr>
        <w:t>5.知识产权</w:t>
      </w:r>
      <w:bookmarkEnd w:id="64"/>
      <w:bookmarkEnd w:id="65"/>
    </w:p>
    <w:p>
      <w:pPr>
        <w:pStyle w:val="26"/>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pPr>
        <w:spacing w:line="400" w:lineRule="exact"/>
        <w:ind w:left="567"/>
        <w:jc w:val="both"/>
        <w:rPr>
          <w:rFonts w:ascii="宋体" w:hAnsi="宋体" w:cs="宋体"/>
          <w:color w:val="auto"/>
          <w:szCs w:val="21"/>
          <w:highlight w:val="none"/>
        </w:rPr>
      </w:pPr>
    </w:p>
    <w:p>
      <w:pPr>
        <w:pStyle w:val="4"/>
        <w:rPr>
          <w:color w:val="auto"/>
          <w:highlight w:val="none"/>
        </w:rPr>
      </w:pPr>
      <w:bookmarkStart w:id="66" w:name="_Toc25530"/>
      <w:bookmarkStart w:id="67" w:name="_Toc25911"/>
      <w:r>
        <w:rPr>
          <w:rFonts w:hint="eastAsia"/>
          <w:color w:val="auto"/>
          <w:highlight w:val="none"/>
        </w:rPr>
        <w:t>6.关于联合体投标</w:t>
      </w:r>
      <w:bookmarkEnd w:id="66"/>
      <w:bookmarkEnd w:id="67"/>
    </w:p>
    <w:p>
      <w:pPr>
        <w:pStyle w:val="26"/>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联合体各方均应当符合《政府采购法》第二十二条规定的条件。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pPr>
        <w:spacing w:line="400" w:lineRule="exact"/>
        <w:ind w:left="567"/>
        <w:jc w:val="both"/>
        <w:rPr>
          <w:rFonts w:ascii="宋体" w:hAnsi="宋体" w:cs="宋体"/>
          <w:color w:val="auto"/>
          <w:szCs w:val="21"/>
          <w:highlight w:val="none"/>
        </w:rPr>
      </w:pPr>
    </w:p>
    <w:p>
      <w:pPr>
        <w:pStyle w:val="4"/>
        <w:rPr>
          <w:color w:val="auto"/>
          <w:highlight w:val="none"/>
        </w:rPr>
      </w:pPr>
      <w:bookmarkStart w:id="68" w:name="_Toc27528"/>
      <w:bookmarkStart w:id="69" w:name="_Toc24312"/>
      <w:r>
        <w:rPr>
          <w:rFonts w:hint="eastAsia"/>
          <w:color w:val="auto"/>
          <w:highlight w:val="none"/>
        </w:rPr>
        <w:t>7.关于分支机构投标</w:t>
      </w:r>
      <w:bookmarkEnd w:id="68"/>
      <w:bookmarkEnd w:id="69"/>
    </w:p>
    <w:p>
      <w:pPr>
        <w:pStyle w:val="26"/>
        <w:numPr>
          <w:ilvl w:val="0"/>
          <w:numId w:val="6"/>
        </w:numPr>
        <w:spacing w:line="400" w:lineRule="exact"/>
        <w:ind w:firstLineChars="0"/>
        <w:jc w:val="both"/>
        <w:rPr>
          <w:rFonts w:ascii="宋体" w:hAnsi="宋体" w:cs="宋体"/>
          <w:vanish/>
          <w:color w:val="auto"/>
          <w:szCs w:val="21"/>
          <w:highlight w:val="none"/>
        </w:rPr>
      </w:pPr>
      <w:bookmarkStart w:id="70" w:name="EB389f116341dd4693875bc7987e7327f3"/>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0"/>
    </w:p>
    <w:p>
      <w:pPr>
        <w:spacing w:line="360" w:lineRule="auto"/>
        <w:rPr>
          <w:rFonts w:ascii="宋体" w:hAnsi="宋体" w:cs="宋体"/>
          <w:color w:val="auto"/>
          <w:szCs w:val="21"/>
          <w:highlight w:val="none"/>
        </w:rPr>
      </w:pPr>
    </w:p>
    <w:p>
      <w:pPr>
        <w:pStyle w:val="4"/>
        <w:rPr>
          <w:color w:val="auto"/>
          <w:highlight w:val="none"/>
        </w:rPr>
      </w:pPr>
      <w:bookmarkStart w:id="71" w:name="_Toc13645"/>
      <w:bookmarkStart w:id="72" w:name="_Toc15490"/>
      <w:r>
        <w:rPr>
          <w:rFonts w:hint="eastAsia"/>
          <w:color w:val="auto"/>
          <w:highlight w:val="none"/>
        </w:rPr>
        <w:t>8.招标文件的组成</w:t>
      </w:r>
      <w:bookmarkEnd w:id="71"/>
      <w:bookmarkEnd w:id="72"/>
    </w:p>
    <w:p>
      <w:pPr>
        <w:pStyle w:val="26"/>
        <w:numPr>
          <w:ilvl w:val="0"/>
          <w:numId w:val="6"/>
        </w:numPr>
        <w:spacing w:line="400" w:lineRule="exact"/>
        <w:ind w:firstLineChars="0"/>
        <w:jc w:val="both"/>
        <w:rPr>
          <w:rFonts w:ascii="宋体" w:hAnsi="宋体" w:cs="宋体"/>
          <w:vanish/>
          <w:color w:val="auto"/>
          <w:szCs w:val="21"/>
          <w:highlight w:val="none"/>
        </w:rPr>
      </w:pP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pPr>
        <w:widowControl/>
        <w:adjustRightInd w:val="0"/>
        <w:snapToGrid w:val="0"/>
        <w:spacing w:line="400" w:lineRule="exact"/>
        <w:rPr>
          <w:rFonts w:ascii="宋体" w:hAnsi="宋体" w:cs="宋体"/>
          <w:color w:val="auto"/>
          <w:szCs w:val="21"/>
          <w:highlight w:val="none"/>
        </w:rPr>
      </w:pPr>
    </w:p>
    <w:p>
      <w:pPr>
        <w:pStyle w:val="4"/>
        <w:rPr>
          <w:color w:val="auto"/>
          <w:highlight w:val="none"/>
        </w:rPr>
      </w:pPr>
      <w:bookmarkStart w:id="73" w:name="_Toc7789"/>
      <w:bookmarkStart w:id="74" w:name="_Toc644"/>
      <w:r>
        <w:rPr>
          <w:rFonts w:hint="eastAsia"/>
          <w:color w:val="auto"/>
          <w:highlight w:val="none"/>
        </w:rPr>
        <w:t>9.招标文件的澄清或修改</w:t>
      </w:r>
      <w:bookmarkEnd w:id="73"/>
      <w:bookmarkEnd w:id="74"/>
    </w:p>
    <w:p>
      <w:pPr>
        <w:pStyle w:val="26"/>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pPr>
        <w:pStyle w:val="8"/>
        <w:ind w:left="0"/>
        <w:rPr>
          <w:color w:val="auto"/>
          <w:sz w:val="21"/>
          <w:szCs w:val="21"/>
          <w:highlight w:val="none"/>
        </w:rPr>
      </w:pPr>
    </w:p>
    <w:p>
      <w:pPr>
        <w:pStyle w:val="4"/>
        <w:rPr>
          <w:color w:val="auto"/>
          <w:highlight w:val="none"/>
        </w:rPr>
      </w:pPr>
      <w:bookmarkStart w:id="75" w:name="_Toc6458"/>
      <w:bookmarkStart w:id="76" w:name="_Toc708"/>
      <w:r>
        <w:rPr>
          <w:rFonts w:hint="eastAsia"/>
          <w:color w:val="auto"/>
          <w:highlight w:val="none"/>
        </w:rPr>
        <w:t>10.投标文件的语言及度量衡单位</w:t>
      </w:r>
      <w:bookmarkEnd w:id="75"/>
      <w:bookmarkEnd w:id="76"/>
    </w:p>
    <w:p>
      <w:pPr>
        <w:pStyle w:val="26"/>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pPr>
        <w:spacing w:line="400" w:lineRule="exact"/>
        <w:ind w:left="567"/>
        <w:jc w:val="both"/>
        <w:rPr>
          <w:rFonts w:ascii="宋体" w:hAnsi="宋体" w:cs="宋体"/>
          <w:color w:val="auto"/>
          <w:szCs w:val="21"/>
          <w:highlight w:val="none"/>
        </w:rPr>
      </w:pPr>
    </w:p>
    <w:p>
      <w:pPr>
        <w:pStyle w:val="4"/>
        <w:rPr>
          <w:color w:val="auto"/>
          <w:highlight w:val="none"/>
        </w:rPr>
      </w:pPr>
      <w:bookmarkStart w:id="77" w:name="_Toc303084256"/>
      <w:bookmarkStart w:id="78" w:name="_Toc8246"/>
      <w:bookmarkStart w:id="79" w:name="_Toc307934854"/>
      <w:bookmarkStart w:id="80" w:name="_Toc29420"/>
      <w:bookmarkStart w:id="81" w:name="_Toc28866"/>
      <w:bookmarkStart w:id="82" w:name="_Toc382049103"/>
      <w:r>
        <w:rPr>
          <w:rFonts w:hint="eastAsia"/>
          <w:color w:val="auto"/>
          <w:highlight w:val="none"/>
        </w:rPr>
        <w:t>11.投标文件的组成</w:t>
      </w:r>
      <w:bookmarkEnd w:id="77"/>
      <w:bookmarkEnd w:id="78"/>
      <w:bookmarkEnd w:id="79"/>
      <w:bookmarkEnd w:id="80"/>
      <w:bookmarkEnd w:id="81"/>
      <w:bookmarkEnd w:id="82"/>
    </w:p>
    <w:p>
      <w:pPr>
        <w:pStyle w:val="26"/>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pPr>
        <w:widowControl/>
        <w:adjustRightInd w:val="0"/>
        <w:snapToGrid w:val="0"/>
        <w:spacing w:line="400" w:lineRule="exact"/>
        <w:rPr>
          <w:rFonts w:ascii="宋体" w:hAnsi="宋体" w:cs="宋体"/>
          <w:color w:val="auto"/>
          <w:szCs w:val="21"/>
          <w:highlight w:val="none"/>
        </w:rPr>
      </w:pPr>
    </w:p>
    <w:p>
      <w:pPr>
        <w:pStyle w:val="4"/>
        <w:rPr>
          <w:color w:val="auto"/>
          <w:highlight w:val="none"/>
        </w:rPr>
      </w:pPr>
      <w:bookmarkStart w:id="83" w:name="_Toc11356"/>
      <w:bookmarkStart w:id="84" w:name="_Toc5980"/>
      <w:r>
        <w:rPr>
          <w:rFonts w:hint="eastAsia"/>
          <w:color w:val="auto"/>
          <w:highlight w:val="none"/>
        </w:rPr>
        <w:t>12.投标文件编制</w:t>
      </w:r>
      <w:bookmarkEnd w:id="83"/>
      <w:bookmarkEnd w:id="84"/>
    </w:p>
    <w:p>
      <w:pPr>
        <w:pStyle w:val="26"/>
        <w:numPr>
          <w:ilvl w:val="0"/>
          <w:numId w:val="6"/>
        </w:numPr>
        <w:spacing w:line="400" w:lineRule="exact"/>
        <w:ind w:firstLineChars="0"/>
        <w:jc w:val="both"/>
        <w:rPr>
          <w:rFonts w:ascii="宋体" w:hAnsi="宋体" w:cs="宋体"/>
          <w:vanish/>
          <w:color w:val="auto"/>
          <w:szCs w:val="21"/>
          <w:highlight w:val="none"/>
        </w:rPr>
      </w:pPr>
      <w:bookmarkStart w:id="85" w:name="_Toc303084258"/>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5"/>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pPr>
        <w:pStyle w:val="4"/>
        <w:rPr>
          <w:color w:val="auto"/>
          <w:highlight w:val="none"/>
        </w:rPr>
      </w:pPr>
      <w:bookmarkStart w:id="86" w:name="_Toc1355"/>
      <w:bookmarkStart w:id="87" w:name="_Toc28034"/>
      <w:r>
        <w:rPr>
          <w:rFonts w:hint="eastAsia"/>
          <w:color w:val="auto"/>
          <w:highlight w:val="none"/>
        </w:rPr>
        <w:t>13.投标报价说明</w:t>
      </w:r>
      <w:bookmarkEnd w:id="86"/>
      <w:bookmarkEnd w:id="87"/>
    </w:p>
    <w:p>
      <w:pPr>
        <w:pStyle w:val="26"/>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pPr>
        <w:spacing w:line="400" w:lineRule="exact"/>
        <w:rPr>
          <w:rFonts w:ascii="宋体" w:hAnsi="宋体" w:cs="宋体"/>
          <w:color w:val="auto"/>
          <w:szCs w:val="21"/>
          <w:highlight w:val="none"/>
        </w:rPr>
      </w:pPr>
    </w:p>
    <w:p>
      <w:pPr>
        <w:pStyle w:val="4"/>
        <w:rPr>
          <w:color w:val="auto"/>
          <w:highlight w:val="none"/>
        </w:rPr>
      </w:pPr>
      <w:bookmarkStart w:id="88" w:name="_Toc34"/>
      <w:bookmarkStart w:id="89" w:name="_Toc6729"/>
      <w:r>
        <w:rPr>
          <w:rFonts w:hint="eastAsia"/>
          <w:color w:val="auto"/>
          <w:highlight w:val="none"/>
        </w:rPr>
        <w:t>14.投标人所提供的服务或货物的证明文件</w:t>
      </w:r>
      <w:bookmarkEnd w:id="88"/>
      <w:bookmarkEnd w:id="89"/>
    </w:p>
    <w:p>
      <w:pPr>
        <w:pStyle w:val="26"/>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bookmarkStart w:id="90" w:name="_Hlt107925638"/>
      <w:bookmarkEnd w:id="90"/>
      <w:bookmarkStart w:id="91" w:name="_Hlt107925668"/>
      <w:bookmarkEnd w:id="91"/>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pPr>
        <w:pStyle w:val="26"/>
        <w:spacing w:line="400" w:lineRule="exact"/>
        <w:ind w:left="425" w:firstLine="0" w:firstLineChars="0"/>
        <w:jc w:val="both"/>
        <w:rPr>
          <w:rFonts w:ascii="宋体" w:hAnsi="宋体" w:cs="宋体"/>
          <w:color w:val="auto"/>
          <w:szCs w:val="21"/>
          <w:highlight w:val="none"/>
        </w:rPr>
      </w:pPr>
    </w:p>
    <w:p>
      <w:pPr>
        <w:pStyle w:val="4"/>
        <w:rPr>
          <w:color w:val="auto"/>
          <w:highlight w:val="none"/>
        </w:rPr>
      </w:pPr>
      <w:bookmarkStart w:id="92" w:name="_Toc10940"/>
      <w:bookmarkStart w:id="93" w:name="_Toc29725"/>
      <w:r>
        <w:rPr>
          <w:rFonts w:hint="eastAsia"/>
          <w:color w:val="auto"/>
          <w:highlight w:val="none"/>
        </w:rPr>
        <w:t>15.★投标有效期</w:t>
      </w:r>
      <w:bookmarkEnd w:id="92"/>
      <w:bookmarkEnd w:id="93"/>
    </w:p>
    <w:p>
      <w:pPr>
        <w:pStyle w:val="26"/>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pPr>
        <w:spacing w:line="400" w:lineRule="exact"/>
        <w:ind w:left="567"/>
        <w:jc w:val="both"/>
        <w:rPr>
          <w:rFonts w:ascii="宋体" w:hAnsi="宋体" w:cs="宋体"/>
          <w:color w:val="auto"/>
          <w:szCs w:val="21"/>
          <w:highlight w:val="none"/>
        </w:rPr>
      </w:pPr>
    </w:p>
    <w:p>
      <w:pPr>
        <w:pStyle w:val="4"/>
        <w:rPr>
          <w:rFonts w:hint="eastAsia" w:eastAsia="宋体"/>
          <w:color w:val="auto"/>
          <w:highlight w:val="none"/>
          <w:lang w:eastAsia="zh-CN"/>
        </w:rPr>
      </w:pPr>
      <w:bookmarkStart w:id="94" w:name="_Toc15529"/>
      <w:bookmarkStart w:id="95" w:name="_Toc5483"/>
      <w:r>
        <w:rPr>
          <w:rFonts w:hint="eastAsia"/>
          <w:color w:val="auto"/>
          <w:highlight w:val="none"/>
        </w:rPr>
        <w:t>16.★投标保证金</w:t>
      </w:r>
      <w:bookmarkEnd w:id="94"/>
      <w:bookmarkEnd w:id="95"/>
      <w:r>
        <w:rPr>
          <w:rFonts w:hint="eastAsia"/>
          <w:color w:val="auto"/>
          <w:highlight w:val="none"/>
          <w:lang w:eastAsia="zh-CN"/>
        </w:rPr>
        <w:t>（</w:t>
      </w:r>
      <w:r>
        <w:rPr>
          <w:rFonts w:hint="eastAsia"/>
          <w:color w:val="auto"/>
          <w:highlight w:val="none"/>
          <w:lang w:val="en-US" w:eastAsia="zh-CN"/>
        </w:rPr>
        <w:t>本项目不收取投标保证金</w:t>
      </w:r>
      <w:r>
        <w:rPr>
          <w:rFonts w:hint="eastAsia"/>
          <w:color w:val="auto"/>
          <w:highlight w:val="none"/>
          <w:lang w:eastAsia="zh-CN"/>
        </w:rPr>
        <w:t>）</w:t>
      </w:r>
    </w:p>
    <w:p>
      <w:pPr>
        <w:pStyle w:val="26"/>
        <w:numPr>
          <w:ilvl w:val="0"/>
          <w:numId w:val="6"/>
        </w:numPr>
        <w:spacing w:line="400" w:lineRule="exact"/>
        <w:ind w:firstLineChars="0"/>
        <w:jc w:val="both"/>
        <w:rPr>
          <w:rFonts w:ascii="宋体" w:hAnsi="宋体" w:cs="宋体"/>
          <w:vanish/>
          <w:color w:val="auto"/>
          <w:szCs w:val="21"/>
          <w:highlight w:val="none"/>
        </w:rPr>
      </w:pPr>
      <w:bookmarkStart w:id="96" w:name="_Ref179619405"/>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6"/>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采用银行转账、电汇方式提交的,付至招标代理机构指定账户上。 (详见投标人资料表)</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pPr>
        <w:numPr>
          <w:ilvl w:val="1"/>
          <w:numId w:val="6"/>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pPr>
        <w:pStyle w:val="8"/>
        <w:rPr>
          <w:color w:val="auto"/>
          <w:sz w:val="21"/>
          <w:szCs w:val="21"/>
          <w:highlight w:val="none"/>
        </w:rPr>
      </w:pPr>
    </w:p>
    <w:p>
      <w:pPr>
        <w:pStyle w:val="4"/>
        <w:rPr>
          <w:color w:val="auto"/>
          <w:highlight w:val="none"/>
        </w:rPr>
      </w:pPr>
      <w:bookmarkStart w:id="97" w:name="_Toc24997"/>
      <w:bookmarkStart w:id="98" w:name="_Toc16724"/>
      <w:bookmarkStart w:id="99" w:name="_Toc382049111"/>
      <w:bookmarkStart w:id="100" w:name="_Toc303084264"/>
      <w:bookmarkStart w:id="101" w:name="_Toc16286"/>
      <w:r>
        <w:rPr>
          <w:rFonts w:hint="eastAsia"/>
          <w:color w:val="auto"/>
          <w:highlight w:val="none"/>
        </w:rPr>
        <w:t>17.投标文件的装订，签署，密封和标记</w:t>
      </w:r>
      <w:bookmarkEnd w:id="97"/>
      <w:bookmarkEnd w:id="98"/>
      <w:bookmarkEnd w:id="99"/>
      <w:bookmarkEnd w:id="100"/>
      <w:bookmarkEnd w:id="101"/>
    </w:p>
    <w:p>
      <w:pPr>
        <w:pStyle w:val="26"/>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pPr>
        <w:numPr>
          <w:ilvl w:val="0"/>
          <w:numId w:val="7"/>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pPr>
        <w:numPr>
          <w:ilvl w:val="0"/>
          <w:numId w:val="8"/>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pPr>
        <w:spacing w:line="400" w:lineRule="exact"/>
        <w:rPr>
          <w:rFonts w:ascii="宋体" w:hAnsi="宋体" w:cs="宋体"/>
          <w:color w:val="auto"/>
          <w:szCs w:val="21"/>
          <w:highlight w:val="none"/>
        </w:rPr>
      </w:pPr>
    </w:p>
    <w:p>
      <w:pPr>
        <w:pStyle w:val="4"/>
        <w:rPr>
          <w:color w:val="auto"/>
          <w:highlight w:val="none"/>
        </w:rPr>
      </w:pPr>
      <w:bookmarkStart w:id="102" w:name="_Toc17636"/>
      <w:bookmarkStart w:id="103" w:name="_Toc30088"/>
      <w:r>
        <w:rPr>
          <w:rFonts w:hint="eastAsia"/>
          <w:color w:val="auto"/>
          <w:highlight w:val="none"/>
        </w:rPr>
        <w:t>18.迟交的投标文件</w:t>
      </w:r>
      <w:bookmarkEnd w:id="102"/>
      <w:bookmarkEnd w:id="103"/>
    </w:p>
    <w:p>
      <w:pPr>
        <w:pStyle w:val="26"/>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pPr>
        <w:spacing w:line="400" w:lineRule="exact"/>
        <w:rPr>
          <w:rFonts w:ascii="宋体" w:hAnsi="宋体" w:cs="宋体"/>
          <w:color w:val="auto"/>
          <w:szCs w:val="21"/>
          <w:highlight w:val="none"/>
        </w:rPr>
      </w:pPr>
    </w:p>
    <w:p>
      <w:pPr>
        <w:pStyle w:val="4"/>
        <w:rPr>
          <w:color w:val="auto"/>
          <w:highlight w:val="none"/>
        </w:rPr>
      </w:pPr>
      <w:bookmarkStart w:id="104" w:name="_Toc15912"/>
      <w:bookmarkStart w:id="105" w:name="_Toc24269"/>
      <w:r>
        <w:rPr>
          <w:rFonts w:hint="eastAsia"/>
          <w:color w:val="auto"/>
          <w:highlight w:val="none"/>
        </w:rPr>
        <w:t>19.投标样品、投标演示（如有要求）</w:t>
      </w:r>
      <w:bookmarkEnd w:id="104"/>
      <w:bookmarkEnd w:id="105"/>
    </w:p>
    <w:p>
      <w:pPr>
        <w:pStyle w:val="26"/>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pPr>
        <w:spacing w:line="360" w:lineRule="auto"/>
        <w:rPr>
          <w:rFonts w:ascii="宋体" w:hAnsi="宋体" w:cs="宋体"/>
          <w:color w:val="auto"/>
          <w:szCs w:val="21"/>
          <w:highlight w:val="none"/>
        </w:rPr>
      </w:pPr>
    </w:p>
    <w:p>
      <w:pPr>
        <w:pStyle w:val="4"/>
        <w:rPr>
          <w:color w:val="auto"/>
          <w:highlight w:val="none"/>
        </w:rPr>
      </w:pPr>
      <w:bookmarkStart w:id="106" w:name="_Toc28098"/>
      <w:bookmarkStart w:id="107" w:name="_Toc22355"/>
      <w:bookmarkStart w:id="108" w:name="_Toc303084265"/>
      <w:bookmarkStart w:id="109" w:name="_Toc382049112"/>
      <w:bookmarkStart w:id="110" w:name="_Toc9777"/>
      <w:r>
        <w:rPr>
          <w:rFonts w:hint="eastAsia"/>
          <w:color w:val="auto"/>
          <w:highlight w:val="none"/>
        </w:rPr>
        <w:t>20.投标截止期</w:t>
      </w:r>
      <w:bookmarkEnd w:id="106"/>
      <w:bookmarkEnd w:id="107"/>
      <w:bookmarkEnd w:id="108"/>
      <w:bookmarkEnd w:id="109"/>
      <w:bookmarkEnd w:id="110"/>
    </w:p>
    <w:p>
      <w:pPr>
        <w:pStyle w:val="26"/>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pPr>
        <w:spacing w:line="400" w:lineRule="exact"/>
        <w:rPr>
          <w:rFonts w:ascii="宋体" w:hAnsi="宋体" w:cs="宋体"/>
          <w:color w:val="auto"/>
          <w:szCs w:val="21"/>
          <w:highlight w:val="none"/>
        </w:rPr>
      </w:pPr>
    </w:p>
    <w:p>
      <w:pPr>
        <w:pStyle w:val="4"/>
        <w:rPr>
          <w:color w:val="auto"/>
          <w:highlight w:val="none"/>
        </w:rPr>
      </w:pPr>
      <w:bookmarkStart w:id="111" w:name="_Toc22260"/>
      <w:bookmarkStart w:id="112" w:name="_Toc4270"/>
      <w:r>
        <w:rPr>
          <w:rFonts w:hint="eastAsia"/>
          <w:color w:val="auto"/>
          <w:highlight w:val="none"/>
        </w:rPr>
        <w:t>21.投标文件的补充、修改与撤回</w:t>
      </w:r>
      <w:bookmarkEnd w:id="111"/>
      <w:bookmarkEnd w:id="112"/>
    </w:p>
    <w:p>
      <w:pPr>
        <w:pStyle w:val="26"/>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pPr>
        <w:pStyle w:val="8"/>
        <w:spacing w:line="360" w:lineRule="auto"/>
        <w:rPr>
          <w:color w:val="auto"/>
          <w:sz w:val="21"/>
          <w:szCs w:val="21"/>
          <w:highlight w:val="none"/>
        </w:rPr>
      </w:pPr>
    </w:p>
    <w:p>
      <w:pPr>
        <w:pStyle w:val="5"/>
        <w:overflowPunct w:val="0"/>
        <w:spacing w:before="0" w:after="0" w:line="400" w:lineRule="exact"/>
        <w:rPr>
          <w:rFonts w:ascii="宋体" w:hAnsi="宋体" w:cs="宋体"/>
          <w:color w:val="auto"/>
          <w:sz w:val="21"/>
          <w:szCs w:val="21"/>
          <w:highlight w:val="none"/>
        </w:rPr>
      </w:pPr>
      <w:bookmarkStart w:id="113" w:name="_Toc174"/>
      <w:r>
        <w:rPr>
          <w:rFonts w:hint="eastAsia" w:ascii="宋体" w:hAnsi="宋体" w:cs="宋体"/>
          <w:color w:val="auto"/>
          <w:sz w:val="21"/>
          <w:szCs w:val="21"/>
          <w:highlight w:val="none"/>
        </w:rPr>
        <w:t>22.开标</w:t>
      </w:r>
      <w:bookmarkEnd w:id="113"/>
    </w:p>
    <w:p>
      <w:pPr>
        <w:pStyle w:val="26"/>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pPr>
        <w:numPr>
          <w:ilvl w:val="2"/>
          <w:numId w:val="6"/>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pPr>
        <w:spacing w:line="400" w:lineRule="exact"/>
        <w:ind w:left="567"/>
        <w:jc w:val="both"/>
        <w:rPr>
          <w:rFonts w:ascii="宋体" w:hAnsi="宋体" w:cs="宋体"/>
          <w:color w:val="auto"/>
          <w:szCs w:val="21"/>
          <w:highlight w:val="none"/>
        </w:rPr>
      </w:pPr>
    </w:p>
    <w:p>
      <w:pPr>
        <w:pStyle w:val="4"/>
        <w:rPr>
          <w:color w:val="auto"/>
          <w:highlight w:val="none"/>
        </w:rPr>
      </w:pPr>
      <w:bookmarkStart w:id="114" w:name="_Toc23244"/>
      <w:bookmarkStart w:id="115" w:name="_Toc318"/>
      <w:r>
        <w:rPr>
          <w:rFonts w:hint="eastAsia"/>
          <w:color w:val="auto"/>
          <w:highlight w:val="none"/>
        </w:rPr>
        <w:t>23.评标委员会及评标方法</w:t>
      </w:r>
      <w:bookmarkEnd w:id="114"/>
      <w:bookmarkEnd w:id="115"/>
    </w:p>
    <w:p>
      <w:pPr>
        <w:pStyle w:val="26"/>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spacing w:line="400" w:lineRule="exact"/>
        <w:rPr>
          <w:rFonts w:ascii="宋体" w:hAnsi="宋体" w:cs="宋体"/>
          <w:color w:val="auto"/>
          <w:szCs w:val="21"/>
          <w:highlight w:val="none"/>
        </w:rPr>
      </w:pPr>
    </w:p>
    <w:p>
      <w:pPr>
        <w:pStyle w:val="4"/>
        <w:rPr>
          <w:color w:val="auto"/>
          <w:highlight w:val="none"/>
        </w:rPr>
      </w:pPr>
      <w:bookmarkStart w:id="116" w:name="_Toc15635"/>
      <w:bookmarkStart w:id="117" w:name="_Toc21911"/>
      <w:r>
        <w:rPr>
          <w:rFonts w:hint="eastAsia"/>
          <w:color w:val="auto"/>
          <w:highlight w:val="none"/>
        </w:rPr>
        <w:t>24.评审原则及评标过程的保密</w:t>
      </w:r>
      <w:bookmarkEnd w:id="116"/>
      <w:bookmarkEnd w:id="117"/>
    </w:p>
    <w:p>
      <w:pPr>
        <w:pStyle w:val="26"/>
        <w:numPr>
          <w:ilvl w:val="0"/>
          <w:numId w:val="6"/>
        </w:numPr>
        <w:spacing w:line="400" w:lineRule="exact"/>
        <w:ind w:firstLineChars="0"/>
        <w:jc w:val="both"/>
        <w:rPr>
          <w:rFonts w:ascii="宋体" w:hAnsi="宋体" w:cs="宋体"/>
          <w:vanish/>
          <w:color w:val="auto"/>
          <w:szCs w:val="21"/>
          <w:highlight w:val="none"/>
        </w:rPr>
      </w:pP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评审的基本原则：评标委员会将依据《中华人民共和国政府采购法》及国家和地方政府有关法规的规定，遵循“客观、公正、审慎”的原则进行评审工作。</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pPr>
        <w:spacing w:line="400" w:lineRule="exact"/>
        <w:rPr>
          <w:rFonts w:ascii="宋体" w:hAnsi="宋体" w:cs="宋体"/>
          <w:color w:val="auto"/>
          <w:szCs w:val="21"/>
          <w:highlight w:val="none"/>
        </w:rPr>
      </w:pPr>
    </w:p>
    <w:p>
      <w:pPr>
        <w:pStyle w:val="4"/>
        <w:rPr>
          <w:color w:val="auto"/>
          <w:highlight w:val="none"/>
        </w:rPr>
      </w:pPr>
      <w:bookmarkStart w:id="118" w:name="_Toc12318"/>
      <w:bookmarkStart w:id="119" w:name="_Toc10950"/>
      <w:r>
        <w:rPr>
          <w:rFonts w:hint="eastAsia"/>
          <w:color w:val="auto"/>
          <w:highlight w:val="none"/>
        </w:rPr>
        <w:t>25.投标文件的初审</w:t>
      </w:r>
      <w:bookmarkEnd w:id="118"/>
      <w:bookmarkEnd w:id="119"/>
    </w:p>
    <w:p>
      <w:pPr>
        <w:pStyle w:val="26"/>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pPr>
        <w:numPr>
          <w:ilvl w:val="1"/>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spacing w:line="400" w:lineRule="exact"/>
        <w:rPr>
          <w:rFonts w:ascii="宋体" w:hAnsi="宋体" w:cs="宋体"/>
          <w:color w:val="auto"/>
          <w:szCs w:val="21"/>
          <w:highlight w:val="none"/>
        </w:rPr>
      </w:pPr>
    </w:p>
    <w:p>
      <w:pPr>
        <w:pStyle w:val="4"/>
        <w:rPr>
          <w:color w:val="auto"/>
          <w:highlight w:val="none"/>
        </w:rPr>
      </w:pPr>
      <w:bookmarkStart w:id="120" w:name="_Toc19657"/>
      <w:bookmarkStart w:id="121" w:name="_Toc24775"/>
      <w:r>
        <w:rPr>
          <w:rFonts w:hint="eastAsia"/>
          <w:color w:val="auto"/>
          <w:highlight w:val="none"/>
        </w:rPr>
        <w:t>26.商务、技术、价格评审</w:t>
      </w:r>
      <w:bookmarkEnd w:id="120"/>
      <w:bookmarkEnd w:id="121"/>
    </w:p>
    <w:p>
      <w:pPr>
        <w:pStyle w:val="26"/>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pPr>
        <w:tabs>
          <w:tab w:val="left" w:pos="907"/>
        </w:tabs>
        <w:spacing w:line="400" w:lineRule="exact"/>
        <w:ind w:left="567"/>
        <w:jc w:val="both"/>
        <w:rPr>
          <w:rFonts w:ascii="宋体" w:hAnsi="宋体" w:cs="宋体"/>
          <w:color w:val="auto"/>
          <w:szCs w:val="21"/>
          <w:highlight w:val="none"/>
        </w:rPr>
      </w:pPr>
    </w:p>
    <w:p>
      <w:pPr>
        <w:pStyle w:val="4"/>
        <w:rPr>
          <w:color w:val="auto"/>
          <w:highlight w:val="none"/>
        </w:rPr>
      </w:pPr>
      <w:bookmarkStart w:id="122" w:name="_Toc316375620"/>
      <w:bookmarkStart w:id="123" w:name="_Toc5898"/>
      <w:bookmarkStart w:id="124" w:name="_Toc19304"/>
      <w:bookmarkStart w:id="125" w:name="_Toc382049120"/>
      <w:bookmarkStart w:id="126" w:name="_Toc20328"/>
      <w:r>
        <w:rPr>
          <w:rFonts w:hint="eastAsia"/>
          <w:color w:val="auto"/>
          <w:highlight w:val="none"/>
        </w:rPr>
        <w:t>27.纪律和保密</w:t>
      </w:r>
      <w:bookmarkEnd w:id="122"/>
      <w:r>
        <w:rPr>
          <w:rFonts w:hint="eastAsia"/>
          <w:color w:val="auto"/>
          <w:highlight w:val="none"/>
        </w:rPr>
        <w:t>事项</w:t>
      </w:r>
      <w:bookmarkEnd w:id="123"/>
      <w:bookmarkEnd w:id="124"/>
      <w:bookmarkEnd w:id="125"/>
      <w:bookmarkEnd w:id="126"/>
    </w:p>
    <w:p>
      <w:pPr>
        <w:pStyle w:val="26"/>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4"/>
        <w:rPr>
          <w:color w:val="auto"/>
          <w:highlight w:val="none"/>
        </w:rPr>
      </w:pPr>
      <w:bookmarkStart w:id="127" w:name="_Toc508284011"/>
      <w:bookmarkStart w:id="128" w:name="_Toc1994"/>
      <w:bookmarkStart w:id="129" w:name="_Toc4954"/>
      <w:r>
        <w:rPr>
          <w:rFonts w:hint="eastAsia"/>
          <w:color w:val="auto"/>
          <w:highlight w:val="none"/>
        </w:rPr>
        <w:t>28.合同授予标准</w:t>
      </w:r>
      <w:bookmarkEnd w:id="127"/>
      <w:bookmarkEnd w:id="128"/>
      <w:bookmarkEnd w:id="129"/>
    </w:p>
    <w:p>
      <w:pPr>
        <w:pStyle w:val="26"/>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pPr>
        <w:spacing w:line="400" w:lineRule="exact"/>
        <w:rPr>
          <w:rFonts w:ascii="宋体" w:hAnsi="宋体" w:cs="宋体"/>
          <w:color w:val="auto"/>
          <w:szCs w:val="21"/>
          <w:highlight w:val="none"/>
        </w:rPr>
      </w:pPr>
    </w:p>
    <w:p>
      <w:pPr>
        <w:pStyle w:val="4"/>
        <w:rPr>
          <w:color w:val="auto"/>
          <w:highlight w:val="none"/>
        </w:rPr>
      </w:pPr>
      <w:bookmarkStart w:id="130" w:name="_Toc22043"/>
      <w:bookmarkStart w:id="131" w:name="_Toc508284013"/>
      <w:bookmarkStart w:id="132" w:name="_Toc14141"/>
      <w:r>
        <w:rPr>
          <w:rFonts w:hint="eastAsia"/>
          <w:color w:val="auto"/>
          <w:highlight w:val="none"/>
        </w:rPr>
        <w:t>30.发布采购结果</w:t>
      </w:r>
      <w:bookmarkEnd w:id="130"/>
      <w:bookmarkEnd w:id="131"/>
      <w:bookmarkEnd w:id="132"/>
    </w:p>
    <w:p>
      <w:pPr>
        <w:pStyle w:val="26"/>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pPr>
        <w:numPr>
          <w:ilvl w:val="0"/>
          <w:numId w:val="9"/>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pPr>
        <w:numPr>
          <w:ilvl w:val="2"/>
          <w:numId w:val="6"/>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pPr>
        <w:numPr>
          <w:ilvl w:val="2"/>
          <w:numId w:val="6"/>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pPr>
        <w:spacing w:line="400" w:lineRule="exact"/>
        <w:rPr>
          <w:rFonts w:ascii="宋体" w:hAnsi="宋体" w:cs="宋体"/>
          <w:color w:val="auto"/>
          <w:szCs w:val="21"/>
          <w:highlight w:val="none"/>
        </w:rPr>
      </w:pPr>
    </w:p>
    <w:p>
      <w:pPr>
        <w:pStyle w:val="4"/>
        <w:rPr>
          <w:color w:val="auto"/>
          <w:highlight w:val="none"/>
        </w:rPr>
      </w:pPr>
      <w:bookmarkStart w:id="133" w:name="_Toc8411"/>
      <w:bookmarkStart w:id="134" w:name="_Toc11977"/>
      <w:r>
        <w:rPr>
          <w:rFonts w:hint="eastAsia"/>
          <w:color w:val="auto"/>
          <w:highlight w:val="none"/>
        </w:rPr>
        <w:t>30.合同的签订与履行</w:t>
      </w:r>
      <w:bookmarkEnd w:id="133"/>
      <w:bookmarkEnd w:id="134"/>
    </w:p>
    <w:p>
      <w:pPr>
        <w:pStyle w:val="26"/>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pPr>
        <w:numPr>
          <w:ilvl w:val="1"/>
          <w:numId w:val="6"/>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pPr>
        <w:pStyle w:val="8"/>
        <w:rPr>
          <w:color w:val="auto"/>
          <w:sz w:val="21"/>
          <w:szCs w:val="21"/>
          <w:highlight w:val="none"/>
        </w:rPr>
      </w:pPr>
    </w:p>
    <w:p>
      <w:pPr>
        <w:pStyle w:val="4"/>
        <w:rPr>
          <w:color w:val="auto"/>
          <w:highlight w:val="none"/>
        </w:rPr>
      </w:pPr>
      <w:bookmarkStart w:id="135" w:name="_Toc19434"/>
      <w:bookmarkStart w:id="136" w:name="_Toc23400"/>
      <w:r>
        <w:rPr>
          <w:rFonts w:hint="eastAsia"/>
          <w:color w:val="auto"/>
          <w:highlight w:val="none"/>
        </w:rPr>
        <w:t>31.招标文件的解释权</w:t>
      </w:r>
      <w:bookmarkEnd w:id="135"/>
      <w:bookmarkEnd w:id="136"/>
    </w:p>
    <w:p>
      <w:pPr>
        <w:pStyle w:val="26"/>
        <w:numPr>
          <w:ilvl w:val="0"/>
          <w:numId w:val="6"/>
        </w:numPr>
        <w:tabs>
          <w:tab w:val="left" w:pos="907"/>
        </w:tabs>
        <w:spacing w:line="400" w:lineRule="exact"/>
        <w:ind w:firstLineChars="0"/>
        <w:jc w:val="both"/>
        <w:rPr>
          <w:rFonts w:ascii="宋体" w:hAnsi="宋体" w:cs="宋体"/>
          <w:vanish/>
          <w:color w:val="auto"/>
          <w:szCs w:val="21"/>
          <w:highlight w:val="none"/>
        </w:rPr>
      </w:pPr>
    </w:p>
    <w:p>
      <w:pPr>
        <w:numPr>
          <w:ilvl w:val="1"/>
          <w:numId w:val="6"/>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3"/>
        <w:numPr>
          <w:ilvl w:val="0"/>
          <w:numId w:val="2"/>
        </w:numPr>
        <w:rPr>
          <w:color w:val="auto"/>
          <w:highlight w:val="none"/>
        </w:rPr>
      </w:pPr>
      <w:bookmarkStart w:id="137" w:name="_Toc27892"/>
      <w:r>
        <w:rPr>
          <w:rFonts w:hint="eastAsia"/>
          <w:color w:val="auto"/>
          <w:highlight w:val="none"/>
        </w:rPr>
        <w:t>用户需求书</w:t>
      </w:r>
      <w:bookmarkEnd w:id="137"/>
    </w:p>
    <w:p>
      <w:pPr>
        <w:jc w:val="center"/>
        <w:outlineLvl w:val="1"/>
        <w:rPr>
          <w:b/>
          <w:bCs/>
          <w:color w:val="auto"/>
          <w:sz w:val="28"/>
          <w:szCs w:val="36"/>
          <w:highlight w:val="none"/>
        </w:rPr>
      </w:pPr>
      <w:bookmarkStart w:id="138" w:name="_Toc16006"/>
      <w:r>
        <w:rPr>
          <w:rFonts w:hint="eastAsia"/>
          <w:b/>
          <w:bCs/>
          <w:color w:val="auto"/>
          <w:sz w:val="28"/>
          <w:szCs w:val="36"/>
          <w:highlight w:val="none"/>
        </w:rPr>
        <w:t>商务要求</w:t>
      </w:r>
      <w:bookmarkEnd w:id="138"/>
    </w:p>
    <w:tbl>
      <w:tblPr>
        <w:tblStyle w:val="19"/>
        <w:tblW w:w="513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2"/>
        <w:gridCol w:w="1369"/>
        <w:gridCol w:w="67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67"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序号</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条款名称</w:t>
            </w:r>
          </w:p>
        </w:tc>
        <w:tc>
          <w:tcPr>
            <w:tcW w:w="3850"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367"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1</w:t>
            </w:r>
          </w:p>
        </w:tc>
        <w:tc>
          <w:tcPr>
            <w:tcW w:w="782"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olor w:val="auto"/>
                <w:szCs w:val="21"/>
                <w:highlight w:val="none"/>
              </w:rPr>
            </w:pPr>
            <w:r>
              <w:rPr>
                <w:rFonts w:hint="eastAsia" w:ascii="宋体" w:hAnsi="宋体" w:eastAsia="宋体" w:cs="宋体"/>
                <w:color w:val="auto"/>
                <w:sz w:val="21"/>
                <w:szCs w:val="21"/>
                <w:highlight w:val="none"/>
              </w:rPr>
              <w:t>服务期</w:t>
            </w:r>
          </w:p>
        </w:tc>
        <w:tc>
          <w:tcPr>
            <w:tcW w:w="3850"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Cs/>
                <w:color w:val="auto"/>
                <w:kern w:val="44"/>
                <w:sz w:val="21"/>
                <w:szCs w:val="21"/>
                <w:highlight w:val="none"/>
              </w:rPr>
              <w:t>自合同签订之日起</w:t>
            </w:r>
            <w:r>
              <w:rPr>
                <w:rFonts w:hint="eastAsia" w:ascii="宋体" w:hAnsi="宋体" w:cs="宋体"/>
                <w:bCs/>
                <w:color w:val="auto"/>
                <w:kern w:val="44"/>
                <w:sz w:val="21"/>
                <w:szCs w:val="21"/>
                <w:highlight w:val="none"/>
                <w:lang w:val="en-US" w:eastAsia="zh-CN"/>
              </w:rPr>
              <w:t>一年</w:t>
            </w:r>
            <w:r>
              <w:rPr>
                <w:rFonts w:hint="eastAsia" w:ascii="宋体" w:hAnsi="宋体" w:eastAsia="宋体" w:cs="宋体"/>
                <w:bCs/>
                <w:color w:val="auto"/>
                <w:kern w:val="44"/>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367"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w:t>
            </w:r>
          </w:p>
        </w:tc>
        <w:tc>
          <w:tcPr>
            <w:tcW w:w="782"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theme="minorBidi"/>
                <w:color w:val="auto"/>
                <w:sz w:val="22"/>
                <w:szCs w:val="21"/>
                <w:highlight w:val="none"/>
                <w:lang w:val="en-US" w:eastAsia="zh-CN" w:bidi="ar-SA"/>
              </w:rPr>
            </w:pPr>
            <w:r>
              <w:rPr>
                <w:rFonts w:hint="eastAsia" w:ascii="宋体" w:hAnsi="宋体" w:eastAsia="宋体" w:cs="宋体"/>
                <w:color w:val="auto"/>
                <w:sz w:val="21"/>
                <w:szCs w:val="21"/>
                <w:highlight w:val="none"/>
              </w:rPr>
              <w:t>付款方式</w:t>
            </w:r>
          </w:p>
        </w:tc>
        <w:tc>
          <w:tcPr>
            <w:tcW w:w="3850" w:type="pct"/>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以单项合同实际供货量结算，材料到达现场并提供等额发票后，由采购单位15天内完成支付。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367"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w:t>
            </w:r>
          </w:p>
        </w:tc>
        <w:tc>
          <w:tcPr>
            <w:tcW w:w="782"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供货响应时间</w:t>
            </w:r>
          </w:p>
        </w:tc>
        <w:tc>
          <w:tcPr>
            <w:tcW w:w="3850"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实际需要量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2日内送货到采购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指定地点</w:t>
            </w:r>
            <w:r>
              <w:rPr>
                <w:rFonts w:hint="eastAsia" w:ascii="宋体" w:hAnsi="宋体" w:cs="宋体"/>
                <w:color w:val="auto"/>
                <w:sz w:val="21"/>
                <w:szCs w:val="21"/>
                <w:highlight w:val="none"/>
                <w:lang w:eastAsia="zh-CN"/>
              </w:rPr>
              <w:t>。中标人需在接到采购人送货通知后当日装车当日送货，不得提前装车（容易影响苗木的整体品相及新鲜度）供货苗木的规格、质量要符合要求、品相要好。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367"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theme="minorBidi"/>
                <w:color w:val="auto"/>
                <w:kern w:val="2"/>
                <w:sz w:val="21"/>
                <w:szCs w:val="21"/>
                <w:highlight w:val="none"/>
                <w:lang w:val="en-US" w:eastAsia="zh-CN" w:bidi="ar-SA"/>
              </w:rPr>
            </w:pPr>
            <w:r>
              <w:rPr>
                <w:rFonts w:hint="eastAsia" w:ascii="宋体" w:hAnsi="宋体"/>
                <w:color w:val="auto"/>
                <w:szCs w:val="21"/>
                <w:highlight w:val="none"/>
                <w:lang w:val="en-US" w:eastAsia="zh-CN"/>
              </w:rPr>
              <w:t>4</w:t>
            </w:r>
          </w:p>
        </w:tc>
        <w:tc>
          <w:tcPr>
            <w:tcW w:w="782"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olor w:val="auto"/>
                <w:szCs w:val="21"/>
                <w:highlight w:val="none"/>
              </w:rPr>
            </w:pPr>
            <w:r>
              <w:rPr>
                <w:rFonts w:hint="eastAsia" w:ascii="宋体" w:hAnsi="宋体" w:eastAsia="宋体" w:cs="宋体"/>
                <w:color w:val="auto"/>
                <w:sz w:val="21"/>
                <w:szCs w:val="21"/>
                <w:highlight w:val="none"/>
              </w:rPr>
              <w:t>服务地点</w:t>
            </w:r>
          </w:p>
        </w:tc>
        <w:tc>
          <w:tcPr>
            <w:tcW w:w="3850"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367"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theme="minorBidi"/>
                <w:color w:val="auto"/>
                <w:sz w:val="22"/>
                <w:szCs w:val="21"/>
                <w:highlight w:val="none"/>
                <w:lang w:val="en-US" w:eastAsia="zh-CN" w:bidi="ar-SA"/>
              </w:rPr>
            </w:pPr>
            <w:r>
              <w:rPr>
                <w:rFonts w:ascii="宋体" w:hAnsi="宋体" w:eastAsia="宋体"/>
                <w:color w:val="auto"/>
                <w:szCs w:val="21"/>
                <w:highlight w:val="none"/>
              </w:rPr>
              <w:t>合同条款</w:t>
            </w:r>
          </w:p>
        </w:tc>
        <w:tc>
          <w:tcPr>
            <w:tcW w:w="3850" w:type="pct"/>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投标人实质响应合同各条款。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367"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782" w:type="pct"/>
            <w:vAlign w:val="center"/>
          </w:tcPr>
          <w:p>
            <w:pPr>
              <w:pStyle w:val="28"/>
              <w:autoSpaceDE w:val="0"/>
              <w:autoSpaceDN w:val="0"/>
              <w:spacing w:line="360" w:lineRule="auto"/>
              <w:jc w:val="center"/>
              <w:rPr>
                <w:rFonts w:ascii="宋体" w:hAnsi="宋体" w:eastAsia="宋体"/>
                <w:color w:val="auto"/>
                <w:szCs w:val="21"/>
                <w:highlight w:val="none"/>
              </w:rPr>
            </w:pPr>
            <w:r>
              <w:rPr>
                <w:rFonts w:hint="eastAsia" w:ascii="宋体" w:hAnsi="宋体" w:cs="宋体"/>
                <w:color w:val="auto"/>
                <w:szCs w:val="21"/>
                <w:highlight w:val="none"/>
              </w:rPr>
              <w:t>验收要求</w:t>
            </w:r>
          </w:p>
        </w:tc>
        <w:tc>
          <w:tcPr>
            <w:tcW w:w="3850" w:type="pct"/>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由采购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lang w:val="zh-CN" w:eastAsia="zh-CN"/>
              </w:rPr>
              <w:t>自行组织人员现场验收。货到卸苗时，采购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lang w:val="zh-CN" w:eastAsia="zh-CN"/>
              </w:rPr>
              <w:t>派人需及时验收（边卸苗边验收），对验收不合格的苗木采取退货处理，</w:t>
            </w:r>
            <w:r>
              <w:rPr>
                <w:rFonts w:hint="eastAsia" w:ascii="宋体" w:hAnsi="宋体" w:eastAsia="宋体"/>
                <w:color w:val="auto"/>
                <w:sz w:val="21"/>
                <w:szCs w:val="21"/>
                <w:highlight w:val="none"/>
              </w:rPr>
              <w:t>中标人</w:t>
            </w:r>
            <w:r>
              <w:rPr>
                <w:rFonts w:hint="eastAsia" w:ascii="宋体" w:hAnsi="宋体" w:eastAsia="宋体" w:cs="宋体"/>
                <w:color w:val="auto"/>
                <w:sz w:val="21"/>
                <w:szCs w:val="21"/>
                <w:highlight w:val="none"/>
                <w:lang w:val="zh-CN" w:eastAsia="zh-CN"/>
              </w:rPr>
              <w:t>要及时补回合格苗木（所产生的额外支出由</w:t>
            </w:r>
            <w:r>
              <w:rPr>
                <w:rFonts w:hint="eastAsia" w:ascii="宋体" w:hAnsi="宋体" w:eastAsia="宋体"/>
                <w:color w:val="auto"/>
                <w:sz w:val="21"/>
                <w:szCs w:val="21"/>
                <w:highlight w:val="none"/>
              </w:rPr>
              <w:t>中标人</w:t>
            </w:r>
            <w:r>
              <w:rPr>
                <w:rFonts w:hint="eastAsia" w:ascii="宋体" w:hAnsi="宋体" w:cs="宋体"/>
                <w:color w:val="auto"/>
                <w:sz w:val="21"/>
                <w:szCs w:val="21"/>
                <w:highlight w:val="none"/>
                <w:lang w:val="en-US" w:eastAsia="zh-CN"/>
              </w:rPr>
              <w:t>自行</w:t>
            </w:r>
            <w:r>
              <w:rPr>
                <w:rFonts w:hint="eastAsia" w:ascii="宋体" w:hAnsi="宋体" w:eastAsia="宋体" w:cs="宋体"/>
                <w:color w:val="auto"/>
                <w:sz w:val="21"/>
                <w:szCs w:val="21"/>
                <w:highlight w:val="none"/>
                <w:lang w:val="zh-CN" w:eastAsia="zh-CN"/>
              </w:rPr>
              <w:t>负担），如补回苗木还不合格，</w:t>
            </w:r>
            <w:r>
              <w:rPr>
                <w:rFonts w:hint="eastAsia" w:ascii="宋体" w:hAnsi="宋体" w:cs="宋体"/>
                <w:color w:val="auto"/>
                <w:sz w:val="21"/>
                <w:szCs w:val="21"/>
                <w:highlight w:val="none"/>
                <w:lang w:val="en-US" w:eastAsia="zh-CN"/>
              </w:rPr>
              <w:t>采购人有权</w:t>
            </w:r>
            <w:r>
              <w:rPr>
                <w:rFonts w:hint="eastAsia" w:ascii="宋体" w:hAnsi="宋体" w:eastAsia="宋体" w:cs="宋体"/>
                <w:color w:val="auto"/>
                <w:sz w:val="21"/>
                <w:szCs w:val="21"/>
                <w:highlight w:val="none"/>
                <w:lang w:val="zh-CN" w:eastAsia="zh-CN"/>
              </w:rPr>
              <w:t>取消</w:t>
            </w:r>
            <w:r>
              <w:rPr>
                <w:rFonts w:hint="eastAsia" w:ascii="宋体" w:hAnsi="宋体" w:cs="宋体"/>
                <w:color w:val="auto"/>
                <w:sz w:val="21"/>
                <w:szCs w:val="21"/>
                <w:highlight w:val="none"/>
                <w:lang w:val="en-US" w:eastAsia="zh-CN"/>
              </w:rPr>
              <w:t>该</w:t>
            </w:r>
            <w:r>
              <w:rPr>
                <w:rFonts w:hint="eastAsia" w:ascii="宋体" w:hAnsi="宋体" w:eastAsia="宋体"/>
                <w:color w:val="auto"/>
                <w:sz w:val="21"/>
                <w:szCs w:val="21"/>
                <w:highlight w:val="none"/>
              </w:rPr>
              <w:t>中标人</w:t>
            </w:r>
            <w:r>
              <w:rPr>
                <w:rFonts w:hint="eastAsia" w:ascii="宋体" w:hAnsi="宋体" w:cs="宋体"/>
                <w:color w:val="auto"/>
                <w:sz w:val="21"/>
                <w:szCs w:val="21"/>
                <w:highlight w:val="none"/>
                <w:lang w:val="en-US" w:eastAsia="zh-CN"/>
              </w:rPr>
              <w:t>供货</w:t>
            </w:r>
            <w:r>
              <w:rPr>
                <w:rFonts w:hint="eastAsia" w:ascii="宋体" w:hAnsi="宋体" w:eastAsia="宋体" w:cs="宋体"/>
                <w:color w:val="auto"/>
                <w:sz w:val="21"/>
                <w:szCs w:val="21"/>
                <w:highlight w:val="none"/>
                <w:lang w:val="zh-CN" w:eastAsia="zh-CN"/>
              </w:rPr>
              <w:t>资格，</w:t>
            </w:r>
            <w:r>
              <w:rPr>
                <w:rFonts w:hint="eastAsia" w:ascii="宋体" w:hAnsi="宋体" w:cs="宋体"/>
                <w:color w:val="auto"/>
                <w:sz w:val="21"/>
                <w:szCs w:val="21"/>
                <w:highlight w:val="none"/>
                <w:lang w:val="en-US" w:eastAsia="zh-CN"/>
              </w:rPr>
              <w:t>并终止</w:t>
            </w:r>
            <w:r>
              <w:rPr>
                <w:rFonts w:hint="eastAsia" w:ascii="宋体" w:hAnsi="宋体" w:eastAsia="宋体"/>
                <w:color w:val="auto"/>
                <w:sz w:val="21"/>
                <w:szCs w:val="21"/>
                <w:highlight w:val="none"/>
                <w:lang w:val="en-US" w:eastAsia="zh-CN"/>
              </w:rPr>
              <w:t>合同</w:t>
            </w:r>
            <w:r>
              <w:rPr>
                <w:rFonts w:hint="eastAsia" w:ascii="宋体" w:hAnsi="宋体" w:eastAsia="宋体" w:cs="宋体"/>
                <w:color w:val="auto"/>
                <w:sz w:val="21"/>
                <w:szCs w:val="21"/>
                <w:highlight w:val="none"/>
                <w:lang w:val="zh-CN" w:eastAsia="zh-CN"/>
              </w:rPr>
              <w:t>。验收范围包括：数量、规格、质量等。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367"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7</w:t>
            </w:r>
          </w:p>
        </w:tc>
        <w:tc>
          <w:tcPr>
            <w:tcW w:w="782"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olor w:val="auto"/>
                <w:szCs w:val="21"/>
                <w:highlight w:val="none"/>
                <w:lang w:val="en-US" w:eastAsia="zh-CN"/>
              </w:rPr>
            </w:pP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要求</w:t>
            </w:r>
          </w:p>
        </w:tc>
        <w:tc>
          <w:tcPr>
            <w:tcW w:w="3850"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投标人根据项目招标内容及要求一次性报出固定下浮率。</w:t>
            </w:r>
            <w:r>
              <w:rPr>
                <w:rFonts w:hint="eastAsia" w:ascii="宋体" w:hAnsi="宋体" w:cs="宋体"/>
                <w:color w:val="auto"/>
                <w:sz w:val="21"/>
                <w:szCs w:val="21"/>
                <w:highlight w:val="none"/>
                <w:lang w:val="zh-CN"/>
              </w:rPr>
              <w:t>供货款项</w:t>
            </w:r>
            <w:r>
              <w:rPr>
                <w:rFonts w:hint="eastAsia" w:ascii="宋体" w:hAnsi="宋体" w:eastAsia="宋体" w:cs="宋体"/>
                <w:color w:val="auto"/>
                <w:sz w:val="21"/>
                <w:szCs w:val="21"/>
                <w:highlight w:val="none"/>
                <w:lang w:val="zh-CN"/>
              </w:rPr>
              <w:t>最终结算时统一采用以下方式计算费用：</w:t>
            </w:r>
            <w:r>
              <w:rPr>
                <w:rFonts w:hint="eastAsia" w:ascii="宋体" w:hAnsi="宋体" w:cs="宋体"/>
                <w:color w:val="auto"/>
                <w:sz w:val="21"/>
                <w:szCs w:val="21"/>
                <w:highlight w:val="none"/>
                <w:lang w:val="zh-CN"/>
              </w:rPr>
              <w:t>供货款项</w:t>
            </w:r>
            <w:r>
              <w:rPr>
                <w:rFonts w:hint="eastAsia" w:ascii="宋体" w:hAnsi="宋体" w:eastAsia="宋体" w:cs="宋体"/>
                <w:color w:val="auto"/>
                <w:sz w:val="21"/>
                <w:szCs w:val="21"/>
                <w:highlight w:val="none"/>
                <w:lang w:val="zh-CN"/>
              </w:rPr>
              <w:t>=（1-下浮率）×供应商供货报价，按实际使用数量结算。</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下浮率定义：投标人对本项目进行投标时承诺报价下调的比率。</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报价应包含完成本次招标所有服务内容的费用，包括</w:t>
            </w:r>
            <w:r>
              <w:rPr>
                <w:rFonts w:hint="eastAsia" w:ascii="宋体" w:hAnsi="宋体" w:cs="宋体"/>
                <w:color w:val="auto"/>
                <w:sz w:val="21"/>
                <w:szCs w:val="21"/>
                <w:highlight w:val="none"/>
                <w:lang w:val="en-US" w:eastAsia="zh-CN"/>
              </w:rPr>
              <w:t>苗木费、</w:t>
            </w:r>
            <w:r>
              <w:rPr>
                <w:rFonts w:hint="eastAsia" w:ascii="宋体" w:hAnsi="宋体" w:eastAsia="宋体" w:cs="宋体"/>
                <w:color w:val="auto"/>
                <w:sz w:val="21"/>
                <w:szCs w:val="21"/>
                <w:highlight w:val="none"/>
                <w:lang w:val="zh-CN"/>
              </w:rPr>
              <w:t>搬运费、运输费、人工费、工具费、耗材费、各种税费、资料费、保险费、验收费、及合同实施过程中的不可预见费用等全部费用。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atLeast"/>
          <w:jc w:val="center"/>
        </w:trPr>
        <w:tc>
          <w:tcPr>
            <w:tcW w:w="367"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782" w:type="pct"/>
            <w:vAlign w:val="center"/>
          </w:tcPr>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theme="minorBidi"/>
                <w:color w:val="auto"/>
                <w:sz w:val="22"/>
                <w:szCs w:val="21"/>
                <w:highlight w:val="none"/>
                <w:lang w:val="en-US" w:eastAsia="zh-CN" w:bidi="ar-SA"/>
              </w:rPr>
            </w:pPr>
            <w:r>
              <w:rPr>
                <w:rFonts w:ascii="宋体" w:hAnsi="宋体" w:eastAsia="宋体"/>
                <w:color w:val="auto"/>
                <w:szCs w:val="21"/>
                <w:highlight w:val="none"/>
              </w:rPr>
              <w:t>其它要求</w:t>
            </w:r>
          </w:p>
        </w:tc>
        <w:tc>
          <w:tcPr>
            <w:tcW w:w="3850" w:type="pct"/>
            <w:vAlign w:val="center"/>
          </w:tcPr>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投标人应充分结合本招标文件上下文了解项目招标需求、采购文件未尽事宜，将在合同签订或项目执行过程中双方协商确定，供应商须无条件满足采购单位的合理要求。</w:t>
            </w:r>
          </w:p>
        </w:tc>
      </w:tr>
    </w:tbl>
    <w:p>
      <w:pPr>
        <w:rPr>
          <w:rFonts w:hint="default"/>
          <w:color w:val="auto"/>
          <w:highlight w:val="none"/>
          <w:lang w:val="en-US" w:eastAsia="zh-CN"/>
        </w:rPr>
      </w:pPr>
      <w:r>
        <w:rPr>
          <w:rFonts w:hint="default"/>
          <w:color w:val="auto"/>
          <w:highlight w:val="none"/>
          <w:lang w:val="en-US" w:eastAsia="zh-CN"/>
        </w:rPr>
        <w:br w:type="page"/>
      </w:r>
    </w:p>
    <w:p>
      <w:pPr>
        <w:bidi w:val="0"/>
        <w:jc w:val="center"/>
        <w:outlineLvl w:val="1"/>
        <w:rPr>
          <w:rFonts w:hint="eastAsia" w:eastAsia="宋体"/>
          <w:b/>
          <w:bCs/>
          <w:color w:val="auto"/>
          <w:sz w:val="28"/>
          <w:szCs w:val="36"/>
          <w:highlight w:val="none"/>
          <w:lang w:eastAsia="zh-CN"/>
        </w:rPr>
      </w:pPr>
      <w:bookmarkStart w:id="139" w:name="_Toc16983"/>
      <w:bookmarkStart w:id="140" w:name="_Toc3714"/>
      <w:bookmarkStart w:id="141" w:name="_Toc4445"/>
      <w:bookmarkStart w:id="142" w:name="_Toc4572"/>
      <w:r>
        <w:rPr>
          <w:rFonts w:hint="eastAsia" w:eastAsia="宋体"/>
          <w:b/>
          <w:bCs/>
          <w:color w:val="auto"/>
          <w:sz w:val="28"/>
          <w:szCs w:val="36"/>
          <w:highlight w:val="none"/>
          <w:lang w:eastAsia="zh-CN"/>
        </w:rPr>
        <w:t>技术要求</w:t>
      </w:r>
      <w:bookmarkEnd w:id="139"/>
      <w:bookmarkEnd w:id="140"/>
      <w:bookmarkEnd w:id="141"/>
      <w:bookmarkEnd w:id="142"/>
    </w:p>
    <w:p>
      <w:pPr>
        <w:pStyle w:val="5"/>
        <w:numPr>
          <w:ilvl w:val="0"/>
          <w:numId w:val="10"/>
        </w:numPr>
        <w:bidi w:val="0"/>
        <w:ind w:left="0" w:leftChars="0" w:firstLine="420" w:firstLineChars="0"/>
        <w:rPr>
          <w:rFonts w:hint="eastAsia"/>
          <w:color w:val="auto"/>
          <w:lang w:val="en-US" w:eastAsia="zh-CN"/>
        </w:rPr>
      </w:pPr>
      <w:r>
        <w:rPr>
          <w:rFonts w:hint="eastAsia"/>
          <w:color w:val="auto"/>
          <w:lang w:val="en-US" w:eastAsia="zh-CN"/>
        </w:rPr>
        <w:t>项目概况</w:t>
      </w:r>
    </w:p>
    <w:p>
      <w:pPr>
        <w:spacing w:after="0" w:line="360" w:lineRule="auto"/>
        <w:ind w:firstLine="420" w:firstLineChars="200"/>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采购人一年采购的苗木概算为280万元，本项目通过公开招标的方式，</w:t>
      </w:r>
      <w:r>
        <w:rPr>
          <w:rFonts w:hint="eastAsia" w:ascii="宋体" w:hAnsi="宋体"/>
          <w:color w:val="auto"/>
          <w:sz w:val="21"/>
          <w:szCs w:val="21"/>
          <w:lang w:val="en-US" w:eastAsia="zh-CN"/>
        </w:rPr>
        <w:t>选择</w:t>
      </w:r>
      <w:r>
        <w:rPr>
          <w:rFonts w:hint="eastAsia" w:ascii="宋体" w:hAnsi="宋体" w:eastAsia="宋体"/>
          <w:color w:val="auto"/>
          <w:sz w:val="21"/>
          <w:szCs w:val="21"/>
          <w:lang w:val="en-US" w:eastAsia="zh-CN"/>
        </w:rPr>
        <w:t>2家单位作为协议供应商，以满足采购人日常需要。采购人无法预计也无法保证各中标人承接项目的数量</w:t>
      </w:r>
      <w:r>
        <w:rPr>
          <w:rFonts w:hint="eastAsia" w:ascii="宋体" w:hAnsi="宋体"/>
          <w:color w:val="auto"/>
          <w:sz w:val="21"/>
          <w:szCs w:val="21"/>
          <w:lang w:val="en-US" w:eastAsia="zh-CN"/>
        </w:rPr>
        <w:t>与金额</w:t>
      </w:r>
      <w:r>
        <w:rPr>
          <w:rFonts w:hint="eastAsia" w:ascii="宋体" w:hAnsi="宋体" w:eastAsia="宋体"/>
          <w:color w:val="auto"/>
          <w:sz w:val="21"/>
          <w:szCs w:val="21"/>
          <w:lang w:val="en-US" w:eastAsia="zh-CN"/>
        </w:rPr>
        <w:t>。</w:t>
      </w:r>
    </w:p>
    <w:p>
      <w:pPr>
        <w:pStyle w:val="5"/>
        <w:numPr>
          <w:ilvl w:val="0"/>
          <w:numId w:val="10"/>
        </w:numPr>
        <w:bidi w:val="0"/>
        <w:ind w:left="0" w:leftChars="0" w:firstLine="420" w:firstLineChars="0"/>
        <w:rPr>
          <w:rFonts w:hint="eastAsia"/>
          <w:color w:val="auto"/>
          <w:lang w:val="en-US" w:eastAsia="zh-CN"/>
        </w:rPr>
      </w:pPr>
      <w:r>
        <w:rPr>
          <w:rFonts w:hint="eastAsia"/>
          <w:color w:val="auto"/>
          <w:lang w:val="en-US" w:eastAsia="zh-CN"/>
        </w:rPr>
        <w:t>协议供货材料明细</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60" w:type="pct"/>
            <w:tcBorders>
              <w:tl2br w:val="nil"/>
              <w:tr2bl w:val="nil"/>
            </w:tcBorders>
            <w:shd w:val="clear" w:color="auto" w:fill="auto"/>
            <w:noWrap/>
            <w:vAlign w:val="center"/>
          </w:tcPr>
          <w:p>
            <w:pPr>
              <w:adjustRightInd/>
              <w:snapToGrid/>
              <w:spacing w:after="0"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种类</w:t>
            </w:r>
          </w:p>
        </w:tc>
        <w:tc>
          <w:tcPr>
            <w:tcW w:w="4139" w:type="pct"/>
            <w:tcBorders>
              <w:tl2br w:val="nil"/>
              <w:tr2bl w:val="nil"/>
            </w:tcBorders>
            <w:shd w:val="clear" w:color="auto" w:fill="auto"/>
            <w:noWrap/>
            <w:vAlign w:val="center"/>
          </w:tcPr>
          <w:p>
            <w:pPr>
              <w:adjustRightInd/>
              <w:snapToGrid/>
              <w:spacing w:after="0"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苗木名称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60" w:type="pct"/>
            <w:tcBorders>
              <w:tl2br w:val="nil"/>
              <w:tr2bl w:val="nil"/>
            </w:tcBorders>
            <w:shd w:val="clear" w:color="auto" w:fill="auto"/>
            <w:noWrap/>
            <w:vAlign w:val="center"/>
          </w:tcPr>
          <w:p>
            <w:pPr>
              <w:adjustRightInd/>
              <w:snapToGrid/>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时花类</w:t>
            </w:r>
          </w:p>
        </w:tc>
        <w:tc>
          <w:tcPr>
            <w:tcW w:w="4139" w:type="pct"/>
            <w:tcBorders>
              <w:tl2br w:val="nil"/>
              <w:tr2bl w:val="nil"/>
            </w:tcBorders>
            <w:shd w:val="clear" w:color="auto" w:fill="auto"/>
            <w:noWrap/>
            <w:vAlign w:val="center"/>
          </w:tcPr>
          <w:p>
            <w:pPr>
              <w:adjustRightInd/>
              <w:snapToGrid/>
              <w:spacing w:after="0"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一串红</w:t>
            </w:r>
            <w:r>
              <w:rPr>
                <w:rFonts w:hint="eastAsia" w:ascii="宋体" w:hAnsi="宋体" w:cs="宋体"/>
                <w:color w:val="auto"/>
                <w:sz w:val="21"/>
                <w:szCs w:val="21"/>
                <w:lang w:eastAsia="zh-CN"/>
              </w:rPr>
              <w:t>、</w:t>
            </w:r>
            <w:r>
              <w:rPr>
                <w:rFonts w:hint="eastAsia" w:ascii="宋体" w:hAnsi="宋体" w:eastAsia="宋体" w:cs="宋体"/>
                <w:color w:val="auto"/>
                <w:sz w:val="21"/>
                <w:szCs w:val="21"/>
              </w:rPr>
              <w:t>红穗</w:t>
            </w:r>
            <w:r>
              <w:rPr>
                <w:rFonts w:hint="eastAsia" w:ascii="宋体" w:hAnsi="宋体" w:cs="宋体"/>
                <w:color w:val="auto"/>
                <w:sz w:val="21"/>
                <w:szCs w:val="21"/>
                <w:lang w:eastAsia="zh-CN"/>
              </w:rPr>
              <w:t>、</w:t>
            </w:r>
            <w:r>
              <w:rPr>
                <w:rFonts w:hint="eastAsia" w:ascii="宋体" w:hAnsi="宋体" w:eastAsia="宋体" w:cs="宋体"/>
                <w:color w:val="auto"/>
                <w:sz w:val="21"/>
                <w:szCs w:val="21"/>
              </w:rPr>
              <w:t>孔雀草</w:t>
            </w:r>
            <w:r>
              <w:rPr>
                <w:rFonts w:hint="eastAsia" w:ascii="宋体" w:hAnsi="宋体" w:cs="宋体"/>
                <w:color w:val="auto"/>
                <w:sz w:val="21"/>
                <w:szCs w:val="21"/>
                <w:lang w:eastAsia="zh-CN"/>
              </w:rPr>
              <w:t>、</w:t>
            </w:r>
            <w:r>
              <w:rPr>
                <w:rFonts w:hint="eastAsia" w:ascii="宋体" w:hAnsi="宋体" w:eastAsia="宋体" w:cs="宋体"/>
                <w:color w:val="auto"/>
                <w:sz w:val="21"/>
                <w:szCs w:val="21"/>
              </w:rPr>
              <w:t>鸡冠花</w:t>
            </w:r>
            <w:r>
              <w:rPr>
                <w:rFonts w:hint="eastAsia" w:ascii="宋体" w:hAnsi="宋体" w:cs="宋体"/>
                <w:color w:val="auto"/>
                <w:sz w:val="21"/>
                <w:szCs w:val="21"/>
                <w:lang w:eastAsia="zh-CN"/>
              </w:rPr>
              <w:t>、</w:t>
            </w:r>
            <w:r>
              <w:rPr>
                <w:rFonts w:hint="eastAsia" w:ascii="宋体" w:hAnsi="宋体" w:eastAsia="宋体" w:cs="宋体"/>
                <w:color w:val="auto"/>
                <w:sz w:val="21"/>
                <w:szCs w:val="21"/>
              </w:rPr>
              <w:t>赤壁</w:t>
            </w:r>
            <w:r>
              <w:rPr>
                <w:rFonts w:hint="eastAsia" w:ascii="宋体" w:hAnsi="宋体" w:cs="宋体"/>
                <w:color w:val="auto"/>
                <w:sz w:val="21"/>
                <w:szCs w:val="21"/>
                <w:lang w:eastAsia="zh-CN"/>
              </w:rPr>
              <w:t>、</w:t>
            </w:r>
            <w:r>
              <w:rPr>
                <w:rFonts w:hint="eastAsia" w:ascii="宋体" w:hAnsi="宋体" w:eastAsia="宋体" w:cs="宋体"/>
                <w:color w:val="auto"/>
                <w:sz w:val="21"/>
                <w:szCs w:val="21"/>
              </w:rPr>
              <w:t>夏堇</w:t>
            </w:r>
            <w:r>
              <w:rPr>
                <w:rFonts w:hint="eastAsia" w:ascii="宋体" w:hAnsi="宋体" w:cs="宋体"/>
                <w:color w:val="auto"/>
                <w:sz w:val="21"/>
                <w:szCs w:val="21"/>
                <w:lang w:eastAsia="zh-CN"/>
              </w:rPr>
              <w:t>、</w:t>
            </w:r>
            <w:r>
              <w:rPr>
                <w:rFonts w:hint="eastAsia" w:ascii="宋体" w:hAnsi="宋体" w:eastAsia="宋体" w:cs="宋体"/>
                <w:color w:val="auto"/>
                <w:sz w:val="21"/>
                <w:szCs w:val="21"/>
              </w:rPr>
              <w:t>三色堇</w:t>
            </w:r>
            <w:r>
              <w:rPr>
                <w:rFonts w:hint="eastAsia" w:ascii="宋体" w:hAnsi="宋体" w:cs="宋体"/>
                <w:color w:val="auto"/>
                <w:sz w:val="21"/>
                <w:szCs w:val="21"/>
                <w:lang w:eastAsia="zh-CN"/>
              </w:rPr>
              <w:t>、</w:t>
            </w:r>
            <w:r>
              <w:rPr>
                <w:rFonts w:hint="eastAsia" w:ascii="宋体" w:hAnsi="宋体" w:eastAsia="宋体" w:cs="宋体"/>
                <w:color w:val="auto"/>
                <w:sz w:val="21"/>
                <w:szCs w:val="21"/>
              </w:rPr>
              <w:t>太阳花</w:t>
            </w:r>
            <w:r>
              <w:rPr>
                <w:rFonts w:hint="eastAsia" w:ascii="宋体" w:hAnsi="宋体" w:cs="宋体"/>
                <w:color w:val="auto"/>
                <w:sz w:val="21"/>
                <w:szCs w:val="21"/>
                <w:lang w:eastAsia="zh-CN"/>
              </w:rPr>
              <w:t>、</w:t>
            </w:r>
            <w:r>
              <w:rPr>
                <w:rFonts w:hint="eastAsia" w:ascii="宋体" w:hAnsi="宋体" w:eastAsia="宋体" w:cs="宋体"/>
                <w:color w:val="auto"/>
                <w:sz w:val="21"/>
                <w:szCs w:val="21"/>
              </w:rPr>
              <w:t>格桑花</w:t>
            </w:r>
            <w:r>
              <w:rPr>
                <w:rFonts w:hint="eastAsia" w:ascii="宋体" w:hAnsi="宋体" w:cs="宋体"/>
                <w:color w:val="auto"/>
                <w:sz w:val="21"/>
                <w:szCs w:val="21"/>
                <w:lang w:eastAsia="zh-CN"/>
              </w:rPr>
              <w:t>、</w:t>
            </w:r>
            <w:r>
              <w:rPr>
                <w:rFonts w:hint="eastAsia" w:ascii="宋体" w:hAnsi="宋体" w:eastAsia="宋体" w:cs="宋体"/>
                <w:color w:val="auto"/>
                <w:sz w:val="21"/>
                <w:szCs w:val="21"/>
              </w:rPr>
              <w:t>鼠尾草</w:t>
            </w:r>
            <w:r>
              <w:rPr>
                <w:rFonts w:hint="eastAsia" w:ascii="宋体" w:hAnsi="宋体" w:cs="宋体"/>
                <w:color w:val="auto"/>
                <w:sz w:val="21"/>
                <w:szCs w:val="21"/>
                <w:lang w:eastAsia="zh-CN"/>
              </w:rPr>
              <w:t>、</w:t>
            </w:r>
            <w:r>
              <w:rPr>
                <w:rFonts w:hint="eastAsia" w:ascii="宋体" w:hAnsi="宋体" w:eastAsia="宋体" w:cs="宋体"/>
                <w:color w:val="auto"/>
                <w:sz w:val="21"/>
                <w:szCs w:val="21"/>
              </w:rPr>
              <w:t>牵牛花</w:t>
            </w:r>
            <w:r>
              <w:rPr>
                <w:rFonts w:hint="eastAsia" w:ascii="宋体" w:hAnsi="宋体" w:cs="宋体"/>
                <w:color w:val="auto"/>
                <w:sz w:val="21"/>
                <w:szCs w:val="21"/>
                <w:lang w:eastAsia="zh-CN"/>
              </w:rPr>
              <w:t>、</w:t>
            </w:r>
            <w:r>
              <w:rPr>
                <w:rFonts w:hint="eastAsia" w:ascii="宋体" w:hAnsi="宋体" w:eastAsia="宋体" w:cs="宋体"/>
                <w:color w:val="auto"/>
                <w:sz w:val="21"/>
                <w:szCs w:val="21"/>
              </w:rPr>
              <w:t>四季海棠</w:t>
            </w:r>
            <w:r>
              <w:rPr>
                <w:rFonts w:hint="eastAsia" w:ascii="宋体" w:hAnsi="宋体" w:cs="宋体"/>
                <w:color w:val="auto"/>
                <w:sz w:val="21"/>
                <w:szCs w:val="21"/>
                <w:lang w:eastAsia="zh-CN"/>
              </w:rPr>
              <w:t>、</w:t>
            </w:r>
            <w:r>
              <w:rPr>
                <w:rFonts w:hint="eastAsia" w:ascii="宋体" w:hAnsi="宋体" w:eastAsia="宋体" w:cs="宋体"/>
                <w:color w:val="auto"/>
                <w:sz w:val="21"/>
                <w:szCs w:val="21"/>
              </w:rPr>
              <w:t>木春菊</w:t>
            </w:r>
            <w:r>
              <w:rPr>
                <w:rFonts w:hint="eastAsia" w:ascii="宋体" w:hAnsi="宋体" w:cs="宋体"/>
                <w:color w:val="auto"/>
                <w:sz w:val="21"/>
                <w:szCs w:val="21"/>
                <w:lang w:eastAsia="zh-CN"/>
              </w:rPr>
              <w:t>、</w:t>
            </w:r>
            <w:r>
              <w:rPr>
                <w:rFonts w:hint="eastAsia" w:ascii="宋体" w:hAnsi="宋体" w:eastAsia="宋体" w:cs="宋体"/>
                <w:color w:val="auto"/>
                <w:sz w:val="21"/>
                <w:szCs w:val="21"/>
              </w:rPr>
              <w:t>石竹</w:t>
            </w:r>
            <w:r>
              <w:rPr>
                <w:rFonts w:hint="eastAsia" w:ascii="宋体" w:hAnsi="宋体" w:cs="宋体"/>
                <w:color w:val="auto"/>
                <w:sz w:val="21"/>
                <w:szCs w:val="21"/>
                <w:lang w:eastAsia="zh-CN"/>
              </w:rPr>
              <w:t>、</w:t>
            </w:r>
            <w:r>
              <w:rPr>
                <w:rFonts w:hint="eastAsia" w:ascii="宋体" w:hAnsi="宋体" w:eastAsia="宋体" w:cs="宋体"/>
                <w:color w:val="auto"/>
                <w:sz w:val="21"/>
                <w:szCs w:val="21"/>
              </w:rPr>
              <w:t>醉蝶花</w:t>
            </w:r>
            <w:r>
              <w:rPr>
                <w:rFonts w:hint="eastAsia" w:ascii="宋体" w:hAnsi="宋体" w:cs="宋体"/>
                <w:color w:val="auto"/>
                <w:sz w:val="21"/>
                <w:szCs w:val="21"/>
                <w:lang w:eastAsia="zh-CN"/>
              </w:rPr>
              <w:t>、</w:t>
            </w:r>
            <w:r>
              <w:rPr>
                <w:rFonts w:hint="eastAsia" w:ascii="宋体" w:hAnsi="宋体" w:eastAsia="宋体" w:cs="宋体"/>
                <w:color w:val="auto"/>
                <w:sz w:val="21"/>
                <w:szCs w:val="21"/>
              </w:rPr>
              <w:t>皇帝菊</w:t>
            </w:r>
            <w:r>
              <w:rPr>
                <w:rFonts w:hint="eastAsia" w:ascii="宋体" w:hAnsi="宋体" w:cs="宋体"/>
                <w:color w:val="auto"/>
                <w:sz w:val="21"/>
                <w:szCs w:val="21"/>
                <w:lang w:eastAsia="zh-CN"/>
              </w:rPr>
              <w:t>、</w:t>
            </w:r>
            <w:r>
              <w:rPr>
                <w:rFonts w:hint="eastAsia" w:ascii="宋体" w:hAnsi="宋体" w:eastAsia="宋体" w:cs="宋体"/>
                <w:color w:val="auto"/>
                <w:sz w:val="21"/>
                <w:szCs w:val="21"/>
              </w:rPr>
              <w:t>香彩雀</w:t>
            </w:r>
            <w:r>
              <w:rPr>
                <w:rFonts w:hint="eastAsia" w:ascii="宋体" w:hAnsi="宋体" w:cs="宋体"/>
                <w:color w:val="auto"/>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60" w:type="pct"/>
            <w:tcBorders>
              <w:tl2br w:val="nil"/>
              <w:tr2bl w:val="nil"/>
            </w:tcBorders>
            <w:shd w:val="clear" w:color="auto" w:fill="auto"/>
            <w:noWrap/>
            <w:vAlign w:val="center"/>
          </w:tcPr>
          <w:p>
            <w:pPr>
              <w:adjustRightInd/>
              <w:snapToGrid/>
              <w:spacing w:after="0" w:line="360" w:lineRule="auto"/>
              <w:jc w:val="center"/>
              <w:rPr>
                <w:rFonts w:ascii="宋体" w:hAnsi="宋体" w:eastAsia="宋体" w:cs="宋体"/>
                <w:color w:val="auto"/>
                <w:sz w:val="21"/>
                <w:szCs w:val="21"/>
              </w:rPr>
            </w:pPr>
            <w:r>
              <w:rPr>
                <w:rFonts w:hint="eastAsia" w:ascii="宋体" w:hAnsi="宋体" w:eastAsia="宋体" w:cs="宋体"/>
                <w:color w:val="auto"/>
                <w:sz w:val="21"/>
                <w:szCs w:val="21"/>
                <w:lang w:val="en-US" w:eastAsia="zh-CN"/>
              </w:rPr>
              <w:t>地坡类</w:t>
            </w:r>
          </w:p>
        </w:tc>
        <w:tc>
          <w:tcPr>
            <w:tcW w:w="4139" w:type="pct"/>
            <w:tcBorders>
              <w:tl2br w:val="nil"/>
              <w:tr2bl w:val="nil"/>
            </w:tcBorders>
            <w:shd w:val="clear" w:color="auto" w:fill="auto"/>
            <w:noWrap/>
            <w:vAlign w:val="center"/>
          </w:tcPr>
          <w:p>
            <w:pPr>
              <w:adjustRightInd/>
              <w:snapToGrid/>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黄金叶</w:t>
            </w:r>
            <w:r>
              <w:rPr>
                <w:rFonts w:hint="eastAsia" w:ascii="宋体" w:hAnsi="宋体" w:cs="宋体"/>
                <w:color w:val="auto"/>
                <w:sz w:val="21"/>
                <w:szCs w:val="21"/>
                <w:lang w:eastAsia="zh-CN"/>
              </w:rPr>
              <w:t>、</w:t>
            </w:r>
            <w:r>
              <w:rPr>
                <w:rFonts w:hint="eastAsia" w:ascii="宋体" w:hAnsi="宋体" w:eastAsia="宋体" w:cs="宋体"/>
                <w:color w:val="auto"/>
                <w:sz w:val="21"/>
                <w:szCs w:val="21"/>
              </w:rPr>
              <w:t>鸭脚木</w:t>
            </w:r>
            <w:r>
              <w:rPr>
                <w:rFonts w:hint="eastAsia" w:ascii="宋体" w:hAnsi="宋体" w:cs="宋体"/>
                <w:color w:val="auto"/>
                <w:sz w:val="21"/>
                <w:szCs w:val="21"/>
                <w:lang w:eastAsia="zh-CN"/>
              </w:rPr>
              <w:t>、</w:t>
            </w:r>
            <w:r>
              <w:rPr>
                <w:rFonts w:hint="eastAsia" w:ascii="宋体" w:hAnsi="宋体" w:eastAsia="宋体" w:cs="宋体"/>
                <w:color w:val="auto"/>
                <w:sz w:val="21"/>
                <w:szCs w:val="21"/>
              </w:rPr>
              <w:t>龙船花</w:t>
            </w:r>
            <w:r>
              <w:rPr>
                <w:rFonts w:hint="eastAsia" w:ascii="宋体" w:hAnsi="宋体" w:cs="宋体"/>
                <w:color w:val="auto"/>
                <w:sz w:val="21"/>
                <w:szCs w:val="21"/>
                <w:lang w:eastAsia="zh-CN"/>
              </w:rPr>
              <w:t>、</w:t>
            </w:r>
            <w:r>
              <w:rPr>
                <w:rFonts w:hint="eastAsia" w:ascii="宋体" w:hAnsi="宋体" w:eastAsia="宋体" w:cs="宋体"/>
                <w:color w:val="auto"/>
                <w:sz w:val="21"/>
                <w:szCs w:val="21"/>
              </w:rPr>
              <w:t>红背桂</w:t>
            </w:r>
            <w:r>
              <w:rPr>
                <w:rFonts w:hint="eastAsia" w:ascii="宋体" w:hAnsi="宋体" w:cs="宋体"/>
                <w:color w:val="auto"/>
                <w:sz w:val="21"/>
                <w:szCs w:val="21"/>
                <w:lang w:eastAsia="zh-CN"/>
              </w:rPr>
              <w:t>、</w:t>
            </w:r>
            <w:r>
              <w:rPr>
                <w:rFonts w:hint="eastAsia" w:ascii="宋体" w:hAnsi="宋体" w:eastAsia="宋体" w:cs="宋体"/>
                <w:color w:val="auto"/>
                <w:sz w:val="21"/>
                <w:szCs w:val="21"/>
              </w:rPr>
              <w:t>大红花</w:t>
            </w:r>
            <w:r>
              <w:rPr>
                <w:rFonts w:hint="eastAsia" w:ascii="宋体" w:hAnsi="宋体" w:cs="宋体"/>
                <w:color w:val="auto"/>
                <w:sz w:val="21"/>
                <w:szCs w:val="21"/>
                <w:lang w:eastAsia="zh-CN"/>
              </w:rPr>
              <w:t>、</w:t>
            </w:r>
            <w:r>
              <w:rPr>
                <w:rFonts w:hint="eastAsia" w:ascii="宋体" w:hAnsi="宋体" w:eastAsia="宋体" w:cs="宋体"/>
                <w:color w:val="auto"/>
                <w:sz w:val="21"/>
                <w:szCs w:val="21"/>
              </w:rPr>
              <w:t>满天星</w:t>
            </w:r>
          </w:p>
          <w:p>
            <w:pPr>
              <w:adjustRightInd/>
              <w:snapToGrid/>
              <w:spacing w:after="0"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翠芦莉</w:t>
            </w:r>
            <w:r>
              <w:rPr>
                <w:rFonts w:hint="eastAsia" w:ascii="宋体" w:hAnsi="宋体" w:cs="宋体"/>
                <w:color w:val="auto"/>
                <w:sz w:val="21"/>
                <w:szCs w:val="21"/>
                <w:lang w:eastAsia="zh-CN"/>
              </w:rPr>
              <w:t>、</w:t>
            </w:r>
            <w:r>
              <w:rPr>
                <w:rFonts w:hint="eastAsia" w:ascii="宋体" w:hAnsi="宋体" w:eastAsia="宋体" w:cs="宋体"/>
                <w:color w:val="auto"/>
                <w:sz w:val="21"/>
                <w:szCs w:val="21"/>
              </w:rPr>
              <w:t>红继木</w:t>
            </w:r>
            <w:r>
              <w:rPr>
                <w:rFonts w:hint="eastAsia" w:ascii="宋体" w:hAnsi="宋体" w:cs="宋体"/>
                <w:color w:val="auto"/>
                <w:sz w:val="21"/>
                <w:szCs w:val="21"/>
                <w:lang w:eastAsia="zh-CN"/>
              </w:rPr>
              <w:t>、</w:t>
            </w:r>
            <w:r>
              <w:rPr>
                <w:rFonts w:hint="eastAsia" w:ascii="宋体" w:hAnsi="宋体" w:eastAsia="宋体" w:cs="宋体"/>
                <w:color w:val="auto"/>
                <w:sz w:val="21"/>
                <w:szCs w:val="21"/>
              </w:rPr>
              <w:t>野牡丹</w:t>
            </w:r>
            <w:r>
              <w:rPr>
                <w:rFonts w:hint="eastAsia" w:ascii="宋体" w:hAnsi="宋体" w:cs="宋体"/>
                <w:color w:val="auto"/>
                <w:sz w:val="21"/>
                <w:szCs w:val="21"/>
                <w:lang w:eastAsia="zh-CN"/>
              </w:rPr>
              <w:t>、</w:t>
            </w:r>
            <w:r>
              <w:rPr>
                <w:rFonts w:hint="eastAsia" w:ascii="宋体" w:hAnsi="宋体" w:eastAsia="宋体" w:cs="宋体"/>
                <w:color w:val="auto"/>
                <w:sz w:val="21"/>
                <w:szCs w:val="21"/>
              </w:rPr>
              <w:t>蜘蛛兰</w:t>
            </w:r>
            <w:r>
              <w:rPr>
                <w:rFonts w:hint="eastAsia" w:ascii="宋体" w:hAnsi="宋体" w:cs="宋体"/>
                <w:color w:val="auto"/>
                <w:sz w:val="21"/>
                <w:szCs w:val="21"/>
                <w:lang w:eastAsia="zh-CN"/>
              </w:rPr>
              <w:t>、</w:t>
            </w:r>
            <w:r>
              <w:rPr>
                <w:rFonts w:hint="eastAsia" w:ascii="宋体" w:hAnsi="宋体" w:eastAsia="宋体" w:cs="宋体"/>
                <w:color w:val="auto"/>
                <w:sz w:val="21"/>
                <w:szCs w:val="21"/>
              </w:rPr>
              <w:t>长春花</w:t>
            </w:r>
            <w:r>
              <w:rPr>
                <w:rFonts w:hint="eastAsia" w:ascii="宋体" w:hAnsi="宋体" w:cs="宋体"/>
                <w:color w:val="auto"/>
                <w:sz w:val="21"/>
                <w:szCs w:val="21"/>
                <w:lang w:eastAsia="zh-CN"/>
              </w:rPr>
              <w:t>、</w:t>
            </w:r>
            <w:r>
              <w:rPr>
                <w:rFonts w:hint="eastAsia" w:ascii="宋体" w:hAnsi="宋体" w:eastAsia="宋体" w:cs="宋体"/>
                <w:color w:val="auto"/>
                <w:sz w:val="21"/>
                <w:szCs w:val="21"/>
              </w:rPr>
              <w:t>银边草</w:t>
            </w:r>
            <w:r>
              <w:rPr>
                <w:rFonts w:hint="eastAsia" w:ascii="宋体" w:hAnsi="宋体" w:cs="宋体"/>
                <w:color w:val="auto"/>
                <w:sz w:val="21"/>
                <w:szCs w:val="21"/>
                <w:lang w:eastAsia="zh-CN"/>
              </w:rPr>
              <w:t>、</w:t>
            </w:r>
            <w:r>
              <w:rPr>
                <w:rFonts w:hint="eastAsia" w:ascii="宋体" w:hAnsi="宋体" w:eastAsia="宋体" w:cs="宋体"/>
                <w:color w:val="auto"/>
                <w:sz w:val="21"/>
                <w:szCs w:val="21"/>
              </w:rPr>
              <w:t>蚌兰</w:t>
            </w:r>
            <w:r>
              <w:rPr>
                <w:rFonts w:hint="eastAsia" w:ascii="宋体" w:hAnsi="宋体" w:cs="宋体"/>
                <w:color w:val="auto"/>
                <w:sz w:val="21"/>
                <w:szCs w:val="21"/>
                <w:lang w:eastAsia="zh-CN"/>
              </w:rPr>
              <w:t>、</w:t>
            </w:r>
            <w:r>
              <w:rPr>
                <w:rFonts w:hint="eastAsia" w:ascii="宋体" w:hAnsi="宋体" w:eastAsia="宋体" w:cs="宋体"/>
                <w:color w:val="auto"/>
                <w:sz w:val="21"/>
                <w:szCs w:val="21"/>
              </w:rPr>
              <w:t>马樱丹金边连翘</w:t>
            </w:r>
            <w:r>
              <w:rPr>
                <w:rFonts w:hint="eastAsia" w:ascii="宋体" w:hAnsi="宋体" w:cs="宋体"/>
                <w:color w:val="auto"/>
                <w:sz w:val="21"/>
                <w:szCs w:val="21"/>
                <w:lang w:eastAsia="zh-CN"/>
              </w:rPr>
              <w:t>、</w:t>
            </w:r>
            <w:r>
              <w:rPr>
                <w:rFonts w:hint="eastAsia" w:ascii="宋体" w:hAnsi="宋体" w:eastAsia="宋体" w:cs="宋体"/>
                <w:color w:val="auto"/>
                <w:sz w:val="21"/>
                <w:szCs w:val="21"/>
              </w:rPr>
              <w:t>花叶连翘</w:t>
            </w:r>
            <w:r>
              <w:rPr>
                <w:rFonts w:hint="eastAsia" w:ascii="宋体" w:hAnsi="宋体" w:cs="宋体"/>
                <w:color w:val="auto"/>
                <w:sz w:val="21"/>
                <w:szCs w:val="21"/>
                <w:lang w:eastAsia="zh-CN"/>
              </w:rPr>
              <w:t>、</w:t>
            </w:r>
            <w:r>
              <w:rPr>
                <w:rFonts w:hint="eastAsia" w:ascii="宋体" w:hAnsi="宋体" w:eastAsia="宋体" w:cs="宋体"/>
                <w:color w:val="auto"/>
                <w:sz w:val="21"/>
                <w:szCs w:val="21"/>
              </w:rPr>
              <w:t>假花生大花芦莉</w:t>
            </w:r>
            <w:r>
              <w:rPr>
                <w:rFonts w:hint="eastAsia" w:ascii="宋体" w:hAnsi="宋体" w:cs="宋体"/>
                <w:color w:val="auto"/>
                <w:sz w:val="21"/>
                <w:szCs w:val="21"/>
                <w:lang w:eastAsia="zh-CN"/>
              </w:rPr>
              <w:t>、</w:t>
            </w:r>
            <w:r>
              <w:rPr>
                <w:rFonts w:hint="eastAsia" w:ascii="宋体" w:hAnsi="宋体" w:eastAsia="宋体" w:cs="宋体"/>
                <w:color w:val="auto"/>
                <w:sz w:val="21"/>
                <w:szCs w:val="21"/>
              </w:rPr>
              <w:t>大叶红草</w:t>
            </w:r>
            <w:r>
              <w:rPr>
                <w:rFonts w:hint="eastAsia" w:ascii="宋体" w:hAnsi="宋体" w:cs="宋体"/>
                <w:color w:val="auto"/>
                <w:sz w:val="21"/>
                <w:szCs w:val="21"/>
                <w:lang w:eastAsia="zh-CN"/>
              </w:rPr>
              <w:t>、</w:t>
            </w:r>
            <w:r>
              <w:rPr>
                <w:rFonts w:hint="eastAsia" w:ascii="宋体" w:hAnsi="宋体" w:eastAsia="宋体" w:cs="宋体"/>
                <w:color w:val="auto"/>
                <w:sz w:val="21"/>
                <w:szCs w:val="21"/>
              </w:rPr>
              <w:t>非洲茉莉</w:t>
            </w:r>
            <w:r>
              <w:rPr>
                <w:rFonts w:hint="eastAsia" w:ascii="宋体" w:hAnsi="宋体" w:cs="宋体"/>
                <w:color w:val="auto"/>
                <w:sz w:val="21"/>
                <w:szCs w:val="21"/>
                <w:lang w:eastAsia="zh-CN"/>
              </w:rPr>
              <w:t>、</w:t>
            </w:r>
            <w:r>
              <w:rPr>
                <w:rFonts w:hint="eastAsia" w:ascii="宋体" w:hAnsi="宋体" w:eastAsia="宋体" w:cs="宋体"/>
                <w:color w:val="auto"/>
                <w:sz w:val="21"/>
                <w:szCs w:val="21"/>
              </w:rPr>
              <w:t>炮仗花</w:t>
            </w:r>
            <w:r>
              <w:rPr>
                <w:rFonts w:hint="eastAsia" w:ascii="宋体" w:hAnsi="宋体" w:cs="宋体"/>
                <w:color w:val="auto"/>
                <w:sz w:val="21"/>
                <w:szCs w:val="21"/>
                <w:lang w:eastAsia="zh-CN"/>
              </w:rPr>
              <w:t>、</w:t>
            </w:r>
            <w:r>
              <w:rPr>
                <w:rFonts w:hint="eastAsia" w:ascii="宋体" w:hAnsi="宋体" w:eastAsia="宋体" w:cs="宋体"/>
                <w:color w:val="auto"/>
                <w:sz w:val="21"/>
                <w:szCs w:val="21"/>
              </w:rPr>
              <w:t>变叶木</w:t>
            </w:r>
            <w:r>
              <w:rPr>
                <w:rFonts w:hint="eastAsia" w:ascii="宋体" w:hAnsi="宋体" w:cs="宋体"/>
                <w:color w:val="auto"/>
                <w:sz w:val="21"/>
                <w:szCs w:val="21"/>
                <w:lang w:eastAsia="zh-CN"/>
              </w:rPr>
              <w:t>、</w:t>
            </w:r>
            <w:r>
              <w:rPr>
                <w:rFonts w:hint="eastAsia" w:ascii="宋体" w:hAnsi="宋体" w:eastAsia="宋体" w:cs="宋体"/>
                <w:color w:val="auto"/>
                <w:sz w:val="21"/>
                <w:szCs w:val="21"/>
              </w:rPr>
              <w:t>九里香</w:t>
            </w:r>
            <w:r>
              <w:rPr>
                <w:rFonts w:hint="eastAsia" w:ascii="宋体" w:hAnsi="宋体" w:cs="宋体"/>
                <w:color w:val="auto"/>
                <w:sz w:val="21"/>
                <w:szCs w:val="21"/>
                <w:lang w:eastAsia="zh-CN"/>
              </w:rPr>
              <w:t>、</w:t>
            </w:r>
            <w:r>
              <w:rPr>
                <w:rFonts w:hint="eastAsia" w:ascii="宋体" w:hAnsi="宋体" w:eastAsia="宋体" w:cs="宋体"/>
                <w:color w:val="auto"/>
                <w:sz w:val="21"/>
                <w:szCs w:val="21"/>
              </w:rPr>
              <w:t>毛杜鹃</w:t>
            </w:r>
            <w:r>
              <w:rPr>
                <w:rFonts w:hint="eastAsia" w:ascii="宋体" w:hAnsi="宋体" w:cs="宋体"/>
                <w:color w:val="auto"/>
                <w:sz w:val="21"/>
                <w:szCs w:val="21"/>
                <w:lang w:eastAsia="zh-CN"/>
              </w:rPr>
              <w:t>、</w:t>
            </w:r>
            <w:r>
              <w:rPr>
                <w:rFonts w:hint="eastAsia" w:ascii="宋体" w:hAnsi="宋体" w:eastAsia="宋体" w:cs="宋体"/>
                <w:color w:val="auto"/>
                <w:sz w:val="21"/>
                <w:szCs w:val="21"/>
              </w:rPr>
              <w:t>勒杜鹃</w:t>
            </w:r>
            <w:r>
              <w:rPr>
                <w:rFonts w:hint="eastAsia" w:ascii="宋体" w:hAnsi="宋体" w:cs="宋体"/>
                <w:color w:val="auto"/>
                <w:sz w:val="21"/>
                <w:szCs w:val="21"/>
                <w:lang w:eastAsia="zh-CN"/>
              </w:rPr>
              <w:t>、</w:t>
            </w:r>
            <w:r>
              <w:rPr>
                <w:rFonts w:hint="eastAsia" w:ascii="宋体" w:hAnsi="宋体" w:eastAsia="宋体" w:cs="宋体"/>
                <w:color w:val="auto"/>
                <w:sz w:val="21"/>
                <w:szCs w:val="21"/>
              </w:rPr>
              <w:t>亮叶朱蕉</w:t>
            </w:r>
            <w:r>
              <w:rPr>
                <w:rFonts w:hint="eastAsia" w:ascii="宋体" w:hAnsi="宋体" w:cs="宋体"/>
                <w:color w:val="auto"/>
                <w:sz w:val="21"/>
                <w:szCs w:val="21"/>
                <w:lang w:eastAsia="zh-CN"/>
              </w:rPr>
              <w:t>、</w:t>
            </w:r>
            <w:r>
              <w:rPr>
                <w:rFonts w:hint="eastAsia" w:ascii="宋体" w:hAnsi="宋体" w:eastAsia="宋体" w:cs="宋体"/>
                <w:color w:val="auto"/>
                <w:sz w:val="21"/>
                <w:szCs w:val="21"/>
              </w:rPr>
              <w:t>大叶油草</w:t>
            </w:r>
            <w:r>
              <w:rPr>
                <w:rFonts w:hint="eastAsia" w:ascii="宋体" w:hAnsi="宋体" w:cs="宋体"/>
                <w:color w:val="auto"/>
                <w:sz w:val="21"/>
                <w:szCs w:val="21"/>
                <w:lang w:eastAsia="zh-CN"/>
              </w:rPr>
              <w:t>、</w:t>
            </w:r>
            <w:r>
              <w:rPr>
                <w:rFonts w:hint="eastAsia" w:ascii="宋体" w:hAnsi="宋体" w:eastAsia="宋体" w:cs="宋体"/>
                <w:color w:val="auto"/>
                <w:sz w:val="21"/>
                <w:szCs w:val="21"/>
              </w:rPr>
              <w:t>马拉草</w:t>
            </w:r>
            <w:r>
              <w:rPr>
                <w:rFonts w:hint="eastAsia" w:ascii="宋体" w:hAnsi="宋体" w:cs="宋体"/>
                <w:color w:val="auto"/>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60" w:type="pct"/>
            <w:tcBorders>
              <w:tl2br w:val="nil"/>
              <w:tr2bl w:val="nil"/>
            </w:tcBorders>
            <w:shd w:val="clear" w:color="auto" w:fill="auto"/>
            <w:noWrap/>
            <w:vAlign w:val="center"/>
          </w:tcPr>
          <w:p>
            <w:pPr>
              <w:adjustRightInd/>
              <w:snapToGrid/>
              <w:spacing w:after="0"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球形灌木（实球/毛球）</w:t>
            </w:r>
          </w:p>
        </w:tc>
        <w:tc>
          <w:tcPr>
            <w:tcW w:w="4139" w:type="pct"/>
            <w:tcBorders>
              <w:tl2br w:val="nil"/>
              <w:tr2bl w:val="nil"/>
            </w:tcBorders>
            <w:shd w:val="clear" w:color="auto" w:fill="auto"/>
            <w:noWrap/>
            <w:vAlign w:val="center"/>
          </w:tcPr>
          <w:p>
            <w:pPr>
              <w:adjustRightInd/>
              <w:snapToGrid/>
              <w:spacing w:after="0"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红车</w:t>
            </w:r>
            <w:r>
              <w:rPr>
                <w:rFonts w:hint="eastAsia" w:ascii="宋体" w:hAnsi="宋体" w:cs="宋体"/>
                <w:color w:val="auto"/>
                <w:sz w:val="21"/>
                <w:szCs w:val="21"/>
                <w:lang w:eastAsia="zh-CN"/>
              </w:rPr>
              <w:t>、</w:t>
            </w:r>
            <w:r>
              <w:rPr>
                <w:rFonts w:hint="eastAsia" w:ascii="宋体" w:hAnsi="宋体" w:eastAsia="宋体" w:cs="宋体"/>
                <w:color w:val="auto"/>
                <w:sz w:val="21"/>
                <w:szCs w:val="21"/>
              </w:rPr>
              <w:t>非洲茉莉球</w:t>
            </w:r>
            <w:r>
              <w:rPr>
                <w:rFonts w:hint="eastAsia" w:ascii="宋体" w:hAnsi="宋体" w:cs="宋体"/>
                <w:color w:val="auto"/>
                <w:sz w:val="21"/>
                <w:szCs w:val="21"/>
                <w:lang w:eastAsia="zh-CN"/>
              </w:rPr>
              <w:t>、</w:t>
            </w:r>
            <w:r>
              <w:rPr>
                <w:rFonts w:hint="eastAsia" w:ascii="宋体" w:hAnsi="宋体" w:eastAsia="宋体" w:cs="宋体"/>
                <w:color w:val="auto"/>
                <w:sz w:val="21"/>
                <w:szCs w:val="21"/>
              </w:rPr>
              <w:t>红继木球</w:t>
            </w:r>
            <w:r>
              <w:rPr>
                <w:rFonts w:hint="eastAsia" w:ascii="宋体" w:hAnsi="宋体" w:cs="宋体"/>
                <w:color w:val="auto"/>
                <w:sz w:val="21"/>
                <w:szCs w:val="21"/>
                <w:lang w:eastAsia="zh-CN"/>
              </w:rPr>
              <w:t>、</w:t>
            </w:r>
            <w:r>
              <w:rPr>
                <w:rFonts w:hint="eastAsia" w:ascii="宋体" w:hAnsi="宋体" w:eastAsia="宋体" w:cs="宋体"/>
                <w:color w:val="auto"/>
                <w:sz w:val="21"/>
                <w:szCs w:val="21"/>
              </w:rPr>
              <w:t>勒杜鹃球</w:t>
            </w:r>
            <w:r>
              <w:rPr>
                <w:rFonts w:hint="eastAsia" w:ascii="宋体" w:hAnsi="宋体" w:cs="宋体"/>
                <w:color w:val="auto"/>
                <w:sz w:val="21"/>
                <w:szCs w:val="21"/>
                <w:lang w:eastAsia="zh-CN"/>
              </w:rPr>
              <w:t>、</w:t>
            </w:r>
            <w:r>
              <w:rPr>
                <w:rFonts w:hint="eastAsia" w:ascii="宋体" w:hAnsi="宋体" w:eastAsia="宋体" w:cs="宋体"/>
                <w:color w:val="auto"/>
                <w:sz w:val="21"/>
                <w:szCs w:val="21"/>
              </w:rPr>
              <w:t>九里香球</w:t>
            </w:r>
            <w:r>
              <w:rPr>
                <w:rFonts w:hint="eastAsia" w:ascii="宋体" w:hAnsi="宋体" w:cs="宋体"/>
                <w:color w:val="auto"/>
                <w:sz w:val="21"/>
                <w:szCs w:val="21"/>
                <w:lang w:eastAsia="zh-CN"/>
              </w:rPr>
              <w:t>、</w:t>
            </w:r>
            <w:r>
              <w:rPr>
                <w:rFonts w:hint="eastAsia" w:ascii="宋体" w:hAnsi="宋体" w:eastAsia="宋体" w:cs="宋体"/>
                <w:color w:val="auto"/>
                <w:sz w:val="21"/>
                <w:szCs w:val="21"/>
              </w:rPr>
              <w:t>米兰球</w:t>
            </w:r>
            <w:r>
              <w:rPr>
                <w:rFonts w:hint="eastAsia" w:ascii="宋体" w:hAnsi="宋体" w:cs="宋体"/>
                <w:color w:val="auto"/>
                <w:sz w:val="21"/>
                <w:szCs w:val="21"/>
                <w:lang w:eastAsia="zh-CN"/>
              </w:rPr>
              <w:t>、</w:t>
            </w:r>
            <w:r>
              <w:rPr>
                <w:rFonts w:hint="eastAsia" w:ascii="宋体" w:hAnsi="宋体" w:eastAsia="宋体" w:cs="宋体"/>
                <w:color w:val="auto"/>
                <w:sz w:val="21"/>
                <w:szCs w:val="21"/>
              </w:rPr>
              <w:t>黄金榕球</w:t>
            </w:r>
            <w:r>
              <w:rPr>
                <w:rFonts w:hint="eastAsia" w:ascii="宋体" w:hAnsi="宋体" w:cs="宋体"/>
                <w:color w:val="auto"/>
                <w:sz w:val="21"/>
                <w:szCs w:val="21"/>
                <w:lang w:eastAsia="zh-CN"/>
              </w:rPr>
              <w:t>、</w:t>
            </w:r>
            <w:r>
              <w:rPr>
                <w:rFonts w:hint="eastAsia" w:ascii="宋体" w:hAnsi="宋体" w:eastAsia="宋体" w:cs="宋体"/>
                <w:color w:val="auto"/>
                <w:sz w:val="21"/>
                <w:szCs w:val="21"/>
              </w:rPr>
              <w:t>大红花球</w:t>
            </w:r>
            <w:r>
              <w:rPr>
                <w:rFonts w:hint="eastAsia" w:ascii="宋体" w:hAnsi="宋体" w:cs="宋体"/>
                <w:color w:val="auto"/>
                <w:sz w:val="21"/>
                <w:szCs w:val="21"/>
                <w:lang w:eastAsia="zh-CN"/>
              </w:rPr>
              <w:t>、</w:t>
            </w:r>
            <w:r>
              <w:rPr>
                <w:rFonts w:hint="eastAsia" w:ascii="宋体" w:hAnsi="宋体" w:eastAsia="宋体" w:cs="宋体"/>
                <w:color w:val="auto"/>
                <w:sz w:val="21"/>
                <w:szCs w:val="21"/>
              </w:rPr>
              <w:t>黄金叶球</w:t>
            </w:r>
            <w:r>
              <w:rPr>
                <w:rFonts w:hint="eastAsia" w:ascii="宋体" w:hAnsi="宋体" w:cs="宋体"/>
                <w:color w:val="auto"/>
                <w:sz w:val="21"/>
                <w:szCs w:val="21"/>
                <w:lang w:eastAsia="zh-CN"/>
              </w:rPr>
              <w:t>、</w:t>
            </w:r>
            <w:r>
              <w:rPr>
                <w:rFonts w:hint="eastAsia" w:ascii="宋体" w:hAnsi="宋体" w:eastAsia="宋体" w:cs="宋体"/>
                <w:color w:val="auto"/>
                <w:sz w:val="21"/>
                <w:szCs w:val="21"/>
              </w:rPr>
              <w:t>金边连翘球等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60" w:type="pct"/>
            <w:tcBorders>
              <w:tl2br w:val="nil"/>
              <w:tr2bl w:val="nil"/>
            </w:tcBorders>
            <w:shd w:val="clear" w:color="auto" w:fill="auto"/>
            <w:noWrap/>
            <w:vAlign w:val="center"/>
          </w:tcPr>
          <w:p>
            <w:pPr>
              <w:adjustRightInd/>
              <w:snapToGrid/>
              <w:spacing w:after="0"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乔木类</w:t>
            </w:r>
          </w:p>
        </w:tc>
        <w:tc>
          <w:tcPr>
            <w:tcW w:w="4139" w:type="pct"/>
            <w:tcBorders>
              <w:tl2br w:val="nil"/>
              <w:tr2bl w:val="nil"/>
            </w:tcBorders>
            <w:shd w:val="clear" w:color="auto" w:fill="auto"/>
            <w:noWrap/>
            <w:vAlign w:val="center"/>
          </w:tcPr>
          <w:p>
            <w:pPr>
              <w:adjustRightInd/>
              <w:snapToGrid/>
              <w:spacing w:after="0" w:line="360" w:lineRule="auto"/>
              <w:jc w:val="center"/>
              <w:rPr>
                <w:rFonts w:hint="eastAsia" w:ascii="宋体" w:hAnsi="宋体" w:eastAsia="宋体" w:cs="宋体"/>
                <w:color w:val="auto"/>
                <w:sz w:val="21"/>
                <w:szCs w:val="21"/>
              </w:rPr>
            </w:pPr>
            <w:r>
              <w:rPr>
                <w:rFonts w:hint="eastAsia"/>
                <w:color w:val="auto"/>
                <w:lang w:eastAsia="zh-CN"/>
              </w:rPr>
              <w:t>樟树、秋枫、小叶榄仁、大叶紫薇、风铃木、美丽异木棉、紫荆、黄槐、仁面、铁冬青、盘架子、桃花心、火焰木、凤凰木</w:t>
            </w:r>
            <w:r>
              <w:rPr>
                <w:rFonts w:hint="eastAsia" w:ascii="宋体" w:hAnsi="宋体" w:eastAsia="宋体" w:cs="宋体"/>
                <w:color w:val="auto"/>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00" w:type="pct"/>
            <w:gridSpan w:val="2"/>
            <w:tcBorders>
              <w:tl2br w:val="nil"/>
              <w:tr2bl w:val="nil"/>
            </w:tcBorders>
            <w:shd w:val="clear" w:color="auto" w:fill="auto"/>
            <w:noWrap/>
            <w:vAlign w:val="center"/>
          </w:tcPr>
          <w:p>
            <w:pPr>
              <w:adjustRightInd/>
              <w:snapToGrid/>
              <w:spacing w:after="0" w:line="360" w:lineRule="auto"/>
              <w:jc w:val="both"/>
              <w:rPr>
                <w:rFonts w:hint="default" w:ascii="宋体" w:hAnsi="宋体" w:eastAsia="宋体" w:cs="宋体"/>
                <w:color w:val="auto"/>
                <w:sz w:val="21"/>
                <w:szCs w:val="21"/>
                <w:lang w:val="en-US" w:eastAsia="zh-CN"/>
              </w:rPr>
            </w:pPr>
            <w:r>
              <w:rPr>
                <w:rFonts w:hint="eastAsia" w:ascii="宋体" w:hAnsi="宋体" w:cs="宋体"/>
                <w:b/>
                <w:bCs/>
                <w:color w:val="auto"/>
                <w:sz w:val="21"/>
                <w:szCs w:val="21"/>
                <w:lang w:val="en-US" w:eastAsia="zh-CN"/>
              </w:rPr>
              <w:t>注：苗木种类包括但不限于以上品种，具体以实际采购为准。</w:t>
            </w:r>
          </w:p>
        </w:tc>
      </w:tr>
    </w:tbl>
    <w:p>
      <w:pPr>
        <w:adjustRightInd/>
        <w:snapToGrid/>
        <w:spacing w:after="0"/>
        <w:rPr>
          <w:rFonts w:ascii="宋体" w:hAnsi="宋体" w:eastAsia="宋体" w:cs="宋体"/>
          <w:color w:val="auto"/>
          <w:sz w:val="21"/>
          <w:szCs w:val="21"/>
        </w:rPr>
      </w:pPr>
    </w:p>
    <w:p>
      <w:pPr>
        <w:pStyle w:val="5"/>
        <w:numPr>
          <w:ilvl w:val="0"/>
          <w:numId w:val="10"/>
        </w:numPr>
        <w:bidi w:val="0"/>
        <w:ind w:left="0" w:leftChars="0" w:firstLine="420" w:firstLineChars="0"/>
        <w:rPr>
          <w:rFonts w:hint="eastAsia"/>
          <w:color w:val="auto"/>
          <w:lang w:val="en-US" w:eastAsia="zh-CN"/>
        </w:rPr>
      </w:pPr>
      <w:r>
        <w:rPr>
          <w:rFonts w:hint="eastAsia"/>
          <w:color w:val="auto"/>
          <w:lang w:val="en-US" w:eastAsia="zh-CN"/>
        </w:rPr>
        <w:t>协议供货要求</w:t>
      </w:r>
    </w:p>
    <w:p>
      <w:pPr>
        <w:spacing w:after="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1、植株健壮苗干通直原棉，规格要求一致，枝条茁壮，组织充实，木质化程度高。乔木树主干明确；花灌木分枝局黁，绿篱个体上下一致，球星苗木枝叶茂密，具体苗木规格严格按照</w:t>
      </w:r>
      <w:r>
        <w:rPr>
          <w:rFonts w:hint="eastAsia" w:ascii="宋体" w:hAnsi="宋体"/>
          <w:color w:val="auto"/>
          <w:sz w:val="21"/>
          <w:szCs w:val="21"/>
          <w:lang w:val="en-US" w:eastAsia="zh-CN"/>
        </w:rPr>
        <w:t>采购人</w:t>
      </w:r>
      <w:r>
        <w:rPr>
          <w:rFonts w:hint="eastAsia" w:ascii="宋体" w:hAnsi="宋体" w:eastAsia="宋体"/>
          <w:color w:val="auto"/>
          <w:sz w:val="21"/>
          <w:szCs w:val="21"/>
        </w:rPr>
        <w:t>要求。</w:t>
      </w:r>
    </w:p>
    <w:p>
      <w:pPr>
        <w:spacing w:after="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2、苗木无机械损伤，无病虫害，不失水，有旺盛的生命力。</w:t>
      </w:r>
    </w:p>
    <w:p>
      <w:pPr>
        <w:spacing w:after="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3、苗源组织及起苗进度应及时与</w:t>
      </w:r>
      <w:r>
        <w:rPr>
          <w:rFonts w:hint="eastAsia" w:ascii="宋体" w:hAnsi="宋体"/>
          <w:color w:val="auto"/>
          <w:sz w:val="21"/>
          <w:szCs w:val="21"/>
          <w:lang w:val="en-US" w:eastAsia="zh-CN"/>
        </w:rPr>
        <w:t>采购人</w:t>
      </w:r>
      <w:r>
        <w:rPr>
          <w:rFonts w:hint="eastAsia" w:ascii="宋体" w:hAnsi="宋体" w:eastAsia="宋体"/>
          <w:color w:val="auto"/>
          <w:sz w:val="21"/>
          <w:szCs w:val="21"/>
        </w:rPr>
        <w:t>联系，根据进场进展组织苗木的起苗、装车、运输等。</w:t>
      </w:r>
    </w:p>
    <w:p>
      <w:pPr>
        <w:bidi w:val="0"/>
        <w:rPr>
          <w:color w:val="auto"/>
        </w:rPr>
      </w:pPr>
    </w:p>
    <w:p>
      <w:pPr>
        <w:pStyle w:val="5"/>
        <w:numPr>
          <w:ilvl w:val="0"/>
          <w:numId w:val="10"/>
        </w:numPr>
        <w:bidi w:val="0"/>
        <w:ind w:left="0" w:leftChars="0" w:firstLine="420" w:firstLineChars="0"/>
        <w:rPr>
          <w:rFonts w:hint="eastAsia"/>
          <w:color w:val="auto"/>
          <w:lang w:val="en-US" w:eastAsia="zh-CN"/>
        </w:rPr>
      </w:pPr>
      <w:r>
        <w:rPr>
          <w:rFonts w:hint="eastAsia"/>
          <w:color w:val="auto"/>
          <w:lang w:val="en-US" w:eastAsia="zh-CN"/>
        </w:rPr>
        <w:t>派单方式</w:t>
      </w:r>
    </w:p>
    <w:p>
      <w:pPr>
        <w:spacing w:after="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分组循环排号法：项目的委托轮换一般采用本办法。循环排号指对所有中标人以抽签方式确定顺序号，各单位编号（“1”、“2”），依照编号顺序分配项目给中标人，并依次循环分配。</w:t>
      </w:r>
    </w:p>
    <w:p>
      <w:pPr>
        <w:spacing w:after="0" w:line="360" w:lineRule="auto"/>
        <w:ind w:firstLine="420" w:firstLineChars="200"/>
        <w:rPr>
          <w:rFonts w:hint="default" w:ascii="宋体" w:hAnsi="宋体" w:eastAsia="宋体"/>
          <w:color w:val="auto"/>
          <w:sz w:val="21"/>
          <w:szCs w:val="21"/>
          <w:highlight w:val="none"/>
          <w:lang w:val="en-US"/>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用循环排号法分配任务给中标人时，中标人拒绝接受任务的，</w:t>
      </w:r>
      <w:r>
        <w:rPr>
          <w:rFonts w:hint="eastAsia" w:ascii="宋体" w:hAnsi="宋体"/>
          <w:color w:val="auto"/>
          <w:sz w:val="21"/>
          <w:szCs w:val="21"/>
          <w:highlight w:val="none"/>
          <w:lang w:val="en-US" w:eastAsia="zh-CN"/>
        </w:rPr>
        <w:t>将</w:t>
      </w:r>
      <w:r>
        <w:rPr>
          <w:rFonts w:hint="eastAsia" w:ascii="宋体" w:hAnsi="宋体" w:eastAsia="宋体" w:cs="宋体"/>
          <w:color w:val="auto"/>
          <w:sz w:val="21"/>
          <w:szCs w:val="21"/>
          <w:highlight w:val="none"/>
        </w:rPr>
        <w:t>取消</w:t>
      </w:r>
      <w:r>
        <w:rPr>
          <w:rFonts w:hint="eastAsia" w:ascii="宋体" w:hAnsi="宋体" w:cs="宋体"/>
          <w:color w:val="auto"/>
          <w:sz w:val="21"/>
          <w:szCs w:val="21"/>
          <w:highlight w:val="none"/>
          <w:lang w:val="en-US" w:eastAsia="zh-CN"/>
        </w:rPr>
        <w:t>该中标人</w:t>
      </w:r>
      <w:r>
        <w:rPr>
          <w:rFonts w:hint="eastAsia" w:ascii="宋体" w:hAnsi="宋体" w:eastAsia="宋体" w:cs="宋体"/>
          <w:color w:val="auto"/>
          <w:sz w:val="21"/>
          <w:szCs w:val="21"/>
          <w:highlight w:val="none"/>
        </w:rPr>
        <w:t>本轮承担任务资格,并</w:t>
      </w:r>
      <w:r>
        <w:rPr>
          <w:rFonts w:hint="eastAsia" w:ascii="宋体" w:hAnsi="宋体" w:eastAsia="宋体"/>
          <w:color w:val="auto"/>
          <w:sz w:val="21"/>
          <w:szCs w:val="21"/>
          <w:highlight w:val="none"/>
        </w:rPr>
        <w:t>将</w:t>
      </w:r>
      <w:r>
        <w:rPr>
          <w:rFonts w:hint="eastAsia" w:ascii="宋体" w:hAnsi="宋体"/>
          <w:color w:val="auto"/>
          <w:sz w:val="21"/>
          <w:szCs w:val="21"/>
          <w:highlight w:val="none"/>
          <w:lang w:val="en-US" w:eastAsia="zh-CN"/>
        </w:rPr>
        <w:t>该次任务直接委派给排号下一位的供应商。</w:t>
      </w:r>
    </w:p>
    <w:p>
      <w:pPr>
        <w:spacing w:after="0"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（2）累计三次拒绝接受任务的，采购人将与该中标人解除合同，取消其供货资格。</w:t>
      </w:r>
    </w:p>
    <w:p>
      <w:pPr>
        <w:spacing w:after="0" w:line="360" w:lineRule="auto"/>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3</w:t>
      </w:r>
      <w:r>
        <w:rPr>
          <w:rFonts w:hint="eastAsia" w:ascii="宋体" w:hAnsi="宋体" w:eastAsia="宋体"/>
          <w:color w:val="auto"/>
          <w:sz w:val="21"/>
          <w:szCs w:val="21"/>
          <w:highlight w:val="none"/>
        </w:rPr>
        <w:t>）当采购人有特殊项目（如时间紧急、内容特殊、专业性强、大型重点等项目）时， 采购人将不按以上方法选定中标人，而是根据中标人的综合实力、经验、服务质量</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价格</w:t>
      </w:r>
      <w:r>
        <w:rPr>
          <w:rFonts w:hint="eastAsia" w:ascii="宋体" w:hAnsi="宋体" w:eastAsia="宋体"/>
          <w:color w:val="auto"/>
          <w:sz w:val="21"/>
          <w:szCs w:val="21"/>
          <w:highlight w:val="none"/>
        </w:rPr>
        <w:t>等采取择优选择的分配办法进行任务分配。</w:t>
      </w:r>
      <w:r>
        <w:rPr>
          <w:rFonts w:hint="eastAsia" w:ascii="宋体" w:hAnsi="宋体"/>
          <w:color w:val="auto"/>
          <w:sz w:val="21"/>
          <w:szCs w:val="21"/>
          <w:highlight w:val="none"/>
          <w:lang w:val="en-US" w:eastAsia="zh-CN"/>
        </w:rPr>
        <w:t>若同时所有中标人均拒绝接受任务的，或均出现无法满足采购人实际要求的，或所报价采购人无法接受的，采购人有权不按照本项目要求，不向各中标人采购。</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4</w:t>
      </w:r>
      <w:r>
        <w:rPr>
          <w:rFonts w:hint="eastAsia" w:ascii="宋体" w:hAnsi="宋体" w:eastAsia="宋体"/>
          <w:color w:val="auto"/>
          <w:sz w:val="21"/>
          <w:szCs w:val="21"/>
          <w:highlight w:val="none"/>
        </w:rPr>
        <w:t>）任务分配确定后，由采购人与中标人就单个项目签订单项目合同。</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5</w:t>
      </w:r>
      <w:r>
        <w:rPr>
          <w:rFonts w:hint="eastAsia" w:ascii="宋体" w:hAnsi="宋体" w:eastAsia="宋体"/>
          <w:color w:val="auto"/>
          <w:sz w:val="21"/>
          <w:szCs w:val="21"/>
          <w:highlight w:val="none"/>
        </w:rPr>
        <w:t>）采购人有权与拒绝接受任务的中标人解除合同。</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rPr>
        <w:t>）采购人无法预计也无法保证各中标人承接项目的数量</w:t>
      </w:r>
      <w:r>
        <w:rPr>
          <w:rFonts w:hint="eastAsia" w:ascii="宋体" w:hAnsi="宋体"/>
          <w:color w:val="auto"/>
          <w:sz w:val="21"/>
          <w:szCs w:val="21"/>
          <w:highlight w:val="none"/>
          <w:lang w:val="en-US" w:eastAsia="zh-CN"/>
        </w:rPr>
        <w:t>与金额</w:t>
      </w:r>
      <w:r>
        <w:rPr>
          <w:rFonts w:hint="eastAsia" w:ascii="宋体" w:hAnsi="宋体" w:eastAsia="宋体"/>
          <w:color w:val="auto"/>
          <w:sz w:val="21"/>
          <w:szCs w:val="21"/>
          <w:highlight w:val="none"/>
        </w:rPr>
        <w:t>。</w:t>
      </w:r>
    </w:p>
    <w:p>
      <w:pPr>
        <w:spacing w:after="0" w:line="360" w:lineRule="auto"/>
        <w:rPr>
          <w:rFonts w:ascii="宋体" w:hAnsi="宋体" w:eastAsia="宋体"/>
          <w:color w:val="auto"/>
          <w:sz w:val="21"/>
          <w:szCs w:val="21"/>
        </w:rPr>
      </w:pPr>
    </w:p>
    <w:p>
      <w:pPr>
        <w:pStyle w:val="5"/>
        <w:numPr>
          <w:ilvl w:val="0"/>
          <w:numId w:val="10"/>
        </w:numPr>
        <w:bidi w:val="0"/>
        <w:ind w:left="0" w:leftChars="0" w:firstLine="420" w:firstLineChars="0"/>
        <w:rPr>
          <w:rFonts w:hint="eastAsia"/>
          <w:color w:val="auto"/>
          <w:lang w:val="en-US" w:eastAsia="zh-CN"/>
        </w:rPr>
      </w:pPr>
      <w:r>
        <w:rPr>
          <w:rFonts w:hint="eastAsia"/>
          <w:color w:val="auto"/>
          <w:lang w:val="en-US" w:eastAsia="zh-CN"/>
        </w:rPr>
        <w:t>服务要求</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投标人必须具备相应的生产或供货能力，能及时提供采购人所需的货物，并可接受采购人到生产或销售现场进行检查或对货物进行抽样检测，以确保所提供的货物质量。在接到采购人发出的订单（或电话通知）后 按实际情况将货物运抵采购人指定的交货地点并完成验收。</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2、货物由中标供应商负责运输，采购单位不再另行支付运输费用。</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3、投标人应可接受采购人到生产或销售现场进行检查或对产品进行抽样检验。</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4、供货过程中因中标供应商原因对</w:t>
      </w:r>
      <w:r>
        <w:rPr>
          <w:rFonts w:hint="eastAsia" w:ascii="宋体" w:hAnsi="宋体"/>
          <w:color w:val="auto"/>
          <w:sz w:val="21"/>
          <w:szCs w:val="21"/>
          <w:lang w:val="en-US" w:eastAsia="zh-CN"/>
        </w:rPr>
        <w:t>项目</w:t>
      </w:r>
      <w:r>
        <w:rPr>
          <w:rFonts w:hint="eastAsia" w:ascii="宋体" w:hAnsi="宋体" w:eastAsia="宋体"/>
          <w:color w:val="auto"/>
          <w:sz w:val="21"/>
          <w:szCs w:val="21"/>
        </w:rPr>
        <w:t>现场造成损坏，中标供应商应负责将损坏场地修复，并自行支付相关费用。</w:t>
      </w:r>
    </w:p>
    <w:p>
      <w:pPr>
        <w:spacing w:after="0" w:line="360" w:lineRule="auto"/>
        <w:ind w:firstLine="420" w:firstLineChars="200"/>
        <w:rPr>
          <w:rFonts w:ascii="宋体" w:hAnsi="宋体" w:eastAsia="宋体"/>
          <w:color w:val="auto"/>
          <w:sz w:val="21"/>
          <w:szCs w:val="21"/>
        </w:rPr>
      </w:pPr>
    </w:p>
    <w:p>
      <w:pPr>
        <w:pStyle w:val="5"/>
        <w:numPr>
          <w:ilvl w:val="0"/>
          <w:numId w:val="10"/>
        </w:numPr>
        <w:bidi w:val="0"/>
        <w:ind w:left="0" w:leftChars="0" w:firstLine="420" w:firstLineChars="0"/>
        <w:rPr>
          <w:rFonts w:hint="eastAsia"/>
          <w:color w:val="auto"/>
          <w:lang w:val="en-US" w:eastAsia="zh-CN"/>
        </w:rPr>
      </w:pPr>
      <w:r>
        <w:rPr>
          <w:rFonts w:hint="eastAsia"/>
          <w:color w:val="auto"/>
          <w:lang w:val="en-US" w:eastAsia="zh-CN"/>
        </w:rPr>
        <w:t>其他要求</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1、投标人应充分结合本招标文件上下文了解项目招标需求。</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投标单位应保证提供的货物在不需要增配未列出配件（特别指出的除外）的前提下货物功能、技术标准能够达到招标文件的要求，而无须再增配未列出的配件；如供应商所提供的产品需要增配配件才能达到要求的，所增配的配件须由供应商免费提供。</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3、所有产品材料及货物标准必须符合国家标准及相关规定。</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4、投标人应根据采购要求，在投标文件中提供切实可行的供货方案。</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5、中标单位在供货过程中必须采取足够的安全措施，确保安全，并自行负责相关安全责任。</w:t>
      </w:r>
    </w:p>
    <w:p>
      <w:pPr>
        <w:spacing w:after="0"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6、如遇采购</w:t>
      </w:r>
      <w:r>
        <w:rPr>
          <w:rFonts w:hint="eastAsia" w:ascii="宋体" w:hAnsi="宋体"/>
          <w:color w:val="auto"/>
          <w:sz w:val="21"/>
          <w:szCs w:val="21"/>
          <w:highlight w:val="none"/>
          <w:lang w:val="en-US" w:eastAsia="zh-CN"/>
        </w:rPr>
        <w:t>方</w:t>
      </w:r>
      <w:r>
        <w:rPr>
          <w:rFonts w:hint="eastAsia" w:ascii="宋体" w:hAnsi="宋体" w:eastAsia="宋体"/>
          <w:color w:val="auto"/>
          <w:sz w:val="21"/>
          <w:szCs w:val="21"/>
          <w:highlight w:val="none"/>
          <w:lang w:val="en-US" w:eastAsia="zh-CN"/>
        </w:rPr>
        <w:t>单位</w:t>
      </w:r>
      <w:r>
        <w:rPr>
          <w:rFonts w:hint="eastAsia" w:ascii="宋体" w:hAnsi="宋体"/>
          <w:color w:val="auto"/>
          <w:sz w:val="21"/>
          <w:szCs w:val="21"/>
          <w:highlight w:val="none"/>
          <w:lang w:val="en-US" w:eastAsia="zh-CN"/>
        </w:rPr>
        <w:t>性质</w:t>
      </w:r>
      <w:r>
        <w:rPr>
          <w:rFonts w:hint="eastAsia" w:ascii="宋体" w:hAnsi="宋体" w:eastAsia="宋体"/>
          <w:color w:val="auto"/>
          <w:sz w:val="21"/>
          <w:szCs w:val="21"/>
          <w:highlight w:val="none"/>
          <w:lang w:val="en-US" w:eastAsia="zh-CN"/>
        </w:rPr>
        <w:t>发生变动导致合同终止的，中标</w:t>
      </w:r>
      <w:r>
        <w:rPr>
          <w:rFonts w:hint="eastAsia" w:ascii="宋体" w:hAnsi="宋体"/>
          <w:color w:val="auto"/>
          <w:sz w:val="21"/>
          <w:szCs w:val="21"/>
          <w:highlight w:val="none"/>
          <w:lang w:val="en-US" w:eastAsia="zh-CN"/>
        </w:rPr>
        <w:t>方</w:t>
      </w:r>
      <w:r>
        <w:rPr>
          <w:rFonts w:hint="eastAsia" w:ascii="宋体" w:hAnsi="宋体" w:eastAsia="宋体"/>
          <w:color w:val="auto"/>
          <w:sz w:val="21"/>
          <w:szCs w:val="21"/>
          <w:highlight w:val="none"/>
          <w:lang w:val="en-US" w:eastAsia="zh-CN"/>
        </w:rPr>
        <w:t>不得追究采购</w:t>
      </w:r>
      <w:r>
        <w:rPr>
          <w:rFonts w:hint="eastAsia" w:ascii="宋体" w:hAnsi="宋体"/>
          <w:color w:val="auto"/>
          <w:sz w:val="21"/>
          <w:szCs w:val="21"/>
          <w:highlight w:val="none"/>
          <w:lang w:val="en-US" w:eastAsia="zh-CN"/>
        </w:rPr>
        <w:t>方</w:t>
      </w:r>
      <w:r>
        <w:rPr>
          <w:rFonts w:hint="eastAsia" w:ascii="宋体" w:hAnsi="宋体" w:eastAsia="宋体"/>
          <w:color w:val="auto"/>
          <w:sz w:val="21"/>
          <w:szCs w:val="21"/>
          <w:highlight w:val="none"/>
          <w:lang w:val="en-US" w:eastAsia="zh-CN"/>
        </w:rPr>
        <w:t>责任。</w:t>
      </w: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p>
    <w:p>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pPr>
        <w:pStyle w:val="8"/>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pPr>
        <w:rPr>
          <w:color w:val="auto"/>
          <w:highlight w:val="none"/>
        </w:rPr>
      </w:pPr>
      <w:bookmarkStart w:id="143" w:name="_Toc28584"/>
      <w:r>
        <w:rPr>
          <w:rFonts w:hint="eastAsia"/>
          <w:color w:val="auto"/>
          <w:highlight w:val="none"/>
        </w:rPr>
        <w:br w:type="page"/>
      </w:r>
    </w:p>
    <w:p>
      <w:pPr>
        <w:pStyle w:val="3"/>
        <w:numPr>
          <w:ilvl w:val="0"/>
          <w:numId w:val="2"/>
        </w:numPr>
        <w:rPr>
          <w:color w:val="auto"/>
          <w:highlight w:val="none"/>
        </w:rPr>
      </w:pPr>
      <w:r>
        <w:rPr>
          <w:rFonts w:hint="eastAsia"/>
          <w:color w:val="auto"/>
          <w:highlight w:val="none"/>
        </w:rPr>
        <w:t>详细评审</w:t>
      </w:r>
      <w:bookmarkEnd w:id="143"/>
    </w:p>
    <w:tbl>
      <w:tblPr>
        <w:tblStyle w:val="19"/>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701"/>
        <w:gridCol w:w="957"/>
        <w:gridCol w:w="5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66" w:type="dxa"/>
            <w:vMerge w:val="restart"/>
            <w:shd w:val="clear" w:color="auto" w:fill="auto"/>
            <w:vAlign w:val="center"/>
          </w:tcPr>
          <w:p>
            <w:pPr>
              <w:pStyle w:val="29"/>
              <w:spacing w:line="36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701" w:type="dxa"/>
            <w:vMerge w:val="restart"/>
            <w:shd w:val="clear" w:color="auto" w:fill="auto"/>
            <w:vAlign w:val="center"/>
          </w:tcPr>
          <w:p>
            <w:pPr>
              <w:pStyle w:val="29"/>
              <w:spacing w:line="36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957" w:type="dxa"/>
            <w:vMerge w:val="restart"/>
            <w:shd w:val="clear" w:color="auto" w:fill="auto"/>
            <w:vAlign w:val="center"/>
          </w:tcPr>
          <w:p>
            <w:pPr>
              <w:pStyle w:val="29"/>
              <w:spacing w:line="36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617" w:type="dxa"/>
            <w:vMerge w:val="restart"/>
            <w:shd w:val="clear" w:color="auto" w:fill="auto"/>
            <w:vAlign w:val="center"/>
          </w:tcPr>
          <w:p>
            <w:pPr>
              <w:pStyle w:val="29"/>
              <w:spacing w:line="36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66" w:type="dxa"/>
            <w:vMerge w:val="continue"/>
            <w:shd w:val="clear" w:color="auto" w:fill="auto"/>
            <w:vAlign w:val="center"/>
          </w:tcPr>
          <w:p>
            <w:pPr>
              <w:spacing w:line="360" w:lineRule="auto"/>
              <w:rPr>
                <w:rFonts w:ascii="宋体" w:hAnsi="宋体" w:eastAsia="宋体" w:cs="宋体"/>
                <w:color w:val="auto"/>
                <w:sz w:val="21"/>
                <w:szCs w:val="21"/>
                <w:highlight w:val="none"/>
              </w:rPr>
            </w:pPr>
          </w:p>
        </w:tc>
        <w:tc>
          <w:tcPr>
            <w:tcW w:w="1701" w:type="dxa"/>
            <w:vMerge w:val="continue"/>
            <w:shd w:val="clear" w:color="auto" w:fill="auto"/>
            <w:vAlign w:val="center"/>
          </w:tcPr>
          <w:p>
            <w:pPr>
              <w:spacing w:line="360" w:lineRule="auto"/>
              <w:rPr>
                <w:rFonts w:ascii="宋体" w:hAnsi="宋体" w:eastAsia="宋体" w:cs="宋体"/>
                <w:color w:val="auto"/>
                <w:sz w:val="21"/>
                <w:szCs w:val="21"/>
                <w:highlight w:val="none"/>
              </w:rPr>
            </w:pPr>
          </w:p>
        </w:tc>
        <w:tc>
          <w:tcPr>
            <w:tcW w:w="957" w:type="dxa"/>
            <w:vMerge w:val="continue"/>
            <w:shd w:val="clear" w:color="auto" w:fill="auto"/>
            <w:vAlign w:val="center"/>
          </w:tcPr>
          <w:p>
            <w:pPr>
              <w:spacing w:line="360" w:lineRule="auto"/>
              <w:rPr>
                <w:rFonts w:ascii="宋体" w:hAnsi="宋体" w:eastAsia="宋体" w:cs="宋体"/>
                <w:color w:val="auto"/>
                <w:sz w:val="21"/>
                <w:szCs w:val="21"/>
                <w:highlight w:val="none"/>
              </w:rPr>
            </w:pPr>
          </w:p>
        </w:tc>
        <w:tc>
          <w:tcPr>
            <w:tcW w:w="5617" w:type="dxa"/>
            <w:vMerge w:val="continue"/>
            <w:shd w:val="clear" w:color="auto" w:fill="auto"/>
            <w:vAlign w:val="center"/>
          </w:tcPr>
          <w:p>
            <w:pPr>
              <w:spacing w:line="360" w:lineRule="auto"/>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1" w:type="dxa"/>
            <w:gridSpan w:val="4"/>
            <w:shd w:val="clear" w:color="auto" w:fill="auto"/>
            <w:vAlign w:val="center"/>
          </w:tcPr>
          <w:p>
            <w:pPr>
              <w:pStyle w:val="29"/>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商务评审（</w:t>
            </w:r>
            <w:r>
              <w:rPr>
                <w:rFonts w:hint="eastAsia" w:ascii="宋体" w:eastAsia="宋体" w:cs="宋体"/>
                <w:color w:val="auto"/>
                <w:sz w:val="21"/>
                <w:szCs w:val="21"/>
                <w:highlight w:val="none"/>
                <w:lang w:val="en-US" w:eastAsia="zh-CN"/>
              </w:rPr>
              <w:t>25</w:t>
            </w:r>
            <w:r>
              <w:rPr>
                <w:rFonts w:hint="eastAsia" w:asci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66" w:type="dxa"/>
            <w:shd w:val="clear" w:color="auto" w:fill="auto"/>
            <w:vAlign w:val="center"/>
          </w:tcPr>
          <w:p>
            <w:pPr>
              <w:pStyle w:val="29"/>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701" w:type="dxa"/>
            <w:shd w:val="clear" w:color="auto" w:fill="auto"/>
            <w:vAlign w:val="center"/>
          </w:tcPr>
          <w:p>
            <w:pPr>
              <w:pStyle w:val="29"/>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lang w:val="en-US" w:eastAsia="zh-CN"/>
              </w:rPr>
              <w:t>业绩</w:t>
            </w:r>
          </w:p>
        </w:tc>
        <w:tc>
          <w:tcPr>
            <w:tcW w:w="957" w:type="dxa"/>
            <w:shd w:val="clear" w:color="auto" w:fill="auto"/>
            <w:vAlign w:val="center"/>
          </w:tcPr>
          <w:p>
            <w:pPr>
              <w:pStyle w:val="29"/>
              <w:spacing w:line="36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20</w:t>
            </w:r>
          </w:p>
        </w:tc>
        <w:tc>
          <w:tcPr>
            <w:tcW w:w="5617" w:type="dxa"/>
            <w:shd w:val="clear" w:color="auto" w:fill="auto"/>
            <w:vAlign w:val="center"/>
          </w:tcPr>
          <w:p>
            <w:pPr>
              <w:pStyle w:val="29"/>
              <w:spacing w:line="360" w:lineRule="auto"/>
              <w:ind w:firstLine="420" w:firstLineChars="200"/>
              <w:rPr>
                <w:rFonts w:hint="eastAsia" w:ascii="宋体" w:eastAsia="宋体" w:cs="宋体"/>
                <w:bCs/>
                <w:color w:val="auto"/>
                <w:sz w:val="21"/>
                <w:szCs w:val="21"/>
                <w:lang w:val="en-US" w:eastAsia="zh-CN"/>
              </w:rPr>
            </w:pPr>
            <w:r>
              <w:rPr>
                <w:rFonts w:hint="eastAsia" w:ascii="宋体" w:eastAsia="宋体" w:cs="宋体"/>
                <w:bCs/>
                <w:color w:val="auto"/>
                <w:sz w:val="21"/>
                <w:szCs w:val="21"/>
                <w:lang w:val="en-US" w:eastAsia="zh-CN"/>
              </w:rPr>
              <w:t>投标人具有苗木</w:t>
            </w:r>
            <w:r>
              <w:rPr>
                <w:rFonts w:hint="eastAsia" w:ascii="宋体" w:eastAsia="宋体" w:cs="宋体"/>
                <w:bCs/>
                <w:color w:val="auto"/>
                <w:sz w:val="21"/>
                <w:szCs w:val="21"/>
                <w:lang w:val="zh-CN" w:eastAsia="zh-CN"/>
              </w:rPr>
              <w:t>类</w:t>
            </w:r>
            <w:r>
              <w:rPr>
                <w:rFonts w:hint="eastAsia" w:ascii="宋体" w:eastAsia="宋体" w:cs="宋体"/>
                <w:bCs/>
                <w:color w:val="auto"/>
                <w:sz w:val="21"/>
                <w:szCs w:val="21"/>
                <w:lang w:val="en-US" w:eastAsia="zh-CN"/>
              </w:rPr>
              <w:t>供货</w:t>
            </w:r>
            <w:r>
              <w:rPr>
                <w:rFonts w:hint="eastAsia" w:ascii="宋体" w:eastAsia="宋体" w:cs="宋体"/>
                <w:bCs/>
                <w:color w:val="auto"/>
                <w:sz w:val="21"/>
                <w:szCs w:val="21"/>
                <w:lang w:val="zh-CN" w:eastAsia="zh-CN"/>
              </w:rPr>
              <w:t>业绩</w:t>
            </w:r>
            <w:r>
              <w:rPr>
                <w:rFonts w:hint="eastAsia" w:ascii="宋体" w:eastAsia="宋体" w:cs="宋体"/>
                <w:bCs/>
                <w:color w:val="auto"/>
                <w:sz w:val="21"/>
                <w:szCs w:val="21"/>
                <w:lang w:val="en-US" w:eastAsia="zh-CN"/>
              </w:rPr>
              <w:t>的，每提供一个合同业绩得2分，本项最高得20分。</w:t>
            </w:r>
          </w:p>
          <w:p>
            <w:pPr>
              <w:pStyle w:val="29"/>
              <w:spacing w:line="360" w:lineRule="auto"/>
              <w:ind w:firstLine="420" w:firstLineChars="200"/>
              <w:rPr>
                <w:rFonts w:ascii="宋体" w:eastAsia="宋体" w:cs="宋体"/>
                <w:color w:val="auto"/>
                <w:sz w:val="21"/>
                <w:szCs w:val="21"/>
                <w:highlight w:val="none"/>
              </w:rPr>
            </w:pPr>
            <w:r>
              <w:rPr>
                <w:rFonts w:hint="eastAsia" w:ascii="宋体" w:eastAsia="宋体" w:cs="宋体"/>
                <w:bCs/>
                <w:color w:val="auto"/>
                <w:sz w:val="21"/>
                <w:szCs w:val="21"/>
                <w:lang w:val="en-US" w:eastAsia="zh-CN"/>
              </w:rPr>
              <w:t>注：须提供合同复印件加盖投标人公章，否则不得分。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66" w:type="dxa"/>
            <w:shd w:val="clear" w:color="auto" w:fill="auto"/>
            <w:vAlign w:val="center"/>
          </w:tcPr>
          <w:p>
            <w:pPr>
              <w:pStyle w:val="29"/>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701" w:type="dxa"/>
            <w:shd w:val="clear" w:color="auto" w:fill="auto"/>
            <w:vAlign w:val="center"/>
          </w:tcPr>
          <w:p>
            <w:pPr>
              <w:spacing w:after="0" w:line="360" w:lineRule="auto"/>
              <w:jc w:val="center"/>
              <w:rPr>
                <w:rFonts w:ascii="宋体" w:eastAsia="宋体" w:cs="宋体"/>
                <w:color w:val="auto"/>
                <w:sz w:val="21"/>
                <w:szCs w:val="21"/>
                <w:highlight w:val="none"/>
              </w:rPr>
            </w:pPr>
            <w:r>
              <w:rPr>
                <w:rFonts w:hint="eastAsia" w:ascii="宋体" w:hAnsi="宋体" w:eastAsia="宋体" w:cs="宋体"/>
                <w:color w:val="auto"/>
                <w:sz w:val="21"/>
                <w:szCs w:val="21"/>
              </w:rPr>
              <w:t>服务便利</w:t>
            </w:r>
          </w:p>
        </w:tc>
        <w:tc>
          <w:tcPr>
            <w:tcW w:w="957" w:type="dxa"/>
            <w:shd w:val="clear" w:color="auto" w:fill="auto"/>
            <w:vAlign w:val="center"/>
          </w:tcPr>
          <w:p>
            <w:pPr>
              <w:spacing w:after="0" w:line="360" w:lineRule="auto"/>
              <w:jc w:val="center"/>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5</w:t>
            </w:r>
          </w:p>
        </w:tc>
        <w:tc>
          <w:tcPr>
            <w:tcW w:w="5617" w:type="dxa"/>
            <w:shd w:val="clear" w:color="auto" w:fill="auto"/>
            <w:vAlign w:val="center"/>
          </w:tcPr>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根据投标人提供的服务响应时间承诺进行评分</w:t>
            </w:r>
            <w:r>
              <w:rPr>
                <w:rFonts w:hint="eastAsia" w:ascii="宋体" w:hAnsi="宋体" w:eastAsia="宋体" w:cs="宋体"/>
                <w:bCs/>
                <w:color w:val="auto"/>
                <w:sz w:val="21"/>
                <w:szCs w:val="21"/>
                <w:highlight w:val="none"/>
                <w:lang w:eastAsia="zh-CN"/>
              </w:rPr>
              <w:t>：</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投标人承诺在接到采购人通知后1小时内到现场，得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投标人承诺在接到采购人通知后2小时内到现场，得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投标人承诺在接到采购人通知后3小时内到现场，得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投标人未承诺或承诺在接到采购人通知后超过3小时到现场，不得分。</w:t>
            </w:r>
          </w:p>
          <w:p>
            <w:pPr>
              <w:pStyle w:val="29"/>
              <w:spacing w:line="360" w:lineRule="auto"/>
              <w:ind w:left="1" w:leftChars="0" w:firstLine="420" w:firstLineChars="200"/>
              <w:rPr>
                <w:rFonts w:ascii="宋体" w:eastAsia="宋体" w:cs="宋体"/>
                <w:color w:val="auto"/>
                <w:sz w:val="21"/>
                <w:szCs w:val="21"/>
                <w:highlight w:val="none"/>
              </w:rPr>
            </w:pPr>
            <w:r>
              <w:rPr>
                <w:rFonts w:hint="eastAsia" w:ascii="宋体" w:hAnsi="宋体" w:eastAsia="宋体" w:cs="宋体"/>
                <w:bCs/>
                <w:color w:val="auto"/>
                <w:sz w:val="21"/>
                <w:szCs w:val="21"/>
                <w:highlight w:val="none"/>
              </w:rPr>
              <w:t>注：须提供服务承诺书并加盖投标人公章，否则不得分。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41" w:type="dxa"/>
            <w:gridSpan w:val="4"/>
            <w:shd w:val="clear" w:color="auto" w:fill="auto"/>
            <w:vAlign w:val="center"/>
          </w:tcPr>
          <w:p>
            <w:pPr>
              <w:pStyle w:val="29"/>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技术评审（</w:t>
            </w:r>
            <w:r>
              <w:rPr>
                <w:rFonts w:hint="eastAsia" w:ascii="宋体" w:eastAsia="宋体" w:cs="宋体"/>
                <w:color w:val="auto"/>
                <w:sz w:val="21"/>
                <w:szCs w:val="21"/>
                <w:highlight w:val="none"/>
                <w:lang w:val="en-US" w:eastAsia="zh-CN"/>
              </w:rPr>
              <w:t>65</w:t>
            </w:r>
            <w:r>
              <w:rPr>
                <w:rFonts w:hint="eastAsia" w:asci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66" w:type="dxa"/>
            <w:shd w:val="clear" w:color="auto" w:fill="auto"/>
            <w:vAlign w:val="center"/>
          </w:tcPr>
          <w:p>
            <w:pPr>
              <w:pStyle w:val="29"/>
              <w:spacing w:line="36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701" w:type="dxa"/>
            <w:shd w:val="clear" w:color="auto" w:fill="auto"/>
            <w:vAlign w:val="center"/>
          </w:tcPr>
          <w:p>
            <w:pPr>
              <w:pStyle w:val="29"/>
              <w:spacing w:line="360" w:lineRule="auto"/>
              <w:ind w:firstLine="0" w:firstLineChars="0"/>
              <w:jc w:val="center"/>
              <w:rPr>
                <w:rFonts w:hint="eastAsia" w:ascii="宋体" w:hAnsi="宋体" w:eastAsia="宋体" w:cs="宋体"/>
                <w:color w:val="auto"/>
                <w:kern w:val="2"/>
                <w:sz w:val="21"/>
                <w:szCs w:val="21"/>
                <w:highlight w:val="none"/>
                <w:lang w:val="en-US" w:eastAsia="zh-CN"/>
              </w:rPr>
            </w:pPr>
            <w:r>
              <w:rPr>
                <w:rFonts w:hint="eastAsia" w:ascii="宋体" w:eastAsia="宋体" w:cs="宋体"/>
                <w:color w:val="auto"/>
                <w:kern w:val="2"/>
                <w:sz w:val="21"/>
                <w:szCs w:val="21"/>
                <w:highlight w:val="none"/>
                <w:lang w:val="en-US" w:eastAsia="zh-CN"/>
              </w:rPr>
              <w:t>供货方案</w:t>
            </w:r>
          </w:p>
        </w:tc>
        <w:tc>
          <w:tcPr>
            <w:tcW w:w="957" w:type="dxa"/>
            <w:shd w:val="clear" w:color="auto" w:fill="auto"/>
            <w:vAlign w:val="center"/>
          </w:tcPr>
          <w:p>
            <w:pPr>
              <w:pStyle w:val="29"/>
              <w:spacing w:line="360" w:lineRule="auto"/>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kern w:val="2"/>
                <w:sz w:val="21"/>
                <w:szCs w:val="21"/>
                <w:highlight w:val="none"/>
                <w:lang w:val="en-US" w:eastAsia="zh-CN"/>
              </w:rPr>
              <w:t>15</w:t>
            </w:r>
          </w:p>
        </w:tc>
        <w:tc>
          <w:tcPr>
            <w:tcW w:w="5617" w:type="dxa"/>
            <w:shd w:val="clear" w:color="auto" w:fill="auto"/>
            <w:vAlign w:val="center"/>
          </w:tcPr>
          <w:p>
            <w:pPr>
              <w:pStyle w:val="39"/>
              <w:spacing w:line="360" w:lineRule="auto"/>
              <w:ind w:left="0"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根据投标人提供的供货方案进行综合评分：</w:t>
            </w:r>
          </w:p>
          <w:p>
            <w:pPr>
              <w:pStyle w:val="39"/>
              <w:spacing w:line="360" w:lineRule="auto"/>
              <w:ind w:left="0" w:firstLine="420" w:firstLineChars="200"/>
              <w:jc w:val="left"/>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rPr>
              <w:t>方案详细完整、合理、可行性强的，得</w:t>
            </w:r>
            <w:r>
              <w:rPr>
                <w:rFonts w:hint="eastAsia" w:ascii="宋体" w:eastAsia="宋体" w:cs="宋体"/>
                <w:color w:val="auto"/>
                <w:sz w:val="21"/>
                <w:szCs w:val="21"/>
                <w:highlight w:val="none"/>
                <w:lang w:val="en-US" w:eastAsia="zh-CN"/>
              </w:rPr>
              <w:t>15分；</w:t>
            </w:r>
          </w:p>
          <w:p>
            <w:pPr>
              <w:pStyle w:val="39"/>
              <w:spacing w:line="360" w:lineRule="auto"/>
              <w:ind w:left="0" w:firstLine="420" w:firstLineChars="200"/>
              <w:jc w:val="left"/>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rPr>
              <w:t>方案较详细完整、较合理、可行性较强的，得</w:t>
            </w:r>
            <w:r>
              <w:rPr>
                <w:rFonts w:hint="eastAsia" w:ascii="宋体" w:eastAsia="宋体" w:cs="宋体"/>
                <w:color w:val="auto"/>
                <w:sz w:val="21"/>
                <w:szCs w:val="21"/>
                <w:highlight w:val="none"/>
                <w:lang w:val="en-US" w:eastAsia="zh-CN"/>
              </w:rPr>
              <w:t>10分；</w:t>
            </w:r>
          </w:p>
          <w:p>
            <w:pPr>
              <w:pStyle w:val="39"/>
              <w:spacing w:line="360" w:lineRule="auto"/>
              <w:ind w:left="0"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方案基本完整、基本合理、可行性一般的，得</w:t>
            </w: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rPr>
              <w:t>分；</w:t>
            </w:r>
          </w:p>
          <w:p>
            <w:pPr>
              <w:pStyle w:val="39"/>
              <w:spacing w:line="360" w:lineRule="auto"/>
              <w:ind w:left="0"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方案不完整、合理性差的，得</w:t>
            </w: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rPr>
              <w:t>分；</w:t>
            </w:r>
          </w:p>
          <w:p>
            <w:pPr>
              <w:pStyle w:val="29"/>
              <w:spacing w:line="360" w:lineRule="auto"/>
              <w:ind w:firstLine="420" w:firstLineChars="200"/>
              <w:rPr>
                <w:rFonts w:ascii="宋体" w:eastAsia="宋体" w:cs="宋体"/>
                <w:b/>
                <w:bCs/>
                <w:color w:val="auto"/>
                <w:sz w:val="21"/>
                <w:szCs w:val="21"/>
                <w:highlight w:val="none"/>
              </w:rPr>
            </w:pPr>
            <w:r>
              <w:rPr>
                <w:rFonts w:hint="eastAsia" w:ascii="宋体" w:eastAsia="宋体" w:cs="宋体"/>
                <w:color w:val="auto"/>
                <w:sz w:val="21"/>
                <w:szCs w:val="21"/>
                <w:highlight w:val="none"/>
              </w:rPr>
              <w:t>未提供供货方案的，得0分。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66" w:type="dxa"/>
            <w:shd w:val="clear" w:color="auto" w:fill="auto"/>
            <w:vAlign w:val="center"/>
          </w:tcPr>
          <w:p>
            <w:pPr>
              <w:pStyle w:val="29"/>
              <w:spacing w:line="36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701" w:type="dxa"/>
            <w:shd w:val="clear" w:color="auto" w:fill="auto"/>
            <w:vAlign w:val="center"/>
          </w:tcPr>
          <w:p>
            <w:pPr>
              <w:pStyle w:val="29"/>
              <w:spacing w:line="360" w:lineRule="auto"/>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kern w:val="2"/>
                <w:sz w:val="21"/>
                <w:szCs w:val="21"/>
                <w:highlight w:val="none"/>
                <w:lang w:val="en-US" w:eastAsia="zh-CN"/>
              </w:rPr>
              <w:t>质量保证措施</w:t>
            </w:r>
          </w:p>
        </w:tc>
        <w:tc>
          <w:tcPr>
            <w:tcW w:w="957" w:type="dxa"/>
            <w:shd w:val="clear" w:color="auto" w:fill="auto"/>
            <w:vAlign w:val="center"/>
          </w:tcPr>
          <w:p>
            <w:pPr>
              <w:pStyle w:val="29"/>
              <w:spacing w:line="360" w:lineRule="auto"/>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kern w:val="2"/>
                <w:sz w:val="21"/>
                <w:szCs w:val="21"/>
                <w:highlight w:val="none"/>
                <w:lang w:val="en-US" w:eastAsia="zh-CN"/>
              </w:rPr>
              <w:t>15</w:t>
            </w:r>
          </w:p>
        </w:tc>
        <w:tc>
          <w:tcPr>
            <w:tcW w:w="5617" w:type="dxa"/>
            <w:shd w:val="clear" w:color="auto" w:fill="auto"/>
            <w:vAlign w:val="center"/>
          </w:tcPr>
          <w:p>
            <w:pPr>
              <w:pStyle w:val="39"/>
              <w:spacing w:line="360" w:lineRule="auto"/>
              <w:ind w:left="0" w:leftChars="0" w:firstLine="420" w:firstLineChars="200"/>
              <w:jc w:val="left"/>
              <w:rPr>
                <w:rFonts w:hint="eastAsia" w:ascii="宋体" w:eastAsia="宋体" w:cs="宋体"/>
                <w:color w:val="auto"/>
                <w:sz w:val="21"/>
                <w:szCs w:val="21"/>
                <w:highlight w:val="none"/>
              </w:rPr>
            </w:pPr>
            <w:r>
              <w:rPr>
                <w:rFonts w:hint="eastAsia" w:ascii="宋体" w:eastAsia="宋体" w:cs="宋体"/>
                <w:color w:val="auto"/>
                <w:sz w:val="21"/>
                <w:szCs w:val="21"/>
                <w:highlight w:val="none"/>
              </w:rPr>
              <w:t>根据投标人所拟定的质量保障措施方案进行综合评审：</w:t>
            </w:r>
          </w:p>
          <w:p>
            <w:pPr>
              <w:pStyle w:val="39"/>
              <w:spacing w:line="360" w:lineRule="auto"/>
              <w:ind w:left="0" w:leftChars="0" w:firstLine="420" w:firstLineChars="200"/>
              <w:jc w:val="left"/>
              <w:rPr>
                <w:rFonts w:hint="eastAsia" w:ascii="宋体" w:eastAsia="宋体" w:cs="宋体"/>
                <w:color w:val="auto"/>
                <w:sz w:val="21"/>
                <w:szCs w:val="21"/>
                <w:highlight w:val="none"/>
              </w:rPr>
            </w:pPr>
            <w:r>
              <w:rPr>
                <w:rFonts w:hint="eastAsia" w:ascii="宋体" w:eastAsia="宋体" w:cs="宋体"/>
                <w:color w:val="auto"/>
                <w:sz w:val="21"/>
                <w:szCs w:val="21"/>
                <w:highlight w:val="none"/>
              </w:rPr>
              <w:t>质量目标非常明确科学合理，</w:t>
            </w:r>
            <w:r>
              <w:rPr>
                <w:rFonts w:hint="eastAsia" w:ascii="宋体" w:eastAsia="宋体" w:cs="宋体"/>
                <w:color w:val="auto"/>
                <w:sz w:val="21"/>
                <w:szCs w:val="21"/>
                <w:highlight w:val="none"/>
                <w:lang w:val="en-US" w:eastAsia="zh-CN"/>
              </w:rPr>
              <w:t>货物</w:t>
            </w:r>
            <w:r>
              <w:rPr>
                <w:rFonts w:hint="eastAsia" w:ascii="宋体" w:eastAsia="宋体" w:cs="宋体"/>
                <w:color w:val="auto"/>
                <w:sz w:val="21"/>
                <w:szCs w:val="21"/>
                <w:highlight w:val="none"/>
              </w:rPr>
              <w:t>质量的控制非常详细，检验措施非常可行，得</w:t>
            </w:r>
            <w:r>
              <w:rPr>
                <w:rFonts w:hint="eastAsia" w:ascii="宋体" w:eastAsia="宋体" w:cs="宋体"/>
                <w:color w:val="auto"/>
                <w:sz w:val="21"/>
                <w:szCs w:val="21"/>
                <w:highlight w:val="none"/>
                <w:lang w:val="en-US" w:eastAsia="zh-CN"/>
              </w:rPr>
              <w:t>15</w:t>
            </w:r>
            <w:r>
              <w:rPr>
                <w:rFonts w:hint="eastAsia" w:ascii="宋体" w:eastAsia="宋体" w:cs="宋体"/>
                <w:color w:val="auto"/>
                <w:sz w:val="21"/>
                <w:szCs w:val="21"/>
                <w:highlight w:val="none"/>
              </w:rPr>
              <w:t>分；</w:t>
            </w:r>
          </w:p>
          <w:p>
            <w:pPr>
              <w:pStyle w:val="39"/>
              <w:spacing w:line="360" w:lineRule="auto"/>
              <w:ind w:left="0" w:leftChars="0" w:firstLine="420" w:firstLineChars="200"/>
              <w:jc w:val="left"/>
              <w:rPr>
                <w:rFonts w:hint="eastAsia" w:ascii="宋体" w:eastAsia="宋体" w:cs="宋体"/>
                <w:color w:val="auto"/>
                <w:sz w:val="21"/>
                <w:szCs w:val="21"/>
                <w:highlight w:val="none"/>
              </w:rPr>
            </w:pPr>
            <w:r>
              <w:rPr>
                <w:rFonts w:hint="eastAsia" w:ascii="宋体" w:eastAsia="宋体" w:cs="宋体"/>
                <w:color w:val="auto"/>
                <w:sz w:val="21"/>
                <w:szCs w:val="21"/>
                <w:highlight w:val="none"/>
              </w:rPr>
              <w:t>质量目标基本明确合理，</w:t>
            </w:r>
            <w:r>
              <w:rPr>
                <w:rFonts w:hint="eastAsia" w:ascii="宋体" w:eastAsia="宋体" w:cs="宋体"/>
                <w:color w:val="auto"/>
                <w:sz w:val="21"/>
                <w:szCs w:val="21"/>
                <w:highlight w:val="none"/>
                <w:lang w:val="en-US" w:eastAsia="zh-CN"/>
              </w:rPr>
              <w:t>货物</w:t>
            </w:r>
            <w:r>
              <w:rPr>
                <w:rFonts w:hint="eastAsia" w:ascii="宋体" w:eastAsia="宋体" w:cs="宋体"/>
                <w:color w:val="auto"/>
                <w:sz w:val="21"/>
                <w:szCs w:val="21"/>
                <w:highlight w:val="none"/>
              </w:rPr>
              <w:t>质量的控制措施基本符合要求，检验措施基本可行的，得</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分；</w:t>
            </w:r>
          </w:p>
          <w:p>
            <w:pPr>
              <w:pStyle w:val="39"/>
              <w:spacing w:line="360" w:lineRule="auto"/>
              <w:ind w:left="0" w:leftChars="0" w:firstLine="420" w:firstLineChars="200"/>
              <w:jc w:val="left"/>
              <w:rPr>
                <w:rFonts w:hint="eastAsia" w:ascii="宋体" w:eastAsia="宋体" w:cs="宋体"/>
                <w:color w:val="auto"/>
                <w:sz w:val="21"/>
                <w:szCs w:val="21"/>
                <w:highlight w:val="none"/>
              </w:rPr>
            </w:pPr>
            <w:r>
              <w:rPr>
                <w:rFonts w:hint="eastAsia" w:ascii="宋体" w:eastAsia="宋体" w:cs="宋体"/>
                <w:color w:val="auto"/>
                <w:sz w:val="21"/>
                <w:szCs w:val="21"/>
                <w:highlight w:val="none"/>
              </w:rPr>
              <w:t>质量目标</w:t>
            </w:r>
            <w:r>
              <w:rPr>
                <w:rFonts w:hint="eastAsia" w:ascii="宋体" w:eastAsia="宋体" w:cs="宋体"/>
                <w:color w:val="auto"/>
                <w:sz w:val="21"/>
                <w:szCs w:val="21"/>
                <w:highlight w:val="none"/>
                <w:lang w:val="en-US" w:eastAsia="zh-CN"/>
              </w:rPr>
              <w:t>合理性一般</w:t>
            </w:r>
            <w:r>
              <w:rPr>
                <w:rFonts w:hint="eastAsia" w:ascii="宋体" w:eastAsia="宋体" w:cs="宋体"/>
                <w:color w:val="auto"/>
                <w:sz w:val="21"/>
                <w:szCs w:val="21"/>
                <w:highlight w:val="none"/>
              </w:rPr>
              <w:t>，</w:t>
            </w:r>
            <w:r>
              <w:rPr>
                <w:rFonts w:hint="eastAsia" w:ascii="宋体" w:eastAsia="宋体" w:cs="宋体"/>
                <w:color w:val="auto"/>
                <w:sz w:val="21"/>
                <w:szCs w:val="21"/>
                <w:highlight w:val="none"/>
                <w:lang w:val="en-US" w:eastAsia="zh-CN"/>
              </w:rPr>
              <w:t>货物</w:t>
            </w:r>
            <w:r>
              <w:rPr>
                <w:rFonts w:hint="eastAsia" w:ascii="宋体" w:eastAsia="宋体" w:cs="宋体"/>
                <w:color w:val="auto"/>
                <w:sz w:val="21"/>
                <w:szCs w:val="21"/>
                <w:highlight w:val="none"/>
              </w:rPr>
              <w:t>质量的控制措施</w:t>
            </w:r>
            <w:r>
              <w:rPr>
                <w:rFonts w:hint="eastAsia" w:ascii="宋体" w:eastAsia="宋体" w:cs="宋体"/>
                <w:color w:val="auto"/>
                <w:sz w:val="21"/>
                <w:szCs w:val="21"/>
                <w:highlight w:val="none"/>
                <w:lang w:val="en-US" w:eastAsia="zh-CN"/>
              </w:rPr>
              <w:t>一般</w:t>
            </w:r>
            <w:r>
              <w:rPr>
                <w:rFonts w:hint="eastAsia" w:ascii="宋体" w:eastAsia="宋体" w:cs="宋体"/>
                <w:color w:val="auto"/>
                <w:sz w:val="21"/>
                <w:szCs w:val="21"/>
                <w:highlight w:val="none"/>
              </w:rPr>
              <w:t>，检验措施可行</w:t>
            </w:r>
            <w:r>
              <w:rPr>
                <w:rFonts w:hint="eastAsia" w:ascii="宋体" w:eastAsia="宋体" w:cs="宋体"/>
                <w:color w:val="auto"/>
                <w:sz w:val="21"/>
                <w:szCs w:val="21"/>
                <w:highlight w:val="none"/>
                <w:lang w:val="en-US" w:eastAsia="zh-CN"/>
              </w:rPr>
              <w:t>性一般的</w:t>
            </w:r>
            <w:r>
              <w:rPr>
                <w:rFonts w:hint="eastAsia" w:ascii="宋体" w:eastAsia="宋体" w:cs="宋体"/>
                <w:color w:val="auto"/>
                <w:sz w:val="21"/>
                <w:szCs w:val="21"/>
                <w:highlight w:val="none"/>
              </w:rPr>
              <w:t>，得</w:t>
            </w:r>
            <w:r>
              <w:rPr>
                <w:rFonts w:hint="eastAsia" w:ascii="宋体" w:eastAsia="宋体" w:cs="宋体"/>
                <w:color w:val="auto"/>
                <w:sz w:val="21"/>
                <w:szCs w:val="21"/>
                <w:highlight w:val="none"/>
                <w:lang w:val="en-US" w:eastAsia="zh-CN"/>
              </w:rPr>
              <w:t>5</w:t>
            </w:r>
            <w:r>
              <w:rPr>
                <w:rFonts w:hint="eastAsia" w:ascii="宋体" w:eastAsia="宋体" w:cs="宋体"/>
                <w:color w:val="auto"/>
                <w:sz w:val="21"/>
                <w:szCs w:val="21"/>
                <w:highlight w:val="none"/>
              </w:rPr>
              <w:t>分；</w:t>
            </w:r>
          </w:p>
          <w:p>
            <w:pPr>
              <w:pStyle w:val="39"/>
              <w:spacing w:line="360" w:lineRule="auto"/>
              <w:ind w:left="0" w:leftChars="0" w:firstLine="420" w:firstLineChars="200"/>
              <w:jc w:val="left"/>
              <w:rPr>
                <w:rFonts w:hint="eastAsia" w:ascii="宋体" w:eastAsia="宋体" w:cs="宋体"/>
                <w:color w:val="auto"/>
                <w:sz w:val="21"/>
                <w:szCs w:val="21"/>
                <w:highlight w:val="none"/>
              </w:rPr>
            </w:pPr>
            <w:r>
              <w:rPr>
                <w:rFonts w:hint="eastAsia" w:ascii="宋体" w:eastAsia="宋体" w:cs="宋体"/>
                <w:color w:val="auto"/>
                <w:sz w:val="21"/>
                <w:szCs w:val="21"/>
                <w:highlight w:val="none"/>
              </w:rPr>
              <w:t>质量目标不够明确，</w:t>
            </w:r>
            <w:r>
              <w:rPr>
                <w:rFonts w:hint="eastAsia" w:ascii="宋体" w:eastAsia="宋体" w:cs="宋体"/>
                <w:color w:val="auto"/>
                <w:sz w:val="21"/>
                <w:szCs w:val="21"/>
                <w:highlight w:val="none"/>
                <w:lang w:val="en-US" w:eastAsia="zh-CN"/>
              </w:rPr>
              <w:t>货物</w:t>
            </w:r>
            <w:r>
              <w:rPr>
                <w:rFonts w:hint="eastAsia" w:ascii="宋体" w:eastAsia="宋体" w:cs="宋体"/>
                <w:color w:val="auto"/>
                <w:sz w:val="21"/>
                <w:szCs w:val="21"/>
                <w:highlight w:val="none"/>
              </w:rPr>
              <w:t>质量的控制不够详细，检验措施可行度不高的，得</w:t>
            </w: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rPr>
              <w:t>分；</w:t>
            </w:r>
          </w:p>
          <w:p>
            <w:pPr>
              <w:pStyle w:val="29"/>
              <w:spacing w:line="360" w:lineRule="auto"/>
              <w:ind w:firstLine="420" w:firstLineChars="200"/>
              <w:rPr>
                <w:rFonts w:ascii="宋体" w:eastAsia="宋体" w:cs="宋体"/>
                <w:b/>
                <w:bCs/>
                <w:color w:val="auto"/>
                <w:sz w:val="21"/>
                <w:szCs w:val="21"/>
                <w:highlight w:val="none"/>
              </w:rPr>
            </w:pPr>
            <w:r>
              <w:rPr>
                <w:rFonts w:hint="eastAsia" w:ascii="宋体" w:eastAsia="宋体" w:cs="宋体"/>
                <w:color w:val="auto"/>
                <w:sz w:val="21"/>
                <w:szCs w:val="21"/>
                <w:highlight w:val="none"/>
              </w:rPr>
              <w:t>未提供质量保证措施的，得0分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66" w:type="dxa"/>
            <w:shd w:val="clear" w:color="auto" w:fill="auto"/>
            <w:vAlign w:val="center"/>
          </w:tcPr>
          <w:p>
            <w:pPr>
              <w:pStyle w:val="29"/>
              <w:spacing w:line="36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701" w:type="dxa"/>
            <w:shd w:val="clear" w:color="auto" w:fill="auto"/>
            <w:vAlign w:val="center"/>
          </w:tcPr>
          <w:p>
            <w:pPr>
              <w:pStyle w:val="29"/>
              <w:spacing w:line="360" w:lineRule="auto"/>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kern w:val="2"/>
                <w:sz w:val="21"/>
                <w:szCs w:val="21"/>
                <w:highlight w:val="none"/>
                <w:lang w:val="en-US" w:eastAsia="zh-CN"/>
              </w:rPr>
              <w:t>售后服务方案</w:t>
            </w:r>
          </w:p>
        </w:tc>
        <w:tc>
          <w:tcPr>
            <w:tcW w:w="957" w:type="dxa"/>
            <w:shd w:val="clear" w:color="auto" w:fill="auto"/>
            <w:vAlign w:val="center"/>
          </w:tcPr>
          <w:p>
            <w:pPr>
              <w:pStyle w:val="29"/>
              <w:spacing w:line="360" w:lineRule="auto"/>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kern w:val="2"/>
                <w:sz w:val="21"/>
                <w:szCs w:val="21"/>
                <w:highlight w:val="none"/>
                <w:lang w:val="en-US" w:eastAsia="zh-CN"/>
              </w:rPr>
              <w:t>10</w:t>
            </w:r>
          </w:p>
        </w:tc>
        <w:tc>
          <w:tcPr>
            <w:tcW w:w="5617" w:type="dxa"/>
            <w:shd w:val="clear" w:color="auto" w:fill="auto"/>
            <w:vAlign w:val="center"/>
          </w:tcPr>
          <w:p>
            <w:pPr>
              <w:pStyle w:val="39"/>
              <w:spacing w:line="360" w:lineRule="auto"/>
              <w:ind w:left="0"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根据投标人提供的售后服务方案（包括但不限于对内容与范围、服务承诺和保障措施、培训措施等内容）进行综合评分：</w:t>
            </w:r>
          </w:p>
          <w:p>
            <w:pPr>
              <w:pStyle w:val="39"/>
              <w:spacing w:line="360" w:lineRule="auto"/>
              <w:ind w:left="0"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售后服务方案详细完整、合理、可行性强的，得</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分；</w:t>
            </w:r>
          </w:p>
          <w:p>
            <w:pPr>
              <w:pStyle w:val="39"/>
              <w:spacing w:line="360" w:lineRule="auto"/>
              <w:ind w:left="0"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售后服务方案较详细完整、较合理、可行性较强的，得</w:t>
            </w:r>
            <w:r>
              <w:rPr>
                <w:rFonts w:hint="eastAsia" w:ascii="宋体" w:eastAsia="宋体" w:cs="宋体"/>
                <w:color w:val="auto"/>
                <w:sz w:val="21"/>
                <w:szCs w:val="21"/>
                <w:highlight w:val="none"/>
                <w:lang w:val="en-US" w:eastAsia="zh-CN"/>
              </w:rPr>
              <w:t>7</w:t>
            </w:r>
            <w:r>
              <w:rPr>
                <w:rFonts w:hint="eastAsia" w:ascii="宋体" w:eastAsia="宋体" w:cs="宋体"/>
                <w:color w:val="auto"/>
                <w:sz w:val="21"/>
                <w:szCs w:val="21"/>
                <w:highlight w:val="none"/>
              </w:rPr>
              <w:t>分；</w:t>
            </w:r>
          </w:p>
          <w:p>
            <w:pPr>
              <w:pStyle w:val="39"/>
              <w:spacing w:line="360" w:lineRule="auto"/>
              <w:ind w:left="0"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售后服务方案基本完整、基本合理、可行性一般的，得</w:t>
            </w:r>
            <w:r>
              <w:rPr>
                <w:rFonts w:hint="eastAsia" w:ascii="宋体" w:eastAsia="宋体" w:cs="宋体"/>
                <w:color w:val="auto"/>
                <w:sz w:val="21"/>
                <w:szCs w:val="21"/>
                <w:highlight w:val="none"/>
                <w:lang w:val="en-US" w:eastAsia="zh-CN"/>
              </w:rPr>
              <w:t>4</w:t>
            </w:r>
            <w:r>
              <w:rPr>
                <w:rFonts w:hint="eastAsia" w:ascii="宋体" w:eastAsia="宋体" w:cs="宋体"/>
                <w:color w:val="auto"/>
                <w:sz w:val="21"/>
                <w:szCs w:val="21"/>
                <w:highlight w:val="none"/>
              </w:rPr>
              <w:t>分；</w:t>
            </w:r>
          </w:p>
          <w:p>
            <w:pPr>
              <w:pStyle w:val="39"/>
              <w:spacing w:line="360" w:lineRule="auto"/>
              <w:ind w:left="0"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售后服务方案不完整、合理性差的，得1分；</w:t>
            </w:r>
          </w:p>
          <w:p>
            <w:pPr>
              <w:pStyle w:val="29"/>
              <w:spacing w:line="360" w:lineRule="auto"/>
              <w:ind w:firstLine="420" w:firstLineChars="200"/>
              <w:rPr>
                <w:rFonts w:ascii="宋体" w:eastAsia="宋体" w:cs="宋体"/>
                <w:b/>
                <w:bCs/>
                <w:color w:val="auto"/>
                <w:sz w:val="21"/>
                <w:szCs w:val="21"/>
                <w:highlight w:val="none"/>
              </w:rPr>
            </w:pPr>
            <w:r>
              <w:rPr>
                <w:rFonts w:hint="eastAsia" w:ascii="宋体" w:eastAsia="宋体" w:cs="宋体"/>
                <w:color w:val="auto"/>
                <w:sz w:val="21"/>
                <w:szCs w:val="21"/>
                <w:highlight w:val="none"/>
              </w:rPr>
              <w:t>未提供售后服务方案的，得0分。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66" w:type="dxa"/>
            <w:shd w:val="clear" w:color="auto" w:fill="auto"/>
            <w:vAlign w:val="center"/>
          </w:tcPr>
          <w:p>
            <w:pPr>
              <w:pStyle w:val="29"/>
              <w:spacing w:line="36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701" w:type="dxa"/>
            <w:shd w:val="clear" w:color="auto" w:fill="auto"/>
            <w:vAlign w:val="center"/>
          </w:tcPr>
          <w:p>
            <w:pPr>
              <w:pStyle w:val="29"/>
              <w:spacing w:line="360" w:lineRule="auto"/>
              <w:ind w:firstLine="0" w:firstLineChars="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rPr>
              <w:t>规章</w:t>
            </w:r>
            <w:r>
              <w:rPr>
                <w:rFonts w:hint="eastAsia" w:ascii="宋体" w:eastAsia="宋体" w:cs="宋体"/>
                <w:color w:val="auto"/>
                <w:kern w:val="2"/>
                <w:sz w:val="21"/>
                <w:szCs w:val="21"/>
                <w:highlight w:val="none"/>
                <w:lang w:val="en-US" w:eastAsia="zh-CN"/>
              </w:rPr>
              <w:t>管理制度</w:t>
            </w:r>
          </w:p>
        </w:tc>
        <w:tc>
          <w:tcPr>
            <w:tcW w:w="957" w:type="dxa"/>
            <w:shd w:val="clear" w:color="auto" w:fill="auto"/>
            <w:vAlign w:val="center"/>
          </w:tcPr>
          <w:p>
            <w:pPr>
              <w:pStyle w:val="29"/>
              <w:spacing w:line="360" w:lineRule="auto"/>
              <w:ind w:firstLine="0" w:firstLineChars="0"/>
              <w:jc w:val="center"/>
              <w:rPr>
                <w:rFonts w:hint="default" w:ascii="宋体" w:hAnsi="宋体" w:eastAsia="宋体" w:cs="宋体"/>
                <w:color w:val="auto"/>
                <w:kern w:val="2"/>
                <w:sz w:val="21"/>
                <w:szCs w:val="21"/>
                <w:highlight w:val="none"/>
                <w:lang w:val="en-US" w:eastAsia="zh-CN"/>
              </w:rPr>
            </w:pPr>
            <w:r>
              <w:rPr>
                <w:rFonts w:hint="eastAsia" w:ascii="宋体" w:eastAsia="宋体" w:cs="宋体"/>
                <w:color w:val="auto"/>
                <w:kern w:val="2"/>
                <w:sz w:val="21"/>
                <w:szCs w:val="21"/>
                <w:highlight w:val="none"/>
                <w:lang w:val="en-US" w:eastAsia="zh-CN"/>
              </w:rPr>
              <w:t>10</w:t>
            </w:r>
          </w:p>
        </w:tc>
        <w:tc>
          <w:tcPr>
            <w:tcW w:w="5617" w:type="dxa"/>
            <w:shd w:val="clear" w:color="auto" w:fill="auto"/>
            <w:vAlign w:val="center"/>
          </w:tcPr>
          <w:p>
            <w:pPr>
              <w:pStyle w:val="29"/>
              <w:spacing w:line="360" w:lineRule="auto"/>
              <w:ind w:firstLine="420" w:firstLineChars="200"/>
              <w:rPr>
                <w:rFonts w:ascii="宋体" w:eastAsia="宋体" w:cs="宋体"/>
                <w:color w:val="auto"/>
                <w:sz w:val="21"/>
                <w:szCs w:val="21"/>
                <w:lang w:val="en-US" w:eastAsia="zh-CN"/>
              </w:rPr>
            </w:pPr>
            <w:r>
              <w:rPr>
                <w:rFonts w:hint="eastAsia" w:ascii="宋体" w:eastAsia="宋体" w:cs="宋体"/>
                <w:color w:val="auto"/>
                <w:sz w:val="21"/>
                <w:szCs w:val="21"/>
                <w:lang w:val="en-US" w:eastAsia="zh-CN"/>
              </w:rPr>
              <w:t>根据投标人的规章管理制度进行综合评审：</w:t>
            </w:r>
          </w:p>
          <w:p>
            <w:pPr>
              <w:pStyle w:val="29"/>
              <w:spacing w:line="360" w:lineRule="auto"/>
              <w:ind w:firstLine="420" w:firstLineChars="200"/>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制度详细完整，可行性强，得10分。</w:t>
            </w:r>
          </w:p>
          <w:p>
            <w:pPr>
              <w:pStyle w:val="29"/>
              <w:spacing w:line="360" w:lineRule="auto"/>
              <w:ind w:firstLine="420" w:firstLineChars="200"/>
              <w:rPr>
                <w:rFonts w:ascii="宋体" w:eastAsia="宋体" w:cs="宋体"/>
                <w:color w:val="auto"/>
                <w:sz w:val="21"/>
                <w:szCs w:val="21"/>
                <w:lang w:val="en-US" w:eastAsia="zh-CN"/>
              </w:rPr>
            </w:pPr>
            <w:r>
              <w:rPr>
                <w:rFonts w:hint="eastAsia" w:ascii="宋体" w:eastAsia="宋体" w:cs="宋体"/>
                <w:color w:val="auto"/>
                <w:sz w:val="21"/>
                <w:szCs w:val="21"/>
                <w:lang w:val="en-US" w:eastAsia="zh-CN"/>
              </w:rPr>
              <w:t>制度较完整，可行性较强，得7分。</w:t>
            </w:r>
          </w:p>
          <w:p>
            <w:pPr>
              <w:pStyle w:val="29"/>
              <w:spacing w:line="360" w:lineRule="auto"/>
              <w:ind w:firstLine="420" w:firstLineChars="200"/>
              <w:rPr>
                <w:rFonts w:ascii="宋体" w:eastAsia="宋体" w:cs="宋体"/>
                <w:color w:val="auto"/>
                <w:sz w:val="21"/>
                <w:szCs w:val="21"/>
                <w:lang w:val="en-US" w:eastAsia="zh-CN"/>
              </w:rPr>
            </w:pPr>
            <w:r>
              <w:rPr>
                <w:rFonts w:hint="eastAsia" w:ascii="宋体" w:eastAsia="宋体" w:cs="宋体"/>
                <w:color w:val="auto"/>
                <w:sz w:val="21"/>
                <w:szCs w:val="21"/>
                <w:lang w:val="en-US" w:eastAsia="zh-CN"/>
              </w:rPr>
              <w:t>制度基本完整，可行性一般，得4分。</w:t>
            </w:r>
          </w:p>
          <w:p>
            <w:pPr>
              <w:pStyle w:val="29"/>
              <w:spacing w:line="360" w:lineRule="auto"/>
              <w:ind w:firstLine="420" w:firstLineChars="200"/>
              <w:rPr>
                <w:rFonts w:ascii="宋体" w:eastAsia="宋体" w:cs="宋体"/>
                <w:color w:val="auto"/>
                <w:sz w:val="21"/>
                <w:szCs w:val="21"/>
                <w:lang w:val="en-US" w:eastAsia="zh-CN"/>
              </w:rPr>
            </w:pPr>
            <w:r>
              <w:rPr>
                <w:rFonts w:hint="eastAsia" w:ascii="宋体" w:eastAsia="宋体" w:cs="宋体"/>
                <w:color w:val="auto"/>
                <w:sz w:val="21"/>
                <w:szCs w:val="21"/>
                <w:lang w:val="en-US" w:eastAsia="zh-CN"/>
              </w:rPr>
              <w:t>制度不完整，可行性较差，得1分。</w:t>
            </w:r>
          </w:p>
          <w:p>
            <w:pPr>
              <w:pStyle w:val="29"/>
              <w:spacing w:line="360" w:lineRule="auto"/>
              <w:ind w:firstLine="420" w:firstLineChars="200"/>
              <w:rPr>
                <w:rFonts w:ascii="宋体" w:eastAsia="宋体" w:cs="宋体"/>
                <w:b/>
                <w:bCs/>
                <w:color w:val="auto"/>
                <w:sz w:val="21"/>
                <w:szCs w:val="21"/>
                <w:highlight w:val="none"/>
              </w:rPr>
            </w:pPr>
            <w:r>
              <w:rPr>
                <w:rFonts w:hint="eastAsia" w:ascii="宋体" w:eastAsia="宋体" w:cs="宋体"/>
                <w:color w:val="auto"/>
                <w:sz w:val="21"/>
                <w:szCs w:val="21"/>
                <w:highlight w:val="none"/>
              </w:rPr>
              <w:t>未</w:t>
            </w:r>
            <w:r>
              <w:rPr>
                <w:rFonts w:hint="eastAsia" w:ascii="宋体" w:eastAsia="宋体" w:cs="宋体"/>
                <w:color w:val="auto"/>
                <w:sz w:val="21"/>
                <w:szCs w:val="21"/>
                <w:lang w:val="en-US" w:eastAsia="zh-CN"/>
              </w:rPr>
              <w:t>提供规章管理制度的，得0分。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66" w:type="dxa"/>
            <w:shd w:val="clear" w:color="auto" w:fill="auto"/>
            <w:vAlign w:val="center"/>
          </w:tcPr>
          <w:p>
            <w:pPr>
              <w:pStyle w:val="29"/>
              <w:spacing w:line="36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701" w:type="dxa"/>
            <w:shd w:val="clear" w:color="auto" w:fill="auto"/>
            <w:vAlign w:val="center"/>
          </w:tcPr>
          <w:p>
            <w:pPr>
              <w:pStyle w:val="29"/>
              <w:spacing w:line="36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应急方案</w:t>
            </w:r>
          </w:p>
        </w:tc>
        <w:tc>
          <w:tcPr>
            <w:tcW w:w="957" w:type="dxa"/>
            <w:shd w:val="clear" w:color="auto" w:fill="auto"/>
            <w:vAlign w:val="center"/>
          </w:tcPr>
          <w:p>
            <w:pPr>
              <w:pStyle w:val="29"/>
              <w:spacing w:line="36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15</w:t>
            </w:r>
          </w:p>
        </w:tc>
        <w:tc>
          <w:tcPr>
            <w:tcW w:w="5617" w:type="dxa"/>
            <w:shd w:val="clear" w:color="auto" w:fill="auto"/>
            <w:vAlign w:val="center"/>
          </w:tcPr>
          <w:p>
            <w:pPr>
              <w:pStyle w:val="29"/>
              <w:spacing w:line="360"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针对台风、暴雨等天气影响，重大接待任务，重大节假日或活动等特殊情况制定应急处置方案，包括传达机制、人员和设备调配、责任分工等进行综合评审：</w:t>
            </w:r>
          </w:p>
          <w:p>
            <w:pPr>
              <w:pStyle w:val="29"/>
              <w:spacing w:line="360"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方案完善具体、合理，可行性强的，得</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lang w:val="zh-CN" w:eastAsia="zh-CN"/>
              </w:rPr>
              <w:t>分；</w:t>
            </w:r>
          </w:p>
          <w:p>
            <w:pPr>
              <w:pStyle w:val="29"/>
              <w:spacing w:line="360"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方案比较完善、可行性较强的，得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zh-CN" w:eastAsia="zh-CN"/>
              </w:rPr>
              <w:t>分；</w:t>
            </w:r>
          </w:p>
          <w:p>
            <w:pPr>
              <w:pStyle w:val="29"/>
              <w:spacing w:line="360"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方案比较具体、可行性一般的，得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eastAsia="zh-CN"/>
              </w:rPr>
              <w:t>分；</w:t>
            </w:r>
          </w:p>
          <w:p>
            <w:pPr>
              <w:pStyle w:val="29"/>
              <w:spacing w:line="360" w:lineRule="auto"/>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方案不具体的，得1分。</w:t>
            </w:r>
          </w:p>
          <w:p>
            <w:pPr>
              <w:pStyle w:val="29"/>
              <w:spacing w:line="360" w:lineRule="auto"/>
              <w:ind w:firstLine="420" w:firstLineChars="200"/>
              <w:rPr>
                <w:rFonts w:ascii="宋体" w:eastAsia="宋体" w:cs="宋体"/>
                <w:color w:val="auto"/>
                <w:sz w:val="21"/>
                <w:szCs w:val="21"/>
                <w:highlight w:val="none"/>
              </w:rPr>
            </w:pPr>
            <w:r>
              <w:rPr>
                <w:rFonts w:hint="eastAsia" w:ascii="宋体" w:hAnsi="宋体" w:eastAsia="宋体" w:cs="宋体"/>
                <w:color w:val="auto"/>
                <w:sz w:val="21"/>
                <w:szCs w:val="21"/>
                <w:lang w:val="en-US" w:eastAsia="zh-CN"/>
              </w:rPr>
              <w:t>无提供应急方案的，得0分。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41" w:type="dxa"/>
            <w:gridSpan w:val="4"/>
            <w:shd w:val="clear" w:color="auto" w:fill="auto"/>
            <w:vAlign w:val="center"/>
          </w:tcPr>
          <w:p>
            <w:pPr>
              <w:pStyle w:val="29"/>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价格评审（</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6" w:type="dxa"/>
            <w:shd w:val="clear" w:color="auto" w:fill="auto"/>
            <w:vAlign w:val="center"/>
          </w:tcPr>
          <w:p>
            <w:pPr>
              <w:pStyle w:val="29"/>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8275" w:type="dxa"/>
            <w:gridSpan w:val="3"/>
            <w:shd w:val="clear" w:color="auto" w:fill="auto"/>
            <w:vAlign w:val="center"/>
          </w:tcPr>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价格分计算方法：满足招标文件要求且投标价格最低</w:t>
            </w:r>
            <w:r>
              <w:rPr>
                <w:rFonts w:hint="eastAsia" w:ascii="宋体" w:hAnsi="宋体" w:eastAsia="宋体" w:cs="宋体"/>
                <w:color w:val="auto"/>
                <w:sz w:val="21"/>
                <w:szCs w:val="21"/>
                <w:highlight w:val="none"/>
              </w:rPr>
              <w:t>（即最大下浮率）</w:t>
            </w:r>
            <w:r>
              <w:rPr>
                <w:rFonts w:hint="eastAsia" w:ascii="宋体" w:hAnsi="宋体" w:eastAsia="宋体"/>
                <w:color w:val="auto"/>
                <w:sz w:val="21"/>
                <w:szCs w:val="21"/>
              </w:rPr>
              <w:t>的投标报价为评标基准价，其价格分为满分。其他投标人的价格分统一按照下列公式计算：</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olor w:val="auto"/>
                <w:sz w:val="21"/>
                <w:szCs w:val="21"/>
              </w:rPr>
              <w:t>投标报价得分</w:t>
            </w:r>
            <w:r>
              <w:rPr>
                <w:rFonts w:ascii="宋体" w:hAnsi="宋体" w:eastAsia="宋体"/>
                <w:color w:val="auto"/>
                <w:sz w:val="21"/>
                <w:szCs w:val="21"/>
              </w:rPr>
              <w:t>=(</w:t>
            </w:r>
            <w:r>
              <w:rPr>
                <w:rFonts w:hint="eastAsia" w:ascii="宋体" w:hAnsi="宋体" w:eastAsia="宋体"/>
                <w:color w:val="auto"/>
                <w:sz w:val="21"/>
                <w:szCs w:val="21"/>
              </w:rPr>
              <w:t>（</w:t>
            </w:r>
            <w:r>
              <w:rPr>
                <w:rFonts w:ascii="宋体" w:hAnsi="宋体" w:eastAsia="宋体"/>
                <w:color w:val="auto"/>
                <w:sz w:val="21"/>
                <w:szCs w:val="21"/>
              </w:rPr>
              <w:t>1-</w:t>
            </w:r>
            <w:r>
              <w:rPr>
                <w:rFonts w:hint="eastAsia" w:ascii="宋体" w:hAnsi="宋体" w:eastAsia="宋体"/>
                <w:color w:val="auto"/>
                <w:sz w:val="21"/>
                <w:szCs w:val="21"/>
              </w:rPr>
              <w:t>评标基准价）／（</w:t>
            </w:r>
            <w:r>
              <w:rPr>
                <w:rFonts w:ascii="宋体" w:hAnsi="宋体" w:eastAsia="宋体"/>
                <w:color w:val="auto"/>
                <w:sz w:val="21"/>
                <w:szCs w:val="21"/>
              </w:rPr>
              <w:t>1-</w:t>
            </w:r>
            <w:r>
              <w:rPr>
                <w:rFonts w:hint="eastAsia" w:ascii="宋体" w:hAnsi="宋体" w:eastAsia="宋体"/>
                <w:color w:val="auto"/>
                <w:sz w:val="21"/>
                <w:szCs w:val="21"/>
              </w:rPr>
              <w:t>投标下浮率）</w:t>
            </w:r>
            <w:r>
              <w:rPr>
                <w:rFonts w:ascii="宋体" w:hAnsi="宋体" w:eastAsia="宋体"/>
                <w:color w:val="auto"/>
                <w:sz w:val="21"/>
                <w:szCs w:val="21"/>
              </w:rPr>
              <w:t>)</w:t>
            </w:r>
            <w:r>
              <w:rPr>
                <w:rFonts w:hint="eastAsia" w:ascii="宋体" w:hAnsi="宋体" w:eastAsia="宋体"/>
                <w:color w:val="auto"/>
                <w:sz w:val="21"/>
                <w:szCs w:val="21"/>
              </w:rPr>
              <w:t>×价格权重×</w:t>
            </w:r>
            <w:r>
              <w:rPr>
                <w:rFonts w:ascii="宋体" w:hAnsi="宋体" w:eastAsia="宋体"/>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941" w:type="dxa"/>
            <w:gridSpan w:val="4"/>
            <w:shd w:val="clear" w:color="auto" w:fill="auto"/>
            <w:vAlign w:val="center"/>
          </w:tcPr>
          <w:p>
            <w:pPr>
              <w:widowControl w:val="0"/>
              <w:tabs>
                <w:tab w:val="left" w:pos="907"/>
              </w:tabs>
              <w:adjustRightInd/>
              <w:snapToGrid/>
              <w:spacing w:after="0" w:line="360" w:lineRule="auto"/>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pPr>
              <w:widowControl w:val="0"/>
              <w:tabs>
                <w:tab w:val="left" w:pos="907"/>
              </w:tabs>
              <w:adjustRightInd/>
              <w:snapToGrid/>
              <w:spacing w:after="0" w:line="360" w:lineRule="auto"/>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（1）无特殊说明外，以上评审项，同一证明文件不重复计分。</w:t>
            </w:r>
          </w:p>
          <w:p>
            <w:pPr>
              <w:spacing w:after="0" w:line="36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（2）投标人根据以上评分要求提供的投标材料因模糊不清导致评标委员会无法清晰辨认进行评审的，视为无效材料。</w:t>
            </w:r>
          </w:p>
          <w:p>
            <w:pPr>
              <w:spacing w:after="0" w:line="360" w:lineRule="auto"/>
              <w:ind w:firstLine="422" w:firstLineChars="200"/>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bCs w:val="0"/>
                <w:color w:val="auto"/>
                <w:sz w:val="21"/>
                <w:szCs w:val="21"/>
                <w:highlight w:val="none"/>
                <w:lang w:val="zh-CN"/>
              </w:rPr>
              <w:t>若因疫情原因暂缓统一托收或阶段性减免社会保险费而导致无法打印社保缴费证明的需提供书面说明并加盖</w:t>
            </w:r>
            <w:r>
              <w:rPr>
                <w:rFonts w:hint="eastAsia" w:ascii="宋体" w:hAnsi="宋体" w:eastAsia="宋体" w:cs="宋体"/>
                <w:b/>
                <w:bCs w:val="0"/>
                <w:color w:val="auto"/>
                <w:sz w:val="21"/>
                <w:szCs w:val="21"/>
                <w:highlight w:val="none"/>
              </w:rPr>
              <w:t>投标人</w:t>
            </w:r>
            <w:r>
              <w:rPr>
                <w:rFonts w:hint="eastAsia" w:ascii="宋体" w:hAnsi="宋体" w:eastAsia="宋体" w:cs="宋体"/>
                <w:b/>
                <w:bCs w:val="0"/>
                <w:color w:val="auto"/>
                <w:sz w:val="21"/>
                <w:szCs w:val="21"/>
                <w:highlight w:val="none"/>
                <w:lang w:val="zh-CN"/>
              </w:rPr>
              <w:t>公章。</w:t>
            </w:r>
          </w:p>
        </w:tc>
      </w:tr>
    </w:tbl>
    <w:p>
      <w:pPr>
        <w:rPr>
          <w:color w:val="auto"/>
          <w:highlight w:val="none"/>
        </w:rPr>
      </w:pPr>
      <w:r>
        <w:rPr>
          <w:color w:val="auto"/>
          <w:highlight w:val="none"/>
        </w:rPr>
        <w:br w:type="page"/>
      </w:r>
    </w:p>
    <w:p>
      <w:pPr>
        <w:pStyle w:val="3"/>
        <w:numPr>
          <w:ilvl w:val="0"/>
          <w:numId w:val="2"/>
        </w:numPr>
        <w:rPr>
          <w:color w:val="auto"/>
          <w:highlight w:val="none"/>
        </w:rPr>
      </w:pPr>
      <w:bookmarkStart w:id="144" w:name="_Toc32522"/>
      <w:r>
        <w:rPr>
          <w:rFonts w:hint="eastAsia"/>
          <w:color w:val="auto"/>
          <w:highlight w:val="none"/>
        </w:rPr>
        <w:t>合同文本参考格式</w:t>
      </w:r>
      <w:bookmarkEnd w:id="144"/>
    </w:p>
    <w:p>
      <w:pPr>
        <w:jc w:val="center"/>
        <w:outlineLvl w:val="1"/>
        <w:rPr>
          <w:color w:val="auto"/>
          <w:sz w:val="18"/>
          <w:szCs w:val="21"/>
          <w:highlight w:val="none"/>
        </w:rPr>
      </w:pPr>
      <w:bookmarkStart w:id="145" w:name="_Toc1541"/>
      <w:r>
        <w:rPr>
          <w:rFonts w:hint="eastAsia" w:ascii="宋体" w:hAnsi="宋体" w:cs="宋体"/>
          <w:b/>
          <w:bCs/>
          <w:color w:val="auto"/>
          <w:sz w:val="22"/>
          <w:szCs w:val="22"/>
          <w:highlight w:val="none"/>
        </w:rPr>
        <w:t>（本格式编排在招标文件中，供投标人参考，投标时不需填写）</w:t>
      </w:r>
      <w:bookmarkEnd w:id="145"/>
    </w:p>
    <w:p>
      <w:pPr>
        <w:spacing w:line="360" w:lineRule="auto"/>
        <w:rPr>
          <w:color w:val="auto"/>
          <w:highlight w:val="none"/>
        </w:rPr>
      </w:pPr>
      <w:r>
        <w:rPr>
          <w:rFonts w:hint="eastAsia"/>
          <w:color w:val="auto"/>
          <w:highlight w:val="none"/>
        </w:rPr>
        <w:t>甲方：</w:t>
      </w:r>
      <w:r>
        <w:rPr>
          <w:rFonts w:hint="eastAsia"/>
          <w:color w:val="auto"/>
          <w:highlight w:val="none"/>
        </w:rPr>
        <w:tab/>
      </w:r>
    </w:p>
    <w:p>
      <w:pPr>
        <w:spacing w:line="360" w:lineRule="auto"/>
        <w:rPr>
          <w:color w:val="auto"/>
          <w:highlight w:val="none"/>
        </w:rPr>
      </w:pPr>
      <w:r>
        <w:rPr>
          <w:rFonts w:hint="eastAsia"/>
          <w:color w:val="auto"/>
          <w:highlight w:val="none"/>
        </w:rPr>
        <w:t>电话：</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r>
        <w:rPr>
          <w:rFonts w:hint="eastAsia"/>
          <w:color w:val="auto"/>
          <w:highlight w:val="none"/>
        </w:rPr>
        <w:t xml:space="preserve">乙方：  </w:t>
      </w:r>
      <w:r>
        <w:rPr>
          <w:rFonts w:hint="eastAsia"/>
          <w:color w:val="auto"/>
          <w:highlight w:val="none"/>
        </w:rPr>
        <w:tab/>
      </w:r>
    </w:p>
    <w:p>
      <w:pPr>
        <w:spacing w:line="360" w:lineRule="auto"/>
        <w:rPr>
          <w:color w:val="auto"/>
          <w:highlight w:val="none"/>
        </w:rPr>
      </w:pPr>
      <w:r>
        <w:rPr>
          <w:rFonts w:hint="eastAsia"/>
          <w:color w:val="auto"/>
          <w:highlight w:val="none"/>
        </w:rPr>
        <w:t xml:space="preserve">电话： </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pPr>
        <w:spacing w:line="360" w:lineRule="auto"/>
        <w:rPr>
          <w:color w:val="auto"/>
          <w:highlight w:val="none"/>
        </w:rPr>
      </w:pPr>
    </w:p>
    <w:p>
      <w:pPr>
        <w:spacing w:line="360" w:lineRule="auto"/>
        <w:ind w:firstLine="420" w:firstLineChars="200"/>
        <w:rPr>
          <w:color w:val="auto"/>
          <w:highlight w:val="none"/>
        </w:rPr>
      </w:pPr>
      <w:r>
        <w:rPr>
          <w:rFonts w:hint="eastAsia"/>
          <w:color w:val="auto"/>
          <w:highlight w:val="none"/>
        </w:rPr>
        <w:t>根据</w:t>
      </w:r>
      <w:r>
        <w:rPr>
          <w:rFonts w:hint="eastAsia"/>
          <w:color w:val="auto"/>
          <w:highlight w:val="none"/>
          <w:u w:val="single"/>
        </w:rPr>
        <w:t xml:space="preserve">   </w:t>
      </w:r>
      <w:r>
        <w:rPr>
          <w:rFonts w:hint="eastAsia"/>
          <w:color w:val="auto"/>
          <w:highlight w:val="none"/>
        </w:rPr>
        <w:t>项目的采购结果，按照《中华人民共和国政府采购法》，《中华人民共和国民法典(合同编)》的规定，经双方协商，本着平等互利和诚实信用的原则，一致同意遵守本合同如下。</w:t>
      </w:r>
    </w:p>
    <w:p>
      <w:pPr>
        <w:spacing w:line="360" w:lineRule="auto"/>
        <w:outlineLvl w:val="1"/>
        <w:rPr>
          <w:b/>
          <w:bCs/>
          <w:color w:val="auto"/>
          <w:highlight w:val="none"/>
        </w:rPr>
      </w:pPr>
      <w:bookmarkStart w:id="146" w:name="_Toc864"/>
      <w:r>
        <w:rPr>
          <w:rFonts w:hint="eastAsia"/>
          <w:b/>
          <w:bCs/>
          <w:color w:val="auto"/>
          <w:highlight w:val="none"/>
        </w:rPr>
        <w:t>一、合同金额</w:t>
      </w:r>
      <w:bookmarkEnd w:id="146"/>
    </w:p>
    <w:p>
      <w:pPr>
        <w:spacing w:line="360" w:lineRule="auto"/>
        <w:ind w:firstLine="420" w:firstLineChars="200"/>
        <w:rPr>
          <w:color w:val="auto"/>
          <w:highlight w:val="none"/>
        </w:rPr>
      </w:pPr>
      <w:r>
        <w:rPr>
          <w:rFonts w:hint="eastAsia"/>
          <w:color w:val="auto"/>
          <w:highlight w:val="none"/>
        </w:rPr>
        <w:t xml:space="preserve">合同金额为（大写）： </w:t>
      </w:r>
      <w:r>
        <w:rPr>
          <w:rFonts w:hint="eastAsia"/>
          <w:color w:val="auto"/>
          <w:highlight w:val="none"/>
        </w:rPr>
        <w:tab/>
      </w:r>
      <w:r>
        <w:rPr>
          <w:rFonts w:hint="eastAsia"/>
          <w:color w:val="auto"/>
          <w:highlight w:val="none"/>
        </w:rPr>
        <w:t xml:space="preserve">元（￥ </w:t>
      </w:r>
      <w:r>
        <w:rPr>
          <w:rFonts w:hint="eastAsia"/>
          <w:color w:val="auto"/>
          <w:highlight w:val="none"/>
        </w:rPr>
        <w:tab/>
      </w:r>
      <w:r>
        <w:rPr>
          <w:rFonts w:hint="eastAsia"/>
          <w:color w:val="auto"/>
          <w:highlight w:val="none"/>
        </w:rPr>
        <w:t>元）人民币。</w:t>
      </w:r>
    </w:p>
    <w:p>
      <w:pPr>
        <w:spacing w:line="360" w:lineRule="auto"/>
        <w:outlineLvl w:val="1"/>
        <w:rPr>
          <w:b/>
          <w:bCs/>
          <w:color w:val="auto"/>
          <w:highlight w:val="none"/>
        </w:rPr>
      </w:pPr>
      <w:bookmarkStart w:id="147" w:name="_Toc32599"/>
      <w:r>
        <w:rPr>
          <w:rFonts w:hint="eastAsia"/>
          <w:b/>
          <w:bCs/>
          <w:color w:val="auto"/>
          <w:highlight w:val="none"/>
        </w:rPr>
        <w:t>二、</w:t>
      </w:r>
      <w:r>
        <w:rPr>
          <w:rFonts w:hint="eastAsia"/>
          <w:b/>
          <w:bCs/>
          <w:color w:val="auto"/>
          <w:highlight w:val="none"/>
          <w:lang w:val="en-US" w:eastAsia="zh-CN"/>
        </w:rPr>
        <w:t>项目</w:t>
      </w:r>
      <w:r>
        <w:rPr>
          <w:rFonts w:hint="eastAsia"/>
          <w:b/>
          <w:bCs/>
          <w:color w:val="auto"/>
          <w:highlight w:val="none"/>
        </w:rPr>
        <w:t>范围</w:t>
      </w:r>
      <w:bookmarkEnd w:id="147"/>
    </w:p>
    <w:p>
      <w:pPr>
        <w:spacing w:line="360" w:lineRule="auto"/>
        <w:ind w:firstLine="420" w:firstLineChars="200"/>
        <w:rPr>
          <w:color w:val="auto"/>
          <w:highlight w:val="none"/>
        </w:rPr>
      </w:pPr>
      <w:r>
        <w:rPr>
          <w:rFonts w:hint="eastAsia"/>
          <w:color w:val="auto"/>
          <w:highlight w:val="none"/>
        </w:rPr>
        <w:t>甲方聘请乙方提供以下</w:t>
      </w:r>
      <w:r>
        <w:rPr>
          <w:rFonts w:hint="eastAsia"/>
          <w:color w:val="auto"/>
          <w:highlight w:val="none"/>
          <w:lang w:val="en-US" w:eastAsia="zh-CN"/>
        </w:rPr>
        <w:t>内容</w:t>
      </w:r>
      <w:r>
        <w:rPr>
          <w:rFonts w:hint="eastAsia"/>
          <w:color w:val="auto"/>
          <w:highlight w:val="none"/>
        </w:rPr>
        <w:t>：</w:t>
      </w:r>
    </w:p>
    <w:p>
      <w:pPr>
        <w:spacing w:line="360" w:lineRule="auto"/>
        <w:ind w:firstLine="420" w:firstLineChars="200"/>
        <w:rPr>
          <w:color w:val="auto"/>
          <w:highlight w:val="none"/>
        </w:rPr>
      </w:pPr>
      <w:r>
        <w:rPr>
          <w:rFonts w:hint="eastAsia"/>
          <w:color w:val="auto"/>
          <w:highlight w:val="none"/>
        </w:rPr>
        <w:t xml:space="preserve">1.               </w:t>
      </w:r>
    </w:p>
    <w:p>
      <w:pPr>
        <w:spacing w:line="360" w:lineRule="auto"/>
        <w:ind w:firstLine="420" w:firstLineChars="200"/>
        <w:rPr>
          <w:color w:val="auto"/>
          <w:highlight w:val="none"/>
        </w:rPr>
      </w:pPr>
      <w:r>
        <w:rPr>
          <w:rFonts w:hint="eastAsia"/>
          <w:color w:val="auto"/>
          <w:highlight w:val="none"/>
        </w:rPr>
        <w:t xml:space="preserve">2．              </w:t>
      </w:r>
    </w:p>
    <w:p>
      <w:pPr>
        <w:spacing w:line="360" w:lineRule="auto"/>
        <w:outlineLvl w:val="1"/>
        <w:rPr>
          <w:b/>
          <w:bCs/>
          <w:color w:val="auto"/>
          <w:highlight w:val="none"/>
        </w:rPr>
      </w:pPr>
      <w:bookmarkStart w:id="148" w:name="_Toc28304"/>
      <w:r>
        <w:rPr>
          <w:rFonts w:hint="eastAsia"/>
          <w:b/>
          <w:bCs/>
          <w:color w:val="auto"/>
          <w:highlight w:val="none"/>
        </w:rPr>
        <w:t>三、甲方乙方的权利和义务</w:t>
      </w:r>
      <w:bookmarkEnd w:id="148"/>
    </w:p>
    <w:p>
      <w:pPr>
        <w:spacing w:line="360" w:lineRule="auto"/>
        <w:ind w:firstLine="420" w:firstLineChars="200"/>
        <w:rPr>
          <w:color w:val="auto"/>
          <w:highlight w:val="none"/>
        </w:rPr>
      </w:pPr>
      <w:r>
        <w:rPr>
          <w:rFonts w:hint="eastAsia"/>
          <w:color w:val="auto"/>
          <w:highlight w:val="none"/>
        </w:rPr>
        <w:t>甲方的权利和义务：</w:t>
      </w:r>
    </w:p>
    <w:p>
      <w:pPr>
        <w:spacing w:line="360" w:lineRule="auto"/>
        <w:ind w:firstLine="420" w:firstLineChars="200"/>
        <w:rPr>
          <w:color w:val="auto"/>
          <w:highlight w:val="none"/>
        </w:rPr>
      </w:pPr>
      <w:r>
        <w:rPr>
          <w:rFonts w:hint="eastAsia"/>
          <w:color w:val="auto"/>
          <w:highlight w:val="none"/>
        </w:rPr>
        <w:t>乙方的权利和义务：</w:t>
      </w:r>
    </w:p>
    <w:p>
      <w:pPr>
        <w:spacing w:line="360" w:lineRule="auto"/>
        <w:outlineLvl w:val="1"/>
        <w:rPr>
          <w:b/>
          <w:bCs/>
          <w:color w:val="auto"/>
          <w:highlight w:val="none"/>
        </w:rPr>
      </w:pPr>
      <w:bookmarkStart w:id="149" w:name="_Toc31228"/>
      <w:r>
        <w:rPr>
          <w:rFonts w:hint="eastAsia"/>
          <w:b/>
          <w:bCs/>
          <w:color w:val="auto"/>
          <w:highlight w:val="none"/>
        </w:rPr>
        <w:t>四、项目完成期限</w:t>
      </w:r>
      <w:bookmarkEnd w:id="149"/>
    </w:p>
    <w:p>
      <w:pPr>
        <w:spacing w:line="360" w:lineRule="auto"/>
        <w:ind w:firstLine="420" w:firstLineChars="200"/>
        <w:rPr>
          <w:color w:val="auto"/>
          <w:highlight w:val="none"/>
        </w:rPr>
      </w:pPr>
      <w:r>
        <w:rPr>
          <w:rFonts w:hint="eastAsia"/>
          <w:color w:val="auto"/>
          <w:highlight w:val="none"/>
        </w:rPr>
        <w:t xml:space="preserve">1.委托服务期间自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highlight w:val="none"/>
        </w:rPr>
        <w:t xml:space="preserve">月至     年 </w:t>
      </w:r>
      <w:r>
        <w:rPr>
          <w:rFonts w:hint="eastAsia"/>
          <w:color w:val="auto"/>
          <w:highlight w:val="none"/>
        </w:rPr>
        <w:tab/>
      </w:r>
      <w:r>
        <w:rPr>
          <w:rFonts w:hint="eastAsia"/>
          <w:color w:val="auto"/>
          <w:highlight w:val="none"/>
        </w:rPr>
        <w:t>止。</w:t>
      </w:r>
    </w:p>
    <w:p>
      <w:pPr>
        <w:spacing w:line="360" w:lineRule="auto"/>
        <w:outlineLvl w:val="1"/>
        <w:rPr>
          <w:b/>
          <w:bCs/>
          <w:color w:val="auto"/>
          <w:highlight w:val="none"/>
        </w:rPr>
      </w:pPr>
      <w:bookmarkStart w:id="150" w:name="_Toc1315"/>
      <w:r>
        <w:rPr>
          <w:rFonts w:hint="eastAsia"/>
          <w:b/>
          <w:bCs/>
          <w:color w:val="auto"/>
          <w:highlight w:val="none"/>
        </w:rPr>
        <w:t>五、付款方式</w:t>
      </w:r>
      <w:bookmarkEnd w:id="150"/>
    </w:p>
    <w:p>
      <w:pPr>
        <w:spacing w:line="360" w:lineRule="auto"/>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本合同的付款方式为：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line="360" w:lineRule="auto"/>
        <w:outlineLvl w:val="1"/>
        <w:rPr>
          <w:b/>
          <w:bCs/>
          <w:color w:val="auto"/>
          <w:highlight w:val="none"/>
        </w:rPr>
      </w:pPr>
      <w:bookmarkStart w:id="151" w:name="_Toc29016"/>
      <w:r>
        <w:rPr>
          <w:rFonts w:hint="eastAsia"/>
          <w:b/>
          <w:bCs/>
          <w:color w:val="auto"/>
          <w:highlight w:val="none"/>
        </w:rPr>
        <w:t>六、知识产权归属</w:t>
      </w:r>
      <w:bookmarkEnd w:id="151"/>
    </w:p>
    <w:p>
      <w:pPr>
        <w:spacing w:line="360" w:lineRule="auto"/>
        <w:outlineLvl w:val="1"/>
        <w:rPr>
          <w:b/>
          <w:bCs/>
          <w:color w:val="auto"/>
          <w:highlight w:val="none"/>
        </w:rPr>
      </w:pPr>
      <w:bookmarkStart w:id="152" w:name="_Toc491"/>
      <w:r>
        <w:rPr>
          <w:rFonts w:hint="eastAsia"/>
          <w:b/>
          <w:bCs/>
          <w:color w:val="auto"/>
          <w:highlight w:val="none"/>
        </w:rPr>
        <w:t>七、保密</w:t>
      </w:r>
      <w:bookmarkEnd w:id="152"/>
    </w:p>
    <w:p>
      <w:pPr>
        <w:spacing w:line="360" w:lineRule="auto"/>
        <w:outlineLvl w:val="1"/>
        <w:rPr>
          <w:b/>
          <w:bCs/>
          <w:color w:val="auto"/>
          <w:highlight w:val="none"/>
        </w:rPr>
      </w:pPr>
      <w:bookmarkStart w:id="153" w:name="_Toc5642"/>
      <w:r>
        <w:rPr>
          <w:rFonts w:hint="eastAsia"/>
          <w:b/>
          <w:bCs/>
          <w:color w:val="auto"/>
          <w:highlight w:val="none"/>
        </w:rPr>
        <w:t>八、违约责任与赔偿损失</w:t>
      </w:r>
      <w:bookmarkEnd w:id="153"/>
    </w:p>
    <w:p>
      <w:pPr>
        <w:spacing w:line="360" w:lineRule="auto"/>
        <w:ind w:firstLine="420" w:firstLineChars="200"/>
        <w:rPr>
          <w:color w:val="auto"/>
          <w:highlight w:val="none"/>
        </w:rPr>
      </w:pPr>
      <w:r>
        <w:rPr>
          <w:rFonts w:hint="eastAsia"/>
          <w:color w:val="auto"/>
          <w:highlight w:val="none"/>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pPr>
        <w:spacing w:line="360" w:lineRule="auto"/>
        <w:ind w:firstLine="420" w:firstLineChars="200"/>
        <w:rPr>
          <w:color w:val="auto"/>
          <w:highlight w:val="none"/>
        </w:rPr>
      </w:pPr>
      <w:r>
        <w:rPr>
          <w:rFonts w:hint="eastAsia"/>
          <w:color w:val="auto"/>
          <w:highlight w:val="none"/>
        </w:rPr>
        <w:t>2.甲方无正当理由拒收接受服务，到期拒付服务款项的，甲方向乙方偿付本合同总的5%的违约金。甲方人逾期付款，则每日按本合同总价的3‰向乙方偿付违约金。</w:t>
      </w:r>
    </w:p>
    <w:p>
      <w:pPr>
        <w:spacing w:line="360" w:lineRule="auto"/>
        <w:ind w:firstLine="420" w:firstLineChars="200"/>
        <w:rPr>
          <w:color w:val="auto"/>
          <w:highlight w:val="none"/>
        </w:rPr>
      </w:pPr>
      <w:r>
        <w:rPr>
          <w:rFonts w:hint="eastAsia"/>
          <w:color w:val="auto"/>
          <w:highlight w:val="none"/>
        </w:rPr>
        <w:t>3.对于因甲方原因导致变更、中止或者终止政府采购合同的，甲方应当依照以下合同约定对供应商受到的损失予以赔偿或者补偿：</w:t>
      </w:r>
    </w:p>
    <w:p>
      <w:pPr>
        <w:spacing w:line="360" w:lineRule="auto"/>
        <w:ind w:firstLine="420" w:firstLineChars="200"/>
        <w:rPr>
          <w:color w:val="auto"/>
          <w:highlight w:val="none"/>
        </w:rPr>
      </w:pPr>
      <w:r>
        <w:rPr>
          <w:rFonts w:hint="eastAsia"/>
          <w:color w:val="auto"/>
          <w:highlight w:val="none"/>
        </w:rPr>
        <w:t>4.其它违约责任按《中华人民共和国民法典(合同编)》处理</w:t>
      </w:r>
    </w:p>
    <w:p>
      <w:pPr>
        <w:spacing w:line="360" w:lineRule="auto"/>
        <w:outlineLvl w:val="1"/>
        <w:rPr>
          <w:b/>
          <w:bCs/>
          <w:color w:val="auto"/>
          <w:highlight w:val="none"/>
        </w:rPr>
      </w:pPr>
      <w:bookmarkStart w:id="154" w:name="_Toc30679"/>
      <w:r>
        <w:rPr>
          <w:rFonts w:hint="eastAsia"/>
          <w:b/>
          <w:bCs/>
          <w:color w:val="auto"/>
          <w:highlight w:val="none"/>
        </w:rPr>
        <w:t>九、争议的解决</w:t>
      </w:r>
      <w:bookmarkEnd w:id="154"/>
    </w:p>
    <w:p>
      <w:pPr>
        <w:spacing w:line="360" w:lineRule="auto"/>
        <w:ind w:firstLine="420" w:firstLineChars="200"/>
        <w:rPr>
          <w:color w:val="auto"/>
          <w:highlight w:val="none"/>
        </w:rPr>
      </w:pPr>
      <w:r>
        <w:rPr>
          <w:rFonts w:hint="eastAsia"/>
          <w:color w:val="auto"/>
          <w:highlight w:val="none"/>
        </w:rPr>
        <w:t>合同执行过程中发生的任何争议，如双方不能通过友好协商解决，按相关法律法规处理。</w:t>
      </w:r>
    </w:p>
    <w:p>
      <w:pPr>
        <w:spacing w:line="360" w:lineRule="auto"/>
        <w:outlineLvl w:val="1"/>
        <w:rPr>
          <w:b/>
          <w:bCs/>
          <w:color w:val="auto"/>
          <w:highlight w:val="none"/>
        </w:rPr>
      </w:pPr>
      <w:bookmarkStart w:id="155" w:name="_Toc26856"/>
      <w:r>
        <w:rPr>
          <w:rFonts w:hint="eastAsia"/>
          <w:b/>
          <w:bCs/>
          <w:color w:val="auto"/>
          <w:highlight w:val="none"/>
        </w:rPr>
        <w:t>十、不可抗力</w:t>
      </w:r>
      <w:bookmarkEnd w:id="155"/>
    </w:p>
    <w:p>
      <w:pPr>
        <w:spacing w:line="360" w:lineRule="auto"/>
        <w:ind w:firstLine="420" w:firstLineChars="200"/>
        <w:rPr>
          <w:color w:val="auto"/>
          <w:highlight w:val="none"/>
        </w:rPr>
      </w:pPr>
      <w:r>
        <w:rPr>
          <w:rFonts w:hint="eastAsia"/>
          <w:color w:val="auto"/>
          <w:highlight w:val="none"/>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pPr>
        <w:spacing w:line="360" w:lineRule="auto"/>
        <w:outlineLvl w:val="1"/>
        <w:rPr>
          <w:b/>
          <w:bCs/>
          <w:color w:val="auto"/>
          <w:highlight w:val="none"/>
        </w:rPr>
      </w:pPr>
      <w:bookmarkStart w:id="156" w:name="_Toc16247"/>
      <w:r>
        <w:rPr>
          <w:rFonts w:hint="eastAsia"/>
          <w:b/>
          <w:bCs/>
          <w:color w:val="auto"/>
          <w:highlight w:val="none"/>
        </w:rPr>
        <w:t>十一、税费</w:t>
      </w:r>
      <w:bookmarkEnd w:id="156"/>
    </w:p>
    <w:p>
      <w:pPr>
        <w:spacing w:line="360" w:lineRule="auto"/>
        <w:ind w:firstLine="420" w:firstLineChars="200"/>
        <w:rPr>
          <w:color w:val="auto"/>
          <w:highlight w:val="none"/>
        </w:rPr>
      </w:pPr>
      <w:r>
        <w:rPr>
          <w:rFonts w:hint="eastAsia"/>
          <w:color w:val="auto"/>
          <w:highlight w:val="none"/>
        </w:rPr>
        <w:t>在中国境内、外发生的与本合同执行有关的一切税费均由乙方负担。</w:t>
      </w:r>
    </w:p>
    <w:p>
      <w:pPr>
        <w:spacing w:line="360" w:lineRule="auto"/>
        <w:outlineLvl w:val="1"/>
        <w:rPr>
          <w:b/>
          <w:bCs/>
          <w:color w:val="auto"/>
          <w:highlight w:val="none"/>
        </w:rPr>
      </w:pPr>
      <w:bookmarkStart w:id="157" w:name="_Toc14065"/>
      <w:r>
        <w:rPr>
          <w:rFonts w:hint="eastAsia"/>
          <w:b/>
          <w:bCs/>
          <w:color w:val="auto"/>
          <w:highlight w:val="none"/>
        </w:rPr>
        <w:t>十二、其它</w:t>
      </w:r>
      <w:bookmarkEnd w:id="157"/>
    </w:p>
    <w:p>
      <w:pPr>
        <w:spacing w:line="360" w:lineRule="auto"/>
        <w:ind w:firstLine="420" w:firstLineChars="200"/>
        <w:rPr>
          <w:color w:val="auto"/>
          <w:highlight w:val="none"/>
        </w:rPr>
      </w:pPr>
      <w:r>
        <w:rPr>
          <w:rFonts w:hint="eastAsia"/>
          <w:color w:val="auto"/>
          <w:highlight w:val="none"/>
        </w:rPr>
        <w:t>1.本合同所有附件、招标文件、投标文件、中标通知书均为合同的有效组成部分，与本合同具有同等法 律效力。</w:t>
      </w:r>
    </w:p>
    <w:p>
      <w:pPr>
        <w:spacing w:line="360" w:lineRule="auto"/>
        <w:ind w:firstLine="420" w:firstLineChars="200"/>
        <w:rPr>
          <w:color w:val="auto"/>
          <w:highlight w:val="none"/>
        </w:rPr>
      </w:pPr>
      <w:r>
        <w:rPr>
          <w:rFonts w:hint="eastAsia"/>
          <w:color w:val="auto"/>
          <w:highlight w:val="none"/>
        </w:rPr>
        <w:t>2.在执行本合同的过程中，所有经双方签署确认的文件（包括会议纪要、补充协议、往来信函）即成为 本合同的有效组成部分。</w:t>
      </w:r>
    </w:p>
    <w:p>
      <w:pPr>
        <w:spacing w:line="360" w:lineRule="auto"/>
        <w:ind w:firstLine="420" w:firstLineChars="200"/>
        <w:rPr>
          <w:color w:val="auto"/>
          <w:highlight w:val="none"/>
        </w:rPr>
      </w:pPr>
      <w:r>
        <w:rPr>
          <w:rFonts w:hint="eastAsia"/>
          <w:color w:val="auto"/>
          <w:highlight w:val="none"/>
        </w:rPr>
        <w:t>3.如一方地址、电话、传真号码有变更，应在变更当日内书面通知对方，否则，应承担相应责任。</w:t>
      </w:r>
    </w:p>
    <w:p>
      <w:pPr>
        <w:spacing w:line="360" w:lineRule="auto"/>
        <w:ind w:firstLine="420" w:firstLineChars="200"/>
        <w:rPr>
          <w:color w:val="auto"/>
          <w:highlight w:val="none"/>
        </w:rPr>
      </w:pPr>
      <w:r>
        <w:rPr>
          <w:rFonts w:hint="eastAsia"/>
          <w:color w:val="auto"/>
          <w:highlight w:val="none"/>
        </w:rPr>
        <w:t xml:space="preserve">4.除甲方事先书面同意外，乙方不得部分或全部转让其应履行的合同项下的义务。 </w:t>
      </w:r>
    </w:p>
    <w:p>
      <w:pPr>
        <w:spacing w:line="360" w:lineRule="auto"/>
        <w:outlineLvl w:val="1"/>
        <w:rPr>
          <w:b/>
          <w:bCs/>
          <w:color w:val="auto"/>
          <w:highlight w:val="none"/>
        </w:rPr>
      </w:pPr>
      <w:bookmarkStart w:id="158" w:name="_Toc13763"/>
      <w:r>
        <w:rPr>
          <w:rFonts w:hint="eastAsia"/>
          <w:b/>
          <w:bCs/>
          <w:color w:val="auto"/>
          <w:highlight w:val="none"/>
        </w:rPr>
        <w:t>十三、合同生效</w:t>
      </w:r>
      <w:bookmarkEnd w:id="158"/>
    </w:p>
    <w:p>
      <w:pPr>
        <w:spacing w:line="360" w:lineRule="auto"/>
        <w:ind w:firstLine="420" w:firstLineChars="200"/>
        <w:rPr>
          <w:color w:val="auto"/>
          <w:highlight w:val="none"/>
        </w:rPr>
      </w:pPr>
      <w:r>
        <w:rPr>
          <w:rFonts w:hint="eastAsia"/>
          <w:color w:val="auto"/>
          <w:highlight w:val="none"/>
        </w:rPr>
        <w:t>本合同在甲乙双方法人代表或其授权代表签字盖章后生效。</w:t>
      </w:r>
    </w:p>
    <w:p>
      <w:pPr>
        <w:spacing w:line="360" w:lineRule="auto"/>
        <w:ind w:firstLine="420" w:firstLineChars="200"/>
        <w:rPr>
          <w:color w:val="auto"/>
          <w:highlight w:val="none"/>
        </w:rPr>
      </w:pPr>
      <w:r>
        <w:rPr>
          <w:rFonts w:hint="eastAsia"/>
          <w:color w:val="auto"/>
          <w:highlight w:val="none"/>
        </w:rPr>
        <w:t>合同一式    份。</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rPr>
        <w:t xml:space="preserve">                                      乙方（盖章）： </w:t>
      </w:r>
    </w:p>
    <w:p>
      <w:pPr>
        <w:spacing w:line="360" w:lineRule="auto"/>
        <w:rPr>
          <w:color w:val="auto"/>
          <w:highlight w:val="none"/>
        </w:rPr>
      </w:pPr>
      <w:r>
        <w:rPr>
          <w:rFonts w:hint="eastAsia"/>
          <w:color w:val="auto"/>
          <w:highlight w:val="none"/>
        </w:rPr>
        <w:t>代表：</w:t>
      </w:r>
      <w:r>
        <w:rPr>
          <w:rFonts w:hint="eastAsia"/>
          <w:color w:val="auto"/>
          <w:highlight w:val="none"/>
        </w:rPr>
        <w:tab/>
      </w:r>
      <w:r>
        <w:rPr>
          <w:rFonts w:hint="eastAsia"/>
          <w:color w:val="auto"/>
          <w:highlight w:val="none"/>
        </w:rPr>
        <w:t xml:space="preserve">                                                  代表：</w:t>
      </w:r>
    </w:p>
    <w:p>
      <w:pPr>
        <w:spacing w:line="360" w:lineRule="auto"/>
        <w:rPr>
          <w:color w:val="auto"/>
          <w:highlight w:val="none"/>
        </w:rPr>
      </w:pPr>
    </w:p>
    <w:p>
      <w:pPr>
        <w:spacing w:line="360" w:lineRule="auto"/>
        <w:rPr>
          <w:color w:val="auto"/>
          <w:highlight w:val="none"/>
        </w:rPr>
      </w:pPr>
      <w:r>
        <w:rPr>
          <w:rFonts w:hint="eastAsia"/>
          <w:color w:val="auto"/>
          <w:highlight w:val="none"/>
        </w:rPr>
        <w:t>签定地点：</w:t>
      </w:r>
    </w:p>
    <w:p>
      <w:pPr>
        <w:spacing w:line="360" w:lineRule="auto"/>
        <w:rPr>
          <w:color w:val="auto"/>
          <w:highlight w:val="none"/>
        </w:rPr>
      </w:pPr>
      <w:r>
        <w:rPr>
          <w:rFonts w:hint="eastAsia"/>
          <w:color w:val="auto"/>
          <w:highlight w:val="none"/>
        </w:rPr>
        <w:t>签定日期：</w:t>
      </w:r>
    </w:p>
    <w:p>
      <w:pPr>
        <w:spacing w:line="360" w:lineRule="auto"/>
        <w:rPr>
          <w:color w:val="auto"/>
          <w:highlight w:val="none"/>
        </w:rPr>
      </w:pPr>
      <w:r>
        <w:rPr>
          <w:rFonts w:hint="eastAsia"/>
          <w:color w:val="auto"/>
          <w:highlight w:val="none"/>
        </w:rPr>
        <w:t>开户名称：</w:t>
      </w:r>
    </w:p>
    <w:p>
      <w:pPr>
        <w:spacing w:line="360" w:lineRule="auto"/>
        <w:rPr>
          <w:color w:val="auto"/>
          <w:highlight w:val="none"/>
        </w:rPr>
      </w:pPr>
      <w:r>
        <w:rPr>
          <w:rFonts w:hint="eastAsia"/>
          <w:color w:val="auto"/>
          <w:highlight w:val="none"/>
        </w:rPr>
        <w:t xml:space="preserve">银行帐号： </w:t>
      </w:r>
    </w:p>
    <w:p>
      <w:pPr>
        <w:spacing w:line="360" w:lineRule="auto"/>
        <w:rPr>
          <w:color w:val="auto"/>
          <w:highlight w:val="none"/>
        </w:rPr>
      </w:pPr>
      <w:r>
        <w:rPr>
          <w:rFonts w:hint="eastAsia"/>
          <w:color w:val="auto"/>
          <w:highlight w:val="none"/>
        </w:rPr>
        <w:t>开 户 行：</w:t>
      </w:r>
    </w:p>
    <w:p>
      <w:pPr>
        <w:rPr>
          <w:color w:val="auto"/>
          <w:highlight w:val="none"/>
        </w:rPr>
      </w:pPr>
      <w:r>
        <w:rPr>
          <w:rFonts w:hint="eastAsia"/>
          <w:color w:val="auto"/>
          <w:highlight w:val="none"/>
        </w:rPr>
        <w:br w:type="page"/>
      </w:r>
    </w:p>
    <w:p>
      <w:pPr>
        <w:pStyle w:val="3"/>
        <w:rPr>
          <w:color w:val="auto"/>
          <w:highlight w:val="none"/>
        </w:rPr>
      </w:pPr>
      <w:bookmarkStart w:id="159" w:name="_Toc17794"/>
      <w:r>
        <w:rPr>
          <w:rFonts w:hint="eastAsia"/>
          <w:color w:val="auto"/>
          <w:highlight w:val="none"/>
        </w:rPr>
        <w:t>第六篇 投标文件格式</w:t>
      </w:r>
      <w:bookmarkEnd w:id="159"/>
    </w:p>
    <w:p>
      <w:pPr>
        <w:rPr>
          <w:b/>
          <w:bCs/>
          <w:color w:val="auto"/>
          <w:highlight w:val="none"/>
        </w:rPr>
      </w:pPr>
      <w:r>
        <w:rPr>
          <w:rFonts w:hint="eastAsia"/>
          <w:b/>
          <w:bCs/>
          <w:color w:val="auto"/>
          <w:highlight w:val="none"/>
        </w:rPr>
        <w:t>注意事项：</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5.具有履行合同所必须的设备和专业技术能力的声明。</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pPr>
        <w:pStyle w:val="8"/>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pPr>
        <w:jc w:val="center"/>
        <w:outlineLvl w:val="1"/>
        <w:rPr>
          <w:b/>
          <w:bCs/>
          <w:color w:val="auto"/>
          <w:highlight w:val="none"/>
        </w:rPr>
      </w:pPr>
      <w:bookmarkStart w:id="160" w:name="_Toc32213"/>
      <w:r>
        <w:rPr>
          <w:rFonts w:hint="eastAsia"/>
          <w:b/>
          <w:bCs/>
          <w:color w:val="auto"/>
          <w:highlight w:val="none"/>
        </w:rPr>
        <w:t>（封面格式仅供参考）</w:t>
      </w:r>
      <w:bookmarkEnd w:id="160"/>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61" w:name="_Toc14748"/>
      <w:r>
        <w:rPr>
          <w:rFonts w:ascii="宋体" w:hAnsi="宋体" w:cs="宋体"/>
          <w:b/>
          <w:color w:val="auto"/>
          <w:spacing w:val="10"/>
          <w:kern w:val="0"/>
          <w:sz w:val="38"/>
          <w:szCs w:val="38"/>
          <w:highlight w:val="none"/>
          <w:lang w:val="zh-CN" w:bidi="zh-CN"/>
        </w:rPr>
        <w:t>投标文件封面</w:t>
      </w:r>
      <w:bookmarkEnd w:id="161"/>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2"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62"/>
    </w:p>
    <w:p>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pPr>
              <w:spacing w:line="360" w:lineRule="auto"/>
              <w:jc w:val="center"/>
              <w:rPr>
                <w:rFonts w:ascii="宋体" w:hAnsi="宋体" w:cs="宋体"/>
                <w:color w:val="auto"/>
                <w:szCs w:val="21"/>
                <w:highlight w:val="none"/>
              </w:rPr>
            </w:pPr>
          </w:p>
        </w:tc>
        <w:tc>
          <w:tcPr>
            <w:tcW w:w="1551" w:type="dxa"/>
            <w:vAlign w:val="center"/>
          </w:tcPr>
          <w:p>
            <w:pPr>
              <w:spacing w:line="360" w:lineRule="auto"/>
              <w:jc w:val="center"/>
              <w:rPr>
                <w:rFonts w:ascii="宋体" w:hAnsi="宋体" w:cs="宋体"/>
                <w:color w:val="auto"/>
                <w:szCs w:val="21"/>
                <w:highlight w:val="none"/>
              </w:rPr>
            </w:pPr>
          </w:p>
        </w:tc>
        <w:tc>
          <w:tcPr>
            <w:tcW w:w="3382" w:type="dxa"/>
            <w:vAlign w:val="center"/>
          </w:tcPr>
          <w:p>
            <w:pPr>
              <w:spacing w:line="360" w:lineRule="auto"/>
              <w:jc w:val="center"/>
              <w:rPr>
                <w:rFonts w:ascii="宋体" w:hAnsi="宋体" w:cs="宋体"/>
                <w:color w:val="auto"/>
                <w:szCs w:val="21"/>
                <w:highlight w:val="none"/>
              </w:rPr>
            </w:pPr>
          </w:p>
        </w:tc>
        <w:tc>
          <w:tcPr>
            <w:tcW w:w="2452" w:type="dxa"/>
            <w:vAlign w:val="center"/>
          </w:tcPr>
          <w:p>
            <w:pPr>
              <w:spacing w:line="360" w:lineRule="auto"/>
              <w:jc w:val="center"/>
              <w:rPr>
                <w:rFonts w:ascii="宋体" w:hAnsi="宋体" w:cs="宋体"/>
                <w:color w:val="auto"/>
                <w:szCs w:val="21"/>
                <w:highlight w:val="none"/>
              </w:rPr>
            </w:pPr>
          </w:p>
        </w:tc>
      </w:tr>
    </w:tbl>
    <w:p>
      <w:pPr>
        <w:rPr>
          <w:b/>
          <w:color w:val="auto"/>
          <w:sz w:val="24"/>
          <w:highlight w:val="none"/>
        </w:rPr>
      </w:pPr>
      <w:r>
        <w:rPr>
          <w:b/>
          <w:color w:val="auto"/>
          <w:sz w:val="24"/>
          <w:highlight w:val="none"/>
        </w:rPr>
        <w:br w:type="page"/>
      </w:r>
    </w:p>
    <w:p>
      <w:pPr>
        <w:spacing w:before="46"/>
        <w:ind w:left="3125" w:right="3192"/>
        <w:jc w:val="center"/>
        <w:rPr>
          <w:b/>
          <w:color w:val="auto"/>
          <w:sz w:val="24"/>
          <w:highlight w:val="none"/>
        </w:rPr>
      </w:pPr>
      <w:r>
        <w:rPr>
          <w:b/>
          <w:color w:val="auto"/>
          <w:sz w:val="24"/>
          <w:highlight w:val="none"/>
        </w:rPr>
        <w:t>投标文件目录</w:t>
      </w:r>
    </w:p>
    <w:p>
      <w:pPr>
        <w:pStyle w:val="8"/>
        <w:spacing w:before="8"/>
        <w:rPr>
          <w:b/>
          <w:color w:val="auto"/>
          <w:sz w:val="12"/>
          <w:highlight w:val="none"/>
        </w:rPr>
      </w:pPr>
    </w:p>
    <w:p>
      <w:pPr>
        <w:spacing w:line="360" w:lineRule="auto"/>
        <w:rPr>
          <w:color w:val="auto"/>
          <w:highlight w:val="none"/>
        </w:rPr>
      </w:pPr>
      <w:r>
        <w:rPr>
          <w:color w:val="auto"/>
          <w:highlight w:val="none"/>
        </w:rPr>
        <w:t>一、投标函</w:t>
      </w:r>
    </w:p>
    <w:p>
      <w:pPr>
        <w:spacing w:line="360" w:lineRule="auto"/>
        <w:rPr>
          <w:color w:val="auto"/>
          <w:highlight w:val="none"/>
        </w:rPr>
      </w:pPr>
      <w:r>
        <w:rPr>
          <w:color w:val="auto"/>
          <w:highlight w:val="none"/>
        </w:rPr>
        <w:t>二、开标一览表</w:t>
      </w:r>
    </w:p>
    <w:p>
      <w:pPr>
        <w:spacing w:line="360" w:lineRule="auto"/>
        <w:rPr>
          <w:color w:val="auto"/>
          <w:highlight w:val="none"/>
        </w:rPr>
      </w:pPr>
      <w:r>
        <w:rPr>
          <w:color w:val="auto"/>
          <w:highlight w:val="none"/>
        </w:rPr>
        <w:t>三、分项报价表</w:t>
      </w:r>
    </w:p>
    <w:p>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pPr>
        <w:spacing w:line="360" w:lineRule="auto"/>
        <w:rPr>
          <w:color w:val="auto"/>
          <w:highlight w:val="none"/>
        </w:rPr>
      </w:pPr>
      <w:r>
        <w:rPr>
          <w:color w:val="auto"/>
          <w:highlight w:val="none"/>
        </w:rPr>
        <w:t>五、</w:t>
      </w:r>
      <w:r>
        <w:rPr>
          <w:rFonts w:hint="eastAsia"/>
          <w:color w:val="auto"/>
          <w:highlight w:val="none"/>
        </w:rPr>
        <w:t>法定代表人授权书</w:t>
      </w:r>
    </w:p>
    <w:p>
      <w:pPr>
        <w:spacing w:line="360" w:lineRule="auto"/>
        <w:rPr>
          <w:color w:val="auto"/>
          <w:highlight w:val="none"/>
        </w:rPr>
      </w:pPr>
      <w:r>
        <w:rPr>
          <w:color w:val="auto"/>
          <w:highlight w:val="none"/>
        </w:rPr>
        <w:t>六、</w:t>
      </w:r>
      <w:r>
        <w:rPr>
          <w:rFonts w:hint="eastAsia"/>
          <w:color w:val="auto"/>
          <w:highlight w:val="none"/>
        </w:rPr>
        <w:t>投标保证金</w:t>
      </w:r>
    </w:p>
    <w:p>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pPr>
        <w:spacing w:line="360" w:lineRule="auto"/>
        <w:rPr>
          <w:color w:val="auto"/>
          <w:highlight w:val="none"/>
        </w:rPr>
      </w:pPr>
      <w:r>
        <w:rPr>
          <w:color w:val="auto"/>
          <w:highlight w:val="none"/>
        </w:rPr>
        <w:t>十、</w:t>
      </w:r>
      <w:r>
        <w:rPr>
          <w:rFonts w:hint="eastAsia"/>
          <w:color w:val="auto"/>
          <w:highlight w:val="none"/>
        </w:rPr>
        <w:t>投标人业绩情况表</w:t>
      </w:r>
    </w:p>
    <w:p>
      <w:pPr>
        <w:spacing w:line="360" w:lineRule="auto"/>
        <w:rPr>
          <w:color w:val="auto"/>
          <w:highlight w:val="none"/>
        </w:rPr>
      </w:pPr>
      <w:r>
        <w:rPr>
          <w:color w:val="auto"/>
          <w:highlight w:val="none"/>
        </w:rPr>
        <w:t>十一、</w:t>
      </w:r>
      <w:r>
        <w:rPr>
          <w:rFonts w:hint="eastAsia"/>
          <w:color w:val="auto"/>
          <w:highlight w:val="none"/>
        </w:rPr>
        <w:t>技术要求响应表</w:t>
      </w:r>
    </w:p>
    <w:p>
      <w:pPr>
        <w:spacing w:line="360" w:lineRule="auto"/>
        <w:rPr>
          <w:color w:val="auto"/>
          <w:highlight w:val="none"/>
        </w:rPr>
      </w:pPr>
      <w:r>
        <w:rPr>
          <w:color w:val="auto"/>
          <w:highlight w:val="none"/>
        </w:rPr>
        <w:t>十二、</w:t>
      </w:r>
      <w:r>
        <w:rPr>
          <w:rFonts w:hint="eastAsia"/>
          <w:color w:val="auto"/>
          <w:highlight w:val="none"/>
        </w:rPr>
        <w:t>商务要求响应表</w:t>
      </w:r>
    </w:p>
    <w:p>
      <w:pPr>
        <w:spacing w:line="360" w:lineRule="auto"/>
        <w:rPr>
          <w:color w:val="auto"/>
          <w:highlight w:val="none"/>
        </w:rPr>
      </w:pPr>
      <w:r>
        <w:rPr>
          <w:color w:val="auto"/>
          <w:highlight w:val="none"/>
        </w:rPr>
        <w:t>十三、</w:t>
      </w:r>
      <w:r>
        <w:rPr>
          <w:rFonts w:hint="eastAsia"/>
          <w:color w:val="auto"/>
          <w:highlight w:val="none"/>
        </w:rPr>
        <w:t>履约进度计划表</w:t>
      </w:r>
    </w:p>
    <w:p>
      <w:pPr>
        <w:spacing w:line="360" w:lineRule="auto"/>
        <w:rPr>
          <w:color w:val="auto"/>
          <w:highlight w:val="none"/>
        </w:rPr>
      </w:pPr>
      <w:r>
        <w:rPr>
          <w:color w:val="auto"/>
          <w:highlight w:val="none"/>
        </w:rPr>
        <w:t>十四、</w:t>
      </w:r>
      <w:r>
        <w:rPr>
          <w:rFonts w:hint="eastAsia"/>
          <w:color w:val="auto"/>
          <w:highlight w:val="none"/>
        </w:rPr>
        <w:t>各类证明材料</w:t>
      </w:r>
    </w:p>
    <w:p>
      <w:pPr>
        <w:spacing w:line="360" w:lineRule="auto"/>
        <w:rPr>
          <w:color w:val="auto"/>
          <w:highlight w:val="none"/>
        </w:rPr>
      </w:pPr>
      <w:r>
        <w:rPr>
          <w:color w:val="auto"/>
          <w:highlight w:val="none"/>
        </w:rPr>
        <w:t>十五、</w:t>
      </w:r>
      <w:r>
        <w:rPr>
          <w:rFonts w:hint="eastAsia"/>
          <w:color w:val="auto"/>
          <w:highlight w:val="none"/>
        </w:rPr>
        <w:t>采购代理服务费支付承诺书</w:t>
      </w:r>
    </w:p>
    <w:p>
      <w:pPr>
        <w:spacing w:line="360" w:lineRule="auto"/>
        <w:rPr>
          <w:color w:val="auto"/>
          <w:highlight w:val="none"/>
        </w:rPr>
      </w:pPr>
      <w:r>
        <w:rPr>
          <w:color w:val="auto"/>
          <w:highlight w:val="none"/>
        </w:rPr>
        <w:t>十六、</w:t>
      </w:r>
      <w:r>
        <w:rPr>
          <w:rFonts w:hint="eastAsia"/>
          <w:color w:val="auto"/>
          <w:highlight w:val="none"/>
        </w:rPr>
        <w:t>需要招标人提供的附加条件</w:t>
      </w:r>
    </w:p>
    <w:p>
      <w:pPr>
        <w:rPr>
          <w:b/>
          <w:bCs/>
          <w:color w:val="auto"/>
          <w:sz w:val="24"/>
          <w:szCs w:val="32"/>
          <w:highlight w:val="none"/>
        </w:rPr>
      </w:pPr>
      <w:r>
        <w:rPr>
          <w:b/>
          <w:bCs/>
          <w:color w:val="auto"/>
          <w:sz w:val="24"/>
          <w:szCs w:val="32"/>
          <w:highlight w:val="none"/>
        </w:rPr>
        <w:br w:type="page"/>
      </w:r>
    </w:p>
    <w:p>
      <w:pPr>
        <w:rPr>
          <w:b/>
          <w:bCs/>
          <w:color w:val="auto"/>
          <w:sz w:val="24"/>
          <w:szCs w:val="32"/>
          <w:highlight w:val="none"/>
        </w:rPr>
      </w:pPr>
      <w:r>
        <w:rPr>
          <w:b/>
          <w:bCs/>
          <w:color w:val="auto"/>
          <w:sz w:val="24"/>
          <w:szCs w:val="32"/>
          <w:highlight w:val="none"/>
        </w:rPr>
        <w:t>格式一：</w:t>
      </w:r>
    </w:p>
    <w:p>
      <w:pPr>
        <w:pStyle w:val="8"/>
        <w:jc w:val="center"/>
        <w:rPr>
          <w:b/>
          <w:color w:val="auto"/>
          <w:sz w:val="12"/>
          <w:highlight w:val="none"/>
        </w:rPr>
      </w:pPr>
      <w:r>
        <w:rPr>
          <w:b/>
          <w:color w:val="auto"/>
          <w:highlight w:val="none"/>
        </w:rPr>
        <w:t>投标函</w:t>
      </w:r>
    </w:p>
    <w:p>
      <w:pPr>
        <w:pStyle w:val="8"/>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pPr>
        <w:pStyle w:val="26"/>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pPr>
        <w:pStyle w:val="26"/>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pPr>
        <w:pStyle w:val="8"/>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6766"/>
        </w:tabs>
        <w:autoSpaceDE w:val="0"/>
        <w:autoSpaceDN w:val="0"/>
        <w:spacing w:before="0" w:line="360" w:lineRule="auto"/>
        <w:ind w:left="0" w:firstLine="420" w:firstLineChars="200"/>
        <w:jc w:val="right"/>
        <w:rPr>
          <w:color w:val="auto"/>
          <w:sz w:val="21"/>
          <w:szCs w:val="21"/>
          <w:highlight w:val="none"/>
        </w:rPr>
      </w:pPr>
    </w:p>
    <w:p>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pPr>
        <w:rPr>
          <w:color w:val="auto"/>
          <w:sz w:val="20"/>
          <w:szCs w:val="20"/>
          <w:highlight w:val="none"/>
        </w:rPr>
      </w:pPr>
      <w:r>
        <w:rPr>
          <w:color w:val="auto"/>
          <w:sz w:val="20"/>
          <w:szCs w:val="20"/>
          <w:highlight w:val="none"/>
        </w:rPr>
        <w:br w:type="page"/>
      </w:r>
    </w:p>
    <w:p>
      <w:pPr>
        <w:rPr>
          <w:b/>
          <w:bCs/>
          <w:color w:val="auto"/>
          <w:sz w:val="24"/>
          <w:szCs w:val="32"/>
          <w:highlight w:val="none"/>
        </w:rPr>
      </w:pPr>
      <w:r>
        <w:rPr>
          <w:rFonts w:hint="eastAsia"/>
          <w:b/>
          <w:bCs/>
          <w:color w:val="auto"/>
          <w:sz w:val="24"/>
          <w:szCs w:val="32"/>
          <w:highlight w:val="none"/>
        </w:rPr>
        <w:t>格式二：</w:t>
      </w:r>
    </w:p>
    <w:p>
      <w:pPr>
        <w:pStyle w:val="8"/>
        <w:rPr>
          <w:color w:val="auto"/>
          <w:highlight w:val="none"/>
          <w:lang w:val="en-US"/>
        </w:rPr>
      </w:pPr>
    </w:p>
    <w:p>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pPr>
        <w:spacing w:line="360" w:lineRule="auto"/>
        <w:rPr>
          <w:color w:val="auto"/>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投标人名称：</w:t>
      </w:r>
    </w:p>
    <w:p>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9"/>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8"/>
        <w:gridCol w:w="8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262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b/>
                <w:color w:val="auto"/>
                <w:szCs w:val="21"/>
                <w:highlight w:val="none"/>
                <w:lang w:val="en-US"/>
              </w:rPr>
            </w:pPr>
            <w:r>
              <w:rPr>
                <w:rFonts w:hint="eastAsia" w:ascii="宋体" w:hAnsi="宋体" w:cs="宋体"/>
                <w:b/>
                <w:color w:val="auto"/>
                <w:szCs w:val="21"/>
                <w:highlight w:val="none"/>
                <w:lang w:val="en-US" w:eastAsia="zh-CN"/>
              </w:rPr>
              <w:t>投标下浮率</w:t>
            </w:r>
          </w:p>
        </w:tc>
        <w:tc>
          <w:tcPr>
            <w:tcW w:w="5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lang w:val="zh-CN"/>
              </w:rPr>
            </w:pPr>
          </w:p>
        </w:tc>
        <w:tc>
          <w:tcPr>
            <w:tcW w:w="2627"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color w:val="auto"/>
                <w:lang w:val="en-US" w:eastAsia="zh-CN"/>
              </w:rPr>
            </w:pPr>
            <w:r>
              <w:rPr>
                <w:rFonts w:hint="eastAsia"/>
                <w:color w:val="auto"/>
                <w:lang w:val="en-US" w:eastAsia="zh-CN"/>
              </w:rPr>
              <w:t>大写：</w:t>
            </w:r>
          </w:p>
          <w:p>
            <w:pPr>
              <w:pStyle w:val="24"/>
              <w:ind w:left="0" w:leftChars="0" w:firstLine="0" w:firstLineChars="0"/>
              <w:rPr>
                <w:rFonts w:hint="default"/>
                <w:color w:val="auto"/>
                <w:lang w:val="en-US" w:eastAsia="zh-CN"/>
              </w:rPr>
            </w:pPr>
            <w:r>
              <w:rPr>
                <w:rFonts w:hint="eastAsia"/>
                <w:color w:val="auto"/>
                <w:highlight w:val="none"/>
                <w:lang w:val="en-US" w:eastAsia="zh-CN"/>
              </w:rPr>
              <w:t>小写：</w:t>
            </w:r>
          </w:p>
        </w:tc>
        <w:tc>
          <w:tcPr>
            <w:tcW w:w="51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szCs w:val="21"/>
                <w:highlight w:val="none"/>
              </w:rPr>
            </w:pPr>
          </w:p>
          <w:p>
            <w:pPr>
              <w:spacing w:line="360" w:lineRule="auto"/>
              <w:rPr>
                <w:rFonts w:ascii="宋体" w:hAnsi="宋体" w:cs="宋体"/>
                <w:color w:val="auto"/>
                <w:szCs w:val="21"/>
                <w:highlight w:val="none"/>
              </w:rPr>
            </w:pPr>
          </w:p>
        </w:tc>
      </w:tr>
    </w:tbl>
    <w:p>
      <w:pPr>
        <w:rPr>
          <w:rFonts w:hint="eastAsia" w:ascii="宋体" w:hAnsi="宋体"/>
          <w:color w:val="auto"/>
          <w:szCs w:val="21"/>
          <w:highlight w:val="none"/>
        </w:rPr>
      </w:pPr>
    </w:p>
    <w:p>
      <w:pPr>
        <w:pStyle w:val="8"/>
        <w:rPr>
          <w:rFonts w:hint="eastAsia" w:ascii="宋体" w:hAnsi="宋体"/>
          <w:color w:val="auto"/>
          <w:szCs w:val="21"/>
          <w:highlight w:val="none"/>
        </w:rPr>
      </w:pPr>
    </w:p>
    <w:p>
      <w:pPr>
        <w:rPr>
          <w:rFonts w:hint="eastAsia"/>
          <w:color w:val="auto"/>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pPr>
        <w:spacing w:line="360" w:lineRule="auto"/>
        <w:ind w:firstLine="359" w:firstLineChars="171"/>
        <w:rPr>
          <w:rFonts w:ascii="宋体" w:hAnsi="宋体"/>
          <w:color w:val="auto"/>
          <w:szCs w:val="21"/>
          <w:highlight w:val="none"/>
        </w:rPr>
      </w:pPr>
    </w:p>
    <w:p>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pPr>
        <w:pStyle w:val="26"/>
        <w:spacing w:line="360" w:lineRule="auto"/>
        <w:ind w:firstLine="0" w:firstLineChars="0"/>
        <w:rPr>
          <w:rFonts w:hint="eastAsia" w:ascii="宋体" w:hAnsi="宋体" w:cs="宋体"/>
          <w:color w:val="auto"/>
          <w:szCs w:val="21"/>
          <w:highlight w:val="none"/>
        </w:rPr>
      </w:pPr>
      <w:r>
        <w:rPr>
          <w:rFonts w:hint="eastAsia" w:ascii="宋体" w:hAnsi="宋体" w:cs="宋体"/>
          <w:color w:val="auto"/>
          <w:szCs w:val="21"/>
          <w:highlight w:val="none"/>
        </w:rPr>
        <w:t>1.投标</w:t>
      </w:r>
      <w:r>
        <w:rPr>
          <w:rFonts w:hint="eastAsia" w:ascii="宋体" w:hAnsi="宋体" w:cs="宋体"/>
          <w:color w:val="auto"/>
          <w:szCs w:val="21"/>
          <w:highlight w:val="none"/>
          <w:lang w:val="en-US" w:eastAsia="zh-CN"/>
        </w:rPr>
        <w:t>下浮率</w:t>
      </w:r>
      <w:r>
        <w:rPr>
          <w:rFonts w:hint="eastAsia" w:ascii="宋体" w:hAnsi="宋体" w:cs="宋体"/>
          <w:color w:val="auto"/>
          <w:szCs w:val="21"/>
          <w:highlight w:val="none"/>
        </w:rPr>
        <w:t>栏须用文字和数字两种方式表示的投标</w:t>
      </w:r>
      <w:r>
        <w:rPr>
          <w:rFonts w:hint="eastAsia" w:ascii="宋体" w:hAnsi="宋体" w:cs="宋体"/>
          <w:color w:val="auto"/>
          <w:szCs w:val="21"/>
          <w:highlight w:val="none"/>
          <w:lang w:val="en-US" w:eastAsia="zh-CN"/>
        </w:rPr>
        <w:t>下浮率</w:t>
      </w:r>
      <w:r>
        <w:rPr>
          <w:rFonts w:hint="eastAsia" w:ascii="宋体" w:hAnsi="宋体" w:cs="宋体"/>
          <w:color w:val="auto"/>
          <w:szCs w:val="21"/>
          <w:highlight w:val="none"/>
        </w:rPr>
        <w:t>。</w:t>
      </w:r>
    </w:p>
    <w:p>
      <w:pPr>
        <w:pStyle w:val="26"/>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pPr>
        <w:pStyle w:val="26"/>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pPr>
        <w:rPr>
          <w:rFonts w:ascii="宋体" w:hAnsi="宋体" w:cs="宋体"/>
          <w:color w:val="auto"/>
          <w:szCs w:val="21"/>
          <w:highlight w:val="none"/>
        </w:rPr>
      </w:pPr>
      <w:r>
        <w:rPr>
          <w:rFonts w:hint="eastAsia" w:ascii="宋体" w:hAnsi="宋体" w:cs="宋体"/>
          <w:color w:val="auto"/>
          <w:szCs w:val="21"/>
          <w:highlight w:val="none"/>
        </w:rPr>
        <w:br w:type="page"/>
      </w:r>
    </w:p>
    <w:p>
      <w:pPr>
        <w:rPr>
          <w:b/>
          <w:bCs/>
          <w:color w:val="auto"/>
          <w:sz w:val="24"/>
          <w:szCs w:val="32"/>
          <w:highlight w:val="none"/>
        </w:rPr>
      </w:pPr>
      <w:r>
        <w:rPr>
          <w:rFonts w:hint="eastAsia"/>
          <w:b/>
          <w:bCs/>
          <w:color w:val="auto"/>
          <w:sz w:val="24"/>
          <w:szCs w:val="32"/>
          <w:highlight w:val="none"/>
        </w:rPr>
        <w:t>格式三：</w:t>
      </w:r>
    </w:p>
    <w:p>
      <w:pPr>
        <w:jc w:val="center"/>
        <w:rPr>
          <w:b/>
          <w:bCs/>
          <w:color w:val="auto"/>
          <w:sz w:val="24"/>
          <w:szCs w:val="32"/>
          <w:highlight w:val="none"/>
        </w:rPr>
      </w:pPr>
      <w:r>
        <w:rPr>
          <w:rFonts w:hint="eastAsia"/>
          <w:b/>
          <w:bCs/>
          <w:color w:val="auto"/>
          <w:sz w:val="24"/>
          <w:szCs w:val="32"/>
          <w:highlight w:val="none"/>
        </w:rPr>
        <w:t>分项报价表</w:t>
      </w:r>
    </w:p>
    <w:p>
      <w:pPr>
        <w:pStyle w:val="12"/>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color w:val="auto"/>
                <w:szCs w:val="21"/>
                <w:highlight w:val="none"/>
              </w:rPr>
            </w:pPr>
          </w:p>
        </w:tc>
      </w:tr>
    </w:tbl>
    <w:p>
      <w:pPr>
        <w:spacing w:line="360" w:lineRule="auto"/>
        <w:jc w:val="center"/>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pPr>
        <w:spacing w:line="360" w:lineRule="auto"/>
        <w:ind w:firstLine="359" w:firstLineChars="171"/>
        <w:rPr>
          <w:rFonts w:ascii="宋体" w:hAnsi="宋体"/>
          <w:color w:val="auto"/>
          <w:szCs w:val="21"/>
          <w:highlight w:val="none"/>
        </w:rPr>
      </w:pPr>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pPr>
        <w:rPr>
          <w:color w:val="auto"/>
          <w:sz w:val="20"/>
          <w:szCs w:val="20"/>
          <w:highlight w:val="none"/>
        </w:rPr>
      </w:pPr>
      <w:r>
        <w:rPr>
          <w:color w:val="auto"/>
          <w:sz w:val="20"/>
          <w:szCs w:val="20"/>
          <w:highlight w:val="none"/>
        </w:rPr>
        <w:br w:type="page"/>
      </w:r>
    </w:p>
    <w:p>
      <w:pPr>
        <w:pStyle w:val="8"/>
        <w:rPr>
          <w:b/>
          <w:bCs/>
          <w:color w:val="auto"/>
          <w:highlight w:val="none"/>
          <w:lang w:val="en-US"/>
        </w:rPr>
      </w:pPr>
      <w:r>
        <w:rPr>
          <w:rFonts w:hint="eastAsia"/>
          <w:b/>
          <w:bCs/>
          <w:color w:val="auto"/>
          <w:highlight w:val="none"/>
          <w:lang w:val="en-US"/>
        </w:rPr>
        <w:t>格式四：</w:t>
      </w:r>
    </w:p>
    <w:p>
      <w:pPr>
        <w:pStyle w:val="2"/>
        <w:spacing w:line="360" w:lineRule="auto"/>
        <w:rPr>
          <w:color w:val="auto"/>
          <w:sz w:val="24"/>
          <w:highlight w:val="none"/>
        </w:rPr>
      </w:pPr>
      <w:bookmarkStart w:id="163" w:name="_Toc23039"/>
      <w:r>
        <w:rPr>
          <w:color w:val="auto"/>
          <w:sz w:val="24"/>
          <w:highlight w:val="none"/>
        </w:rPr>
        <w:t>法定代表人证明书</w:t>
      </w:r>
      <w:bookmarkEnd w:id="163"/>
    </w:p>
    <w:p>
      <w:pPr>
        <w:pStyle w:val="8"/>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pPr>
        <w:pStyle w:val="8"/>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pPr>
        <w:pStyle w:val="8"/>
        <w:tabs>
          <w:tab w:val="left" w:pos="3693"/>
        </w:tabs>
        <w:spacing w:line="242" w:lineRule="exact"/>
        <w:ind w:right="104"/>
        <w:jc w:val="right"/>
        <w:rPr>
          <w:color w:val="auto"/>
          <w:sz w:val="21"/>
          <w:szCs w:val="21"/>
          <w:highlight w:val="none"/>
        </w:rPr>
      </w:pPr>
    </w:p>
    <w:p>
      <w:pPr>
        <w:pStyle w:val="8"/>
        <w:tabs>
          <w:tab w:val="left" w:pos="3693"/>
        </w:tabs>
        <w:spacing w:line="242" w:lineRule="exact"/>
        <w:ind w:right="104"/>
        <w:jc w:val="right"/>
        <w:rPr>
          <w:color w:val="auto"/>
          <w:sz w:val="21"/>
          <w:szCs w:val="21"/>
          <w:highlight w:val="none"/>
        </w:rPr>
      </w:pPr>
    </w:p>
    <w:p>
      <w:pPr>
        <w:pStyle w:val="8"/>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8"/>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pPr>
        <w:pStyle w:val="8"/>
        <w:rPr>
          <w:color w:val="auto"/>
          <w:highlight w:val="none"/>
          <w:lang w:val="en-US"/>
        </w:rPr>
      </w:pPr>
    </w:p>
    <w:p>
      <w:pPr>
        <w:rPr>
          <w:color w:val="auto"/>
          <w:highlight w:val="none"/>
        </w:rPr>
      </w:pPr>
    </w:p>
    <w:p>
      <w:pPr>
        <w:pStyle w:val="8"/>
        <w:rPr>
          <w:color w:val="auto"/>
          <w:highlight w:val="none"/>
          <w:lang w:val="en-US"/>
        </w:rPr>
      </w:pPr>
    </w:p>
    <w:p>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9"/>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99" w:hRule="atLeast"/>
          <w:jc w:val="center"/>
        </w:trPr>
        <w:tc>
          <w:tcPr>
            <w:tcW w:w="2500" w:type="pct"/>
            <w:vAlign w:val="center"/>
          </w:tcPr>
          <w:p>
            <w:pPr>
              <w:pStyle w:val="29"/>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9"/>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rPr>
          <w:color w:val="auto"/>
          <w:highlight w:val="none"/>
        </w:rPr>
      </w:pPr>
      <w:r>
        <w:rPr>
          <w:rFonts w:hint="eastAsia"/>
          <w:color w:val="auto"/>
          <w:highlight w:val="none"/>
        </w:rPr>
        <w:br w:type="page"/>
      </w:r>
    </w:p>
    <w:p>
      <w:pPr>
        <w:pStyle w:val="8"/>
        <w:rPr>
          <w:b/>
          <w:bCs/>
          <w:color w:val="auto"/>
          <w:highlight w:val="none"/>
          <w:lang w:val="en-US"/>
        </w:rPr>
      </w:pPr>
      <w:r>
        <w:rPr>
          <w:rFonts w:hint="eastAsia"/>
          <w:b/>
          <w:bCs/>
          <w:color w:val="auto"/>
          <w:highlight w:val="none"/>
          <w:lang w:val="en-US"/>
        </w:rPr>
        <w:t>格式五：</w:t>
      </w:r>
    </w:p>
    <w:p>
      <w:pPr>
        <w:jc w:val="center"/>
        <w:rPr>
          <w:b/>
          <w:bCs/>
          <w:color w:val="auto"/>
          <w:sz w:val="24"/>
          <w:szCs w:val="32"/>
          <w:highlight w:val="none"/>
        </w:rPr>
      </w:pPr>
      <w:r>
        <w:rPr>
          <w:b/>
          <w:bCs/>
          <w:color w:val="auto"/>
          <w:sz w:val="24"/>
          <w:szCs w:val="32"/>
          <w:highlight w:val="none"/>
        </w:rPr>
        <w:t>法定代表人授权书</w:t>
      </w:r>
    </w:p>
    <w:p>
      <w:pPr>
        <w:pStyle w:val="8"/>
        <w:spacing w:before="0" w:line="360" w:lineRule="auto"/>
        <w:ind w:left="0"/>
        <w:rPr>
          <w:color w:val="auto"/>
          <w:sz w:val="21"/>
          <w:szCs w:val="21"/>
          <w:highlight w:val="none"/>
        </w:rPr>
      </w:pPr>
      <w:r>
        <w:rPr>
          <w:rFonts w:hint="eastAsia"/>
          <w:color w:val="auto"/>
          <w:sz w:val="21"/>
          <w:szCs w:val="21"/>
          <w:highlight w:val="none"/>
        </w:rPr>
        <w:t>致：国顺招标有限公司</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pPr>
        <w:pStyle w:val="8"/>
        <w:tabs>
          <w:tab w:val="left" w:pos="10713"/>
        </w:tabs>
        <w:spacing w:before="0" w:line="360" w:lineRule="auto"/>
        <w:ind w:left="0"/>
        <w:jc w:val="right"/>
        <w:rPr>
          <w:color w:val="auto"/>
          <w:sz w:val="21"/>
          <w:szCs w:val="21"/>
          <w:highlight w:val="none"/>
        </w:rPr>
      </w:pPr>
    </w:p>
    <w:p>
      <w:pPr>
        <w:pStyle w:val="8"/>
        <w:tabs>
          <w:tab w:val="left" w:pos="10713"/>
        </w:tabs>
        <w:spacing w:before="0" w:line="360" w:lineRule="auto"/>
        <w:ind w:left="0"/>
        <w:jc w:val="right"/>
        <w:rPr>
          <w:color w:val="auto"/>
          <w:sz w:val="21"/>
          <w:szCs w:val="21"/>
          <w:highlight w:val="none"/>
        </w:rPr>
      </w:pP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pPr>
        <w:pStyle w:val="8"/>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pPr>
        <w:pStyle w:val="8"/>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pPr>
        <w:pStyle w:val="8"/>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pPr>
        <w:pStyle w:val="8"/>
        <w:tabs>
          <w:tab w:val="left" w:pos="2349"/>
        </w:tabs>
        <w:spacing w:before="0" w:line="480" w:lineRule="auto"/>
        <w:ind w:left="0"/>
        <w:rPr>
          <w:color w:val="auto"/>
          <w:sz w:val="21"/>
          <w:szCs w:val="21"/>
          <w:highlight w:val="none"/>
          <w:lang w:val="en-US"/>
        </w:rPr>
      </w:pPr>
    </w:p>
    <w:p>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9"/>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pPr>
              <w:pStyle w:val="29"/>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pPr>
              <w:pStyle w:val="29"/>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pPr>
        <w:pStyle w:val="8"/>
        <w:tabs>
          <w:tab w:val="left" w:pos="2349"/>
        </w:tabs>
        <w:spacing w:before="0" w:line="480" w:lineRule="auto"/>
        <w:ind w:left="0"/>
        <w:rPr>
          <w:color w:val="auto"/>
          <w:sz w:val="20"/>
          <w:szCs w:val="20"/>
          <w:highlight w:val="none"/>
          <w:lang w:val="en-US"/>
        </w:rPr>
      </w:pPr>
    </w:p>
    <w:p>
      <w:pPr>
        <w:rPr>
          <w:b/>
          <w:bCs/>
          <w:color w:val="auto"/>
          <w:sz w:val="24"/>
          <w:highlight w:val="none"/>
        </w:rPr>
      </w:pPr>
      <w:r>
        <w:rPr>
          <w:rFonts w:hint="eastAsia"/>
          <w:b/>
          <w:bCs/>
          <w:color w:val="auto"/>
          <w:sz w:val="24"/>
          <w:highlight w:val="none"/>
        </w:rPr>
        <w:br w:type="page"/>
      </w:r>
    </w:p>
    <w:p>
      <w:pPr>
        <w:rPr>
          <w:b/>
          <w:bCs/>
          <w:color w:val="auto"/>
          <w:sz w:val="24"/>
          <w:highlight w:val="none"/>
        </w:rPr>
      </w:pPr>
      <w:r>
        <w:rPr>
          <w:rFonts w:hint="eastAsia"/>
          <w:b/>
          <w:bCs/>
          <w:color w:val="auto"/>
          <w:sz w:val="24"/>
          <w:highlight w:val="none"/>
        </w:rPr>
        <w:t>格式六：</w:t>
      </w:r>
    </w:p>
    <w:p>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pPr>
        <w:jc w:val="center"/>
        <w:rPr>
          <w:b/>
          <w:bCs/>
          <w:color w:val="auto"/>
          <w:sz w:val="24"/>
          <w:highlight w:val="none"/>
        </w:rPr>
      </w:pPr>
      <w:r>
        <w:rPr>
          <w:rFonts w:hint="eastAsia"/>
          <w:b/>
          <w:bCs/>
          <w:color w:val="auto"/>
          <w:sz w:val="24"/>
          <w:highlight w:val="none"/>
        </w:rPr>
        <w:t>投标保证金</w:t>
      </w:r>
    </w:p>
    <w:p>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9"/>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pPr>
        <w:rPr>
          <w:color w:val="auto"/>
          <w:highlight w:val="none"/>
        </w:rPr>
      </w:pPr>
      <w:r>
        <w:rPr>
          <w:rFonts w:hint="eastAsia"/>
          <w:color w:val="auto"/>
          <w:highlight w:val="none"/>
        </w:rPr>
        <w:br w:type="page"/>
      </w:r>
    </w:p>
    <w:p>
      <w:pPr>
        <w:rPr>
          <w:b/>
          <w:bCs/>
          <w:color w:val="auto"/>
          <w:sz w:val="24"/>
          <w:szCs w:val="32"/>
          <w:highlight w:val="none"/>
        </w:rPr>
      </w:pPr>
      <w:r>
        <w:rPr>
          <w:rFonts w:hint="eastAsia"/>
          <w:b/>
          <w:bCs/>
          <w:color w:val="auto"/>
          <w:sz w:val="24"/>
          <w:szCs w:val="32"/>
          <w:highlight w:val="none"/>
        </w:rPr>
        <w:t>格式七：</w:t>
      </w:r>
    </w:p>
    <w:p>
      <w:pPr>
        <w:pStyle w:val="8"/>
        <w:jc w:val="center"/>
        <w:rPr>
          <w:b/>
          <w:bCs/>
          <w:color w:val="auto"/>
          <w:highlight w:val="none"/>
          <w:lang w:val="en-US"/>
        </w:rPr>
      </w:pPr>
      <w:r>
        <w:rPr>
          <w:b/>
          <w:bCs/>
          <w:color w:val="auto"/>
          <w:highlight w:val="none"/>
          <w:lang w:val="en-US"/>
        </w:rPr>
        <w:t>提供具有独立承担民事责任的能力的证明材料</w:t>
      </w:r>
    </w:p>
    <w:p>
      <w:pPr>
        <w:ind w:firstLine="420" w:firstLineChars="200"/>
        <w:rPr>
          <w:color w:val="auto"/>
          <w:highlight w:val="none"/>
        </w:rPr>
      </w:pPr>
    </w:p>
    <w:p>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pPr>
        <w:rPr>
          <w:b/>
          <w:bCs/>
          <w:color w:val="auto"/>
          <w:highlight w:val="none"/>
        </w:rPr>
      </w:pPr>
      <w:r>
        <w:rPr>
          <w:b/>
          <w:bCs/>
          <w:color w:val="auto"/>
          <w:highlight w:val="none"/>
        </w:rPr>
        <w:br w:type="page"/>
      </w:r>
    </w:p>
    <w:p>
      <w:pPr>
        <w:rPr>
          <w:b/>
          <w:bCs/>
          <w:color w:val="auto"/>
          <w:sz w:val="24"/>
          <w:szCs w:val="32"/>
          <w:highlight w:val="none"/>
        </w:rPr>
      </w:pPr>
      <w:r>
        <w:rPr>
          <w:rFonts w:hint="eastAsia"/>
          <w:b/>
          <w:bCs/>
          <w:color w:val="auto"/>
          <w:sz w:val="24"/>
          <w:szCs w:val="32"/>
          <w:highlight w:val="none"/>
        </w:rPr>
        <w:t>格式八：</w:t>
      </w:r>
    </w:p>
    <w:p>
      <w:pPr>
        <w:pStyle w:val="8"/>
        <w:jc w:val="center"/>
        <w:rPr>
          <w:b/>
          <w:color w:val="auto"/>
          <w:highlight w:val="none"/>
        </w:rPr>
      </w:pPr>
      <w:r>
        <w:rPr>
          <w:b/>
          <w:color w:val="auto"/>
          <w:highlight w:val="none"/>
        </w:rPr>
        <w:t>资格性审查要求的其他资质证明文件</w:t>
      </w:r>
    </w:p>
    <w:p>
      <w:pPr>
        <w:widowControl/>
        <w:spacing w:line="360" w:lineRule="auto"/>
        <w:rPr>
          <w:rFonts w:ascii="宋体" w:hAnsi="宋体"/>
          <w:color w:val="auto"/>
          <w:szCs w:val="21"/>
          <w:highlight w:val="none"/>
        </w:rPr>
      </w:pPr>
    </w:p>
    <w:p>
      <w:pPr>
        <w:rPr>
          <w:color w:val="auto"/>
          <w:sz w:val="20"/>
          <w:highlight w:val="none"/>
        </w:rPr>
      </w:pPr>
      <w:r>
        <w:rPr>
          <w:rFonts w:hint="eastAsia"/>
          <w:color w:val="auto"/>
          <w:sz w:val="20"/>
          <w:highlight w:val="none"/>
        </w:rPr>
        <w:br w:type="page"/>
      </w:r>
    </w:p>
    <w:p>
      <w:pPr>
        <w:pStyle w:val="8"/>
        <w:rPr>
          <w:color w:val="auto"/>
          <w:highlight w:val="none"/>
        </w:rPr>
      </w:pPr>
      <w:r>
        <w:rPr>
          <w:rFonts w:hint="eastAsia"/>
          <w:b/>
          <w:bCs/>
          <w:color w:val="auto"/>
          <w:highlight w:val="none"/>
        </w:rPr>
        <w:t>格式九：</w:t>
      </w:r>
    </w:p>
    <w:p>
      <w:pPr>
        <w:rPr>
          <w:color w:val="auto"/>
          <w:highlight w:val="none"/>
        </w:rPr>
      </w:pPr>
    </w:p>
    <w:p>
      <w:pPr>
        <w:jc w:val="center"/>
        <w:rPr>
          <w:b/>
          <w:bCs/>
          <w:color w:val="auto"/>
          <w:sz w:val="24"/>
          <w:szCs w:val="32"/>
          <w:highlight w:val="none"/>
        </w:rPr>
      </w:pPr>
      <w:r>
        <w:rPr>
          <w:rFonts w:hint="eastAsia"/>
          <w:b/>
          <w:bCs/>
          <w:color w:val="auto"/>
          <w:sz w:val="24"/>
          <w:szCs w:val="32"/>
          <w:highlight w:val="none"/>
        </w:rPr>
        <w:t>在经营活动中没有重大违法记录的书面声明</w:t>
      </w:r>
    </w:p>
    <w:p>
      <w:pPr>
        <w:rPr>
          <w:color w:val="auto"/>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pPr>
        <w:rPr>
          <w:color w:val="auto"/>
          <w:highlight w:val="none"/>
        </w:rPr>
      </w:pPr>
      <w:r>
        <w:rPr>
          <w:color w:val="auto"/>
          <w:highlight w:val="none"/>
        </w:rPr>
        <w:br w:type="page"/>
      </w:r>
    </w:p>
    <w:p>
      <w:pPr>
        <w:rPr>
          <w:b/>
          <w:bCs/>
          <w:color w:val="auto"/>
          <w:sz w:val="24"/>
          <w:szCs w:val="32"/>
          <w:highlight w:val="none"/>
        </w:rPr>
      </w:pPr>
      <w:r>
        <w:rPr>
          <w:rFonts w:hint="eastAsia"/>
          <w:b/>
          <w:bCs/>
          <w:color w:val="auto"/>
          <w:sz w:val="24"/>
          <w:szCs w:val="32"/>
          <w:highlight w:val="none"/>
        </w:rPr>
        <w:t>格式十：</w:t>
      </w:r>
    </w:p>
    <w:p>
      <w:pPr>
        <w:pStyle w:val="8"/>
        <w:jc w:val="center"/>
        <w:rPr>
          <w:b/>
          <w:bCs/>
          <w:color w:val="auto"/>
          <w:highlight w:val="none"/>
          <w:lang w:val="en-US"/>
        </w:rPr>
      </w:pPr>
      <w:r>
        <w:rPr>
          <w:b/>
          <w:bCs/>
          <w:color w:val="auto"/>
          <w:highlight w:val="none"/>
          <w:lang w:val="en-US"/>
        </w:rPr>
        <w:t>投标人业绩情况表</w:t>
      </w:r>
    </w:p>
    <w:p>
      <w:pPr>
        <w:pStyle w:val="8"/>
        <w:spacing w:before="2" w:after="1"/>
        <w:rPr>
          <w:b/>
          <w:color w:val="auto"/>
          <w:sz w:val="17"/>
          <w:highlight w:val="none"/>
        </w:rPr>
      </w:pPr>
    </w:p>
    <w:tbl>
      <w:tblPr>
        <w:tblStyle w:val="19"/>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pPr>
              <w:pStyle w:val="28"/>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pPr>
              <w:pStyle w:val="28"/>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pPr>
              <w:pStyle w:val="28"/>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pPr>
              <w:pStyle w:val="28"/>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pPr>
              <w:pStyle w:val="28"/>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pPr>
              <w:pStyle w:val="28"/>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8"/>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pPr>
              <w:pStyle w:val="28"/>
              <w:spacing w:line="360" w:lineRule="auto"/>
              <w:rPr>
                <w:rFonts w:ascii="宋体" w:hAnsi="宋体" w:cs="宋体"/>
                <w:color w:val="auto"/>
                <w:szCs w:val="21"/>
                <w:highlight w:val="none"/>
              </w:rPr>
            </w:pPr>
          </w:p>
        </w:tc>
        <w:tc>
          <w:tcPr>
            <w:tcW w:w="1553" w:type="pct"/>
            <w:shd w:val="clear" w:color="auto" w:fill="FFFFFF" w:themeFill="background1"/>
          </w:tcPr>
          <w:p>
            <w:pPr>
              <w:pStyle w:val="28"/>
              <w:spacing w:line="360" w:lineRule="auto"/>
              <w:rPr>
                <w:rFonts w:ascii="宋体" w:hAnsi="宋体" w:cs="宋体"/>
                <w:color w:val="auto"/>
                <w:szCs w:val="21"/>
                <w:highlight w:val="none"/>
              </w:rPr>
            </w:pPr>
          </w:p>
        </w:tc>
        <w:tc>
          <w:tcPr>
            <w:tcW w:w="779" w:type="pct"/>
            <w:shd w:val="clear" w:color="auto" w:fill="FFFFFF" w:themeFill="background1"/>
          </w:tcPr>
          <w:p>
            <w:pPr>
              <w:pStyle w:val="28"/>
              <w:spacing w:line="360" w:lineRule="auto"/>
              <w:rPr>
                <w:rFonts w:ascii="宋体" w:hAnsi="宋体" w:cs="宋体"/>
                <w:color w:val="auto"/>
                <w:szCs w:val="21"/>
                <w:highlight w:val="none"/>
              </w:rPr>
            </w:pPr>
          </w:p>
        </w:tc>
        <w:tc>
          <w:tcPr>
            <w:tcW w:w="1001" w:type="pct"/>
            <w:shd w:val="clear" w:color="auto" w:fill="FFFFFF" w:themeFill="background1"/>
          </w:tcPr>
          <w:p>
            <w:pPr>
              <w:pStyle w:val="28"/>
              <w:spacing w:line="360" w:lineRule="auto"/>
              <w:rPr>
                <w:rFonts w:ascii="宋体" w:hAnsi="宋体" w:cs="宋体"/>
                <w:color w:val="auto"/>
                <w:szCs w:val="21"/>
                <w:highlight w:val="none"/>
              </w:rPr>
            </w:pPr>
          </w:p>
        </w:tc>
        <w:tc>
          <w:tcPr>
            <w:tcW w:w="785" w:type="pct"/>
            <w:shd w:val="clear" w:color="auto" w:fill="FFFFFF" w:themeFill="background1"/>
          </w:tcPr>
          <w:p>
            <w:pPr>
              <w:pStyle w:val="28"/>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8"/>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pPr>
              <w:pStyle w:val="28"/>
              <w:spacing w:line="360" w:lineRule="auto"/>
              <w:rPr>
                <w:rFonts w:ascii="宋体" w:hAnsi="宋体" w:cs="宋体"/>
                <w:color w:val="auto"/>
                <w:szCs w:val="21"/>
                <w:highlight w:val="none"/>
              </w:rPr>
            </w:pPr>
          </w:p>
        </w:tc>
        <w:tc>
          <w:tcPr>
            <w:tcW w:w="1553" w:type="pct"/>
            <w:shd w:val="clear" w:color="auto" w:fill="FFFFFF" w:themeFill="background1"/>
          </w:tcPr>
          <w:p>
            <w:pPr>
              <w:pStyle w:val="28"/>
              <w:spacing w:line="360" w:lineRule="auto"/>
              <w:rPr>
                <w:rFonts w:ascii="宋体" w:hAnsi="宋体" w:cs="宋体"/>
                <w:color w:val="auto"/>
                <w:szCs w:val="21"/>
                <w:highlight w:val="none"/>
              </w:rPr>
            </w:pPr>
          </w:p>
        </w:tc>
        <w:tc>
          <w:tcPr>
            <w:tcW w:w="779" w:type="pct"/>
            <w:shd w:val="clear" w:color="auto" w:fill="FFFFFF" w:themeFill="background1"/>
          </w:tcPr>
          <w:p>
            <w:pPr>
              <w:pStyle w:val="28"/>
              <w:spacing w:line="360" w:lineRule="auto"/>
              <w:rPr>
                <w:rFonts w:ascii="宋体" w:hAnsi="宋体" w:cs="宋体"/>
                <w:color w:val="auto"/>
                <w:szCs w:val="21"/>
                <w:highlight w:val="none"/>
              </w:rPr>
            </w:pPr>
          </w:p>
        </w:tc>
        <w:tc>
          <w:tcPr>
            <w:tcW w:w="1001" w:type="pct"/>
            <w:shd w:val="clear" w:color="auto" w:fill="FFFFFF" w:themeFill="background1"/>
          </w:tcPr>
          <w:p>
            <w:pPr>
              <w:pStyle w:val="28"/>
              <w:spacing w:line="360" w:lineRule="auto"/>
              <w:rPr>
                <w:rFonts w:ascii="宋体" w:hAnsi="宋体" w:cs="宋体"/>
                <w:color w:val="auto"/>
                <w:szCs w:val="21"/>
                <w:highlight w:val="none"/>
              </w:rPr>
            </w:pPr>
          </w:p>
        </w:tc>
        <w:tc>
          <w:tcPr>
            <w:tcW w:w="785" w:type="pct"/>
            <w:shd w:val="clear" w:color="auto" w:fill="FFFFFF" w:themeFill="background1"/>
          </w:tcPr>
          <w:p>
            <w:pPr>
              <w:pStyle w:val="28"/>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pPr>
              <w:pStyle w:val="28"/>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pPr>
              <w:pStyle w:val="28"/>
              <w:spacing w:line="360" w:lineRule="auto"/>
              <w:rPr>
                <w:rFonts w:ascii="宋体" w:hAnsi="宋体" w:cs="宋体"/>
                <w:color w:val="auto"/>
                <w:szCs w:val="21"/>
                <w:highlight w:val="none"/>
              </w:rPr>
            </w:pPr>
          </w:p>
        </w:tc>
        <w:tc>
          <w:tcPr>
            <w:tcW w:w="1553" w:type="pct"/>
            <w:shd w:val="clear" w:color="auto" w:fill="FFFFFF" w:themeFill="background1"/>
          </w:tcPr>
          <w:p>
            <w:pPr>
              <w:pStyle w:val="28"/>
              <w:spacing w:line="360" w:lineRule="auto"/>
              <w:rPr>
                <w:rFonts w:ascii="宋体" w:hAnsi="宋体" w:cs="宋体"/>
                <w:color w:val="auto"/>
                <w:szCs w:val="21"/>
                <w:highlight w:val="none"/>
              </w:rPr>
            </w:pPr>
          </w:p>
        </w:tc>
        <w:tc>
          <w:tcPr>
            <w:tcW w:w="779" w:type="pct"/>
            <w:shd w:val="clear" w:color="auto" w:fill="FFFFFF" w:themeFill="background1"/>
          </w:tcPr>
          <w:p>
            <w:pPr>
              <w:pStyle w:val="28"/>
              <w:spacing w:line="360" w:lineRule="auto"/>
              <w:rPr>
                <w:rFonts w:ascii="宋体" w:hAnsi="宋体" w:cs="宋体"/>
                <w:color w:val="auto"/>
                <w:szCs w:val="21"/>
                <w:highlight w:val="none"/>
              </w:rPr>
            </w:pPr>
          </w:p>
        </w:tc>
        <w:tc>
          <w:tcPr>
            <w:tcW w:w="1001" w:type="pct"/>
            <w:shd w:val="clear" w:color="auto" w:fill="FFFFFF" w:themeFill="background1"/>
          </w:tcPr>
          <w:p>
            <w:pPr>
              <w:pStyle w:val="28"/>
              <w:spacing w:line="360" w:lineRule="auto"/>
              <w:rPr>
                <w:rFonts w:ascii="宋体" w:hAnsi="宋体" w:cs="宋体"/>
                <w:color w:val="auto"/>
                <w:szCs w:val="21"/>
                <w:highlight w:val="none"/>
              </w:rPr>
            </w:pPr>
          </w:p>
        </w:tc>
        <w:tc>
          <w:tcPr>
            <w:tcW w:w="785" w:type="pct"/>
            <w:shd w:val="clear" w:color="auto" w:fill="FFFFFF" w:themeFill="background1"/>
          </w:tcPr>
          <w:p>
            <w:pPr>
              <w:pStyle w:val="28"/>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8"/>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pPr>
              <w:pStyle w:val="28"/>
              <w:spacing w:line="360" w:lineRule="auto"/>
              <w:rPr>
                <w:rFonts w:ascii="宋体" w:hAnsi="宋体" w:cs="宋体"/>
                <w:color w:val="auto"/>
                <w:szCs w:val="21"/>
                <w:highlight w:val="none"/>
              </w:rPr>
            </w:pPr>
          </w:p>
        </w:tc>
        <w:tc>
          <w:tcPr>
            <w:tcW w:w="1553" w:type="pct"/>
          </w:tcPr>
          <w:p>
            <w:pPr>
              <w:pStyle w:val="28"/>
              <w:spacing w:line="360" w:lineRule="auto"/>
              <w:rPr>
                <w:rFonts w:ascii="宋体" w:hAnsi="宋体" w:cs="宋体"/>
                <w:color w:val="auto"/>
                <w:szCs w:val="21"/>
                <w:highlight w:val="none"/>
              </w:rPr>
            </w:pPr>
          </w:p>
        </w:tc>
        <w:tc>
          <w:tcPr>
            <w:tcW w:w="779" w:type="pct"/>
          </w:tcPr>
          <w:p>
            <w:pPr>
              <w:pStyle w:val="28"/>
              <w:spacing w:line="360" w:lineRule="auto"/>
              <w:rPr>
                <w:rFonts w:ascii="宋体" w:hAnsi="宋体" w:cs="宋体"/>
                <w:color w:val="auto"/>
                <w:szCs w:val="21"/>
                <w:highlight w:val="none"/>
              </w:rPr>
            </w:pPr>
          </w:p>
        </w:tc>
        <w:tc>
          <w:tcPr>
            <w:tcW w:w="1001" w:type="pct"/>
          </w:tcPr>
          <w:p>
            <w:pPr>
              <w:pStyle w:val="28"/>
              <w:spacing w:line="360" w:lineRule="auto"/>
              <w:rPr>
                <w:rFonts w:ascii="宋体" w:hAnsi="宋体" w:cs="宋体"/>
                <w:color w:val="auto"/>
                <w:szCs w:val="21"/>
                <w:highlight w:val="none"/>
              </w:rPr>
            </w:pPr>
          </w:p>
        </w:tc>
        <w:tc>
          <w:tcPr>
            <w:tcW w:w="785" w:type="pct"/>
          </w:tcPr>
          <w:p>
            <w:pPr>
              <w:pStyle w:val="28"/>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pPr>
              <w:pStyle w:val="28"/>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pPr>
              <w:pStyle w:val="28"/>
              <w:spacing w:line="360" w:lineRule="auto"/>
              <w:rPr>
                <w:rFonts w:ascii="宋体" w:hAnsi="宋体" w:cs="宋体"/>
                <w:color w:val="auto"/>
                <w:szCs w:val="21"/>
                <w:highlight w:val="none"/>
              </w:rPr>
            </w:pPr>
          </w:p>
        </w:tc>
        <w:tc>
          <w:tcPr>
            <w:tcW w:w="1553" w:type="pct"/>
          </w:tcPr>
          <w:p>
            <w:pPr>
              <w:pStyle w:val="28"/>
              <w:spacing w:line="360" w:lineRule="auto"/>
              <w:rPr>
                <w:rFonts w:ascii="宋体" w:hAnsi="宋体" w:cs="宋体"/>
                <w:color w:val="auto"/>
                <w:szCs w:val="21"/>
                <w:highlight w:val="none"/>
              </w:rPr>
            </w:pPr>
          </w:p>
        </w:tc>
        <w:tc>
          <w:tcPr>
            <w:tcW w:w="779" w:type="pct"/>
          </w:tcPr>
          <w:p>
            <w:pPr>
              <w:pStyle w:val="28"/>
              <w:spacing w:line="360" w:lineRule="auto"/>
              <w:rPr>
                <w:rFonts w:ascii="宋体" w:hAnsi="宋体" w:cs="宋体"/>
                <w:color w:val="auto"/>
                <w:szCs w:val="21"/>
                <w:highlight w:val="none"/>
              </w:rPr>
            </w:pPr>
          </w:p>
        </w:tc>
        <w:tc>
          <w:tcPr>
            <w:tcW w:w="1001" w:type="pct"/>
          </w:tcPr>
          <w:p>
            <w:pPr>
              <w:pStyle w:val="28"/>
              <w:spacing w:line="360" w:lineRule="auto"/>
              <w:rPr>
                <w:rFonts w:ascii="宋体" w:hAnsi="宋体" w:cs="宋体"/>
                <w:color w:val="auto"/>
                <w:szCs w:val="21"/>
                <w:highlight w:val="none"/>
              </w:rPr>
            </w:pPr>
          </w:p>
        </w:tc>
        <w:tc>
          <w:tcPr>
            <w:tcW w:w="785" w:type="pct"/>
          </w:tcPr>
          <w:p>
            <w:pPr>
              <w:pStyle w:val="28"/>
              <w:spacing w:line="360" w:lineRule="auto"/>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rPr>
          <w:b/>
          <w:bCs/>
          <w:color w:val="auto"/>
          <w:highlight w:val="none"/>
          <w:lang w:val="en-US"/>
        </w:rPr>
      </w:pPr>
      <w:r>
        <w:rPr>
          <w:rFonts w:hint="eastAsia"/>
          <w:b/>
          <w:bCs/>
          <w:color w:val="auto"/>
          <w:highlight w:val="none"/>
          <w:lang w:val="en-US"/>
        </w:rPr>
        <w:t>格式十一：</w:t>
      </w:r>
    </w:p>
    <w:p>
      <w:pPr>
        <w:jc w:val="center"/>
        <w:rPr>
          <w:b/>
          <w:bCs/>
          <w:color w:val="auto"/>
          <w:sz w:val="24"/>
          <w:szCs w:val="32"/>
          <w:highlight w:val="none"/>
        </w:rPr>
      </w:pPr>
      <w:r>
        <w:rPr>
          <w:b/>
          <w:bCs/>
          <w:color w:val="auto"/>
          <w:sz w:val="24"/>
          <w:szCs w:val="32"/>
          <w:highlight w:val="none"/>
        </w:rPr>
        <w:t>技术要求响应表</w:t>
      </w:r>
    </w:p>
    <w:p>
      <w:pPr>
        <w:pStyle w:val="8"/>
        <w:rPr>
          <w:color w:val="auto"/>
          <w:highlight w:val="none"/>
          <w:lang w:val="en-US"/>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c>
          <w:tcPr>
            <w:tcW w:w="0" w:type="auto"/>
            <w:vAlign w:val="center"/>
          </w:tcPr>
          <w:p>
            <w:pPr>
              <w:pStyle w:val="8"/>
              <w:spacing w:before="0" w:line="360" w:lineRule="auto"/>
              <w:ind w:left="0"/>
              <w:jc w:val="center"/>
              <w:rPr>
                <w:color w:val="auto"/>
                <w:sz w:val="21"/>
                <w:szCs w:val="21"/>
                <w:highlight w:val="none"/>
                <w:lang w:val="en-US"/>
              </w:rPr>
            </w:pPr>
          </w:p>
        </w:tc>
      </w:tr>
    </w:tbl>
    <w:p>
      <w:pPr>
        <w:pStyle w:val="8"/>
        <w:rPr>
          <w:color w:val="auto"/>
          <w:highlight w:val="none"/>
          <w:lang w:val="en-US"/>
        </w:rPr>
      </w:pPr>
    </w:p>
    <w:p>
      <w:pPr>
        <w:rPr>
          <w:color w:val="auto"/>
          <w:highlight w:val="none"/>
        </w:rPr>
      </w:pP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pPr>
        <w:pStyle w:val="26"/>
        <w:tabs>
          <w:tab w:val="left" w:pos="731"/>
        </w:tabs>
        <w:autoSpaceDE w:val="0"/>
        <w:autoSpaceDN w:val="0"/>
        <w:spacing w:line="360" w:lineRule="auto"/>
        <w:ind w:firstLine="423"/>
        <w:rPr>
          <w:rFonts w:ascii="宋体" w:hAnsi="宋体" w:cs="宋体"/>
          <w:color w:val="auto"/>
          <w:w w:val="101"/>
          <w:szCs w:val="21"/>
          <w:highlight w:val="none"/>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格式十二：</w:t>
      </w:r>
    </w:p>
    <w:p>
      <w:pPr>
        <w:pStyle w:val="8"/>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pPr>
        <w:rPr>
          <w:b/>
          <w:bCs/>
          <w:color w:val="auto"/>
          <w:sz w:val="24"/>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pPr>
              <w:pStyle w:val="8"/>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pPr>
              <w:pStyle w:val="8"/>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pPr>
              <w:pStyle w:val="8"/>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pPr>
              <w:pStyle w:val="8"/>
              <w:spacing w:before="0" w:line="360" w:lineRule="auto"/>
              <w:ind w:left="0"/>
              <w:jc w:val="center"/>
              <w:rPr>
                <w:color w:val="auto"/>
                <w:sz w:val="21"/>
                <w:szCs w:val="21"/>
                <w:highlight w:val="none"/>
                <w:lang w:val="en-US"/>
              </w:rPr>
            </w:pPr>
          </w:p>
        </w:tc>
        <w:tc>
          <w:tcPr>
            <w:tcW w:w="814"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1900" w:type="dxa"/>
            <w:vAlign w:val="center"/>
          </w:tcPr>
          <w:p>
            <w:pPr>
              <w:pStyle w:val="8"/>
              <w:spacing w:before="0" w:line="360" w:lineRule="auto"/>
              <w:ind w:left="0"/>
              <w:jc w:val="center"/>
              <w:rPr>
                <w:color w:val="auto"/>
                <w:sz w:val="21"/>
                <w:szCs w:val="21"/>
                <w:highlight w:val="none"/>
                <w:lang w:val="en-US"/>
              </w:rPr>
            </w:pPr>
          </w:p>
        </w:tc>
        <w:tc>
          <w:tcPr>
            <w:tcW w:w="647" w:type="dxa"/>
            <w:vAlign w:val="center"/>
          </w:tcPr>
          <w:p>
            <w:pPr>
              <w:pStyle w:val="8"/>
              <w:spacing w:before="0" w:line="360" w:lineRule="auto"/>
              <w:ind w:left="0"/>
              <w:jc w:val="center"/>
              <w:rPr>
                <w:color w:val="auto"/>
                <w:sz w:val="21"/>
                <w:szCs w:val="21"/>
                <w:highlight w:val="none"/>
                <w:lang w:val="en-US"/>
              </w:rPr>
            </w:pPr>
          </w:p>
        </w:tc>
        <w:tc>
          <w:tcPr>
            <w:tcW w:w="1386" w:type="dxa"/>
            <w:vAlign w:val="center"/>
          </w:tcPr>
          <w:p>
            <w:pPr>
              <w:pStyle w:val="8"/>
              <w:spacing w:before="0" w:line="360" w:lineRule="auto"/>
              <w:ind w:left="0"/>
              <w:jc w:val="center"/>
              <w:rPr>
                <w:color w:val="auto"/>
                <w:sz w:val="21"/>
                <w:szCs w:val="21"/>
                <w:highlight w:val="none"/>
                <w:lang w:val="en-US"/>
              </w:rPr>
            </w:pPr>
          </w:p>
        </w:tc>
        <w:tc>
          <w:tcPr>
            <w:tcW w:w="529" w:type="dxa"/>
            <w:vAlign w:val="center"/>
          </w:tcPr>
          <w:p>
            <w:pPr>
              <w:pStyle w:val="8"/>
              <w:spacing w:before="0" w:line="360" w:lineRule="auto"/>
              <w:ind w:left="0"/>
              <w:jc w:val="center"/>
              <w:rPr>
                <w:color w:val="auto"/>
                <w:sz w:val="21"/>
                <w:szCs w:val="21"/>
                <w:highlight w:val="none"/>
                <w:lang w:val="en-US"/>
              </w:rPr>
            </w:pPr>
          </w:p>
        </w:tc>
      </w:tr>
    </w:tbl>
    <w:p>
      <w:pPr>
        <w:pStyle w:val="8"/>
        <w:rPr>
          <w:color w:val="auto"/>
          <w:sz w:val="21"/>
          <w:szCs w:val="21"/>
          <w:highlight w:val="none"/>
          <w:lang w:val="en-US"/>
        </w:rPr>
      </w:pPr>
    </w:p>
    <w:p>
      <w:pPr>
        <w:rPr>
          <w:color w:val="auto"/>
          <w:szCs w:val="21"/>
          <w:highlight w:val="none"/>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pPr>
        <w:pStyle w:val="8"/>
        <w:autoSpaceDE w:val="0"/>
        <w:autoSpaceDN w:val="0"/>
        <w:spacing w:before="0" w:line="360" w:lineRule="auto"/>
        <w:ind w:left="0" w:firstLine="420" w:firstLineChars="200"/>
        <w:rPr>
          <w:color w:val="auto"/>
          <w:sz w:val="21"/>
          <w:szCs w:val="21"/>
          <w:highlight w:val="none"/>
          <w:lang w:val="en-US"/>
        </w:rPr>
      </w:pP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pPr>
        <w:pStyle w:val="8"/>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pPr>
        <w:rPr>
          <w:b/>
          <w:bCs/>
          <w:color w:val="auto"/>
          <w:sz w:val="24"/>
          <w:highlight w:val="none"/>
        </w:rPr>
      </w:pPr>
      <w:r>
        <w:rPr>
          <w:rFonts w:hint="eastAsia"/>
          <w:b/>
          <w:bCs/>
          <w:color w:val="auto"/>
          <w:sz w:val="24"/>
          <w:highlight w:val="none"/>
        </w:rPr>
        <w:t>格式十三：</w:t>
      </w:r>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pStyle w:val="8"/>
        <w:spacing w:before="8"/>
        <w:rPr>
          <w:color w:val="auto"/>
          <w:sz w:val="13"/>
          <w:highlight w:val="none"/>
        </w:rPr>
      </w:pPr>
    </w:p>
    <w:p>
      <w:pPr>
        <w:pStyle w:val="2"/>
        <w:rPr>
          <w:color w:val="auto"/>
          <w:highlight w:val="none"/>
        </w:rPr>
      </w:pPr>
      <w:bookmarkStart w:id="164" w:name="_Toc20098"/>
      <w:r>
        <w:rPr>
          <w:color w:val="auto"/>
          <w:highlight w:val="none"/>
        </w:rPr>
        <w:t>履约进度计划表</w:t>
      </w:r>
      <w:bookmarkEnd w:id="164"/>
    </w:p>
    <w:p>
      <w:pPr>
        <w:pStyle w:val="8"/>
        <w:spacing w:before="2" w:after="1"/>
        <w:rPr>
          <w:b/>
          <w:color w:val="auto"/>
          <w:sz w:val="17"/>
          <w:highlight w:val="none"/>
        </w:rPr>
      </w:pPr>
    </w:p>
    <w:tbl>
      <w:tblPr>
        <w:tblStyle w:val="19"/>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8"/>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pPr>
              <w:pStyle w:val="28"/>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pPr>
              <w:pStyle w:val="28"/>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pPr>
              <w:pStyle w:val="28"/>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8"/>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pPr>
              <w:pStyle w:val="28"/>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8"/>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pPr>
              <w:pStyle w:val="28"/>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8"/>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pPr>
              <w:pStyle w:val="28"/>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8"/>
              <w:spacing w:line="360" w:lineRule="auto"/>
              <w:rPr>
                <w:rFonts w:ascii="宋体" w:hAnsi="宋体" w:cs="宋体"/>
                <w:color w:val="auto"/>
                <w:szCs w:val="21"/>
                <w:highlight w:val="none"/>
              </w:rPr>
            </w:pPr>
          </w:p>
        </w:tc>
        <w:tc>
          <w:tcPr>
            <w:tcW w:w="1354" w:type="pct"/>
            <w:shd w:val="clear" w:color="auto" w:fill="FFFFFF" w:themeFill="background1"/>
          </w:tcPr>
          <w:p>
            <w:pPr>
              <w:pStyle w:val="28"/>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8"/>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pPr>
              <w:pStyle w:val="28"/>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8"/>
              <w:spacing w:line="360" w:lineRule="auto"/>
              <w:rPr>
                <w:rFonts w:ascii="宋体" w:hAnsi="宋体" w:cs="宋体"/>
                <w:color w:val="auto"/>
                <w:szCs w:val="21"/>
                <w:highlight w:val="none"/>
              </w:rPr>
            </w:pPr>
          </w:p>
        </w:tc>
        <w:tc>
          <w:tcPr>
            <w:tcW w:w="1354" w:type="pct"/>
            <w:shd w:val="clear" w:color="auto" w:fill="FFFFFF" w:themeFill="background1"/>
          </w:tcPr>
          <w:p>
            <w:pPr>
              <w:pStyle w:val="28"/>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pPr>
              <w:pStyle w:val="28"/>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pPr>
              <w:pStyle w:val="28"/>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pPr>
              <w:pStyle w:val="28"/>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pPr>
              <w:pStyle w:val="28"/>
              <w:spacing w:line="360" w:lineRule="auto"/>
              <w:rPr>
                <w:rFonts w:ascii="宋体" w:hAnsi="宋体" w:cs="宋体"/>
                <w:color w:val="auto"/>
                <w:szCs w:val="21"/>
                <w:highlight w:val="none"/>
              </w:rPr>
            </w:pPr>
          </w:p>
        </w:tc>
      </w:tr>
    </w:tbl>
    <w:p>
      <w:pPr>
        <w:rPr>
          <w:color w:val="auto"/>
          <w:highlight w:val="none"/>
        </w:rPr>
      </w:pPr>
      <w:r>
        <w:rPr>
          <w:rFonts w:hint="eastAsia"/>
          <w:color w:val="auto"/>
          <w:highlight w:val="none"/>
        </w:rPr>
        <w:br w:type="page"/>
      </w:r>
    </w:p>
    <w:p>
      <w:pPr>
        <w:outlineLvl w:val="1"/>
        <w:rPr>
          <w:b/>
          <w:bCs/>
          <w:color w:val="auto"/>
          <w:sz w:val="24"/>
          <w:szCs w:val="32"/>
          <w:highlight w:val="none"/>
        </w:rPr>
      </w:pPr>
      <w:bookmarkStart w:id="165" w:name="_Toc2912"/>
      <w:r>
        <w:rPr>
          <w:rFonts w:hint="eastAsia"/>
          <w:b/>
          <w:bCs/>
          <w:color w:val="auto"/>
          <w:sz w:val="24"/>
          <w:szCs w:val="32"/>
          <w:highlight w:val="none"/>
        </w:rPr>
        <w:t>格式十四：</w:t>
      </w:r>
      <w:bookmarkEnd w:id="165"/>
    </w:p>
    <w:p>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pPr>
        <w:rPr>
          <w:color w:val="auto"/>
          <w:sz w:val="20"/>
          <w:szCs w:val="20"/>
          <w:highlight w:val="none"/>
        </w:rPr>
      </w:pPr>
    </w:p>
    <w:p>
      <w:pPr>
        <w:pStyle w:val="8"/>
        <w:jc w:val="center"/>
        <w:rPr>
          <w:b/>
          <w:bCs/>
          <w:color w:val="auto"/>
          <w:highlight w:val="none"/>
        </w:rPr>
      </w:pPr>
      <w:r>
        <w:rPr>
          <w:b/>
          <w:bCs/>
          <w:color w:val="auto"/>
          <w:highlight w:val="none"/>
        </w:rPr>
        <w:t>各类证明材料</w:t>
      </w:r>
    </w:p>
    <w:p>
      <w:pPr>
        <w:pStyle w:val="26"/>
        <w:tabs>
          <w:tab w:val="left" w:pos="673"/>
        </w:tabs>
        <w:spacing w:line="360" w:lineRule="auto"/>
        <w:ind w:firstLine="0" w:firstLineChars="0"/>
        <w:outlineLvl w:val="1"/>
        <w:rPr>
          <w:rFonts w:ascii="宋体" w:hAnsi="宋体" w:cs="宋体"/>
          <w:color w:val="auto"/>
          <w:szCs w:val="21"/>
          <w:highlight w:val="none"/>
        </w:rPr>
      </w:pPr>
      <w:bookmarkStart w:id="166" w:name="_Toc14919"/>
      <w:r>
        <w:rPr>
          <w:rFonts w:hint="eastAsia" w:ascii="宋体" w:hAnsi="宋体" w:cs="宋体"/>
          <w:color w:val="auto"/>
          <w:szCs w:val="21"/>
          <w:highlight w:val="none"/>
        </w:rPr>
        <w:t>1、招标文件要求提供的其他资料。</w:t>
      </w:r>
      <w:bookmarkEnd w:id="166"/>
    </w:p>
    <w:p>
      <w:pPr>
        <w:pStyle w:val="26"/>
        <w:tabs>
          <w:tab w:val="left" w:pos="673"/>
        </w:tabs>
        <w:spacing w:line="360" w:lineRule="auto"/>
        <w:ind w:firstLine="0" w:firstLineChars="0"/>
        <w:outlineLvl w:val="1"/>
        <w:rPr>
          <w:rFonts w:ascii="宋体" w:hAnsi="宋体" w:cs="宋体"/>
          <w:color w:val="auto"/>
          <w:szCs w:val="21"/>
          <w:highlight w:val="none"/>
        </w:rPr>
      </w:pPr>
      <w:bookmarkStart w:id="167" w:name="_Toc7938"/>
      <w:r>
        <w:rPr>
          <w:rFonts w:hint="eastAsia" w:ascii="宋体" w:hAnsi="宋体" w:cs="宋体"/>
          <w:color w:val="auto"/>
          <w:szCs w:val="21"/>
          <w:highlight w:val="none"/>
        </w:rPr>
        <w:t>2、投标人认为需提供的其他资料。</w:t>
      </w:r>
      <w:bookmarkEnd w:id="167"/>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26"/>
        <w:tabs>
          <w:tab w:val="left" w:pos="673"/>
        </w:tabs>
        <w:spacing w:line="360" w:lineRule="auto"/>
        <w:ind w:firstLine="0" w:firstLineChars="0"/>
        <w:outlineLvl w:val="1"/>
        <w:rPr>
          <w:rFonts w:ascii="宋体" w:hAnsi="宋体" w:cs="宋体"/>
          <w:b/>
          <w:bCs/>
          <w:color w:val="auto"/>
          <w:sz w:val="24"/>
          <w:highlight w:val="none"/>
        </w:rPr>
      </w:pPr>
      <w:bookmarkStart w:id="168" w:name="_Toc30382"/>
      <w:r>
        <w:rPr>
          <w:rFonts w:hint="eastAsia" w:ascii="宋体" w:hAnsi="宋体" w:cs="宋体"/>
          <w:b/>
          <w:bCs/>
          <w:color w:val="auto"/>
          <w:sz w:val="24"/>
          <w:highlight w:val="none"/>
        </w:rPr>
        <w:t>格式十五：</w:t>
      </w:r>
      <w:bookmarkEnd w:id="168"/>
    </w:p>
    <w:p>
      <w:pPr>
        <w:pStyle w:val="26"/>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pPr>
        <w:rPr>
          <w:color w:val="auto"/>
          <w:highlight w:val="none"/>
        </w:rPr>
      </w:pP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pPr>
        <w:pStyle w:val="8"/>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pPr>
        <w:pStyle w:val="26"/>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pPr>
        <w:pStyle w:val="26"/>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pPr>
        <w:spacing w:line="360" w:lineRule="auto"/>
        <w:ind w:firstLine="420" w:firstLineChars="200"/>
        <w:rPr>
          <w:color w:val="auto"/>
          <w:highlight w:val="none"/>
        </w:rPr>
      </w:pPr>
    </w:p>
    <w:p>
      <w:pPr>
        <w:spacing w:line="480" w:lineRule="auto"/>
        <w:ind w:firstLine="420" w:firstLineChars="200"/>
        <w:rPr>
          <w:color w:val="auto"/>
          <w:highlight w:val="none"/>
        </w:rPr>
      </w:pPr>
      <w:r>
        <w:rPr>
          <w:rFonts w:hint="eastAsia"/>
          <w:color w:val="auto"/>
          <w:highlight w:val="none"/>
        </w:rPr>
        <w:t>投标人法定名称（公章）：</w:t>
      </w:r>
    </w:p>
    <w:p>
      <w:pPr>
        <w:spacing w:line="480" w:lineRule="auto"/>
        <w:ind w:firstLine="420" w:firstLineChars="200"/>
        <w:rPr>
          <w:color w:val="auto"/>
          <w:highlight w:val="none"/>
        </w:rPr>
      </w:pPr>
      <w:r>
        <w:rPr>
          <w:rFonts w:hint="eastAsia"/>
          <w:color w:val="auto"/>
          <w:highlight w:val="none"/>
        </w:rPr>
        <w:t>投标人法定地址：</w:t>
      </w:r>
    </w:p>
    <w:p>
      <w:pPr>
        <w:spacing w:line="480" w:lineRule="auto"/>
        <w:ind w:firstLine="420" w:firstLineChars="200"/>
        <w:rPr>
          <w:color w:val="auto"/>
          <w:highlight w:val="none"/>
        </w:rPr>
      </w:pPr>
      <w:r>
        <w:rPr>
          <w:rFonts w:hint="eastAsia"/>
          <w:color w:val="auto"/>
          <w:highlight w:val="none"/>
        </w:rPr>
        <w:t>投标人授权代表（签字或盖章）：</w:t>
      </w:r>
    </w:p>
    <w:p>
      <w:pPr>
        <w:spacing w:line="480" w:lineRule="auto"/>
        <w:ind w:firstLine="420" w:firstLineChars="200"/>
        <w:rPr>
          <w:color w:val="auto"/>
          <w:highlight w:val="none"/>
        </w:rPr>
      </w:pPr>
      <w:r>
        <w:rPr>
          <w:rFonts w:hint="eastAsia"/>
          <w:color w:val="auto"/>
          <w:highlight w:val="none"/>
        </w:rPr>
        <w:t>电 话：</w:t>
      </w:r>
    </w:p>
    <w:p>
      <w:pPr>
        <w:spacing w:line="480" w:lineRule="auto"/>
        <w:ind w:firstLine="420" w:firstLineChars="200"/>
        <w:rPr>
          <w:color w:val="auto"/>
          <w:highlight w:val="none"/>
        </w:rPr>
      </w:pPr>
      <w:r>
        <w:rPr>
          <w:rFonts w:hint="eastAsia"/>
          <w:color w:val="auto"/>
          <w:highlight w:val="none"/>
        </w:rPr>
        <w:t>传 真：</w:t>
      </w:r>
    </w:p>
    <w:p>
      <w:pPr>
        <w:pStyle w:val="26"/>
        <w:tabs>
          <w:tab w:val="left" w:pos="673"/>
        </w:tabs>
        <w:spacing w:line="480" w:lineRule="auto"/>
        <w:rPr>
          <w:color w:val="auto"/>
          <w:highlight w:val="none"/>
        </w:rPr>
      </w:pPr>
      <w:r>
        <w:rPr>
          <w:rFonts w:hint="eastAsia"/>
          <w:color w:val="auto"/>
          <w:highlight w:val="none"/>
        </w:rPr>
        <w:t>承诺日期：</w:t>
      </w:r>
    </w:p>
    <w:p>
      <w:pPr>
        <w:rPr>
          <w:color w:val="auto"/>
          <w:highlight w:val="none"/>
        </w:rPr>
      </w:pPr>
      <w:r>
        <w:rPr>
          <w:rFonts w:hint="eastAsia"/>
          <w:color w:val="auto"/>
          <w:highlight w:val="none"/>
        </w:rPr>
        <w:br w:type="page"/>
      </w:r>
    </w:p>
    <w:p>
      <w:pPr>
        <w:pStyle w:val="26"/>
        <w:tabs>
          <w:tab w:val="left" w:pos="673"/>
        </w:tabs>
        <w:spacing w:line="360" w:lineRule="auto"/>
        <w:ind w:firstLine="0" w:firstLineChars="0"/>
        <w:outlineLvl w:val="1"/>
        <w:rPr>
          <w:rFonts w:ascii="宋体" w:hAnsi="宋体" w:cs="宋体"/>
          <w:b/>
          <w:bCs/>
          <w:color w:val="auto"/>
          <w:sz w:val="24"/>
          <w:highlight w:val="none"/>
        </w:rPr>
      </w:pPr>
      <w:bookmarkStart w:id="169" w:name="_Toc3970"/>
      <w:r>
        <w:rPr>
          <w:rFonts w:hint="eastAsia" w:ascii="宋体" w:hAnsi="宋体" w:cs="宋体"/>
          <w:b/>
          <w:bCs/>
          <w:color w:val="auto"/>
          <w:sz w:val="24"/>
          <w:highlight w:val="none"/>
        </w:rPr>
        <w:t>格式十五：</w:t>
      </w:r>
      <w:bookmarkEnd w:id="169"/>
    </w:p>
    <w:p>
      <w:pPr>
        <w:pStyle w:val="8"/>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pPr>
        <w:pStyle w:val="8"/>
        <w:spacing w:before="8"/>
        <w:rPr>
          <w:color w:val="auto"/>
          <w:sz w:val="21"/>
          <w:szCs w:val="21"/>
          <w:highlight w:val="none"/>
        </w:rPr>
      </w:pPr>
    </w:p>
    <w:p>
      <w:pPr>
        <w:jc w:val="center"/>
        <w:outlineLvl w:val="1"/>
        <w:rPr>
          <w:rFonts w:ascii="宋体" w:hAnsi="宋体" w:cs="宋体"/>
          <w:b/>
          <w:bCs/>
          <w:color w:val="auto"/>
          <w:szCs w:val="21"/>
          <w:highlight w:val="none"/>
        </w:rPr>
      </w:pPr>
      <w:bookmarkStart w:id="170" w:name="_Toc4401"/>
      <w:r>
        <w:rPr>
          <w:rFonts w:hint="eastAsia" w:ascii="宋体" w:hAnsi="宋体" w:cs="宋体"/>
          <w:b/>
          <w:bCs/>
          <w:color w:val="auto"/>
          <w:szCs w:val="21"/>
          <w:highlight w:val="none"/>
        </w:rPr>
        <w:t>需要招标人提供的附加条件</w:t>
      </w:r>
      <w:bookmarkEnd w:id="170"/>
    </w:p>
    <w:p>
      <w:pPr>
        <w:pStyle w:val="8"/>
        <w:autoSpaceDE w:val="0"/>
        <w:autoSpaceDN w:val="0"/>
        <w:spacing w:before="0" w:line="360" w:lineRule="auto"/>
        <w:ind w:left="0"/>
        <w:rPr>
          <w:b/>
          <w:color w:val="auto"/>
          <w:sz w:val="21"/>
          <w:szCs w:val="21"/>
          <w:highlight w:val="none"/>
        </w:rPr>
      </w:pPr>
    </w:p>
    <w:tbl>
      <w:tblPr>
        <w:tblStyle w:val="19"/>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pPr>
              <w:pStyle w:val="28"/>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pPr>
              <w:pStyle w:val="28"/>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8"/>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pPr>
              <w:pStyle w:val="28"/>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8"/>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pPr>
              <w:pStyle w:val="28"/>
              <w:spacing w:line="360" w:lineRule="auto"/>
              <w:rPr>
                <w:rFonts w:ascii="宋体" w:hAnsi="宋体" w:cs="宋体"/>
                <w:color w:val="auto"/>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pPr>
              <w:pStyle w:val="28"/>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pPr>
              <w:pStyle w:val="28"/>
              <w:spacing w:line="360" w:lineRule="auto"/>
              <w:rPr>
                <w:rFonts w:ascii="宋体" w:hAnsi="宋体" w:cs="宋体"/>
                <w:color w:val="auto"/>
                <w:szCs w:val="21"/>
                <w:highlight w:val="none"/>
              </w:rPr>
            </w:pPr>
          </w:p>
        </w:tc>
      </w:tr>
    </w:tbl>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pPr>
        <w:rPr>
          <w:color w:val="auto"/>
          <w:sz w:val="20"/>
          <w:szCs w:val="20"/>
          <w:highlight w:val="none"/>
        </w:rPr>
      </w:pPr>
      <w:r>
        <w:rPr>
          <w:color w:val="auto"/>
          <w:sz w:val="20"/>
          <w:szCs w:val="20"/>
          <w:highlight w:val="none"/>
        </w:rPr>
        <w:br w:type="page"/>
      </w:r>
    </w:p>
    <w:p>
      <w:pPr>
        <w:pStyle w:val="8"/>
        <w:outlineLvl w:val="1"/>
        <w:rPr>
          <w:b/>
          <w:bCs/>
          <w:color w:val="auto"/>
          <w:highlight w:val="none"/>
          <w:lang w:val="en-US"/>
        </w:rPr>
      </w:pPr>
      <w:bookmarkStart w:id="171" w:name="_Toc25747"/>
      <w:r>
        <w:rPr>
          <w:rFonts w:hint="eastAsia"/>
          <w:b/>
          <w:bCs/>
          <w:color w:val="auto"/>
          <w:highlight w:val="none"/>
          <w:lang w:val="en-US"/>
        </w:rPr>
        <w:t>格式十六：</w:t>
      </w:r>
      <w:bookmarkEnd w:id="171"/>
    </w:p>
    <w:p>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pPr>
        <w:rPr>
          <w:color w:val="auto"/>
          <w:szCs w:val="21"/>
          <w:highlight w:val="none"/>
        </w:rPr>
      </w:pPr>
      <w:r>
        <w:rPr>
          <w:color w:val="auto"/>
          <w:szCs w:val="21"/>
          <w:highlight w:val="none"/>
        </w:rPr>
        <w:br w:type="page"/>
      </w:r>
    </w:p>
    <w:p>
      <w:pPr>
        <w:pStyle w:val="3"/>
        <w:rPr>
          <w:color w:val="auto"/>
          <w:highlight w:val="none"/>
        </w:rPr>
      </w:pPr>
      <w:bookmarkStart w:id="172" w:name="_Toc27211"/>
      <w:r>
        <w:rPr>
          <w:rFonts w:hint="eastAsia"/>
          <w:color w:val="auto"/>
          <w:highlight w:val="none"/>
        </w:rPr>
        <w:t>第七篇 开标文件格式</w:t>
      </w:r>
      <w:bookmarkEnd w:id="172"/>
    </w:p>
    <w:p>
      <w:pPr>
        <w:jc w:val="center"/>
        <w:outlineLvl w:val="1"/>
        <w:rPr>
          <w:b/>
          <w:bCs/>
          <w:color w:val="auto"/>
          <w:highlight w:val="none"/>
        </w:rPr>
      </w:pPr>
      <w:bookmarkStart w:id="173" w:name="_Toc32249"/>
      <w:r>
        <w:rPr>
          <w:rFonts w:hint="eastAsia"/>
          <w:b/>
          <w:bCs/>
          <w:color w:val="auto"/>
          <w:highlight w:val="none"/>
        </w:rPr>
        <w:t>（封面格式仅供参考）</w:t>
      </w:r>
      <w:bookmarkEnd w:id="173"/>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rPr>
          <w:rFonts w:ascii="宋体" w:hAnsi="宋体" w:cs="宋体"/>
          <w:b/>
          <w:color w:val="auto"/>
          <w:spacing w:val="10"/>
          <w:kern w:val="0"/>
          <w:sz w:val="38"/>
          <w:szCs w:val="38"/>
          <w:highlight w:val="none"/>
          <w:lang w:val="zh-CN" w:bidi="zh-CN"/>
        </w:rPr>
      </w:pPr>
    </w:p>
    <w:p>
      <w:pPr>
        <w:jc w:val="center"/>
        <w:outlineLvl w:val="2"/>
        <w:rPr>
          <w:rFonts w:ascii="宋体" w:hAnsi="宋体" w:cs="宋体"/>
          <w:b/>
          <w:color w:val="auto"/>
          <w:kern w:val="0"/>
          <w:sz w:val="38"/>
          <w:szCs w:val="38"/>
          <w:highlight w:val="none"/>
          <w:lang w:val="zh-CN" w:bidi="zh-CN"/>
        </w:rPr>
      </w:pPr>
      <w:bookmarkStart w:id="174"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74"/>
    </w:p>
    <w:p>
      <w:pPr>
        <w:autoSpaceDE w:val="0"/>
        <w:autoSpaceDN w:val="0"/>
        <w:spacing w:before="11"/>
        <w:jc w:val="center"/>
        <w:rPr>
          <w:rFonts w:ascii="宋体" w:hAnsi="宋体" w:cs="宋体"/>
          <w:b/>
          <w:color w:val="auto"/>
          <w:sz w:val="46"/>
          <w:szCs w:val="19"/>
          <w:highlight w:val="none"/>
          <w:lang w:val="zh-CN" w:bidi="zh-CN"/>
        </w:rPr>
      </w:pPr>
    </w:p>
    <w:p>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75"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75"/>
    </w:p>
    <w:p>
      <w:pPr>
        <w:autoSpaceDE w:val="0"/>
        <w:autoSpaceDN w:val="0"/>
        <w:spacing w:line="479" w:lineRule="exact"/>
        <w:jc w:val="center"/>
        <w:rPr>
          <w:rFonts w:ascii="宋体" w:hAnsi="宋体" w:cs="宋体"/>
          <w:b/>
          <w:bCs/>
          <w:color w:val="auto"/>
          <w:sz w:val="24"/>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jc w:val="center"/>
        <w:rPr>
          <w:rFonts w:ascii="宋体" w:hAnsi="宋体" w:cs="宋体"/>
          <w:b/>
          <w:color w:val="auto"/>
          <w:sz w:val="28"/>
          <w:szCs w:val="19"/>
          <w:highlight w:val="none"/>
          <w:lang w:val="zh-CN" w:bidi="zh-CN"/>
        </w:rPr>
      </w:pPr>
    </w:p>
    <w:p>
      <w:pPr>
        <w:autoSpaceDE w:val="0"/>
        <w:autoSpaceDN w:val="0"/>
        <w:spacing w:before="8"/>
        <w:jc w:val="center"/>
        <w:rPr>
          <w:rFonts w:ascii="宋体" w:hAnsi="宋体" w:cs="宋体"/>
          <w:b/>
          <w:color w:val="auto"/>
          <w:sz w:val="38"/>
          <w:szCs w:val="19"/>
          <w:highlight w:val="none"/>
          <w:lang w:val="zh-CN" w:bidi="zh-CN"/>
        </w:rPr>
      </w:pPr>
    </w:p>
    <w:p>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autoSpaceDE w:val="0"/>
        <w:autoSpaceDN w:val="0"/>
        <w:jc w:val="center"/>
        <w:rPr>
          <w:rFonts w:ascii="宋体" w:hAnsi="宋体" w:cs="宋体"/>
          <w:b/>
          <w:color w:val="auto"/>
          <w:sz w:val="24"/>
          <w:szCs w:val="19"/>
          <w:highlight w:val="none"/>
          <w:lang w:val="zh-CN" w:bidi="zh-CN"/>
        </w:rPr>
      </w:pPr>
    </w:p>
    <w:p>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pPr>
        <w:pStyle w:val="8"/>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pPr>
        <w:pStyle w:val="8"/>
        <w:spacing w:before="0" w:line="360" w:lineRule="auto"/>
        <w:ind w:left="0"/>
        <w:outlineLvl w:val="1"/>
        <w:rPr>
          <w:b/>
          <w:bCs/>
          <w:color w:val="auto"/>
          <w:sz w:val="21"/>
          <w:szCs w:val="21"/>
          <w:highlight w:val="none"/>
          <w:lang w:val="en-US"/>
        </w:rPr>
      </w:pPr>
      <w:bookmarkStart w:id="176" w:name="_Toc32100"/>
      <w:r>
        <w:rPr>
          <w:rFonts w:hint="eastAsia"/>
          <w:b/>
          <w:bCs/>
          <w:color w:val="auto"/>
          <w:sz w:val="21"/>
          <w:szCs w:val="21"/>
          <w:highlight w:val="none"/>
          <w:lang w:val="en-US"/>
        </w:rPr>
        <w:t>1、开标一览表</w:t>
      </w:r>
      <w:bookmarkEnd w:id="176"/>
    </w:p>
    <w:p>
      <w:pPr>
        <w:spacing w:line="360" w:lineRule="auto"/>
        <w:outlineLvl w:val="1"/>
        <w:rPr>
          <w:rFonts w:ascii="宋体" w:hAnsi="宋体" w:cs="宋体"/>
          <w:b/>
          <w:bCs/>
          <w:color w:val="auto"/>
          <w:szCs w:val="21"/>
          <w:highlight w:val="none"/>
        </w:rPr>
      </w:pPr>
      <w:bookmarkStart w:id="177" w:name="_Toc8054"/>
      <w:r>
        <w:rPr>
          <w:rFonts w:hint="eastAsia" w:ascii="宋体" w:hAnsi="宋体" w:cs="宋体"/>
          <w:b/>
          <w:bCs/>
          <w:color w:val="auto"/>
          <w:szCs w:val="21"/>
          <w:highlight w:val="none"/>
        </w:rPr>
        <w:t>2、分项报价表</w:t>
      </w:r>
      <w:bookmarkEnd w:id="177"/>
    </w:p>
    <w:p>
      <w:pPr>
        <w:pStyle w:val="8"/>
        <w:spacing w:before="0" w:line="360" w:lineRule="auto"/>
        <w:ind w:left="0"/>
        <w:outlineLvl w:val="1"/>
        <w:rPr>
          <w:b/>
          <w:bCs/>
          <w:color w:val="auto"/>
          <w:sz w:val="21"/>
          <w:szCs w:val="21"/>
          <w:highlight w:val="none"/>
          <w:lang w:val="en-US"/>
        </w:rPr>
      </w:pPr>
      <w:bookmarkStart w:id="178" w:name="_Toc5011"/>
      <w:r>
        <w:rPr>
          <w:rFonts w:hint="eastAsia"/>
          <w:b/>
          <w:bCs/>
          <w:color w:val="auto"/>
          <w:sz w:val="21"/>
          <w:szCs w:val="21"/>
          <w:highlight w:val="none"/>
          <w:lang w:val="en-US"/>
        </w:rPr>
        <w:t>3、法定代表人证明书</w:t>
      </w:r>
      <w:bookmarkEnd w:id="178"/>
    </w:p>
    <w:p>
      <w:pPr>
        <w:pStyle w:val="8"/>
        <w:spacing w:before="0" w:line="360" w:lineRule="auto"/>
        <w:ind w:left="0"/>
        <w:outlineLvl w:val="1"/>
        <w:rPr>
          <w:b/>
          <w:bCs/>
          <w:color w:val="auto"/>
          <w:sz w:val="21"/>
          <w:szCs w:val="21"/>
          <w:highlight w:val="none"/>
          <w:lang w:val="en-US"/>
        </w:rPr>
      </w:pPr>
      <w:bookmarkStart w:id="179" w:name="_Toc27439"/>
      <w:r>
        <w:rPr>
          <w:rFonts w:hint="eastAsia"/>
          <w:b/>
          <w:bCs/>
          <w:color w:val="auto"/>
          <w:sz w:val="21"/>
          <w:szCs w:val="21"/>
          <w:highlight w:val="none"/>
          <w:lang w:val="en-US"/>
        </w:rPr>
        <w:t>4、法定代表人授权书</w:t>
      </w:r>
      <w:bookmarkEnd w:id="179"/>
    </w:p>
    <w:p>
      <w:pPr>
        <w:spacing w:line="360" w:lineRule="auto"/>
        <w:outlineLvl w:val="1"/>
        <w:rPr>
          <w:rFonts w:ascii="宋体" w:hAnsi="宋体" w:cs="宋体"/>
          <w:b/>
          <w:bCs/>
          <w:color w:val="auto"/>
          <w:szCs w:val="21"/>
          <w:highlight w:val="none"/>
        </w:rPr>
      </w:pPr>
      <w:bookmarkStart w:id="180" w:name="_Toc16304"/>
      <w:r>
        <w:rPr>
          <w:rFonts w:hint="eastAsia" w:ascii="宋体" w:hAnsi="宋体" w:cs="宋体"/>
          <w:b/>
          <w:bCs/>
          <w:color w:val="auto"/>
          <w:szCs w:val="21"/>
          <w:highlight w:val="none"/>
        </w:rPr>
        <w:t>5、投标保证金</w:t>
      </w:r>
      <w:bookmarkEnd w:id="180"/>
    </w:p>
    <w:p>
      <w:pPr>
        <w:rPr>
          <w:color w:val="auto"/>
          <w:highlight w:val="none"/>
        </w:rPr>
      </w:pPr>
    </w:p>
    <w:p>
      <w:pPr>
        <w:pStyle w:val="8"/>
        <w:rPr>
          <w:color w:val="auto"/>
          <w:highlight w:val="none"/>
          <w:lang w:val="en-US"/>
        </w:rPr>
      </w:pPr>
    </w:p>
    <w:p>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3"/>
        <w:rPr>
          <w:color w:val="auto"/>
          <w:highlight w:val="none"/>
        </w:rPr>
      </w:pPr>
      <w:bookmarkStart w:id="181" w:name="_Toc2722"/>
      <w:r>
        <w:rPr>
          <w:rFonts w:hint="eastAsia"/>
          <w:color w:val="auto"/>
          <w:highlight w:val="none"/>
        </w:rPr>
        <w:t>第八篇 其它文件格式（如有需要）</w:t>
      </w:r>
      <w:bookmarkEnd w:id="181"/>
    </w:p>
    <w:p>
      <w:pPr>
        <w:rPr>
          <w:b/>
          <w:bCs/>
          <w:color w:val="auto"/>
          <w:highlight w:val="none"/>
        </w:rPr>
      </w:pPr>
      <w:r>
        <w:rPr>
          <w:rFonts w:hint="eastAsia"/>
          <w:b/>
          <w:bCs/>
          <w:color w:val="auto"/>
          <w:highlight w:val="none"/>
        </w:rPr>
        <w:t>格式一：</w:t>
      </w:r>
    </w:p>
    <w:p>
      <w:pPr>
        <w:jc w:val="center"/>
        <w:rPr>
          <w:b/>
          <w:bCs/>
          <w:color w:val="auto"/>
          <w:highlight w:val="none"/>
        </w:rPr>
      </w:pPr>
      <w:r>
        <w:rPr>
          <w:b/>
          <w:bCs/>
          <w:color w:val="auto"/>
          <w:highlight w:val="none"/>
        </w:rPr>
        <w:t>询问函、质疑函格式</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pPr>
        <w:jc w:val="center"/>
        <w:rPr>
          <w:b/>
          <w:bCs/>
          <w:color w:val="auto"/>
          <w:highlight w:val="none"/>
        </w:rPr>
      </w:pPr>
      <w:r>
        <w:rPr>
          <w:b/>
          <w:bCs/>
          <w:color w:val="auto"/>
          <w:highlight w:val="none"/>
        </w:rPr>
        <w:t>询问函</w:t>
      </w:r>
    </w:p>
    <w:p>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pPr>
        <w:pStyle w:val="8"/>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pPr>
        <w:pStyle w:val="26"/>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pPr>
        <w:pStyle w:val="26"/>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pPr>
        <w:pStyle w:val="8"/>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pPr>
        <w:pStyle w:val="8"/>
        <w:tabs>
          <w:tab w:val="left" w:pos="10713"/>
        </w:tabs>
        <w:autoSpaceDE w:val="0"/>
        <w:autoSpaceDN w:val="0"/>
        <w:spacing w:before="0" w:line="360" w:lineRule="auto"/>
        <w:ind w:left="0" w:firstLine="420" w:firstLineChars="200"/>
        <w:rPr>
          <w:color w:val="auto"/>
          <w:sz w:val="21"/>
          <w:szCs w:val="21"/>
          <w:highlight w:val="none"/>
        </w:rPr>
      </w:pP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pPr>
        <w:pStyle w:val="8"/>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pPr>
        <w:rPr>
          <w:color w:val="auto"/>
          <w:szCs w:val="21"/>
          <w:highlight w:val="none"/>
        </w:rPr>
      </w:pPr>
      <w:r>
        <w:rPr>
          <w:color w:val="auto"/>
          <w:szCs w:val="21"/>
          <w:highlight w:val="none"/>
        </w:rPr>
        <w:br w:type="page"/>
      </w:r>
    </w:p>
    <w:p>
      <w:pPr>
        <w:jc w:val="center"/>
        <w:rPr>
          <w:b/>
          <w:bCs/>
          <w:color w:val="auto"/>
          <w:highlight w:val="none"/>
        </w:rPr>
      </w:pPr>
      <w:r>
        <w:rPr>
          <w:b/>
          <w:bCs/>
          <w:color w:val="auto"/>
          <w:highlight w:val="none"/>
        </w:rPr>
        <w:t>质疑函</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pPr>
        <w:pStyle w:val="8"/>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pPr>
        <w:pStyle w:val="8"/>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pPr>
        <w:pStyle w:val="8"/>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pPr>
        <w:pStyle w:val="8"/>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pPr>
        <w:pStyle w:val="8"/>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pPr>
        <w:pStyle w:val="8"/>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pPr>
        <w:pStyle w:val="8"/>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pPr>
        <w:pStyle w:val="8"/>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pPr>
        <w:pStyle w:val="8"/>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pPr>
        <w:pStyle w:val="8"/>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w:t>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pPr>
        <w:pStyle w:val="8"/>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pPr>
        <w:pStyle w:val="8"/>
        <w:tabs>
          <w:tab w:val="left" w:pos="3165"/>
          <w:tab w:val="left" w:pos="5818"/>
        </w:tabs>
        <w:autoSpaceDE w:val="0"/>
        <w:autoSpaceDN w:val="0"/>
        <w:spacing w:line="360" w:lineRule="auto"/>
        <w:ind w:left="0" w:firstLine="420" w:firstLineChars="200"/>
        <w:rPr>
          <w:color w:val="auto"/>
          <w:sz w:val="21"/>
          <w:szCs w:val="21"/>
          <w:highlight w:val="none"/>
        </w:rPr>
      </w:pPr>
    </w:p>
    <w:p>
      <w:pPr>
        <w:pStyle w:val="8"/>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pPr>
        <w:pStyle w:val="8"/>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pPr>
        <w:pStyle w:val="8"/>
        <w:autoSpaceDE w:val="0"/>
        <w:autoSpaceDN w:val="0"/>
        <w:spacing w:line="360" w:lineRule="auto"/>
        <w:ind w:left="0" w:firstLine="420" w:firstLineChars="200"/>
        <w:rPr>
          <w:color w:val="auto"/>
          <w:sz w:val="21"/>
          <w:szCs w:val="21"/>
          <w:highlight w:val="none"/>
        </w:rPr>
      </w:pPr>
    </w:p>
    <w:p>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pPr>
        <w:pStyle w:val="26"/>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pPr>
        <w:pStyle w:val="26"/>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pPr>
        <w:pStyle w:val="26"/>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pPr>
        <w:pStyle w:val="26"/>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pPr>
        <w:pStyle w:val="26"/>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pPr>
        <w:pStyle w:val="26"/>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pPr>
        <w:rPr>
          <w:color w:val="auto"/>
          <w:szCs w:val="21"/>
          <w:highlight w:val="none"/>
        </w:rPr>
      </w:pPr>
      <w:r>
        <w:rPr>
          <w:color w:val="auto"/>
          <w:szCs w:val="21"/>
          <w:highlight w:val="none"/>
        </w:rPr>
        <w:br w:type="page"/>
      </w:r>
    </w:p>
    <w:p>
      <w:pPr>
        <w:pStyle w:val="8"/>
        <w:rPr>
          <w:b/>
          <w:bCs/>
          <w:color w:val="auto"/>
          <w:highlight w:val="none"/>
        </w:rPr>
      </w:pPr>
      <w:r>
        <w:rPr>
          <w:rFonts w:hint="eastAsia"/>
          <w:b/>
          <w:bCs/>
          <w:color w:val="auto"/>
          <w:highlight w:val="none"/>
        </w:rPr>
        <w:t>格式二：</w:t>
      </w:r>
    </w:p>
    <w:p>
      <w:pPr>
        <w:jc w:val="center"/>
        <w:rPr>
          <w:b/>
          <w:bCs/>
          <w:color w:val="auto"/>
          <w:highlight w:val="none"/>
        </w:rPr>
      </w:pPr>
      <w:r>
        <w:rPr>
          <w:rFonts w:hint="eastAsia"/>
          <w:b/>
          <w:bCs/>
          <w:color w:val="auto"/>
          <w:highlight w:val="none"/>
        </w:rPr>
        <w:t>投标担保函</w:t>
      </w:r>
    </w:p>
    <w:p>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pPr>
        <w:rPr>
          <w:rFonts w:ascii="宋体" w:hAnsi="宋体"/>
          <w:color w:val="auto"/>
          <w:szCs w:val="21"/>
          <w:highlight w:val="none"/>
        </w:rPr>
      </w:pPr>
      <w:r>
        <w:rPr>
          <w:rFonts w:hint="eastAsia" w:ascii="宋体" w:hAnsi="宋体"/>
          <w:color w:val="auto"/>
          <w:szCs w:val="21"/>
          <w:highlight w:val="none"/>
        </w:rPr>
        <w:br w:type="page"/>
      </w:r>
    </w:p>
    <w:p>
      <w:pPr>
        <w:pStyle w:val="8"/>
        <w:rPr>
          <w:b/>
          <w:bCs/>
          <w:color w:val="auto"/>
          <w:highlight w:val="none"/>
        </w:rPr>
      </w:pPr>
      <w:r>
        <w:rPr>
          <w:rFonts w:hint="eastAsia"/>
          <w:b/>
          <w:bCs/>
          <w:color w:val="auto"/>
          <w:highlight w:val="none"/>
        </w:rPr>
        <w:t>格式三：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pPr>
        <w:spacing w:line="360" w:lineRule="auto"/>
        <w:ind w:firstLine="3512" w:firstLineChars="1666"/>
        <w:rPr>
          <w:rFonts w:ascii="宋体" w:hAnsi="宋体" w:cs="宋体"/>
          <w:b/>
          <w:color w:val="auto"/>
          <w:szCs w:val="21"/>
          <w:highlight w:val="none"/>
        </w:rPr>
      </w:pP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______________________(招标人)：</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eastAsia="zh-CN"/>
        </w:rPr>
        <w:t>（2）</w:t>
      </w:r>
      <w:r>
        <w:rPr>
          <w:rFonts w:hint="eastAsia" w:ascii="宋体" w:hAnsi="宋体" w:cs="宋体"/>
          <w:color w:val="auto"/>
          <w:szCs w:val="21"/>
          <w:highlight w:val="none"/>
        </w:rPr>
        <w:t>_______________________________________________________________。</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8"/>
        <w:rPr>
          <w:b/>
          <w:bCs/>
          <w:color w:val="auto"/>
          <w:highlight w:val="none"/>
        </w:rPr>
      </w:pPr>
      <w:r>
        <w:rPr>
          <w:rFonts w:hint="eastAsia"/>
          <w:b/>
          <w:bCs/>
          <w:color w:val="auto"/>
          <w:highlight w:val="none"/>
        </w:rPr>
        <w:t>格式四：</w:t>
      </w:r>
    </w:p>
    <w:p>
      <w:pPr>
        <w:jc w:val="center"/>
        <w:rPr>
          <w:b/>
          <w:bCs/>
          <w:color w:val="auto"/>
          <w:highlight w:val="none"/>
        </w:rPr>
      </w:pPr>
      <w:r>
        <w:rPr>
          <w:rFonts w:hint="eastAsia"/>
          <w:b/>
          <w:bCs/>
          <w:color w:val="auto"/>
          <w:highlight w:val="none"/>
        </w:rPr>
        <w:t>联合体共同投标协议书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pPr>
        <w:spacing w:line="360" w:lineRule="auto"/>
        <w:rPr>
          <w:rFonts w:ascii="宋体" w:hAnsi="宋体" w:cs="宋体"/>
          <w:color w:val="auto"/>
          <w:highlight w:val="none"/>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思源黑体 CN Heavy">
    <w:altName w:val="黑体"/>
    <w:panose1 w:val="00000000000000000000"/>
    <w:charset w:val="80"/>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center"/>
      <w:rPr>
        <w:rFonts w:hint="eastAsia" w:eastAsia="宋体"/>
        <w:lang w:eastAsia="zh-CN"/>
      </w:rPr>
    </w:pPr>
    <w:r>
      <w:rPr>
        <w:rFonts w:hint="eastAsia"/>
        <w:lang w:eastAsia="zh-CN"/>
      </w:rPr>
      <w:t>东莞市天雅园林绿化有限公司苗木协议供应商服务资格采购项目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73AA4"/>
    <w:multiLevelType w:val="singleLevel"/>
    <w:tmpl w:val="99073AA4"/>
    <w:lvl w:ilvl="0" w:tentative="0">
      <w:start w:val="1"/>
      <w:numFmt w:val="chineseCounting"/>
      <w:suff w:val="space"/>
      <w:lvlText w:val="第%1篇"/>
      <w:lvlJc w:val="left"/>
      <w:rPr>
        <w:rFonts w:hint="eastAsia"/>
      </w:rPr>
    </w:lvl>
  </w:abstractNum>
  <w:abstractNum w:abstractNumId="1">
    <w:nsid w:val="E55BFF18"/>
    <w:multiLevelType w:val="singleLevel"/>
    <w:tmpl w:val="E55BFF18"/>
    <w:lvl w:ilvl="0" w:tentative="0">
      <w:start w:val="1"/>
      <w:numFmt w:val="decimal"/>
      <w:suff w:val="nothing"/>
      <w:lvlText w:val="（%1）"/>
      <w:lvlJc w:val="left"/>
    </w:lvl>
  </w:abstractNum>
  <w:abstractNum w:abstractNumId="2">
    <w:nsid w:val="F3851CDE"/>
    <w:multiLevelType w:val="singleLevel"/>
    <w:tmpl w:val="F3851CDE"/>
    <w:lvl w:ilvl="0" w:tentative="0">
      <w:start w:val="2"/>
      <w:numFmt w:val="chineseCounting"/>
      <w:suff w:val="nothing"/>
      <w:lvlText w:val="%1、"/>
      <w:lvlJc w:val="left"/>
      <w:rPr>
        <w:rFonts w:hint="eastAsia"/>
      </w:rPr>
    </w:lvl>
  </w:abstractNum>
  <w:abstractNum w:abstractNumId="3">
    <w:nsid w:val="F73DC5D7"/>
    <w:multiLevelType w:val="singleLevel"/>
    <w:tmpl w:val="F73DC5D7"/>
    <w:lvl w:ilvl="0" w:tentative="0">
      <w:start w:val="1"/>
      <w:numFmt w:val="decimal"/>
      <w:suff w:val="nothing"/>
      <w:lvlText w:val="（%1）"/>
      <w:lvlJc w:val="left"/>
      <w:pPr>
        <w:ind w:left="660"/>
      </w:pPr>
    </w:lvl>
  </w:abstractNum>
  <w:abstractNum w:abstractNumId="4">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06CABF7"/>
    <w:multiLevelType w:val="singleLevel"/>
    <w:tmpl w:val="206CABF7"/>
    <w:lvl w:ilvl="0" w:tentative="0">
      <w:start w:val="1"/>
      <w:numFmt w:val="decimal"/>
      <w:suff w:val="nothing"/>
      <w:lvlText w:val="（%1）"/>
      <w:lvlJc w:val="left"/>
    </w:lvl>
  </w:abstractNum>
  <w:abstractNum w:abstractNumId="6">
    <w:nsid w:val="32E25990"/>
    <w:multiLevelType w:val="singleLevel"/>
    <w:tmpl w:val="32E25990"/>
    <w:lvl w:ilvl="0" w:tentative="0">
      <w:start w:val="1"/>
      <w:numFmt w:val="decimal"/>
      <w:suff w:val="nothing"/>
      <w:lvlText w:val="%1、"/>
      <w:lvlJc w:val="left"/>
    </w:lvl>
  </w:abstractNum>
  <w:abstractNum w:abstractNumId="7">
    <w:nsid w:val="3F88662E"/>
    <w:multiLevelType w:val="singleLevel"/>
    <w:tmpl w:val="3F88662E"/>
    <w:lvl w:ilvl="0" w:tentative="0">
      <w:start w:val="1"/>
      <w:numFmt w:val="decimal"/>
      <w:suff w:val="space"/>
      <w:lvlText w:val="%1)"/>
      <w:lvlJc w:val="left"/>
    </w:lvl>
  </w:abstractNum>
  <w:abstractNum w:abstractNumId="8">
    <w:nsid w:val="3F8A5608"/>
    <w:multiLevelType w:val="multilevel"/>
    <w:tmpl w:val="3F8A5608"/>
    <w:lvl w:ilvl="0" w:tentative="0">
      <w:start w:val="1"/>
      <w:numFmt w:val="decimal"/>
      <w:pStyle w:val="9"/>
      <w:lvlText w:val="%1、"/>
      <w:lvlJc w:val="left"/>
      <w:pPr>
        <w:tabs>
          <w:tab w:val="left" w:pos="420"/>
        </w:tabs>
        <w:ind w:left="840" w:hanging="420"/>
      </w:pPr>
      <w:rPr>
        <w:rFonts w:hint="eastAsia"/>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9">
    <w:nsid w:val="6731CD76"/>
    <w:multiLevelType w:val="singleLevel"/>
    <w:tmpl w:val="6731CD76"/>
    <w:lvl w:ilvl="0" w:tentative="0">
      <w:start w:val="1"/>
      <w:numFmt w:val="chineseCounting"/>
      <w:suff w:val="nothing"/>
      <w:lvlText w:val="%1、"/>
      <w:lvlJc w:val="left"/>
      <w:pPr>
        <w:ind w:left="0" w:firstLine="420"/>
      </w:pPr>
      <w:rPr>
        <w:rFonts w:hint="eastAsia"/>
      </w:rPr>
    </w:lvl>
  </w:abstractNum>
  <w:num w:numId="1">
    <w:abstractNumId w:val="8"/>
  </w:num>
  <w:num w:numId="2">
    <w:abstractNumId w:val="0"/>
  </w:num>
  <w:num w:numId="3">
    <w:abstractNumId w:val="6"/>
  </w:num>
  <w:num w:numId="4">
    <w:abstractNumId w:val="1"/>
  </w:num>
  <w:num w:numId="5">
    <w:abstractNumId w:val="2"/>
  </w:num>
  <w:num w:numId="6">
    <w:abstractNumId w:val="4"/>
  </w:num>
  <w:num w:numId="7">
    <w:abstractNumId w:val="7"/>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OWFkODEzY2E3MmE0NTI5NGEyNGJmZmRlZTcxNDI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25C1016"/>
    <w:rsid w:val="03314EBB"/>
    <w:rsid w:val="0393759D"/>
    <w:rsid w:val="03B81ACB"/>
    <w:rsid w:val="04104C49"/>
    <w:rsid w:val="042B2878"/>
    <w:rsid w:val="057C5CF6"/>
    <w:rsid w:val="07164692"/>
    <w:rsid w:val="08AA4227"/>
    <w:rsid w:val="0A476AB9"/>
    <w:rsid w:val="0AF142C5"/>
    <w:rsid w:val="0B696582"/>
    <w:rsid w:val="0C035E1C"/>
    <w:rsid w:val="0C502C33"/>
    <w:rsid w:val="0CCE2E39"/>
    <w:rsid w:val="0CE07856"/>
    <w:rsid w:val="0D4771FD"/>
    <w:rsid w:val="0D7D0092"/>
    <w:rsid w:val="0E9E2DC7"/>
    <w:rsid w:val="0EA33B28"/>
    <w:rsid w:val="0F1622A5"/>
    <w:rsid w:val="104E109A"/>
    <w:rsid w:val="14A23938"/>
    <w:rsid w:val="15024C32"/>
    <w:rsid w:val="15B14373"/>
    <w:rsid w:val="15C90CD3"/>
    <w:rsid w:val="15EC457C"/>
    <w:rsid w:val="165B7DDA"/>
    <w:rsid w:val="176A48A5"/>
    <w:rsid w:val="19FB335D"/>
    <w:rsid w:val="1A64691E"/>
    <w:rsid w:val="1AE7480E"/>
    <w:rsid w:val="1BBB674D"/>
    <w:rsid w:val="1C0A3601"/>
    <w:rsid w:val="1CBB4733"/>
    <w:rsid w:val="1DA82F09"/>
    <w:rsid w:val="1DB725C0"/>
    <w:rsid w:val="1EA56063"/>
    <w:rsid w:val="1EDF0BAD"/>
    <w:rsid w:val="1F096735"/>
    <w:rsid w:val="20315D21"/>
    <w:rsid w:val="204A3779"/>
    <w:rsid w:val="20FB779B"/>
    <w:rsid w:val="21150716"/>
    <w:rsid w:val="228B1F5A"/>
    <w:rsid w:val="24690A51"/>
    <w:rsid w:val="246B6A3F"/>
    <w:rsid w:val="25F3318F"/>
    <w:rsid w:val="282D0BDB"/>
    <w:rsid w:val="285C6DCA"/>
    <w:rsid w:val="28C04DAC"/>
    <w:rsid w:val="29473C25"/>
    <w:rsid w:val="2A213986"/>
    <w:rsid w:val="2AC77B38"/>
    <w:rsid w:val="2D3A4F1C"/>
    <w:rsid w:val="2E462ABD"/>
    <w:rsid w:val="2EAE74F5"/>
    <w:rsid w:val="2F7E5D1A"/>
    <w:rsid w:val="2FE55D43"/>
    <w:rsid w:val="306215F9"/>
    <w:rsid w:val="32FD564D"/>
    <w:rsid w:val="3361192C"/>
    <w:rsid w:val="34BE4BEB"/>
    <w:rsid w:val="35A73A89"/>
    <w:rsid w:val="35E328D9"/>
    <w:rsid w:val="35E852A7"/>
    <w:rsid w:val="3A2F1C03"/>
    <w:rsid w:val="3B2A432E"/>
    <w:rsid w:val="3B871F58"/>
    <w:rsid w:val="3D5723D5"/>
    <w:rsid w:val="3E0202C6"/>
    <w:rsid w:val="3F0B4C4E"/>
    <w:rsid w:val="414D04F3"/>
    <w:rsid w:val="41932026"/>
    <w:rsid w:val="41BE0275"/>
    <w:rsid w:val="41ED22BC"/>
    <w:rsid w:val="438833C2"/>
    <w:rsid w:val="4513485D"/>
    <w:rsid w:val="452B604A"/>
    <w:rsid w:val="466C3393"/>
    <w:rsid w:val="46E65C92"/>
    <w:rsid w:val="47735BD0"/>
    <w:rsid w:val="47830165"/>
    <w:rsid w:val="48267B76"/>
    <w:rsid w:val="4916491B"/>
    <w:rsid w:val="498145E0"/>
    <w:rsid w:val="4AB443EC"/>
    <w:rsid w:val="4E2D7A9F"/>
    <w:rsid w:val="4E7D288E"/>
    <w:rsid w:val="4F053468"/>
    <w:rsid w:val="500029DA"/>
    <w:rsid w:val="5058707D"/>
    <w:rsid w:val="5157604D"/>
    <w:rsid w:val="51C43276"/>
    <w:rsid w:val="52E14EC4"/>
    <w:rsid w:val="535645E7"/>
    <w:rsid w:val="53B15D31"/>
    <w:rsid w:val="53F51E89"/>
    <w:rsid w:val="54091C4C"/>
    <w:rsid w:val="5464147A"/>
    <w:rsid w:val="57846093"/>
    <w:rsid w:val="589F0489"/>
    <w:rsid w:val="597532F9"/>
    <w:rsid w:val="5AD36B10"/>
    <w:rsid w:val="5BE04967"/>
    <w:rsid w:val="5C015C21"/>
    <w:rsid w:val="5C306C5C"/>
    <w:rsid w:val="5CB07109"/>
    <w:rsid w:val="5CB541E5"/>
    <w:rsid w:val="5D405E5E"/>
    <w:rsid w:val="5D744988"/>
    <w:rsid w:val="5E525F9E"/>
    <w:rsid w:val="5E720F58"/>
    <w:rsid w:val="601E438A"/>
    <w:rsid w:val="61CD473F"/>
    <w:rsid w:val="62F82193"/>
    <w:rsid w:val="62F90966"/>
    <w:rsid w:val="63FD075A"/>
    <w:rsid w:val="64D3048A"/>
    <w:rsid w:val="650A75D2"/>
    <w:rsid w:val="657F444F"/>
    <w:rsid w:val="65EE0CA2"/>
    <w:rsid w:val="66CA48D2"/>
    <w:rsid w:val="687065DC"/>
    <w:rsid w:val="69827B0F"/>
    <w:rsid w:val="69D65C6C"/>
    <w:rsid w:val="6CAF575F"/>
    <w:rsid w:val="6CB06BF1"/>
    <w:rsid w:val="6D267ABB"/>
    <w:rsid w:val="6E003853"/>
    <w:rsid w:val="6E063FE8"/>
    <w:rsid w:val="6EE647BB"/>
    <w:rsid w:val="6EEF2FF6"/>
    <w:rsid w:val="6F4B3D42"/>
    <w:rsid w:val="6F8546C2"/>
    <w:rsid w:val="70C5497A"/>
    <w:rsid w:val="70D92B93"/>
    <w:rsid w:val="71302E2E"/>
    <w:rsid w:val="7189187F"/>
    <w:rsid w:val="71DC5995"/>
    <w:rsid w:val="71F92EA9"/>
    <w:rsid w:val="736305DA"/>
    <w:rsid w:val="7419338E"/>
    <w:rsid w:val="744C72C0"/>
    <w:rsid w:val="74951BFB"/>
    <w:rsid w:val="76A84E33"/>
    <w:rsid w:val="76AC5B4C"/>
    <w:rsid w:val="76E527AD"/>
    <w:rsid w:val="77522CE7"/>
    <w:rsid w:val="7765046B"/>
    <w:rsid w:val="77672662"/>
    <w:rsid w:val="78C12DDF"/>
    <w:rsid w:val="7B3A7A92"/>
    <w:rsid w:val="7B4D5FBD"/>
    <w:rsid w:val="7B6B57B5"/>
    <w:rsid w:val="7BF00E78"/>
    <w:rsid w:val="7D562F5D"/>
    <w:rsid w:val="7F2F3A66"/>
    <w:rsid w:val="7F644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7"/>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7"/>
    <w:qFormat/>
    <w:uiPriority w:val="0"/>
    <w:pPr>
      <w:keepNext/>
      <w:keepLines/>
      <w:spacing w:line="576" w:lineRule="auto"/>
      <w:jc w:val="center"/>
      <w:outlineLvl w:val="0"/>
    </w:pPr>
    <w:rPr>
      <w:b/>
      <w:kern w:val="44"/>
      <w:sz w:val="30"/>
    </w:rPr>
  </w:style>
  <w:style w:type="paragraph" w:styleId="2">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4">
    <w:name w:val="heading 3"/>
    <w:basedOn w:val="1"/>
    <w:next w:val="1"/>
    <w:unhideWhenUsed/>
    <w:qFormat/>
    <w:uiPriority w:val="0"/>
    <w:pPr>
      <w:keepNext/>
      <w:keepLines/>
      <w:spacing w:line="360" w:lineRule="auto"/>
      <w:outlineLvl w:val="2"/>
    </w:pPr>
    <w:rPr>
      <w:b/>
    </w:rPr>
  </w:style>
  <w:style w:type="paragraph" w:styleId="5">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7">
    <w:name w:val="annotation text"/>
    <w:basedOn w:val="1"/>
    <w:qFormat/>
    <w:uiPriority w:val="0"/>
  </w:style>
  <w:style w:type="paragraph" w:styleId="8">
    <w:name w:val="Body Text"/>
    <w:basedOn w:val="1"/>
    <w:next w:val="9"/>
    <w:qFormat/>
    <w:uiPriority w:val="1"/>
    <w:pPr>
      <w:spacing w:before="161"/>
      <w:ind w:left="120"/>
    </w:pPr>
    <w:rPr>
      <w:rFonts w:ascii="宋体" w:hAnsi="宋体" w:cs="宋体"/>
      <w:sz w:val="24"/>
      <w:lang w:val="zh-CN" w:bidi="zh-CN"/>
    </w:rPr>
  </w:style>
  <w:style w:type="paragraph" w:styleId="9">
    <w:name w:val="Body Text First Indent"/>
    <w:basedOn w:val="8"/>
    <w:next w:val="10"/>
    <w:qFormat/>
    <w:uiPriority w:val="0"/>
    <w:pPr>
      <w:numPr>
        <w:ilvl w:val="0"/>
        <w:numId w:val="1"/>
      </w:numPr>
      <w:tabs>
        <w:tab w:val="clear" w:pos="420"/>
      </w:tabs>
      <w:spacing w:line="360" w:lineRule="auto"/>
      <w:ind w:left="0" w:firstLine="420" w:firstLineChars="100"/>
    </w:pPr>
    <w:rPr>
      <w:rFonts w:ascii="Calibri" w:hAnsi="Calibri"/>
    </w:rPr>
  </w:style>
  <w:style w:type="paragraph" w:styleId="10">
    <w:name w:val="toc 6"/>
    <w:basedOn w:val="1"/>
    <w:next w:val="1"/>
    <w:qFormat/>
    <w:uiPriority w:val="0"/>
    <w:pPr>
      <w:ind w:left="1200"/>
    </w:pPr>
    <w:rPr>
      <w:rFonts w:ascii="Calibri" w:cs="Calibri"/>
      <w:sz w:val="18"/>
      <w:szCs w:val="18"/>
    </w:r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eastAsiaTheme="minorEastAsia"/>
      <w:szCs w:val="22"/>
    </w:rPr>
  </w:style>
  <w:style w:type="paragraph" w:styleId="13">
    <w:name w:val="Balloon Text"/>
    <w:basedOn w:val="1"/>
    <w:link w:val="34"/>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Subtitle"/>
    <w:basedOn w:val="1"/>
    <w:next w:val="1"/>
    <w:qFormat/>
    <w:uiPriority w:val="0"/>
    <w:pPr>
      <w:spacing w:before="240" w:after="60" w:line="312" w:lineRule="auto"/>
      <w:ind w:firstLine="200" w:firstLineChars="200"/>
      <w:jc w:val="center"/>
      <w:textAlignment w:val="baseline"/>
    </w:pPr>
    <w:rPr>
      <w:rFonts w:ascii="等线" w:hAnsi="等线" w:eastAsia="等线" w:cs="Times New Roman"/>
      <w:b/>
      <w:bCs/>
      <w:kern w:val="28"/>
      <w:sz w:val="32"/>
      <w:szCs w:val="32"/>
      <w:lang w:val="en-US" w:eastAsia="zh-CN" w:bidi="ar-SA"/>
    </w:rPr>
  </w:style>
  <w:style w:type="paragraph" w:styleId="17">
    <w:name w:val="Normal (Web)"/>
    <w:basedOn w:val="1"/>
    <w:qFormat/>
    <w:uiPriority w:val="0"/>
    <w:rPr>
      <w:sz w:val="24"/>
    </w:rPr>
  </w:style>
  <w:style w:type="paragraph" w:styleId="18">
    <w:name w:val="Body Text First Indent 2"/>
    <w:basedOn w:val="11"/>
    <w:qFormat/>
    <w:uiPriority w:val="0"/>
    <w:pPr>
      <w:spacing w:line="360" w:lineRule="auto"/>
      <w:ind w:firstLine="420" w:firstLineChars="200"/>
    </w:pPr>
    <w:rPr>
      <w:bCs/>
      <w:szCs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qFormat/>
    <w:uiPriority w:val="99"/>
    <w:rPr>
      <w:color w:val="0000FF"/>
      <w:u w:val="single"/>
    </w:rPr>
  </w:style>
  <w:style w:type="character" w:styleId="23">
    <w:name w:val="annotation reference"/>
    <w:basedOn w:val="21"/>
    <w:qFormat/>
    <w:uiPriority w:val="0"/>
    <w:rPr>
      <w:sz w:val="21"/>
      <w:szCs w:val="21"/>
    </w:rPr>
  </w:style>
  <w:style w:type="paragraph" w:customStyle="1" w:styleId="24">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25">
    <w:name w:val="BodyText"/>
    <w:basedOn w:val="1"/>
    <w:next w:val="16"/>
    <w:qFormat/>
    <w:uiPriority w:val="0"/>
    <w:pPr>
      <w:spacing w:before="161"/>
      <w:ind w:left="120"/>
      <w:textAlignment w:val="baseline"/>
    </w:pPr>
    <w:rPr>
      <w:rFonts w:ascii="宋体" w:hAnsi="宋体" w:eastAsia="宋体"/>
      <w:kern w:val="2"/>
      <w:sz w:val="24"/>
      <w:szCs w:val="24"/>
      <w:lang w:val="zh-CN" w:eastAsia="zh-CN" w:bidi="zh-CN"/>
    </w:rPr>
  </w:style>
  <w:style w:type="paragraph" w:styleId="26">
    <w:name w:val="List Paragraph"/>
    <w:basedOn w:val="1"/>
    <w:qFormat/>
    <w:uiPriority w:val="34"/>
    <w:pPr>
      <w:ind w:firstLine="420" w:firstLineChars="200"/>
    </w:pPr>
  </w:style>
  <w:style w:type="character" w:customStyle="1" w:styleId="27">
    <w:name w:val="标题 1 Char"/>
    <w:link w:val="3"/>
    <w:qFormat/>
    <w:uiPriority w:val="0"/>
    <w:rPr>
      <w:b/>
      <w:kern w:val="44"/>
      <w:sz w:val="30"/>
    </w:rPr>
  </w:style>
  <w:style w:type="paragraph" w:customStyle="1" w:styleId="28">
    <w:name w:val="Table Paragraph"/>
    <w:basedOn w:val="1"/>
    <w:qFormat/>
    <w:uiPriority w:val="1"/>
  </w:style>
  <w:style w:type="paragraph" w:customStyle="1" w:styleId="29">
    <w:name w:val="正文缩进2格"/>
    <w:basedOn w:val="1"/>
    <w:next w:val="1"/>
    <w:qFormat/>
    <w:uiPriority w:val="0"/>
    <w:pPr>
      <w:spacing w:line="600" w:lineRule="exact"/>
      <w:ind w:firstLine="639" w:firstLineChars="206"/>
      <w:jc w:val="both"/>
    </w:pPr>
    <w:rPr>
      <w:rFonts w:ascii="仿宋_GB2312" w:hAnsi="宋体" w:eastAsia="仿宋_GB2312"/>
      <w:sz w:val="31"/>
    </w:r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列出段落1"/>
    <w:basedOn w:val="1"/>
    <w:qFormat/>
    <w:uiPriority w:val="0"/>
    <w:pPr>
      <w:ind w:firstLine="420" w:firstLineChars="200"/>
    </w:pPr>
    <w:rPr>
      <w:rFonts w:ascii="Calibri" w:hAnsi="Calibri"/>
      <w:kern w:val="0"/>
      <w:sz w:val="20"/>
      <w:szCs w:val="20"/>
    </w:rPr>
  </w:style>
  <w:style w:type="character" w:customStyle="1" w:styleId="34">
    <w:name w:val="批注框文本 Char"/>
    <w:basedOn w:val="21"/>
    <w:link w:val="13"/>
    <w:qFormat/>
    <w:uiPriority w:val="0"/>
    <w:rPr>
      <w:rFonts w:asciiTheme="minorHAnsi" w:hAnsiTheme="minorHAnsi" w:cstheme="minorBidi"/>
      <w:kern w:val="2"/>
      <w:sz w:val="18"/>
      <w:szCs w:val="18"/>
    </w:rPr>
  </w:style>
  <w:style w:type="paragraph" w:customStyle="1" w:styleId="35">
    <w:name w:val="Other|1"/>
    <w:basedOn w:val="1"/>
    <w:qFormat/>
    <w:uiPriority w:val="0"/>
    <w:pPr>
      <w:jc w:val="center"/>
    </w:pPr>
    <w:rPr>
      <w:rFonts w:ascii="宋体" w:hAnsi="宋体" w:cs="宋体"/>
      <w:sz w:val="14"/>
      <w:szCs w:val="14"/>
      <w:lang w:val="zh-TW" w:eastAsia="zh-TW" w:bidi="zh-TW"/>
    </w:rPr>
  </w:style>
  <w:style w:type="character" w:customStyle="1" w:styleId="36">
    <w:name w:val="weby11"/>
    <w:basedOn w:val="21"/>
    <w:qFormat/>
    <w:uiPriority w:val="0"/>
    <w:rPr>
      <w:sz w:val="18"/>
      <w:szCs w:val="18"/>
    </w:rPr>
  </w:style>
  <w:style w:type="character" w:customStyle="1" w:styleId="37">
    <w:name w:val="NormalCharacter"/>
    <w:link w:val="1"/>
    <w:semiHidden/>
    <w:qFormat/>
    <w:uiPriority w:val="0"/>
    <w:rPr>
      <w:rFonts w:eastAsia="宋体" w:asciiTheme="minorHAnsi" w:hAnsiTheme="minorHAnsi" w:cstheme="minorBidi"/>
      <w:kern w:val="2"/>
      <w:sz w:val="21"/>
      <w:szCs w:val="24"/>
      <w:lang w:val="en-US" w:eastAsia="zh-CN" w:bidi="ar-SA"/>
    </w:rPr>
  </w:style>
  <w:style w:type="paragraph" w:customStyle="1" w:styleId="38">
    <w:name w:val="表格"/>
    <w:basedOn w:val="1"/>
    <w:qFormat/>
    <w:uiPriority w:val="0"/>
    <w:rPr>
      <w:rFonts w:hint="eastAsia" w:ascii="Calibri" w:hAnsi="Calibri"/>
      <w:color w:val="000000"/>
    </w:rPr>
  </w:style>
  <w:style w:type="paragraph" w:customStyle="1" w:styleId="39">
    <w:name w:val="正文缩进4格"/>
    <w:basedOn w:val="29"/>
    <w:qFormat/>
    <w:uiPriority w:val="0"/>
    <w:pPr>
      <w:ind w:left="2" w:firstLine="538" w:firstLineChars="192"/>
    </w:pPr>
    <w:rPr>
      <w:color w:val="0000FF"/>
      <w:sz w:val="28"/>
    </w:rPr>
  </w:style>
  <w:style w:type="character" w:customStyle="1" w:styleId="40">
    <w:name w:val="font21"/>
    <w:basedOn w:val="21"/>
    <w:qFormat/>
    <w:uiPriority w:val="0"/>
    <w:rPr>
      <w:rFonts w:hint="eastAsia" w:ascii="仿宋" w:hAnsi="仿宋" w:eastAsia="仿宋" w:cs="仿宋"/>
      <w:color w:val="000000"/>
      <w:sz w:val="36"/>
      <w:szCs w:val="36"/>
      <w:u w:val="none"/>
    </w:rPr>
  </w:style>
  <w:style w:type="character" w:customStyle="1" w:styleId="41">
    <w:name w:val="font81"/>
    <w:basedOn w:val="21"/>
    <w:qFormat/>
    <w:uiPriority w:val="0"/>
    <w:rPr>
      <w:rFonts w:hint="default" w:ascii="Times New Roman" w:hAnsi="Times New Roman" w:cs="Times New Roman"/>
      <w:color w:val="000000"/>
      <w:sz w:val="36"/>
      <w:szCs w:val="36"/>
      <w:u w:val="none"/>
    </w:rPr>
  </w:style>
  <w:style w:type="character" w:customStyle="1" w:styleId="42">
    <w:name w:val="font112"/>
    <w:basedOn w:val="21"/>
    <w:qFormat/>
    <w:uiPriority w:val="0"/>
    <w:rPr>
      <w:rFonts w:ascii="Wingdings 2" w:hAnsi="Wingdings 2" w:eastAsia="Wingdings 2" w:cs="Wingdings 2"/>
      <w:color w:val="000000"/>
      <w:sz w:val="36"/>
      <w:szCs w:val="36"/>
      <w:u w:val="none"/>
    </w:rPr>
  </w:style>
  <w:style w:type="character" w:customStyle="1" w:styleId="43">
    <w:name w:val="font91"/>
    <w:basedOn w:val="21"/>
    <w:qFormat/>
    <w:uiPriority w:val="0"/>
    <w:rPr>
      <w:rFonts w:hint="eastAsia" w:ascii="仿宋" w:hAnsi="仿宋" w:eastAsia="仿宋" w:cs="仿宋"/>
      <w:color w:val="0D0D0D"/>
      <w:sz w:val="36"/>
      <w:szCs w:val="36"/>
      <w:u w:val="none"/>
    </w:rPr>
  </w:style>
  <w:style w:type="character" w:customStyle="1" w:styleId="44">
    <w:name w:val="font121"/>
    <w:basedOn w:val="21"/>
    <w:qFormat/>
    <w:uiPriority w:val="0"/>
    <w:rPr>
      <w:rFonts w:hint="eastAsia" w:ascii="仿宋" w:hAnsi="仿宋" w:eastAsia="仿宋" w:cs="仿宋"/>
      <w:color w:val="000000"/>
      <w:sz w:val="36"/>
      <w:szCs w:val="36"/>
      <w:u w:val="none"/>
    </w:rPr>
  </w:style>
  <w:style w:type="character" w:customStyle="1" w:styleId="45">
    <w:name w:val="font131"/>
    <w:basedOn w:val="21"/>
    <w:qFormat/>
    <w:uiPriority w:val="0"/>
    <w:rPr>
      <w:rFonts w:hint="eastAsia" w:ascii="仿宋" w:hAnsi="仿宋" w:eastAsia="仿宋" w:cs="仿宋"/>
      <w:color w:val="000000"/>
      <w:sz w:val="36"/>
      <w:szCs w:val="36"/>
      <w:u w:val="none"/>
      <w:vertAlign w:val="superscript"/>
    </w:rPr>
  </w:style>
  <w:style w:type="character" w:customStyle="1" w:styleId="46">
    <w:name w:val="font141"/>
    <w:basedOn w:val="21"/>
    <w:qFormat/>
    <w:uiPriority w:val="0"/>
    <w:rPr>
      <w:rFonts w:hint="eastAsia" w:ascii="宋体" w:hAnsi="宋体" w:eastAsia="宋体" w:cs="宋体"/>
      <w:color w:val="0D0D0D"/>
      <w:sz w:val="36"/>
      <w:szCs w:val="36"/>
      <w:u w:val="none"/>
    </w:rPr>
  </w:style>
  <w:style w:type="paragraph" w:customStyle="1" w:styleId="47">
    <w:name w:val="UserStyle_3"/>
    <w:basedOn w:val="1"/>
    <w:qFormat/>
    <w:uiPriority w:val="0"/>
    <w:pPr>
      <w:widowControl/>
      <w:spacing w:line="360" w:lineRule="auto"/>
      <w:ind w:firstLine="420" w:firstLineChars="200"/>
      <w:textAlignment w:val="baseline"/>
    </w:pPr>
    <w:rPr>
      <w:rFonts w:ascii="Times New Roman" w:hAnsi="Times New Roman" w:eastAsia="宋体" w:cs="Times New Roman"/>
      <w:kern w:val="0"/>
      <w:sz w:val="20"/>
      <w:szCs w:val="20"/>
    </w:rPr>
  </w:style>
  <w:style w:type="paragraph" w:customStyle="1" w:styleId="48">
    <w:name w:val="Basistekst Batenburg"/>
    <w:basedOn w:val="49"/>
    <w:qFormat/>
    <w:uiPriority w:val="0"/>
  </w:style>
  <w:style w:type="paragraph" w:customStyle="1" w:styleId="49">
    <w:name w:val="Zsysbasis Batenburg"/>
    <w:next w:val="48"/>
    <w:qFormat/>
    <w:uiPriority w:val="0"/>
    <w:pPr>
      <w:spacing w:line="300" w:lineRule="atLeast"/>
    </w:pPr>
    <w:rPr>
      <w:rFonts w:ascii="Times New Roman" w:hAnsi="Times New Roman" w:eastAsia="宋体" w:cs="Times New Roman"/>
      <w:sz w:val="22"/>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65</Pages>
  <Words>28267</Words>
  <Characters>29015</Characters>
  <Lines>343</Lines>
  <Paragraphs>96</Paragraphs>
  <TotalTime>69</TotalTime>
  <ScaleCrop>false</ScaleCrop>
  <LinksUpToDate>false</LinksUpToDate>
  <CharactersWithSpaces>30574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陈--JIN涛</cp:lastModifiedBy>
  <cp:lastPrinted>2022-10-24T03:02:00Z</cp:lastPrinted>
  <dcterms:modified xsi:type="dcterms:W3CDTF">2023-06-21T07:51:13Z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70BDA53F248540EFAA6A8CC0287B69CE_13</vt:lpwstr>
  </property>
</Properties>
</file>