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16489"/>
      <w:bookmarkStart w:id="2" w:name="_Toc7243"/>
      <w:bookmarkStart w:id="3" w:name="_Toc7942"/>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20638"/>
      <w:bookmarkStart w:id="5" w:name="_Toc9385"/>
      <w:bookmarkStart w:id="6" w:name="_Toc8734"/>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东莞市商业学校东校区教学楼课室照明系统改造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GSDG2023-017B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东莞市商业学校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4164"/>
      <w:bookmarkStart w:id="9" w:name="_Toc5265"/>
      <w:bookmarkStart w:id="10" w:name="_Toc17050"/>
      <w:bookmarkStart w:id="11" w:name="_Toc18278"/>
      <w:r>
        <w:rPr>
          <w:rFonts w:hint="eastAsia" w:ascii="黑体" w:hAnsi="黑体" w:eastAsia="黑体" w:cs="黑体"/>
          <w:color w:val="auto"/>
          <w:sz w:val="30"/>
          <w:szCs w:val="30"/>
          <w:highlight w:val="none"/>
          <w:lang w:val="en-US" w:eastAsia="zh-CN"/>
        </w:rPr>
        <w:t>2023年7月14日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东莞市商业学校东校区教学楼课室照明系统改造</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26</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621"/>
      <w:bookmarkStart w:id="14" w:name="_Toc28359079"/>
      <w:bookmarkStart w:id="15" w:name="_Toc13782"/>
      <w:bookmarkStart w:id="16" w:name="_Toc28359002"/>
      <w:bookmarkStart w:id="17" w:name="_Toc2169"/>
      <w:bookmarkStart w:id="18" w:name="_Toc31624"/>
      <w:bookmarkStart w:id="19" w:name="_Toc35393790"/>
      <w:bookmarkStart w:id="20" w:name="_Toc26796"/>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GSDG2023-017B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东莞市商业学校东校区教学楼课室照明系统改造</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697,862.49元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东莞市商业学校东校区教学楼课室照明系统改造采购一项</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625"/>
      <w:bookmarkStart w:id="23" w:name="_Toc35393622"/>
      <w:bookmarkStart w:id="24" w:name="_Toc31691"/>
      <w:bookmarkStart w:id="25" w:name="_Toc13371"/>
      <w:bookmarkStart w:id="26" w:name="_Toc35393791"/>
      <w:bookmarkStart w:id="27" w:name="_Toc28359003"/>
      <w:bookmarkStart w:id="28" w:name="_Toc25198"/>
      <w:bookmarkStart w:id="29" w:name="_Toc28359080"/>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16211"/>
      <w:bookmarkStart w:id="31" w:name="_Toc7315"/>
      <w:bookmarkStart w:id="32" w:name="_Toc29919"/>
      <w:bookmarkStart w:id="33" w:name="_Toc8265"/>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36" w:name="_Toc35393623"/>
      <w:bookmarkStart w:id="37" w:name="_Toc173"/>
      <w:bookmarkStart w:id="38" w:name="_Toc35393792"/>
      <w:bookmarkStart w:id="39" w:name="_Toc2137"/>
      <w:bookmarkStart w:id="40" w:name="_Toc27443"/>
      <w:bookmarkStart w:id="41" w:name="_Toc18578"/>
      <w:r>
        <w:rPr>
          <w:rFonts w:hint="eastAsia" w:ascii="宋体" w:hAnsi="宋体" w:eastAsia="宋体" w:cs="宋体"/>
          <w:b/>
          <w:bCs/>
          <w:color w:val="auto"/>
          <w:sz w:val="21"/>
          <w:szCs w:val="21"/>
          <w:highlight w:val="none"/>
        </w:rPr>
        <w:t>三、获取</w:t>
      </w:r>
      <w:bookmarkEnd w:id="34"/>
      <w:bookmarkEnd w:id="35"/>
      <w:bookmarkEnd w:id="36"/>
      <w:bookmarkEnd w:id="37"/>
      <w:bookmarkEnd w:id="38"/>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39"/>
      <w:bookmarkEnd w:id="40"/>
      <w:bookmarkEnd w:id="41"/>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日</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s="宋体"/>
          <w:color w:val="auto"/>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2" w:name="_Toc28359082"/>
      <w:bookmarkStart w:id="43" w:name="_Toc28359005"/>
      <w:bookmarkStart w:id="44" w:name="_Toc10322"/>
      <w:bookmarkStart w:id="45" w:name="_Toc35393793"/>
      <w:bookmarkStart w:id="46" w:name="_Toc27404"/>
      <w:bookmarkStart w:id="47" w:name="_Toc35393624"/>
      <w:bookmarkStart w:id="48" w:name="_Toc28585"/>
      <w:bookmarkStart w:id="49" w:name="_Toc28435"/>
      <w:r>
        <w:rPr>
          <w:rFonts w:hint="eastAsia" w:ascii="宋体" w:hAnsi="宋体" w:eastAsia="宋体" w:cs="宋体"/>
          <w:b/>
          <w:bCs/>
          <w:color w:val="auto"/>
          <w:sz w:val="21"/>
          <w:szCs w:val="21"/>
          <w:highlight w:val="none"/>
        </w:rPr>
        <w:t>四、提交</w:t>
      </w:r>
      <w:bookmarkEnd w:id="42"/>
      <w:bookmarkEnd w:id="43"/>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4"/>
      <w:bookmarkEnd w:id="45"/>
      <w:bookmarkEnd w:id="46"/>
      <w:bookmarkEnd w:id="47"/>
      <w:bookmarkEnd w:id="48"/>
      <w:bookmarkEnd w:id="49"/>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26</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0" w:name="_Toc35393794"/>
      <w:bookmarkStart w:id="51" w:name="_Toc28359084"/>
      <w:bookmarkStart w:id="52" w:name="_Toc25695"/>
      <w:bookmarkStart w:id="53" w:name="_Toc1202"/>
      <w:bookmarkStart w:id="54" w:name="_Toc35393625"/>
      <w:bookmarkStart w:id="55" w:name="_Toc28359007"/>
      <w:bookmarkStart w:id="56" w:name="_Toc26299"/>
      <w:bookmarkStart w:id="57" w:name="_Toc1785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0"/>
      <w:bookmarkEnd w:id="51"/>
      <w:bookmarkEnd w:id="52"/>
      <w:bookmarkEnd w:id="53"/>
      <w:bookmarkEnd w:id="54"/>
      <w:bookmarkEnd w:id="55"/>
      <w:bookmarkEnd w:id="56"/>
      <w:bookmarkEnd w:id="57"/>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8" w:name="_Toc25010"/>
      <w:bookmarkStart w:id="59" w:name="_Toc35393626"/>
      <w:bookmarkStart w:id="60" w:name="_Toc35393795"/>
      <w:bookmarkStart w:id="61" w:name="_Toc9116"/>
      <w:bookmarkStart w:id="62" w:name="_Toc1519"/>
      <w:bookmarkStart w:id="63"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58"/>
      <w:bookmarkEnd w:id="59"/>
      <w:bookmarkEnd w:id="60"/>
      <w:bookmarkEnd w:id="61"/>
      <w:bookmarkEnd w:id="62"/>
      <w:bookmarkEnd w:id="6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4" w:name="_Toc35393796"/>
      <w:bookmarkStart w:id="65" w:name="_Toc35393627"/>
      <w:bookmarkStart w:id="66" w:name="_Toc28359085"/>
      <w:bookmarkStart w:id="67"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8" w:name="_Toc5139"/>
      <w:bookmarkStart w:id="69" w:name="_Toc8358"/>
      <w:bookmarkStart w:id="70" w:name="_Toc12281"/>
      <w:bookmarkStart w:id="71"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4"/>
      <w:bookmarkEnd w:id="65"/>
      <w:bookmarkEnd w:id="66"/>
      <w:bookmarkEnd w:id="67"/>
      <w:bookmarkEnd w:id="68"/>
      <w:bookmarkEnd w:id="69"/>
      <w:bookmarkEnd w:id="70"/>
      <w:bookmarkEnd w:id="71"/>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2" w:name="_Toc31577"/>
      <w:bookmarkStart w:id="73" w:name="_Toc30277"/>
      <w:bookmarkStart w:id="74" w:name="_Toc30615"/>
      <w:bookmarkStart w:id="75"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2"/>
      <w:bookmarkEnd w:id="73"/>
      <w:bookmarkEnd w:id="74"/>
      <w:bookmarkEnd w:id="75"/>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东莞市商业学校</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址：东莞市东城区新源路23号</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olor w:val="auto"/>
          <w:sz w:val="21"/>
          <w:szCs w:val="21"/>
          <w:highlight w:val="none"/>
          <w:lang w:val="en-US" w:eastAsia="zh-CN"/>
        </w:rPr>
        <w:t>黄老师</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s="宋体"/>
          <w:color w:val="auto"/>
          <w:sz w:val="21"/>
          <w:szCs w:val="21"/>
          <w:highlight w:val="none"/>
          <w:u w:val="none"/>
        </w:rPr>
        <w:t>0769-22661642</w:t>
      </w:r>
      <w:r>
        <w:rPr>
          <w:rFonts w:hint="eastAsia" w:ascii="宋体" w:hAnsi="宋体" w:eastAsia="宋体" w:cs="宋体"/>
          <w:color w:val="auto"/>
          <w:sz w:val="21"/>
          <w:szCs w:val="21"/>
          <w:highlight w:val="none"/>
          <w:u w:val="none"/>
        </w:rPr>
        <w:t xml:space="preserve"> </w:t>
      </w:r>
      <w:bookmarkStart w:id="76" w:name="_Toc28359086"/>
      <w:bookmarkStart w:id="77"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78" w:name="_Toc4580"/>
      <w:bookmarkStart w:id="79" w:name="_Toc25259"/>
      <w:bookmarkStart w:id="80" w:name="_Toc10880"/>
      <w:bookmarkStart w:id="81" w:name="_Toc11561"/>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76"/>
      <w:bookmarkEnd w:id="77"/>
      <w:bookmarkEnd w:id="78"/>
      <w:bookmarkEnd w:id="79"/>
      <w:bookmarkEnd w:id="80"/>
      <w:bookmarkEnd w:id="81"/>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2" w:name="_Toc28359087"/>
      <w:bookmarkStart w:id="83"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4" w:name="_Toc15543"/>
      <w:bookmarkStart w:id="85" w:name="_Toc9440"/>
      <w:bookmarkStart w:id="86" w:name="_Toc18257"/>
      <w:bookmarkStart w:id="87" w:name="_Toc28659"/>
      <w:r>
        <w:rPr>
          <w:rFonts w:hint="eastAsia" w:ascii="宋体" w:hAnsi="宋体" w:eastAsia="宋体" w:cs="宋体"/>
          <w:b/>
          <w:bCs/>
          <w:color w:val="auto"/>
          <w:sz w:val="21"/>
          <w:szCs w:val="21"/>
          <w:highlight w:val="none"/>
          <w:u w:val="none"/>
        </w:rPr>
        <w:t>3.项目联系方式</w:t>
      </w:r>
      <w:bookmarkEnd w:id="82"/>
      <w:bookmarkEnd w:id="83"/>
      <w:bookmarkEnd w:id="84"/>
      <w:bookmarkEnd w:id="85"/>
      <w:bookmarkEnd w:id="86"/>
      <w:bookmarkEnd w:id="87"/>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88" w:name="_Toc26573"/>
      <w:r>
        <w:rPr>
          <w:rFonts w:hint="eastAsia"/>
          <w:color w:val="auto"/>
          <w:highlight w:val="none"/>
          <w:lang w:val="en-US" w:eastAsia="zh-CN"/>
        </w:rPr>
        <w:t>供应商须知</w:t>
      </w:r>
      <w:bookmarkEnd w:id="88"/>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89" w:name="_Toc413402429"/>
      <w:bookmarkStart w:id="90" w:name="_Toc396137231"/>
      <w:bookmarkStart w:id="91" w:name="_Toc30510"/>
      <w:bookmarkStart w:id="92"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89"/>
      <w:bookmarkEnd w:id="90"/>
      <w:bookmarkEnd w:id="91"/>
      <w:bookmarkEnd w:id="92"/>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不需要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3" w:name="_Toc32123"/>
      <w:r>
        <w:rPr>
          <w:rFonts w:hint="eastAsia"/>
          <w:color w:val="auto"/>
          <w:highlight w:val="none"/>
          <w:lang w:val="en-US" w:eastAsia="zh-CN"/>
        </w:rPr>
        <w:t>供应商须知</w:t>
      </w:r>
      <w:bookmarkEnd w:id="93"/>
    </w:p>
    <w:p>
      <w:pPr>
        <w:pStyle w:val="5"/>
        <w:bidi w:val="0"/>
        <w:rPr>
          <w:color w:val="auto"/>
          <w:highlight w:val="none"/>
          <w:lang w:val="en-US" w:eastAsia="zh-CN"/>
        </w:rPr>
      </w:pPr>
      <w:bookmarkStart w:id="94" w:name="_Toc10658"/>
      <w:bookmarkStart w:id="95" w:name="_Toc8083"/>
      <w:bookmarkStart w:id="96" w:name="_Toc30834"/>
      <w:r>
        <w:rPr>
          <w:rFonts w:hint="eastAsia"/>
          <w:color w:val="auto"/>
          <w:highlight w:val="none"/>
          <w:lang w:val="en-US" w:eastAsia="zh-CN"/>
        </w:rPr>
        <w:t>1.适用范围</w:t>
      </w:r>
      <w:bookmarkEnd w:id="94"/>
      <w:bookmarkEnd w:id="95"/>
      <w:bookmarkEnd w:id="96"/>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97" w:name="_Toc25237"/>
      <w:bookmarkStart w:id="98" w:name="_Toc720"/>
      <w:bookmarkStart w:id="99" w:name="_Toc7271"/>
      <w:r>
        <w:rPr>
          <w:rFonts w:hint="eastAsia" w:eastAsia="宋体"/>
          <w:color w:val="auto"/>
          <w:highlight w:val="none"/>
          <w:lang w:val="en-US" w:eastAsia="zh-CN"/>
        </w:rPr>
        <w:t>2.</w:t>
      </w:r>
      <w:bookmarkStart w:id="100" w:name="_Toc303084246"/>
      <w:bookmarkStart w:id="101" w:name="_Toc1530"/>
      <w:bookmarkStart w:id="102" w:name="_Toc298847174"/>
      <w:bookmarkStart w:id="103" w:name="_Toc382049092"/>
      <w:r>
        <w:rPr>
          <w:rFonts w:hint="eastAsia" w:eastAsia="宋体"/>
          <w:color w:val="auto"/>
          <w:highlight w:val="none"/>
          <w:lang w:val="en-US" w:eastAsia="zh-CN"/>
        </w:rPr>
        <w:t>定义</w:t>
      </w:r>
      <w:bookmarkEnd w:id="97"/>
      <w:bookmarkEnd w:id="98"/>
      <w:bookmarkEnd w:id="99"/>
      <w:bookmarkEnd w:id="100"/>
      <w:bookmarkEnd w:id="101"/>
      <w:bookmarkEnd w:id="102"/>
      <w:bookmarkEnd w:id="10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4" w:name="_Toc9030"/>
      <w:bookmarkStart w:id="105" w:name="_Toc30379"/>
      <w:bookmarkStart w:id="106" w:name="_Toc24019"/>
      <w:r>
        <w:rPr>
          <w:rFonts w:hint="eastAsia" w:eastAsia="宋体"/>
          <w:color w:val="auto"/>
          <w:highlight w:val="none"/>
          <w:lang w:val="en-US" w:eastAsia="zh-CN"/>
        </w:rPr>
        <w:t>3.货物和服务</w:t>
      </w:r>
      <w:bookmarkEnd w:id="104"/>
      <w:bookmarkEnd w:id="105"/>
      <w:bookmarkEnd w:id="10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07" w:name="_Toc211763038"/>
      <w:r>
        <w:rPr>
          <w:rFonts w:hint="eastAsia" w:ascii="宋体" w:hAnsi="宋体" w:eastAsia="宋体"/>
          <w:iCs/>
          <w:color w:val="auto"/>
          <w:kern w:val="0"/>
          <w:sz w:val="21"/>
          <w:szCs w:val="21"/>
          <w:highlight w:val="none"/>
        </w:rPr>
        <w:t>应当获得财政部门核准。依据《政府采购进口产品管理办法</w:t>
      </w:r>
      <w:bookmarkEnd w:id="107"/>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18277"/>
      <w:bookmarkStart w:id="109" w:name="_Toc8119"/>
      <w:bookmarkStart w:id="110" w:name="_Toc14543"/>
      <w:r>
        <w:rPr>
          <w:rFonts w:hint="eastAsia" w:eastAsia="宋体"/>
          <w:color w:val="auto"/>
          <w:highlight w:val="none"/>
          <w:lang w:val="en-US" w:eastAsia="zh-CN"/>
        </w:rPr>
        <w:t>4.响应费用</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1" w:name="_Toc24793"/>
      <w:bookmarkStart w:id="112" w:name="_Toc32220"/>
      <w:bookmarkStart w:id="113" w:name="_Toc25254"/>
      <w:r>
        <w:rPr>
          <w:rFonts w:hint="eastAsia" w:eastAsia="宋体"/>
          <w:color w:val="auto"/>
          <w:highlight w:val="none"/>
          <w:lang w:val="en-US" w:eastAsia="zh-CN"/>
        </w:rPr>
        <w:t>5.知识产权</w:t>
      </w:r>
      <w:bookmarkEnd w:id="111"/>
      <w:bookmarkEnd w:id="112"/>
      <w:bookmarkEnd w:id="11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4" w:name="_Toc30779"/>
      <w:bookmarkStart w:id="115" w:name="_Toc13064"/>
      <w:bookmarkStart w:id="116" w:name="_Toc31725"/>
      <w:r>
        <w:rPr>
          <w:rFonts w:hint="eastAsia" w:eastAsia="宋体"/>
          <w:color w:val="auto"/>
          <w:highlight w:val="none"/>
          <w:lang w:val="en-US" w:eastAsia="zh-CN"/>
        </w:rPr>
        <w:t>6.关于联合体</w:t>
      </w:r>
      <w:bookmarkEnd w:id="114"/>
      <w:bookmarkEnd w:id="115"/>
      <w:bookmarkEnd w:id="11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7" w:name="_Toc18142"/>
      <w:bookmarkStart w:id="118" w:name="_Toc23688"/>
      <w:bookmarkStart w:id="119" w:name="_Toc27755"/>
      <w:r>
        <w:rPr>
          <w:rFonts w:hint="eastAsia" w:eastAsia="宋体"/>
          <w:color w:val="auto"/>
          <w:highlight w:val="none"/>
          <w:lang w:val="en-US" w:eastAsia="zh-CN"/>
        </w:rPr>
        <w:t>7.关于分支机构响应</w:t>
      </w:r>
      <w:bookmarkEnd w:id="117"/>
      <w:bookmarkEnd w:id="118"/>
      <w:bookmarkEnd w:id="11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0"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0"/>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1" w:name="_Toc19660"/>
      <w:bookmarkStart w:id="122" w:name="_Toc29774"/>
      <w:bookmarkStart w:id="123" w:name="_Toc5596"/>
      <w:r>
        <w:rPr>
          <w:rFonts w:hint="eastAsia" w:eastAsia="宋体"/>
          <w:color w:val="auto"/>
          <w:highlight w:val="none"/>
          <w:lang w:val="en-US" w:eastAsia="zh-CN"/>
        </w:rPr>
        <w:t>8.磋商文件的组成</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4" w:name="_Toc20046"/>
      <w:bookmarkStart w:id="125" w:name="_Toc28076"/>
      <w:bookmarkStart w:id="126" w:name="_Toc3812"/>
      <w:r>
        <w:rPr>
          <w:rFonts w:hint="eastAsia" w:eastAsia="宋体"/>
          <w:color w:val="auto"/>
          <w:highlight w:val="none"/>
          <w:lang w:val="en-US" w:eastAsia="zh-CN"/>
        </w:rPr>
        <w:t>9.磋商文件的澄清或修改</w:t>
      </w:r>
      <w:bookmarkEnd w:id="124"/>
      <w:bookmarkEnd w:id="125"/>
      <w:bookmarkEnd w:id="12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7" w:name="_Toc17507"/>
      <w:bookmarkStart w:id="128" w:name="_Toc5431"/>
      <w:bookmarkStart w:id="129" w:name="_Toc28595"/>
      <w:r>
        <w:rPr>
          <w:rFonts w:hint="eastAsia" w:eastAsia="宋体"/>
          <w:color w:val="auto"/>
          <w:highlight w:val="none"/>
          <w:lang w:val="en-US" w:eastAsia="zh-CN"/>
        </w:rPr>
        <w:t>10.响应文件的语言及度量衡单位</w:t>
      </w:r>
      <w:bookmarkEnd w:id="127"/>
      <w:bookmarkEnd w:id="128"/>
      <w:bookmarkEnd w:id="12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0" w:name="_Toc21308"/>
      <w:bookmarkStart w:id="131" w:name="_Toc25080"/>
      <w:bookmarkStart w:id="132" w:name="_Toc307934854"/>
      <w:bookmarkStart w:id="133" w:name="_Toc382049103"/>
      <w:bookmarkStart w:id="134" w:name="_Toc17694"/>
      <w:bookmarkStart w:id="135" w:name="_Toc303084256"/>
      <w:bookmarkStart w:id="136" w:name="_Toc28866"/>
      <w:r>
        <w:rPr>
          <w:rFonts w:hint="eastAsia" w:eastAsia="宋体"/>
          <w:color w:val="auto"/>
          <w:highlight w:val="none"/>
          <w:lang w:val="en-US" w:eastAsia="zh-CN"/>
        </w:rPr>
        <w:t>11.响应文件的组成</w:t>
      </w:r>
      <w:bookmarkEnd w:id="130"/>
      <w:bookmarkEnd w:id="131"/>
      <w:bookmarkEnd w:id="132"/>
      <w:bookmarkEnd w:id="133"/>
      <w:bookmarkEnd w:id="134"/>
      <w:bookmarkEnd w:id="135"/>
      <w:bookmarkEnd w:id="13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37" w:name="_Toc23396"/>
      <w:bookmarkStart w:id="138" w:name="_Toc28835"/>
      <w:bookmarkStart w:id="139" w:name="_Toc26322"/>
      <w:r>
        <w:rPr>
          <w:rFonts w:hint="eastAsia" w:eastAsia="宋体"/>
          <w:color w:val="auto"/>
          <w:highlight w:val="none"/>
          <w:lang w:val="en-US" w:eastAsia="zh-CN"/>
        </w:rPr>
        <w:t>12.响应文件编制</w:t>
      </w:r>
      <w:bookmarkEnd w:id="137"/>
      <w:bookmarkEnd w:id="138"/>
      <w:bookmarkEnd w:id="13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0"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0"/>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11253"/>
      <w:bookmarkStart w:id="142" w:name="_Toc10449"/>
      <w:bookmarkStart w:id="143" w:name="_Toc29388"/>
      <w:r>
        <w:rPr>
          <w:rFonts w:hint="eastAsia" w:eastAsia="宋体"/>
          <w:color w:val="auto"/>
          <w:highlight w:val="none"/>
          <w:lang w:val="en-US" w:eastAsia="zh-CN"/>
        </w:rPr>
        <w:t>13.响应报价说明</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4" w:name="_Toc29860"/>
      <w:bookmarkStart w:id="145" w:name="_Toc28006"/>
      <w:bookmarkStart w:id="146" w:name="_Toc18749"/>
      <w:r>
        <w:rPr>
          <w:rFonts w:hint="eastAsia" w:eastAsia="宋体"/>
          <w:color w:val="auto"/>
          <w:highlight w:val="none"/>
          <w:lang w:val="en-US" w:eastAsia="zh-CN"/>
        </w:rPr>
        <w:t>14.供应商所提供的服务或货物的证明文件</w:t>
      </w:r>
      <w:bookmarkEnd w:id="144"/>
      <w:bookmarkEnd w:id="145"/>
      <w:bookmarkEnd w:id="14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47" w:name="_Hlt107925638"/>
      <w:bookmarkEnd w:id="147"/>
      <w:bookmarkStart w:id="148" w:name="_Hlt107925668"/>
      <w:bookmarkEnd w:id="148"/>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49" w:name="_Toc4792"/>
      <w:bookmarkStart w:id="150" w:name="_Toc20435"/>
      <w:bookmarkStart w:id="151" w:name="_Toc12457"/>
      <w:r>
        <w:rPr>
          <w:rFonts w:hint="eastAsia" w:eastAsia="宋体"/>
          <w:color w:val="auto"/>
          <w:highlight w:val="none"/>
          <w:lang w:val="en-US" w:eastAsia="zh-CN"/>
        </w:rPr>
        <w:t>15.★响应有效期</w:t>
      </w:r>
      <w:bookmarkEnd w:id="149"/>
      <w:bookmarkEnd w:id="150"/>
      <w:bookmarkEnd w:id="15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2" w:name="_Toc11339"/>
      <w:bookmarkStart w:id="153" w:name="_Toc20804"/>
      <w:bookmarkStart w:id="154" w:name="_Toc28431"/>
      <w:r>
        <w:rPr>
          <w:rFonts w:hint="eastAsia" w:eastAsia="宋体"/>
          <w:color w:val="auto"/>
          <w:highlight w:val="none"/>
          <w:lang w:val="en-US" w:eastAsia="zh-CN"/>
        </w:rPr>
        <w:t>16.★</w:t>
      </w:r>
      <w:bookmarkEnd w:id="152"/>
      <w:bookmarkEnd w:id="153"/>
      <w:bookmarkEnd w:id="154"/>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5"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24997"/>
      <w:bookmarkStart w:id="157" w:name="_Toc5055"/>
      <w:bookmarkStart w:id="158" w:name="_Toc382049111"/>
      <w:bookmarkStart w:id="159" w:name="_Toc21699"/>
      <w:bookmarkStart w:id="160" w:name="_Toc303084264"/>
      <w:bookmarkStart w:id="161" w:name="_Toc17970"/>
      <w:r>
        <w:rPr>
          <w:rFonts w:hint="eastAsia" w:eastAsia="宋体"/>
          <w:color w:val="auto"/>
          <w:highlight w:val="none"/>
          <w:lang w:val="en-US" w:eastAsia="zh-CN"/>
        </w:rPr>
        <w:t>17.响应文件的装订，签署，密封和标记</w:t>
      </w:r>
      <w:bookmarkEnd w:id="156"/>
      <w:bookmarkEnd w:id="157"/>
      <w:bookmarkEnd w:id="158"/>
      <w:bookmarkEnd w:id="159"/>
      <w:bookmarkEnd w:id="160"/>
      <w:bookmarkEnd w:id="16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2" w:name="_Toc3249"/>
      <w:bookmarkStart w:id="163" w:name="_Toc1911"/>
      <w:bookmarkStart w:id="164" w:name="_Toc14913"/>
      <w:r>
        <w:rPr>
          <w:rFonts w:hint="eastAsia" w:eastAsia="宋体"/>
          <w:color w:val="auto"/>
          <w:highlight w:val="none"/>
          <w:lang w:val="en-US" w:eastAsia="zh-CN"/>
        </w:rPr>
        <w:t>18.迟交的响应文件</w:t>
      </w:r>
      <w:bookmarkEnd w:id="162"/>
      <w:bookmarkEnd w:id="163"/>
      <w:bookmarkEnd w:id="16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5" w:name="_Toc22059"/>
      <w:bookmarkStart w:id="166" w:name="_Toc8387"/>
      <w:bookmarkStart w:id="167" w:name="_Toc13946"/>
      <w:r>
        <w:rPr>
          <w:rFonts w:hint="eastAsia" w:eastAsia="宋体"/>
          <w:color w:val="auto"/>
          <w:highlight w:val="none"/>
          <w:lang w:val="en-US" w:eastAsia="zh-CN"/>
        </w:rPr>
        <w:t>19.磋商样品、磋商演示（如有要求）</w:t>
      </w:r>
      <w:bookmarkEnd w:id="165"/>
      <w:bookmarkEnd w:id="166"/>
      <w:bookmarkEnd w:id="16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8" w:name="_Toc24777"/>
      <w:bookmarkStart w:id="169" w:name="_Toc9777"/>
      <w:bookmarkStart w:id="170" w:name="_Toc518"/>
      <w:bookmarkStart w:id="171" w:name="_Toc1364"/>
      <w:bookmarkStart w:id="172" w:name="_Toc303084265"/>
      <w:bookmarkStart w:id="173" w:name="_Toc382049112"/>
      <w:r>
        <w:rPr>
          <w:rFonts w:hint="eastAsia" w:eastAsia="宋体"/>
          <w:color w:val="auto"/>
          <w:highlight w:val="none"/>
          <w:lang w:val="en-US" w:eastAsia="zh-CN"/>
        </w:rPr>
        <w:t>20.响应截止期</w:t>
      </w:r>
      <w:bookmarkEnd w:id="168"/>
      <w:bookmarkEnd w:id="169"/>
      <w:bookmarkEnd w:id="170"/>
      <w:bookmarkEnd w:id="171"/>
      <w:bookmarkEnd w:id="172"/>
      <w:bookmarkEnd w:id="17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4" w:name="_Toc14390"/>
      <w:bookmarkStart w:id="175" w:name="_Toc4603"/>
      <w:bookmarkStart w:id="176" w:name="_Toc28776"/>
      <w:r>
        <w:rPr>
          <w:rFonts w:hint="eastAsia" w:eastAsia="宋体"/>
          <w:color w:val="auto"/>
          <w:highlight w:val="none"/>
          <w:lang w:val="en-US" w:eastAsia="zh-CN"/>
        </w:rPr>
        <w:t>21.响应文件的补充、修改与撤回</w:t>
      </w:r>
      <w:bookmarkEnd w:id="174"/>
      <w:bookmarkEnd w:id="175"/>
      <w:bookmarkEnd w:id="17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77" w:name="_Toc191"/>
      <w:bookmarkStart w:id="178" w:name="_Toc14512"/>
      <w:bookmarkStart w:id="179" w:name="_Toc11914"/>
      <w:r>
        <w:rPr>
          <w:rFonts w:hint="eastAsia" w:eastAsia="宋体"/>
          <w:color w:val="auto"/>
          <w:highlight w:val="none"/>
          <w:lang w:val="en-US" w:eastAsia="zh-CN"/>
        </w:rPr>
        <w:t>22.磋商</w:t>
      </w:r>
      <w:bookmarkEnd w:id="177"/>
      <w:bookmarkEnd w:id="178"/>
      <w:bookmarkEnd w:id="17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0" w:name="_Toc13823"/>
      <w:bookmarkStart w:id="181" w:name="_Toc19811"/>
      <w:bookmarkStart w:id="182" w:name="_Toc31198"/>
      <w:r>
        <w:rPr>
          <w:rFonts w:hint="eastAsia" w:eastAsia="宋体"/>
          <w:color w:val="auto"/>
          <w:highlight w:val="none"/>
          <w:lang w:val="en-US" w:eastAsia="zh-CN"/>
        </w:rPr>
        <w:t>23.磋商小组及评审方法</w:t>
      </w:r>
      <w:bookmarkEnd w:id="180"/>
      <w:bookmarkEnd w:id="181"/>
      <w:bookmarkEnd w:id="182"/>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3" w:name="_Toc9540"/>
      <w:bookmarkStart w:id="184" w:name="_Toc20823"/>
      <w:bookmarkStart w:id="185" w:name="_Toc3525"/>
      <w:r>
        <w:rPr>
          <w:rFonts w:hint="eastAsia" w:eastAsia="宋体"/>
          <w:color w:val="auto"/>
          <w:highlight w:val="none"/>
          <w:lang w:val="en-US" w:eastAsia="zh-CN"/>
        </w:rPr>
        <w:t>24.评审原则及评审过程的保密</w:t>
      </w:r>
      <w:bookmarkEnd w:id="183"/>
      <w:bookmarkEnd w:id="184"/>
      <w:bookmarkEnd w:id="18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6" w:name="_Toc18014"/>
      <w:bookmarkStart w:id="187" w:name="_Toc7072"/>
      <w:bookmarkStart w:id="188" w:name="_Toc15479"/>
      <w:r>
        <w:rPr>
          <w:rFonts w:hint="eastAsia" w:eastAsia="宋体"/>
          <w:color w:val="auto"/>
          <w:highlight w:val="none"/>
          <w:lang w:val="en-US" w:eastAsia="zh-CN"/>
        </w:rPr>
        <w:t>25.响应文件的初审</w:t>
      </w:r>
      <w:bookmarkEnd w:id="186"/>
      <w:bookmarkEnd w:id="187"/>
      <w:bookmarkEnd w:id="188"/>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89" w:name="_Toc4041"/>
      <w:bookmarkStart w:id="190" w:name="_Toc9736"/>
      <w:bookmarkStart w:id="191" w:name="_Toc16157"/>
      <w:r>
        <w:rPr>
          <w:rFonts w:hint="eastAsia" w:eastAsia="宋体"/>
          <w:color w:val="auto"/>
          <w:highlight w:val="none"/>
          <w:lang w:val="en-US" w:eastAsia="zh-CN"/>
        </w:rPr>
        <w:t>26.商务、技术、价格评审</w:t>
      </w:r>
      <w:bookmarkEnd w:id="189"/>
      <w:bookmarkEnd w:id="190"/>
      <w:bookmarkEnd w:id="19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2" w:name="_Toc316375620"/>
      <w:bookmarkStart w:id="193" w:name="_Toc30865"/>
      <w:bookmarkStart w:id="194" w:name="_Toc20328"/>
      <w:bookmarkStart w:id="195" w:name="_Toc382049120"/>
      <w:bookmarkStart w:id="196" w:name="_Toc30573"/>
      <w:bookmarkStart w:id="197" w:name="_Toc25030"/>
      <w:r>
        <w:rPr>
          <w:rFonts w:hint="eastAsia" w:eastAsia="宋体"/>
          <w:color w:val="auto"/>
          <w:highlight w:val="none"/>
          <w:lang w:val="en-US" w:eastAsia="zh-CN"/>
        </w:rPr>
        <w:t>27.纪律和保密</w:t>
      </w:r>
      <w:bookmarkEnd w:id="192"/>
      <w:r>
        <w:rPr>
          <w:rFonts w:hint="eastAsia" w:eastAsia="宋体"/>
          <w:color w:val="auto"/>
          <w:highlight w:val="none"/>
          <w:lang w:val="en-US" w:eastAsia="zh-CN"/>
        </w:rPr>
        <w:t>事项</w:t>
      </w:r>
      <w:bookmarkEnd w:id="193"/>
      <w:bookmarkEnd w:id="194"/>
      <w:bookmarkEnd w:id="195"/>
      <w:bookmarkEnd w:id="196"/>
      <w:bookmarkEnd w:id="197"/>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198" w:name="_Toc508284011"/>
      <w:bookmarkStart w:id="199" w:name="_Toc21560"/>
      <w:bookmarkStart w:id="200" w:name="_Toc21265"/>
      <w:bookmarkStart w:id="201" w:name="_Toc27383"/>
      <w:r>
        <w:rPr>
          <w:rFonts w:hint="eastAsia" w:eastAsia="宋体"/>
          <w:color w:val="auto"/>
          <w:highlight w:val="none"/>
          <w:lang w:val="en-US" w:eastAsia="zh-CN"/>
        </w:rPr>
        <w:t>28.</w:t>
      </w:r>
      <w:bookmarkEnd w:id="198"/>
      <w:r>
        <w:rPr>
          <w:rFonts w:hint="eastAsia" w:eastAsia="宋体"/>
          <w:color w:val="auto"/>
          <w:highlight w:val="none"/>
          <w:lang w:val="en-US" w:eastAsia="zh-CN"/>
        </w:rPr>
        <w:t>确定成交</w:t>
      </w:r>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2" w:name="_Toc2468"/>
      <w:bookmarkStart w:id="203" w:name="_Toc24851"/>
      <w:bookmarkStart w:id="204" w:name="_Toc508284013"/>
      <w:bookmarkStart w:id="205" w:name="_Toc6459"/>
      <w:r>
        <w:rPr>
          <w:rFonts w:hint="eastAsia" w:eastAsia="宋体"/>
          <w:color w:val="auto"/>
          <w:highlight w:val="none"/>
          <w:lang w:val="en-US" w:eastAsia="zh-CN"/>
        </w:rPr>
        <w:t>29.发布采购结果</w:t>
      </w:r>
      <w:bookmarkEnd w:id="202"/>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18733"/>
      <w:bookmarkStart w:id="207" w:name="_Toc7001"/>
      <w:bookmarkStart w:id="208" w:name="_Toc1555"/>
      <w:r>
        <w:rPr>
          <w:rFonts w:hint="eastAsia" w:eastAsia="宋体"/>
          <w:color w:val="auto"/>
          <w:highlight w:val="none"/>
          <w:lang w:val="en-US" w:eastAsia="zh-CN"/>
        </w:rPr>
        <w:t>30.合同的签订与履行</w:t>
      </w:r>
      <w:bookmarkEnd w:id="206"/>
      <w:bookmarkEnd w:id="207"/>
      <w:bookmarkEnd w:id="208"/>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09" w:name="_Toc9041"/>
      <w:bookmarkStart w:id="210" w:name="_Toc26547"/>
      <w:r>
        <w:rPr>
          <w:rFonts w:hint="eastAsia" w:eastAsia="宋体"/>
          <w:color w:val="auto"/>
          <w:highlight w:val="none"/>
          <w:lang w:val="en-US" w:eastAsia="zh-CN"/>
        </w:rPr>
        <w:t>31.履约保证金</w:t>
      </w:r>
      <w:bookmarkEnd w:id="209"/>
      <w:bookmarkEnd w:id="210"/>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1" w:name="_Toc8191"/>
      <w:r>
        <w:rPr>
          <w:rFonts w:hint="eastAsia"/>
          <w:color w:val="auto"/>
          <w:highlight w:val="none"/>
          <w:lang w:val="en-US" w:eastAsia="zh-CN"/>
        </w:rPr>
        <w:t>用户需求书</w:t>
      </w:r>
      <w:bookmarkEnd w:id="211"/>
    </w:p>
    <w:p>
      <w:pPr>
        <w:bidi w:val="0"/>
        <w:jc w:val="center"/>
        <w:outlineLvl w:val="1"/>
        <w:rPr>
          <w:rFonts w:hint="eastAsia"/>
          <w:b/>
          <w:bCs/>
          <w:color w:val="auto"/>
          <w:sz w:val="28"/>
          <w:szCs w:val="36"/>
          <w:highlight w:val="none"/>
          <w:lang w:eastAsia="zh-CN"/>
        </w:rPr>
      </w:pPr>
      <w:bookmarkStart w:id="212" w:name="_Toc18002"/>
      <w:bookmarkStart w:id="213" w:name="_Toc16006"/>
      <w:bookmarkStart w:id="214" w:name="_Toc27180"/>
      <w:bookmarkStart w:id="215" w:name="_Toc7855"/>
      <w:r>
        <w:rPr>
          <w:rFonts w:hint="eastAsia"/>
          <w:b/>
          <w:bCs/>
          <w:color w:val="auto"/>
          <w:sz w:val="28"/>
          <w:szCs w:val="36"/>
          <w:highlight w:val="none"/>
          <w:lang w:eastAsia="zh-CN"/>
        </w:rPr>
        <w:t>商务要求</w:t>
      </w:r>
      <w:bookmarkEnd w:id="212"/>
      <w:bookmarkEnd w:id="213"/>
      <w:bookmarkEnd w:id="214"/>
      <w:bookmarkEnd w:id="215"/>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294" w:type="dxa"/>
            <w:noWrap w:val="0"/>
            <w:vAlign w:val="center"/>
          </w:tcPr>
          <w:p>
            <w:pPr>
              <w:jc w:val="center"/>
              <w:rPr>
                <w:rFonts w:ascii="宋体" w:hAnsi="宋体"/>
                <w:color w:val="auto"/>
                <w:szCs w:val="21"/>
                <w:highlight w:val="none"/>
              </w:rPr>
            </w:pPr>
            <w:r>
              <w:rPr>
                <w:rFonts w:hint="eastAsia" w:ascii="宋体" w:hAnsi="宋体" w:eastAsia="宋体"/>
                <w:color w:val="auto"/>
                <w:szCs w:val="21"/>
                <w:highlight w:val="none"/>
              </w:rPr>
              <w:t>★完工期</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自合同签订生效之日起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个日历日内完成。工程竣工后</w:t>
            </w:r>
            <w:r>
              <w:rPr>
                <w:rFonts w:hint="eastAsia" w:ascii="宋体" w:hAnsi="宋体" w:eastAsia="宋体" w:cs="宋体"/>
                <w:color w:val="auto"/>
                <w:sz w:val="21"/>
                <w:szCs w:val="21"/>
                <w:highlight w:val="none"/>
                <w:u w:val="single"/>
                <w:lang w:eastAsia="zh-CN"/>
              </w:rPr>
              <w:t xml:space="preserve"> 7</w:t>
            </w:r>
            <w:r>
              <w:rPr>
                <w:rFonts w:hint="eastAsia" w:ascii="宋体" w:hAnsi="宋体" w:eastAsia="宋体" w:cs="宋体"/>
                <w:color w:val="auto"/>
                <w:sz w:val="21"/>
                <w:szCs w:val="21"/>
                <w:highlight w:val="none"/>
                <w:lang w:eastAsia="zh-CN"/>
              </w:rPr>
              <w:t>日内完成验收。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94" w:type="dxa"/>
            <w:noWrap w:val="0"/>
            <w:vAlign w:val="center"/>
          </w:tcPr>
          <w:p>
            <w:pPr>
              <w:jc w:val="center"/>
              <w:rPr>
                <w:rFonts w:hint="eastAsia" w:ascii="宋体" w:hAnsi="宋体" w:eastAsia="宋体" w:cstheme="minorBidi"/>
                <w:color w:val="auto"/>
                <w:kern w:val="2"/>
                <w:sz w:val="21"/>
                <w:szCs w:val="21"/>
                <w:highlight w:val="none"/>
                <w:lang w:val="en-US" w:eastAsia="zh-CN" w:bidi="ar-SA"/>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自合同签订生效之日采购单位支付合同</w:t>
            </w:r>
            <w:r>
              <w:rPr>
                <w:rFonts w:hint="eastAsia" w:ascii="宋体" w:hAnsi="宋体" w:eastAsia="宋体" w:cs="宋体"/>
                <w:color w:val="auto"/>
                <w:kern w:val="2"/>
                <w:sz w:val="21"/>
                <w:szCs w:val="21"/>
                <w:highlight w:val="none"/>
                <w:u w:val="single"/>
                <w:lang w:val="en-US" w:eastAsia="zh-CN" w:bidi="ar-SA"/>
              </w:rPr>
              <w:t xml:space="preserve">30% </w:t>
            </w:r>
            <w:r>
              <w:rPr>
                <w:rFonts w:hint="eastAsia" w:ascii="宋体" w:hAnsi="宋体" w:eastAsia="宋体" w:cs="宋体"/>
                <w:color w:val="auto"/>
                <w:kern w:val="2"/>
                <w:sz w:val="21"/>
                <w:szCs w:val="21"/>
                <w:highlight w:val="none"/>
                <w:lang w:val="en-US" w:eastAsia="zh-CN" w:bidi="ar-SA"/>
              </w:rPr>
              <w:t>款项作为预购材料款，按进度申请进度至合同价款</w:t>
            </w:r>
            <w:r>
              <w:rPr>
                <w:rFonts w:hint="eastAsia" w:ascii="宋体" w:hAnsi="宋体" w:eastAsia="宋体" w:cs="宋体"/>
                <w:color w:val="auto"/>
                <w:kern w:val="2"/>
                <w:sz w:val="21"/>
                <w:szCs w:val="21"/>
                <w:highlight w:val="none"/>
                <w:u w:val="single"/>
                <w:lang w:val="en-US" w:eastAsia="zh-CN" w:bidi="ar-SA"/>
              </w:rPr>
              <w:t>80%</w:t>
            </w:r>
            <w:r>
              <w:rPr>
                <w:rFonts w:hint="eastAsia" w:ascii="宋体" w:hAnsi="宋体" w:eastAsia="宋体" w:cs="宋体"/>
                <w:color w:val="auto"/>
                <w:kern w:val="2"/>
                <w:sz w:val="21"/>
                <w:szCs w:val="21"/>
                <w:highlight w:val="none"/>
                <w:lang w:val="en-US" w:eastAsia="zh-CN" w:bidi="ar-SA"/>
              </w:rPr>
              <w:t>，按合同内容完成</w:t>
            </w:r>
            <w:r>
              <w:rPr>
                <w:rFonts w:hint="eastAsia" w:ascii="宋体" w:hAnsi="宋体" w:eastAsia="宋体" w:cs="宋体"/>
                <w:color w:val="auto"/>
                <w:kern w:val="2"/>
                <w:sz w:val="21"/>
                <w:szCs w:val="21"/>
                <w:highlight w:val="none"/>
                <w:u w:val="single"/>
                <w:lang w:val="en-US" w:eastAsia="zh-CN" w:bidi="ar-SA"/>
              </w:rPr>
              <w:t xml:space="preserve"> 54 </w:t>
            </w:r>
            <w:r>
              <w:rPr>
                <w:rFonts w:hint="eastAsia" w:ascii="宋体" w:hAnsi="宋体" w:eastAsia="宋体" w:cs="宋体"/>
                <w:color w:val="auto"/>
                <w:kern w:val="2"/>
                <w:sz w:val="21"/>
                <w:szCs w:val="21"/>
                <w:highlight w:val="none"/>
                <w:lang w:val="en-US" w:eastAsia="zh-CN" w:bidi="ar-SA"/>
              </w:rPr>
              <w:t>间教室的灯具改造，并出具灯具产品的国家级检测合格技术报告。以上所有手续完成后</w:t>
            </w:r>
            <w:r>
              <w:rPr>
                <w:rFonts w:hint="eastAsia" w:ascii="宋体" w:hAnsi="宋体" w:eastAsia="宋体" w:cs="宋体"/>
                <w:color w:val="auto"/>
                <w:kern w:val="2"/>
                <w:sz w:val="21"/>
                <w:szCs w:val="21"/>
                <w:highlight w:val="none"/>
                <w:u w:val="single"/>
                <w:lang w:val="en-US" w:eastAsia="zh-CN" w:bidi="ar-SA"/>
              </w:rPr>
              <w:t xml:space="preserve"> 7</w:t>
            </w:r>
            <w:r>
              <w:rPr>
                <w:rFonts w:hint="eastAsia" w:ascii="宋体" w:hAnsi="宋体" w:eastAsia="宋体" w:cs="宋体"/>
                <w:color w:val="auto"/>
                <w:kern w:val="2"/>
                <w:sz w:val="21"/>
                <w:szCs w:val="21"/>
                <w:highlight w:val="none"/>
                <w:lang w:val="en-US" w:eastAsia="zh-CN" w:bidi="ar-SA"/>
              </w:rPr>
              <w:t>日内支付整个项目的所有款项。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0" w:type="auto"/>
            <w:noWrap w:val="0"/>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294" w:type="dxa"/>
            <w:noWrap w:val="0"/>
            <w:vAlign w:val="center"/>
          </w:tcPr>
          <w:p>
            <w:pPr>
              <w:jc w:val="center"/>
              <w:rPr>
                <w:rFonts w:hint="default" w:hAnsi="宋体"/>
                <w:color w:val="auto"/>
                <w:szCs w:val="21"/>
                <w:highlight w:val="none"/>
                <w:lang w:val="en-US" w:eastAsia="zh-CN"/>
              </w:rPr>
            </w:pPr>
            <w:r>
              <w:rPr>
                <w:rFonts w:hint="eastAsia" w:hAnsi="宋体"/>
                <w:color w:val="auto"/>
                <w:szCs w:val="21"/>
                <w:highlight w:val="none"/>
                <w:lang w:val="en-US" w:eastAsia="zh-CN"/>
              </w:rPr>
              <w:t>质保期</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本项目的免费保修服务期为</w:t>
            </w:r>
            <w:r>
              <w:rPr>
                <w:rFonts w:hint="eastAsia" w:ascii="宋体" w:hAnsi="宋体" w:eastAsia="宋体" w:cs="宋体"/>
                <w:color w:val="auto"/>
                <w:kern w:val="2"/>
                <w:sz w:val="21"/>
                <w:szCs w:val="21"/>
                <w:highlight w:val="none"/>
                <w:u w:val="single"/>
                <w:lang w:val="en-US" w:eastAsia="zh-CN" w:bidi="ar-SA"/>
              </w:rPr>
              <w:t>贰</w:t>
            </w:r>
            <w:r>
              <w:rPr>
                <w:rFonts w:hint="eastAsia" w:ascii="宋体" w:hAnsi="宋体" w:eastAsia="宋体" w:cs="宋体"/>
                <w:color w:val="auto"/>
                <w:kern w:val="2"/>
                <w:sz w:val="21"/>
                <w:szCs w:val="21"/>
                <w:highlight w:val="none"/>
                <w:lang w:val="en-US" w:eastAsia="zh-CN" w:bidi="ar-SA"/>
              </w:rPr>
              <w:t>年，自项目验收签字之日起开始计算。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500" w:type="dxa"/>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500" w:type="dxa"/>
            <w:noWrap w:val="0"/>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500" w:type="dxa"/>
            <w:noWrap w:val="0"/>
            <w:vAlign w:val="center"/>
          </w:tcPr>
          <w:p>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noWrap w:val="0"/>
            <w:vAlign w:val="center"/>
          </w:tcPr>
          <w:p>
            <w:pPr>
              <w:jc w:val="center"/>
              <w:rPr>
                <w:rFonts w:hint="eastAsia" w:ascii="宋体" w:hAnsi="宋体"/>
                <w:color w:val="auto"/>
                <w:szCs w:val="21"/>
                <w:highlight w:val="none"/>
              </w:rPr>
            </w:pPr>
            <w:r>
              <w:rPr>
                <w:rFonts w:hint="eastAsia" w:ascii="宋体" w:hAnsi="宋体" w:eastAsia="宋体" w:cs="宋体"/>
                <w:color w:val="auto"/>
                <w:sz w:val="21"/>
                <w:szCs w:val="21"/>
                <w:highlight w:val="none"/>
              </w:rPr>
              <w:t>其它要求</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294" w:type="dxa"/>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rPr>
              <w:t>合同条款</w:t>
            </w:r>
          </w:p>
        </w:tc>
        <w:tc>
          <w:tcPr>
            <w:tcW w:w="6728"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bCs/>
                <w:color w:val="auto"/>
                <w:szCs w:val="21"/>
                <w:highlight w:val="none"/>
              </w:rPr>
            </w:pPr>
            <w:r>
              <w:rPr>
                <w:rFonts w:hint="eastAsia" w:ascii="宋体" w:hAnsi="宋体" w:eastAsia="宋体" w:cs="宋体"/>
                <w:color w:val="auto"/>
                <w:sz w:val="21"/>
                <w:szCs w:val="21"/>
                <w:highlight w:val="none"/>
              </w:rPr>
              <w:t>供应商实质响应合同各条款。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0" w:type="auto"/>
            <w:noWrap w:val="0"/>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其他</w:t>
            </w:r>
          </w:p>
        </w:tc>
        <w:tc>
          <w:tcPr>
            <w:tcW w:w="6728" w:type="dxa"/>
            <w:noWrap w:val="0"/>
            <w:vAlign w:val="top"/>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★施工单位必须为广东政府采购智慧云平台电子卖场中的集中采购的装修工程目录内，如未进入目录，则须作出单独承诺，中标后五个工作日内办理相关手续，否则采购人有权取消其中标资格。</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16" w:name="_Toc16983"/>
      <w:bookmarkStart w:id="217" w:name="_Toc4445"/>
      <w:bookmarkStart w:id="218" w:name="_Toc4572"/>
      <w:bookmarkStart w:id="219" w:name="_Toc3714"/>
      <w:r>
        <w:rPr>
          <w:rFonts w:hint="eastAsia" w:eastAsia="宋体"/>
          <w:b/>
          <w:bCs/>
          <w:color w:val="auto"/>
          <w:sz w:val="28"/>
          <w:szCs w:val="36"/>
          <w:highlight w:val="none"/>
          <w:lang w:eastAsia="zh-CN"/>
        </w:rPr>
        <w:t>技术要求</w:t>
      </w:r>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b/>
          <w:color w:val="auto"/>
          <w:sz w:val="21"/>
          <w:szCs w:val="21"/>
          <w:highlight w:val="none"/>
          <w:lang w:val="en-US" w:eastAsia="zh-CN"/>
        </w:rPr>
      </w:pPr>
      <w:bookmarkStart w:id="220" w:name="_Toc42033153"/>
      <w:bookmarkStart w:id="221" w:name="_Toc476901034"/>
      <w:bookmarkStart w:id="222" w:name="_Toc17699252"/>
      <w:bookmarkStart w:id="223" w:name="_Toc485835248"/>
      <w:r>
        <w:rPr>
          <w:rFonts w:hint="eastAsia" w:ascii="宋体" w:hAnsi="宋体" w:eastAsia="宋体"/>
          <w:b/>
          <w:color w:val="auto"/>
          <w:sz w:val="21"/>
          <w:szCs w:val="21"/>
          <w:highlight w:val="none"/>
          <w:lang w:val="en-US" w:eastAsia="zh-CN"/>
        </w:rPr>
        <w:t>一、</w:t>
      </w:r>
      <w:bookmarkEnd w:id="220"/>
      <w:bookmarkEnd w:id="221"/>
      <w:r>
        <w:rPr>
          <w:rFonts w:hint="eastAsia" w:ascii="宋体" w:hAnsi="宋体" w:eastAsia="宋体"/>
          <w:b/>
          <w:color w:val="auto"/>
          <w:sz w:val="21"/>
          <w:szCs w:val="21"/>
          <w:highlight w:val="none"/>
          <w:lang w:val="en-US" w:eastAsia="zh-CN"/>
        </w:rPr>
        <w:t>项目清单</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1084"/>
        <w:gridCol w:w="5268"/>
        <w:gridCol w:w="557"/>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52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项目要求</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c>
          <w:tcPr>
            <w:tcW w:w="10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c>
          <w:tcPr>
            <w:tcW w:w="52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1.名称:拆除配管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2.材质:刚性难燃管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3.规格:PC20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1.名称:拆除配线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2.规格:WDZ-BYJ2.5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3.材质:铜芯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1.名称:电气配管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2.材质:刚性难燃管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3.规格:PC20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4.配置形式:暗配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1.名称:电气配线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3.规格:WDZ-BYJ2.5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4.材质:铜芯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拆除原有灯具</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1.名称:拆除原有灯具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荧光灯</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1.名称:1240*300 LED护眼格栅灯(智能护眼光源)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2.规格:5072K 37W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3.安装形式:镀锌钢管DN20吊杆安装(每套两个吊杆)，吊杆平均高度1.91m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荧光灯</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1.名称:1200*80*LED教室黑板灯(智能护眼光源)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2.规格:5000K 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3.安装形式:镀锌钢管DN20吊杆安装(每套两个吊杆)吊杆平均高度1.91m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1.名称:暗装单极开关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2.规格:250V 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1.名称:暗装双极开关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2.规格:250V 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1.名称:暗装三极开关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2.规格:250V 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凿(压)槽及恢复</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1.名称:凿(压)槽及恢复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2.规格:宽70×深70mm以内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3.类型:凿槽、刨沟(砖结构)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接线盒</w:t>
            </w:r>
          </w:p>
        </w:tc>
        <w:tc>
          <w:tcPr>
            <w:tcW w:w="5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1.名称:接线盒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2.安装形式:暗装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1026</w:t>
            </w:r>
          </w:p>
        </w:tc>
      </w:tr>
    </w:tbl>
    <w:p>
      <w:pPr>
        <w:rPr>
          <w:rFonts w:hint="eastAsia" w:ascii="宋体" w:hAnsi="宋体" w:eastAsia="宋体"/>
          <w:b/>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二、技术要求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（一）LED教室灯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 教室灯须为一体式防眩格栅灯具，灯具尺寸长 1200mm±50mm、宽300mm±20mm，厚 35±2mm。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LED教室灯色温 3300K-5300K，显色指数 Ra≥90，R9≥50。</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LED教室灯功率≤45W，功率因数≥0.95，灯具效能≥80lm/W。</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LED教室灯频闪检测合格为无危害或无频闪危害或无显著影响。</w:t>
      </w:r>
      <w:r>
        <w:rPr>
          <w:rFonts w:hint="eastAsia" w:ascii="宋体" w:hAnsi="宋体" w:eastAsia="宋体" w:cs="宋体"/>
          <w:color w:val="auto"/>
          <w:highlight w:val="none"/>
          <w:lang w:val="en-US" w:eastAsia="zh-CN"/>
        </w:rPr>
        <w:t>（提供第三方检测机构出具检检报告复印件）</w:t>
      </w:r>
      <w:bookmarkStart w:id="365" w:name="_GoBack"/>
      <w:bookmarkEnd w:id="3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LED教室灯蓝光危害等级为 RG0（0类危险），低蓝光、无危害。</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LED教室灯寿命≥30000小时。</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 教室灯通过教室照明光环境认证，符合 GB 7793、GB 50034 及 GB/T 5700要求。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）LED黑板灯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 黑板灯须为一体式防眩格栅灯具，灯具尺寸长1200mm±50mm，宽70mm±20mm，厚150±20mm。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LED黑板灯色温 3300K-5300K，显色指数 Ra≥90，R9≥50。</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LED黑板灯功率≤45W，功率因数≥0.95，灯具效能≥80lm/W。</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LED黑板灯频闪检测合格为无危害或无频闪危害或无显著影响</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LED黑板灯蓝光危害等级为 RG0（0类危险），低蓝光、无危害</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LED黑板灯寿命≥30000小时。</w:t>
      </w:r>
      <w:r>
        <w:rPr>
          <w:rFonts w:hint="eastAsia" w:ascii="宋体" w:hAnsi="宋体" w:eastAsia="宋体" w:cs="宋体"/>
          <w:color w:val="auto"/>
          <w:highlight w:val="none"/>
          <w:lang w:val="en-US" w:eastAsia="zh-CN"/>
        </w:rPr>
        <w:t>（提供第三方检测机构出具检检报告复印件）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所投产品</w:t>
      </w:r>
      <w:r>
        <w:rPr>
          <w:rFonts w:hint="eastAsia" w:ascii="宋体" w:hAnsi="宋体" w:eastAsia="宋体" w:cs="宋体"/>
          <w:color w:val="auto"/>
          <w:highlight w:val="none"/>
          <w:lang w:val="en-US" w:eastAsia="zh-CN"/>
        </w:rPr>
        <w:t>LED 黑板灯通过教室照明光环境认证，符合 GB 7793、GB 50034 及 GB/T 5700要求。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三、（包装、运输、保管）及保险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（1）设备的包装均应有良好的防湿、防锈、防潮、防雨、防腐及防碰撞的措施。凡由于包装不良造成的损失和由此产生的费用均由成交供应商承担。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（2）成交供应商负责货物、材料运到现场过程中的全部运输费用，包括装卸车、货物现场的搬运。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（3）各种货物，必须提供装箱清单，按装箱清单验收货物。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（4）货物在验收合格前的保险由成交供应商负责，成交供应商负责其派出的现场服务人员人身意外保险。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（5）货物在验收合格前的保管由成交供应商负责。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四、验收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（1）验收工作由采购人（或采购人指定的单位）和成交供应商共同进行。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（2）验收的项目指标、方法和测试仪器等原则上由成交供应商在验收开始前半个月提交采购人。采购人可以根据技术规范书和国家有关标准进行修改和补充，经双方确认后作为验收的依据。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（3）验收以采购人技术人员为主，供应商提供技术支援，对在测试中发现的技术问题双方记录，完成测试后，双方签署终验测试报告。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（4）在验收时，成交供应商应向采购人提供货物的出厂合格证书、出厂检测报告、厂家装箱清单、使用说明、操作手册、随机附件及其他相关资料。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（5）由采购人对货物的质量、规格、数量和运行状况及其他进行检验。如发现质量、规格、数量和运行状况等任何一项与招标要求规定不符，采购人有权拒绝验收。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五、质量保证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（1）投标人所投货物必须是原装、全新的产品，并且符合国家以及该产品的出厂标准。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（2）投标人所投货物必须使用环保材料并符合国家环保要求及标准。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（3）所有货物在开箱检验时必须完好，无破损，配置与装箱单相符。数量、质量及性能不低于本需求书中提出的要求。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（4）货物外观清洁，标记编号以及盘面显示等字体清晰，明确。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（5）对于影响货物正常工作的必要组成部分，无论在技术规范中指出与否。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（6）成交供应商都应提供并在投标文件中明确列出。投标文件中的有关要求，将按有关法规进行处罚。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（7）本项目的免费保修服务期为贰年，自项目验收签字之日起开始计算。在免费服务期内，成交供应商应负责本期项目设备的安装调试和日常维护。免费服务期内需提供 7×24服务，供应商必须在 2小时内对用户单位所提出的系统维护要求做出反应，48 小时内到达现场，72 小时内恢复系统正常运行。另外，成交供应商应对由于自身设计、工艺、质量的缺陷而发生的任何不足或故障负责。应保证所提供的产品不存在任何权利上的瑕疵，其产品的销售和使用不侵犯第三方合法权益。如成交供应商未按照时限要求限时解决，严重影响采购人日常工作，采购人有权另请第三方技术人员予以解决，相关费用由中标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质保期内非人为原因损坏、失效或已达到报废标准的零部件除无偿更换外，对更换上的零部件还应有继续一年的质保期。凡因产品质量问题，在保修期内若设备经检修后又在同一部件出现相同质量故障，可无偿更换同档次新设备部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六、售后服务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（1）质保期内：故障响应时间：免费质保期内，货物出现质量问题，成交供应商接到质量问题通知后 2 个小时内响应，48 小时到现场，72 小时内排除故障，如无法排除须提供相应规格的货物供采购人替代使用；其他服务承诺在投标文件中说明。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如果货物不能稳定地达到成交供应商承诺的全部功能，成交供应商应对此承担责任并承担全部相关费用以及采购人的直接损失，经采购人同意对货物采用如下一种或几种方式处理：1.免费维修和更换损坏零部件；2.换货；3.降价，但不免除其它正常部分的质量保证责任。如成交供应商未能在合理的时间内将产品维修、更换或修正以符合规格，采购人有权在合理时间内将产品退回成交供应商后要求返还已付的价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（3）质保期后：提供技术支持和详细的售后服务计划，成交供应商应以最优惠价格提供保修服务，终身保证配品配件的供应，更换配件的费用以成本计。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（4）培训：负责免费对用户人员进行培训，使其掌握操作使用等基本技能。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七、其他要求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本项目验收标准必须符合《关于印发东莞市学校教室照明设备改造工程实施方案的通知》中对质量标准、验收要求。</w:t>
      </w:r>
      <w:bookmarkEnd w:id="222"/>
      <w:bookmarkEnd w:id="223"/>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企业认证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具有由国家认证认可监督管理部门批准设立的认证机构颁发并在有效期内的ISO9001质量管理体系认证、ISO14001环境管理体系认证和GB/T28001职业健康安全管理体系认证证书的，每提供一个证书得2分，本项满分6分。</w:t>
            </w:r>
          </w:p>
          <w:p>
            <w:pPr>
              <w:pStyle w:val="16"/>
              <w:widowControl w:val="0"/>
              <w:spacing w:before="0" w:beforeAutospacing="0" w:after="0" w:afterAutospacing="0"/>
              <w:ind w:left="1" w:leftChars="0" w:right="0" w:rightChars="0" w:firstLine="422" w:firstLineChars="200"/>
              <w:jc w:val="both"/>
              <w:rPr>
                <w:rFonts w:hint="eastAsia" w:ascii="宋体" w:hAnsi="宋体" w:eastAsia="宋体" w:cs="宋体"/>
                <w:bCs/>
                <w:color w:val="auto"/>
                <w:sz w:val="21"/>
                <w:szCs w:val="21"/>
                <w:highlight w:val="none"/>
                <w:lang w:val="zh-CN" w:eastAsia="zh-CN"/>
              </w:rPr>
            </w:pPr>
            <w:r>
              <w:rPr>
                <w:rFonts w:hint="eastAsia" w:ascii="宋体" w:eastAsia="宋体"/>
                <w:b/>
                <w:color w:val="auto"/>
                <w:sz w:val="21"/>
                <w:szCs w:val="21"/>
                <w:highlight w:val="none"/>
                <w:lang w:val="en-US" w:eastAsia="zh-CN"/>
              </w:rPr>
              <w:t>注：须提供有效的资料证明复印件并加盖供应商公章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eastAsia="宋体"/>
                <w:color w:val="auto"/>
                <w:sz w:val="21"/>
                <w:szCs w:val="21"/>
                <w:highlight w:val="none"/>
                <w:lang w:val="en-US" w:eastAsia="zh-CN"/>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lang w:val="en-US" w:eastAsia="zh-CN"/>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根据供应商承接过灯具采购类或灯具改造类或灯具安装类项目业绩进行评审，每提供1个业绩得2分，本项满分6分。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2" w:firstLineChars="200"/>
              <w:textAlignment w:val="auto"/>
              <w:rPr>
                <w:rFonts w:hint="eastAsia" w:ascii="宋体" w:hAnsi="宋体" w:eastAsia="宋体" w:cs="宋体"/>
                <w:bCs/>
                <w:color w:val="auto"/>
                <w:sz w:val="21"/>
                <w:szCs w:val="21"/>
                <w:highlight w:val="none"/>
                <w:lang w:val="zh-CN"/>
              </w:rPr>
            </w:pPr>
            <w:r>
              <w:rPr>
                <w:rFonts w:hint="eastAsia" w:ascii="宋体" w:hAnsi="宋体"/>
                <w:b/>
                <w:color w:val="auto"/>
                <w:sz w:val="21"/>
                <w:szCs w:val="21"/>
                <w:highlight w:val="none"/>
                <w:lang w:val="en-US" w:eastAsia="zh-CN"/>
              </w:rPr>
              <w:t>注：须提供合同复印件及验收报告加盖供应商公章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olor w:val="auto"/>
                <w:sz w:val="21"/>
                <w:szCs w:val="21"/>
                <w:highlight w:val="none"/>
                <w:lang w:val="en-US" w:eastAsia="zh-CN"/>
              </w:rPr>
            </w:pPr>
            <w:r>
              <w:rPr>
                <w:rFonts w:hint="eastAsia" w:ascii="宋体" w:eastAsia="宋体" w:cs="宋体"/>
                <w:color w:val="auto"/>
                <w:kern w:val="2"/>
                <w:sz w:val="21"/>
                <w:szCs w:val="21"/>
                <w:highlight w:val="none"/>
                <w:lang w:val="en-US" w:eastAsia="zh-CN"/>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olor w:val="auto"/>
                <w:szCs w:val="21"/>
                <w:highlight w:val="none"/>
                <w:lang w:val="en-US" w:eastAsia="zh-CN"/>
              </w:rPr>
            </w:pPr>
            <w:r>
              <w:rPr>
                <w:rFonts w:hint="eastAsia" w:ascii="宋体" w:eastAsia="宋体" w:cs="宋体"/>
                <w:bCs/>
                <w:color w:val="auto"/>
                <w:sz w:val="21"/>
                <w:szCs w:val="21"/>
                <w:highlight w:val="none"/>
                <w:lang w:val="en-US" w:eastAsia="zh-CN"/>
              </w:rPr>
              <w:t>3分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产品参数</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hint="eastAsia" w:eastAsia="宋体"/>
                <w:color w:val="auto"/>
                <w:highlight w:val="none"/>
                <w:lang w:val="zh-CN"/>
              </w:rPr>
            </w:pPr>
            <w:r>
              <w:rPr>
                <w:rFonts w:hint="eastAsia" w:eastAsia="宋体"/>
                <w:color w:val="auto"/>
                <w:highlight w:val="none"/>
                <w:lang w:val="zh-CN"/>
              </w:rPr>
              <w:t>根据</w:t>
            </w:r>
            <w:r>
              <w:rPr>
                <w:rFonts w:hint="eastAsia" w:eastAsia="宋体"/>
                <w:color w:val="auto"/>
                <w:highlight w:val="none"/>
                <w:lang w:val="en-US" w:eastAsia="zh-CN"/>
              </w:rPr>
              <w:t>供应商</w:t>
            </w:r>
            <w:r>
              <w:rPr>
                <w:rFonts w:hint="eastAsia" w:eastAsia="宋体"/>
                <w:color w:val="auto"/>
                <w:highlight w:val="none"/>
                <w:lang w:val="zh-CN"/>
              </w:rPr>
              <w:t>对用户需求书中带“▲”参数指标响应情况进行评审，带“▲”的参数指标符合要求的每项得</w:t>
            </w:r>
            <w:r>
              <w:rPr>
                <w:rFonts w:hint="eastAsia" w:eastAsia="宋体"/>
                <w:color w:val="auto"/>
                <w:highlight w:val="none"/>
                <w:lang w:val="en-US" w:eastAsia="zh-CN"/>
              </w:rPr>
              <w:t>1</w:t>
            </w:r>
            <w:r>
              <w:rPr>
                <w:rFonts w:hint="eastAsia" w:eastAsia="宋体"/>
                <w:color w:val="auto"/>
                <w:highlight w:val="none"/>
                <w:lang w:val="zh-CN"/>
              </w:rPr>
              <w:t>分，共</w:t>
            </w:r>
            <w:r>
              <w:rPr>
                <w:rFonts w:hint="eastAsia" w:eastAsia="宋体"/>
                <w:color w:val="auto"/>
                <w:highlight w:val="none"/>
                <w:lang w:val="en-US" w:eastAsia="zh-CN"/>
              </w:rPr>
              <w:t>10</w:t>
            </w:r>
            <w:r>
              <w:rPr>
                <w:rFonts w:hint="eastAsia" w:eastAsia="宋体"/>
                <w:color w:val="auto"/>
                <w:highlight w:val="none"/>
                <w:lang w:val="zh-CN"/>
              </w:rPr>
              <w:t>分。</w:t>
            </w:r>
          </w:p>
          <w:p>
            <w:pPr>
              <w:pageBreakBefore w:val="0"/>
              <w:kinsoku/>
              <w:overflowPunct/>
              <w:topLinePunct w:val="0"/>
              <w:bidi w:val="0"/>
              <w:spacing w:before="72" w:beforeLines="20" w:after="0"/>
              <w:ind w:firstLine="420" w:firstLineChars="200"/>
              <w:rPr>
                <w:rFonts w:hint="eastAsia" w:eastAsia="宋体"/>
                <w:color w:val="auto"/>
                <w:highlight w:val="none"/>
                <w:lang w:val="zh-CN"/>
              </w:rPr>
            </w:pPr>
            <w:r>
              <w:rPr>
                <w:rFonts w:hint="eastAsia" w:eastAsia="宋体"/>
                <w:color w:val="auto"/>
                <w:highlight w:val="none"/>
                <w:lang w:val="zh-CN"/>
              </w:rPr>
              <w:t>注：①对用户需求书带“▲”号条款，用户需求书要求提供证明资料的，则投标文件中须提供对应产品参数的证明资料。</w:t>
            </w:r>
          </w:p>
          <w:p>
            <w:pPr>
              <w:pageBreakBefore w:val="0"/>
              <w:kinsoku/>
              <w:overflowPunct/>
              <w:topLinePunct w:val="0"/>
              <w:bidi w:val="0"/>
              <w:spacing w:before="72" w:beforeLines="20" w:after="0"/>
              <w:ind w:firstLine="420" w:firstLineChars="200"/>
              <w:rPr>
                <w:rFonts w:hint="eastAsia" w:ascii="宋体" w:hAnsi="宋体" w:eastAsia="宋体" w:cs="宋体"/>
                <w:bCs/>
                <w:color w:val="auto"/>
                <w:sz w:val="21"/>
                <w:szCs w:val="21"/>
                <w:highlight w:val="none"/>
                <w:lang w:val="zh-CN"/>
              </w:rPr>
            </w:pPr>
            <w:r>
              <w:rPr>
                <w:rFonts w:hint="eastAsia" w:eastAsia="宋体"/>
                <w:color w:val="auto"/>
                <w:highlight w:val="none"/>
                <w:lang w:val="zh-CN"/>
              </w:rPr>
              <w:t>②对用户需求书带“▲”号条款，用户需求书未要求提供证明资料的，则投标文件中须提供所投产品彩页原件或原厂商的官方技术白皮书或原厂商所作的技术参数说明等详细技术资料。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根据</w:t>
            </w:r>
            <w:r>
              <w:rPr>
                <w:rFonts w:hint="eastAsia" w:eastAsia="宋体"/>
                <w:color w:val="auto"/>
                <w:highlight w:val="none"/>
                <w:lang w:eastAsia="zh-CN"/>
              </w:rPr>
              <w:t>供应商</w:t>
            </w:r>
            <w:r>
              <w:rPr>
                <w:rFonts w:eastAsia="宋体"/>
                <w:color w:val="auto"/>
                <w:highlight w:val="none"/>
              </w:rPr>
              <w:t xml:space="preserve">供货、安装、等实施进度计划方案详尽可行，供货、安装、调试等实施进度进行综合评价：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方案科学完整合理，可行性强，可操作性强，针对性强，得</w:t>
            </w:r>
            <w:r>
              <w:rPr>
                <w:rFonts w:hint="eastAsia" w:eastAsia="宋体"/>
                <w:color w:val="auto"/>
                <w:highlight w:val="none"/>
                <w:lang w:val="en-US" w:eastAsia="zh-CN"/>
              </w:rPr>
              <w:t>10</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方案完整合理，可行性强，可操作性一般，针对性一般，得</w:t>
            </w:r>
            <w:r>
              <w:rPr>
                <w:rFonts w:hint="eastAsia" w:eastAsia="宋体"/>
                <w:color w:val="auto"/>
                <w:highlight w:val="none"/>
                <w:lang w:val="en-US" w:eastAsia="zh-CN"/>
              </w:rPr>
              <w:t>7</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方案基本完整，可行性一般，可操作性一般，针对性一般，得</w:t>
            </w:r>
            <w:r>
              <w:rPr>
                <w:rFonts w:hint="eastAsia" w:eastAsia="宋体"/>
                <w:color w:val="auto"/>
                <w:highlight w:val="none"/>
                <w:lang w:val="en-US" w:eastAsia="zh-CN"/>
              </w:rPr>
              <w:t>3</w:t>
            </w:r>
            <w:r>
              <w:rPr>
                <w:rFonts w:eastAsia="宋体"/>
                <w:color w:val="auto"/>
                <w:highlight w:val="none"/>
              </w:rPr>
              <w:t xml:space="preserve">分； </w:t>
            </w:r>
          </w:p>
          <w:p>
            <w:pPr>
              <w:pageBreakBefore w:val="0"/>
              <w:kinsoku/>
              <w:overflowPunct/>
              <w:topLinePunct w:val="0"/>
              <w:bidi w:val="0"/>
              <w:spacing w:before="72" w:beforeLines="20" w:after="0"/>
              <w:ind w:firstLine="420" w:firstLineChars="200"/>
              <w:rPr>
                <w:rFonts w:eastAsia="宋体"/>
                <w:color w:val="auto"/>
                <w:highlight w:val="none"/>
              </w:rPr>
            </w:pPr>
            <w:r>
              <w:rPr>
                <w:rFonts w:eastAsia="宋体"/>
                <w:color w:val="auto"/>
                <w:highlight w:val="none"/>
              </w:rPr>
              <w:t xml:space="preserve">方案基本完整，可行性差，可操作性差，针对性差，得1分； </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bidi="ar-SA"/>
              </w:rPr>
            </w:pPr>
            <w:r>
              <w:rPr>
                <w:rFonts w:eastAsia="宋体"/>
                <w:color w:val="auto"/>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质量保障措施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提供质量保障措施方案（包括但不限于质量目标、项目质量的控制）进行评审：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质量目标非常明确、项目质量的控制非常详细、检验手段非常科学，得</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质量目标比较明确、项目质量的控制较为详细、检验手段比较科学，得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质量目标基本明确、项目质量的控制一般、检验手段一般，得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质量目标不够明确、项目质量的控制不够可行、检验手段一般，得1分；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未提供对应方案的不得分</w:t>
            </w:r>
            <w:r>
              <w:rPr>
                <w:rFonts w:hint="eastAsia" w:ascii="宋体" w:hAns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adjustRightInd/>
              <w:snapToGrid/>
              <w:spacing w:after="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提供的售后服务方案进行综合评审：</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提供的售后服务方案、应急服务方案和配送方案非常详细、具体，科学合理，可行性高，得</w:t>
            </w:r>
            <w:r>
              <w:rPr>
                <w:rFonts w:hint="eastAsia" w:ascii="宋体" w:hAnsi="宋体" w:eastAsia="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0</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提供的售后服务方案、应急服务方案和配送方案较详细、具体，可行性较高，得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提供的售后服务方案、应急服务方案和配送方案一般，可行性一般，得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cs="宋体"/>
                <w:bCs/>
                <w:color w:val="auto"/>
                <w:kern w:val="2"/>
                <w:sz w:val="21"/>
                <w:szCs w:val="21"/>
                <w:highlight w:val="none"/>
                <w:lang w:val="zh-CN"/>
              </w:rPr>
              <w:t>供应商</w:t>
            </w:r>
            <w:r>
              <w:rPr>
                <w:rFonts w:hint="eastAsia" w:ascii="宋体" w:hAnsi="宋体" w:eastAsia="宋体" w:cs="宋体"/>
                <w:bCs/>
                <w:color w:val="auto"/>
                <w:kern w:val="2"/>
                <w:sz w:val="21"/>
                <w:szCs w:val="21"/>
                <w:highlight w:val="none"/>
                <w:lang w:val="zh-CN"/>
              </w:rPr>
              <w:t>提供的售后服务方案、应急服务方案和配送方案差的，可行性差的，得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分；</w:t>
            </w:r>
          </w:p>
          <w:p>
            <w:pPr>
              <w:pageBreakBefore w:val="0"/>
              <w:kinsoku/>
              <w:overflowPunct/>
              <w:topLinePunct w:val="0"/>
              <w:bidi w:val="0"/>
              <w:spacing w:before="72" w:beforeLines="20" w:after="0"/>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kern w:val="2"/>
                <w:sz w:val="21"/>
                <w:szCs w:val="21"/>
                <w:highlight w:val="none"/>
                <w:lang w:val="zh-CN"/>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right w:val="single" w:color="auto" w:sz="4" w:space="0"/>
            </w:tcBorders>
            <w:noWrap w:val="0"/>
            <w:vAlign w:val="center"/>
          </w:tcPr>
          <w:p>
            <w:pPr>
              <w:pStyle w:val="26"/>
              <w:spacing w:line="36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安全文明生产及环保措施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spacing w:line="36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根据供应商提供的安全文明生产及环保措施进行评分：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安全文明生产及环保措施完善，措施有力合理，责任分明，得5分；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安全文明生产及环保措施基本完善，措施较有力，责任较明确，得3分；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安全文明生产及环保措施完善性一般，措施合理性一般，责任划分模糊，得1分；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1541"/>
      <w:bookmarkStart w:id="227" w:name="_Toc27897"/>
      <w:bookmarkStart w:id="228" w:name="_Toc20453"/>
      <w:bookmarkStart w:id="229"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864"/>
      <w:bookmarkStart w:id="231" w:name="_Toc21895"/>
      <w:bookmarkStart w:id="232" w:name="_Toc14994"/>
      <w:bookmarkStart w:id="233" w:name="_Toc3633"/>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984"/>
      <w:bookmarkStart w:id="235" w:name="_Toc32599"/>
      <w:bookmarkStart w:id="236" w:name="_Toc31907"/>
      <w:bookmarkStart w:id="237" w:name="_Toc8673"/>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9958"/>
      <w:bookmarkStart w:id="239" w:name="_Toc23270"/>
      <w:bookmarkStart w:id="240" w:name="_Toc28304"/>
      <w:bookmarkStart w:id="241" w:name="_Toc2159"/>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13843"/>
      <w:bookmarkStart w:id="243" w:name="_Toc31228"/>
      <w:bookmarkStart w:id="244" w:name="_Toc29743"/>
      <w:bookmarkStart w:id="245" w:name="_Toc3949"/>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30401"/>
      <w:bookmarkStart w:id="247" w:name="_Toc1315"/>
      <w:bookmarkStart w:id="248" w:name="_Toc3509"/>
      <w:bookmarkStart w:id="249" w:name="_Toc26555"/>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9016"/>
      <w:bookmarkStart w:id="251" w:name="_Toc27026"/>
      <w:bookmarkStart w:id="252" w:name="_Toc25049"/>
      <w:bookmarkStart w:id="253" w:name="_Toc28728"/>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491"/>
      <w:bookmarkStart w:id="255" w:name="_Toc16011"/>
      <w:bookmarkStart w:id="256" w:name="_Toc25037"/>
      <w:bookmarkStart w:id="257" w:name="_Toc15194"/>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5642"/>
      <w:bookmarkStart w:id="259" w:name="_Toc14319"/>
      <w:bookmarkStart w:id="260" w:name="_Toc8277"/>
      <w:bookmarkStart w:id="261" w:name="_Toc28189"/>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30679"/>
      <w:bookmarkStart w:id="263" w:name="_Toc18504"/>
      <w:bookmarkStart w:id="264" w:name="_Toc24754"/>
      <w:bookmarkStart w:id="265" w:name="_Toc23187"/>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0074"/>
      <w:bookmarkStart w:id="268" w:name="_Toc26856"/>
      <w:bookmarkStart w:id="269" w:name="_Toc21080"/>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6247"/>
      <w:bookmarkStart w:id="271" w:name="_Toc12495"/>
      <w:bookmarkStart w:id="272" w:name="_Toc29236"/>
      <w:bookmarkStart w:id="273" w:name="_Toc12645"/>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6429"/>
      <w:bookmarkStart w:id="275" w:name="_Toc1974"/>
      <w:bookmarkStart w:id="276" w:name="_Toc7253"/>
      <w:bookmarkStart w:id="277" w:name="_Toc14065"/>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5369"/>
      <w:bookmarkStart w:id="279" w:name="_Toc22153"/>
      <w:bookmarkStart w:id="280" w:name="_Toc31822"/>
      <w:bookmarkStart w:id="281" w:name="_Toc13763"/>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7065"/>
      <w:bookmarkStart w:id="284" w:name="_Toc23380"/>
      <w:bookmarkStart w:id="285" w:name="_Toc32213"/>
      <w:bookmarkStart w:id="286" w:name="_Toc712"/>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4171"/>
      <w:bookmarkStart w:id="288" w:name="_Toc26688"/>
      <w:bookmarkStart w:id="289" w:name="_Toc4650"/>
      <w:bookmarkStart w:id="290"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6353"/>
      <w:bookmarkStart w:id="292" w:name="_Toc302"/>
      <w:bookmarkStart w:id="293" w:name="_Toc17848"/>
      <w:bookmarkStart w:id="294"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w:t>
            </w:r>
            <w:r>
              <w:rPr>
                <w:rFonts w:hint="eastAsia" w:ascii="宋体" w:hAnsi="宋体" w:cs="宋体"/>
                <w:b/>
                <w:color w:val="auto"/>
                <w:sz w:val="21"/>
                <w:szCs w:val="21"/>
                <w:highlight w:val="none"/>
                <w:lang w:val="en-US" w:eastAsia="zh-CN"/>
              </w:rPr>
              <w:t>报价</w:t>
            </w:r>
            <w:r>
              <w:rPr>
                <w:rFonts w:hint="eastAsia" w:ascii="宋体" w:hAnsi="宋体" w:cs="宋体"/>
                <w:b/>
                <w:color w:val="auto"/>
                <w:sz w:val="21"/>
                <w:szCs w:val="21"/>
                <w:highlight w:val="none"/>
                <w:lang w:val="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7533"/>
      <w:bookmarkStart w:id="296" w:name="_Toc4452"/>
      <w:bookmarkStart w:id="297" w:name="_Toc19106"/>
      <w:bookmarkStart w:id="298" w:name="_Toc23039"/>
      <w:r>
        <w:rPr>
          <w:color w:val="auto"/>
          <w:sz w:val="24"/>
          <w:szCs w:val="24"/>
          <w:highlight w:val="none"/>
        </w:rPr>
        <w:t>法定代表人证明书</w:t>
      </w:r>
      <w:bookmarkEnd w:id="295"/>
      <w:bookmarkEnd w:id="296"/>
      <w:bookmarkEnd w:id="297"/>
      <w:bookmarkEnd w:id="298"/>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99" w:name="_Toc20098"/>
      <w:bookmarkStart w:id="300" w:name="_Toc27833"/>
      <w:bookmarkStart w:id="301" w:name="_Toc10424"/>
      <w:bookmarkStart w:id="302" w:name="_Toc16713"/>
      <w:r>
        <w:rPr>
          <w:color w:val="auto"/>
          <w:highlight w:val="none"/>
        </w:rPr>
        <w:t>履约进度计划表</w:t>
      </w:r>
      <w:bookmarkEnd w:id="299"/>
      <w:bookmarkEnd w:id="300"/>
      <w:bookmarkEnd w:id="301"/>
      <w:bookmarkEnd w:id="302"/>
    </w:p>
    <w:p>
      <w:pPr>
        <w:pStyle w:val="2"/>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7867"/>
      <w:bookmarkStart w:id="304" w:name="_Toc26415"/>
      <w:bookmarkStart w:id="305" w:name="_Toc6564"/>
      <w:bookmarkStart w:id="306" w:name="_Toc2912"/>
      <w:r>
        <w:rPr>
          <w:rFonts w:hint="eastAsia"/>
          <w:b/>
          <w:bCs/>
          <w:color w:val="auto"/>
          <w:sz w:val="24"/>
          <w:szCs w:val="32"/>
          <w:highlight w:val="none"/>
          <w:lang w:val="en-US" w:eastAsia="zh-CN"/>
        </w:rPr>
        <w:t>格式十四：</w:t>
      </w:r>
      <w:bookmarkEnd w:id="303"/>
      <w:bookmarkEnd w:id="304"/>
      <w:bookmarkEnd w:id="305"/>
      <w:bookmarkEnd w:id="306"/>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14919"/>
      <w:bookmarkStart w:id="308" w:name="_Toc3436"/>
      <w:bookmarkStart w:id="309" w:name="_Toc3338"/>
      <w:bookmarkStart w:id="310"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2429"/>
      <w:bookmarkStart w:id="312" w:name="_Toc26572"/>
      <w:bookmarkStart w:id="313" w:name="_Toc7938"/>
      <w:bookmarkStart w:id="314"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5195"/>
      <w:bookmarkStart w:id="316" w:name="_Toc30382"/>
      <w:bookmarkStart w:id="317" w:name="_Toc2436"/>
      <w:bookmarkStart w:id="318" w:name="_Toc27193"/>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32108"/>
      <w:bookmarkStart w:id="320" w:name="_Toc28801"/>
      <w:bookmarkStart w:id="321" w:name="_Toc3970"/>
      <w:bookmarkStart w:id="322" w:name="_Toc7693"/>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11855"/>
      <w:bookmarkStart w:id="324" w:name="_Toc31849"/>
      <w:bookmarkStart w:id="325" w:name="_Toc17430"/>
      <w:bookmarkStart w:id="326"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27" w:name="_Toc25747"/>
      <w:bookmarkStart w:id="328" w:name="_Toc29916"/>
      <w:bookmarkStart w:id="329" w:name="_Toc2879"/>
      <w:bookmarkStart w:id="330" w:name="_Toc29664"/>
      <w:r>
        <w:rPr>
          <w:rFonts w:hint="eastAsia"/>
          <w:b/>
          <w:bCs/>
          <w:color w:val="auto"/>
          <w:highlight w:val="none"/>
          <w:lang w:val="en-US" w:eastAsia="zh-CN"/>
        </w:rPr>
        <w:t>格式十六：</w:t>
      </w:r>
      <w:bookmarkEnd w:id="327"/>
      <w:bookmarkEnd w:id="328"/>
      <w:bookmarkEnd w:id="329"/>
      <w:bookmarkEnd w:id="33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11568"/>
      <w:bookmarkStart w:id="333" w:name="_Toc32249"/>
      <w:bookmarkStart w:id="334" w:name="_Toc23654"/>
      <w:bookmarkStart w:id="335" w:name="_Toc29643"/>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31076"/>
      <w:bookmarkStart w:id="337" w:name="_Toc5561"/>
      <w:bookmarkStart w:id="338" w:name="_Toc10015"/>
      <w:bookmarkStart w:id="339" w:name="_Toc24898"/>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14351"/>
      <w:bookmarkStart w:id="341" w:name="_Toc18186"/>
      <w:bookmarkStart w:id="342" w:name="_Toc77"/>
      <w:bookmarkStart w:id="343" w:name="_Toc28515"/>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7980"/>
      <w:bookmarkStart w:id="345" w:name="_Toc24484"/>
      <w:bookmarkStart w:id="346" w:name="_Toc32100"/>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9661"/>
      <w:bookmarkStart w:id="349" w:name="_Toc8054"/>
      <w:bookmarkStart w:id="350" w:name="_Toc6563"/>
      <w:bookmarkStart w:id="351" w:name="_Toc20806"/>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5011"/>
      <w:bookmarkStart w:id="353" w:name="_Toc3142"/>
      <w:bookmarkStart w:id="354" w:name="_Toc20631"/>
      <w:bookmarkStart w:id="355" w:name="_Toc13609"/>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27439"/>
      <w:bookmarkStart w:id="357" w:name="_Toc31223"/>
      <w:bookmarkStart w:id="358" w:name="_Toc31054"/>
      <w:bookmarkStart w:id="359" w:name="_Toc17346"/>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9210"/>
      <w:bookmarkStart w:id="362" w:name="_Toc23814"/>
      <w:bookmarkStart w:id="363" w:name="_Toc20213"/>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eastAsia="宋体"/>
        <w:lang w:val="en-US" w:eastAsia="zh-CN"/>
      </w:rPr>
    </w:pPr>
    <w:r>
      <w:rPr>
        <w:rFonts w:hint="eastAsia"/>
        <w:lang w:val="en-US" w:eastAsia="zh-CN"/>
      </w:rPr>
      <w:t>东莞市商业学校东校区教学楼课室照明系统改造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1BE7323"/>
    <w:rsid w:val="024829A0"/>
    <w:rsid w:val="02880AAC"/>
    <w:rsid w:val="03C618A1"/>
    <w:rsid w:val="043807E7"/>
    <w:rsid w:val="0548041A"/>
    <w:rsid w:val="074100C5"/>
    <w:rsid w:val="08DB5114"/>
    <w:rsid w:val="094A084B"/>
    <w:rsid w:val="0A4036B4"/>
    <w:rsid w:val="0AA575BB"/>
    <w:rsid w:val="0B2722F8"/>
    <w:rsid w:val="0B696582"/>
    <w:rsid w:val="0BE32B7B"/>
    <w:rsid w:val="0C545EC4"/>
    <w:rsid w:val="0CB21F77"/>
    <w:rsid w:val="0FA75340"/>
    <w:rsid w:val="13256801"/>
    <w:rsid w:val="13EB22ED"/>
    <w:rsid w:val="1415573E"/>
    <w:rsid w:val="152E568B"/>
    <w:rsid w:val="19BB08C0"/>
    <w:rsid w:val="19C92056"/>
    <w:rsid w:val="1B046FEA"/>
    <w:rsid w:val="1B5A74F3"/>
    <w:rsid w:val="1CE123EB"/>
    <w:rsid w:val="1CEE19EB"/>
    <w:rsid w:val="28CE4B49"/>
    <w:rsid w:val="29A20A66"/>
    <w:rsid w:val="2A213986"/>
    <w:rsid w:val="2AC4758F"/>
    <w:rsid w:val="2C250F65"/>
    <w:rsid w:val="2E69728F"/>
    <w:rsid w:val="2EF83FF0"/>
    <w:rsid w:val="304A47CF"/>
    <w:rsid w:val="3320692B"/>
    <w:rsid w:val="339D5B51"/>
    <w:rsid w:val="33E12E57"/>
    <w:rsid w:val="341076F7"/>
    <w:rsid w:val="344D01B8"/>
    <w:rsid w:val="398B6F9F"/>
    <w:rsid w:val="39C27E7C"/>
    <w:rsid w:val="3A123017"/>
    <w:rsid w:val="3CEB14FD"/>
    <w:rsid w:val="3F53097E"/>
    <w:rsid w:val="414A030F"/>
    <w:rsid w:val="426F54B2"/>
    <w:rsid w:val="460F2D8E"/>
    <w:rsid w:val="466D59AC"/>
    <w:rsid w:val="494E7FD2"/>
    <w:rsid w:val="4B5B3ECB"/>
    <w:rsid w:val="4C22418B"/>
    <w:rsid w:val="4DD477D5"/>
    <w:rsid w:val="4E6A7DE2"/>
    <w:rsid w:val="4E862B87"/>
    <w:rsid w:val="4E9C6EA6"/>
    <w:rsid w:val="50000BF4"/>
    <w:rsid w:val="505F3E03"/>
    <w:rsid w:val="51593AA1"/>
    <w:rsid w:val="51ED4F85"/>
    <w:rsid w:val="549178FF"/>
    <w:rsid w:val="55206652"/>
    <w:rsid w:val="57961A49"/>
    <w:rsid w:val="59F20A8D"/>
    <w:rsid w:val="5DE26737"/>
    <w:rsid w:val="5DE85889"/>
    <w:rsid w:val="5E2A2E41"/>
    <w:rsid w:val="5F8F1E39"/>
    <w:rsid w:val="64677E69"/>
    <w:rsid w:val="648F7060"/>
    <w:rsid w:val="64D3048A"/>
    <w:rsid w:val="661736CC"/>
    <w:rsid w:val="67520D2F"/>
    <w:rsid w:val="67880920"/>
    <w:rsid w:val="68402491"/>
    <w:rsid w:val="6A7F3B49"/>
    <w:rsid w:val="6DCB42B6"/>
    <w:rsid w:val="6E003853"/>
    <w:rsid w:val="72620D95"/>
    <w:rsid w:val="735656B0"/>
    <w:rsid w:val="739B0891"/>
    <w:rsid w:val="74951BFB"/>
    <w:rsid w:val="750A3303"/>
    <w:rsid w:val="785C7CED"/>
    <w:rsid w:val="787A69D8"/>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table of authorities"/>
    <w:basedOn w:val="1"/>
    <w:next w:val="1"/>
    <w:qFormat/>
    <w:uiPriority w:val="0"/>
    <w:pPr>
      <w:ind w:left="420" w:leftChars="200"/>
    </w:pPr>
  </w:style>
  <w:style w:type="paragraph" w:styleId="8">
    <w:name w:val="Normal Indent"/>
    <w:basedOn w:val="1"/>
    <w:semiHidden/>
    <w:unhideWhenUsed/>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eastAsiaTheme="minorEastAsia" w:cstheme="minorBid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qFormat/>
    <w:uiPriority w:val="99"/>
    <w:rPr>
      <w:color w:val="0000FF"/>
      <w:u w:val="single"/>
    </w:rPr>
  </w:style>
  <w:style w:type="paragraph" w:customStyle="1" w:styleId="22">
    <w:name w:val="表格文字"/>
    <w:basedOn w:val="1"/>
    <w:qFormat/>
    <w:uiPriority w:val="0"/>
    <w:pPr>
      <w:spacing w:before="25" w:after="25" w:line="300" w:lineRule="auto"/>
    </w:pPr>
    <w:rPr>
      <w:rFonts w:ascii="Times" w:hAnsi="Times"/>
      <w:spacing w:val="10"/>
      <w:kern w:val="0"/>
      <w:sz w:val="24"/>
      <w:szCs w:val="20"/>
    </w:rPr>
  </w:style>
  <w:style w:type="paragraph" w:styleId="23">
    <w:name w:val="List Paragraph"/>
    <w:basedOn w:val="1"/>
    <w:qFormat/>
    <w:uiPriority w:val="34"/>
    <w:pPr>
      <w:ind w:firstLine="420" w:firstLineChars="200"/>
    </w:pPr>
  </w:style>
  <w:style w:type="character" w:customStyle="1" w:styleId="24">
    <w:name w:val="标题 1 Char"/>
    <w:link w:val="3"/>
    <w:qFormat/>
    <w:uiPriority w:val="0"/>
    <w:rPr>
      <w:b/>
      <w:kern w:val="44"/>
      <w:sz w:val="30"/>
    </w:rPr>
  </w:style>
  <w:style w:type="paragraph" w:customStyle="1" w:styleId="25">
    <w:name w:val="Table Paragraph"/>
    <w:basedOn w:val="1"/>
    <w:qFormat/>
    <w:uiPriority w:val="1"/>
  </w:style>
  <w:style w:type="paragraph" w:customStyle="1" w:styleId="26">
    <w:name w:val="正文缩进2格"/>
    <w:basedOn w:val="1"/>
    <w:next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 w:type="paragraph" w:customStyle="1" w:styleId="30">
    <w:name w:val="_Style 4"/>
    <w:basedOn w:val="1"/>
    <w:qFormat/>
    <w:uiPriority w:val="0"/>
    <w:pPr>
      <w:spacing w:line="360" w:lineRule="auto"/>
      <w:ind w:firstLine="420" w:firstLineChars="200"/>
    </w:pPr>
    <w:rPr>
      <w:rFonts w:ascii="Calibri" w:hAnsi="Calibri"/>
      <w:szCs w:val="22"/>
    </w:rPr>
  </w:style>
  <w:style w:type="character" w:customStyle="1" w:styleId="31">
    <w:name w:val="font61"/>
    <w:basedOn w:val="19"/>
    <w:qFormat/>
    <w:uiPriority w:val="0"/>
    <w:rPr>
      <w:rFonts w:hint="default" w:ascii="Times New Roman" w:hAnsi="Times New Roman" w:cs="Times New Roman"/>
      <w:color w:val="000000"/>
      <w:sz w:val="20"/>
      <w:szCs w:val="20"/>
      <w:u w:val="none"/>
    </w:rPr>
  </w:style>
  <w:style w:type="character" w:customStyle="1" w:styleId="32">
    <w:name w:val="font41"/>
    <w:basedOn w:val="19"/>
    <w:qFormat/>
    <w:uiPriority w:val="0"/>
    <w:rPr>
      <w:rFonts w:hint="eastAsia" w:ascii="宋体" w:hAnsi="宋体" w:eastAsia="宋体" w:cs="宋体"/>
      <w:color w:val="000000"/>
      <w:sz w:val="20"/>
      <w:szCs w:val="20"/>
      <w:u w:val="none"/>
    </w:rPr>
  </w:style>
  <w:style w:type="character" w:customStyle="1" w:styleId="33">
    <w:name w:val="font71"/>
    <w:basedOn w:val="19"/>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qFormat/>
    <w:uiPriority w:val="0"/>
    <w:rPr>
      <w:rFonts w:hint="eastAsia" w:ascii="宋体" w:hAnsi="宋体" w:eastAsia="宋体" w:cs="宋体"/>
      <w:color w:val="000000"/>
      <w:sz w:val="20"/>
      <w:szCs w:val="20"/>
      <w:u w:val="none"/>
    </w:rPr>
  </w:style>
  <w:style w:type="character" w:customStyle="1" w:styleId="35">
    <w:name w:val="font01"/>
    <w:basedOn w:val="19"/>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qFormat/>
    <w:uiPriority w:val="0"/>
    <w:rPr>
      <w:rFonts w:hint="eastAsia" w:ascii="宋体" w:hAnsi="宋体" w:eastAsia="宋体" w:cs="宋体"/>
      <w:color w:val="000000"/>
      <w:sz w:val="20"/>
      <w:szCs w:val="20"/>
      <w:u w:val="none"/>
    </w:rPr>
  </w:style>
  <w:style w:type="character" w:customStyle="1" w:styleId="37">
    <w:name w:val="font51"/>
    <w:basedOn w:val="19"/>
    <w:qFormat/>
    <w:uiPriority w:val="0"/>
    <w:rPr>
      <w:rFonts w:hint="eastAsia" w:ascii="宋体" w:hAnsi="宋体" w:eastAsia="宋体" w:cs="宋体"/>
      <w:color w:val="000000"/>
      <w:sz w:val="20"/>
      <w:szCs w:val="20"/>
      <w:u w:val="none"/>
    </w:rPr>
  </w:style>
  <w:style w:type="character" w:customStyle="1" w:styleId="38">
    <w:name w:val="font81"/>
    <w:basedOn w:val="19"/>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31583</Words>
  <Characters>32843</Characters>
  <Lines>0</Lines>
  <Paragraphs>0</Paragraphs>
  <TotalTime>48</TotalTime>
  <ScaleCrop>false</ScaleCrop>
  <LinksUpToDate>false</LinksUpToDate>
  <CharactersWithSpaces>35148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2023-07-14T07:37:21Z</cp:lastPrinted>
  <dcterms:modified xsi:type="dcterms:W3CDTF">2023-07-14T07:45:00Z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5B8743569F2048089C775065F73514C6_13</vt:lpwstr>
  </property>
</Properties>
</file>