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jc w:val="cente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25865"/>
      <w:bookmarkStart w:id="1" w:name="_Toc16489"/>
      <w:bookmarkStart w:id="2" w:name="_Toc7942"/>
      <w:bookmarkStart w:id="3" w:name="_Toc7243"/>
      <w:r>
        <w:rPr>
          <w:rFonts w:hint="eastAsia"/>
          <w:b/>
          <w:bCs/>
          <w:color w:val="auto"/>
          <w:sz w:val="52"/>
          <w:szCs w:val="72"/>
          <w:highlight w:val="none"/>
          <w:lang w:val="en-US" w:eastAsia="zh-CN"/>
        </w:rPr>
        <w:t>国内采购</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8734"/>
      <w:bookmarkStart w:id="5" w:name="_Toc9385"/>
      <w:bookmarkStart w:id="6" w:name="_Toc20638"/>
      <w:bookmarkStart w:id="7" w:name="_Toc15158"/>
      <w:r>
        <w:rPr>
          <w:rFonts w:hint="eastAsia"/>
          <w:b/>
          <w:bCs/>
          <w:color w:val="auto"/>
          <w:sz w:val="52"/>
          <w:szCs w:val="72"/>
          <w:highlight w:val="none"/>
          <w:lang w:val="en-US" w:eastAsia="zh-CN"/>
        </w:rPr>
        <w:t>竞争性磋商文件</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东莞市南城阳光实验中学停车场改造项目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45"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GSDG2023-024B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东莞市南城阳光实验中学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45" w:type="dxa"/>
            <w:tcBorders>
              <w:top w:val="nil"/>
              <w:left w:val="nil"/>
              <w:bottom w:val="nil"/>
              <w:right w:val="nil"/>
            </w:tcBorders>
            <w:vAlign w:val="center"/>
          </w:tcPr>
          <w:p>
            <w:pPr>
              <w:bidi w:val="0"/>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国顺招标有限公司</w:t>
            </w:r>
          </w:p>
        </w:tc>
      </w:tr>
    </w:tbl>
    <w:p>
      <w:pPr>
        <w:bidi w:val="0"/>
        <w:rPr>
          <w:rFonts w:hint="default"/>
          <w:color w:val="auto"/>
          <w:highlight w:val="none"/>
          <w:lang w:val="en-US" w:eastAsia="zh-CN"/>
        </w:rPr>
      </w:pPr>
    </w:p>
    <w:p>
      <w:pPr>
        <w:bidi w:val="0"/>
        <w:rPr>
          <w:rFonts w:hint="default"/>
          <w:color w:val="auto"/>
          <w:highlight w:val="none"/>
          <w:lang w:val="en-US" w:eastAsia="zh-CN"/>
        </w:rPr>
      </w:pPr>
    </w:p>
    <w:p>
      <w:pPr>
        <w:bidi w:val="0"/>
        <w:jc w:val="center"/>
        <w:rPr>
          <w:rFonts w:hint="eastAsia"/>
          <w:color w:val="auto"/>
          <w:sz w:val="24"/>
          <w:szCs w:val="32"/>
          <w:highlight w:val="none"/>
          <w:lang w:val="en-US" w:eastAsia="zh-CN"/>
        </w:rPr>
      </w:pPr>
    </w:p>
    <w:p>
      <w:pPr>
        <w:bidi w:val="0"/>
        <w:jc w:val="center"/>
        <w:rPr>
          <w:rFonts w:hint="eastAsia"/>
          <w:color w:val="auto"/>
          <w:sz w:val="24"/>
          <w:szCs w:val="32"/>
          <w:highlight w:val="none"/>
          <w:lang w:val="en-US" w:eastAsia="zh-CN"/>
        </w:rPr>
      </w:pPr>
    </w:p>
    <w:p>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17050"/>
      <w:bookmarkStart w:id="9" w:name="_Toc4164"/>
      <w:bookmarkStart w:id="10" w:name="_Toc5265"/>
      <w:bookmarkStart w:id="11" w:name="_Toc18278"/>
      <w:r>
        <w:rPr>
          <w:rFonts w:hint="eastAsia" w:ascii="黑体" w:hAnsi="黑体" w:eastAsia="黑体" w:cs="黑体"/>
          <w:color w:val="auto"/>
          <w:sz w:val="30"/>
          <w:szCs w:val="30"/>
          <w:highlight w:val="none"/>
          <w:lang w:val="en-US" w:eastAsia="zh-CN"/>
        </w:rPr>
        <w:t>2023年8月3日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pPr>
            <w:pStyle w:val="14"/>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5"/>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0"/>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pPr>
        <w:pStyle w:val="3"/>
        <w:numPr>
          <w:ilvl w:val="0"/>
          <w:numId w:val="1"/>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b/>
          <w:bCs/>
          <w:color w:val="auto"/>
          <w:sz w:val="21"/>
          <w:szCs w:val="21"/>
          <w:highlight w:val="none"/>
          <w:u w:val="single"/>
          <w:lang w:val="en-US" w:eastAsia="zh-CN"/>
        </w:rPr>
        <w:t>东莞市南城阳光实验中学停车场改造项目</w:t>
      </w:r>
      <w:r>
        <w:rPr>
          <w:rFonts w:hint="eastAsia" w:ascii="宋体" w:hAnsi="宋体" w:eastAsia="宋体" w:cs="宋体"/>
          <w:b/>
          <w:bCs/>
          <w:color w:val="auto"/>
          <w:sz w:val="21"/>
          <w:szCs w:val="21"/>
          <w:highlight w:val="none"/>
          <w:u w:val="single"/>
          <w:lang w:eastAsia="zh-CN"/>
        </w:rPr>
        <w:t xml:space="preserve"> </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2023</w:t>
      </w:r>
      <w:r>
        <w:rPr>
          <w:rFonts w:hint="eastAsia" w:ascii="宋体" w:hAnsi="宋体" w:eastAsia="宋体" w:cs="宋体"/>
          <w:b/>
          <w:bCs/>
          <w:color w:val="auto"/>
          <w:sz w:val="21"/>
          <w:szCs w:val="21"/>
          <w:highlight w:val="none"/>
          <w:u w:val="single"/>
        </w:rPr>
        <w:t>年</w:t>
      </w:r>
      <w:r>
        <w:rPr>
          <w:rFonts w:hint="eastAsia" w:ascii="宋体" w:hAnsi="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35393621"/>
      <w:bookmarkStart w:id="14" w:name="_Toc35393790"/>
      <w:bookmarkStart w:id="15" w:name="_Toc28359002"/>
      <w:bookmarkStart w:id="16" w:name="_Toc13782"/>
      <w:bookmarkStart w:id="17" w:name="_Toc28359079"/>
      <w:bookmarkStart w:id="18" w:name="_Toc26796"/>
      <w:bookmarkStart w:id="19" w:name="_Toc2169"/>
      <w:bookmarkStart w:id="20" w:name="_Toc31624"/>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GSDG2023-024B</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东莞市南城阳光实验中学停车场改造项目</w:t>
      </w:r>
    </w:p>
    <w:bookmarkEnd w:id="21"/>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 w:val="21"/>
          <w:szCs w:val="21"/>
          <w:highlight w:val="none"/>
          <w:lang w:val="en-US" w:eastAsia="zh-CN"/>
        </w:rPr>
        <w:t>¥672,435.54元</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pPr>
        <w:pageBreakBefore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46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34"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2030" w:type="pct"/>
            <w:noWrap w:val="0"/>
            <w:vAlign w:val="center"/>
          </w:tcPr>
          <w:p>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c>
          <w:tcPr>
            <w:tcW w:w="2435" w:type="pct"/>
            <w:noWrap w:val="0"/>
            <w:vAlign w:val="center"/>
          </w:tcPr>
          <w:p>
            <w:pPr>
              <w:spacing w:line="360" w:lineRule="auto"/>
              <w:jc w:val="center"/>
              <w:rPr>
                <w:rFonts w:hint="eastAsia" w:hAnsi="宋体" w:eastAsia="宋体"/>
                <w:b/>
                <w:color w:val="auto"/>
                <w:sz w:val="21"/>
                <w:szCs w:val="21"/>
                <w:highlight w:val="none"/>
                <w:lang w:val="en-US" w:eastAsia="zh-CN"/>
              </w:rPr>
            </w:pPr>
            <w:r>
              <w:rPr>
                <w:rFonts w:hint="eastAsia" w:hAnsi="宋体"/>
                <w:b/>
                <w:color w:val="auto"/>
                <w:sz w:val="21"/>
                <w:szCs w:val="21"/>
                <w:highlight w:val="none"/>
                <w:lang w:val="en-US" w:eastAsia="zh-CN"/>
              </w:rPr>
              <w:t>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34" w:type="pct"/>
            <w:noWrap w:val="0"/>
            <w:vAlign w:val="center"/>
          </w:tcPr>
          <w:p>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2030" w:type="pct"/>
            <w:noWrap w:val="0"/>
            <w:vAlign w:val="center"/>
          </w:tcPr>
          <w:p>
            <w:pPr>
              <w:spacing w:line="360" w:lineRule="auto"/>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东莞市南城阳光实验中学停车场改造项目采购一项</w:t>
            </w:r>
          </w:p>
        </w:tc>
        <w:tc>
          <w:tcPr>
            <w:tcW w:w="2435" w:type="pct"/>
            <w:noWrap w:val="0"/>
            <w:vAlign w:val="center"/>
          </w:tcPr>
          <w:p>
            <w:pPr>
              <w:spacing w:line="360" w:lineRule="auto"/>
              <w:jc w:val="center"/>
              <w:rPr>
                <w:rFonts w:hint="eastAsia" w:hAnsi="宋体"/>
                <w:color w:val="auto"/>
                <w:sz w:val="21"/>
                <w:szCs w:val="21"/>
                <w:highlight w:val="none"/>
                <w:lang w:val="en-US" w:eastAsia="zh-CN"/>
              </w:rPr>
            </w:pPr>
            <w:r>
              <w:rPr>
                <w:rFonts w:hint="eastAsia" w:hAnsi="宋体"/>
                <w:color w:val="auto"/>
                <w:sz w:val="21"/>
                <w:szCs w:val="21"/>
                <w:highlight w:val="none"/>
                <w:lang w:val="en-US" w:eastAsia="zh-CN"/>
              </w:rPr>
              <w:t>自合同签订之日起25个日历日内完成</w:t>
            </w:r>
          </w:p>
        </w:tc>
      </w:tr>
    </w:tbl>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5198"/>
      <w:bookmarkStart w:id="23" w:name="_Toc13371"/>
      <w:bookmarkStart w:id="24" w:name="_Toc35393791"/>
      <w:bookmarkStart w:id="25" w:name="_Toc28359003"/>
      <w:bookmarkStart w:id="26" w:name="_Toc35393622"/>
      <w:bookmarkStart w:id="27" w:name="_Toc28359080"/>
      <w:bookmarkStart w:id="28" w:name="_Toc31691"/>
      <w:bookmarkStart w:id="29" w:name="_Toc28625"/>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7315"/>
      <w:bookmarkStart w:id="31" w:name="_Toc29919"/>
      <w:bookmarkStart w:id="32" w:name="_Toc16211"/>
      <w:bookmarkStart w:id="33" w:name="_Toc8265"/>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1）具有独立承担民事责任的能力：在中华人民共和国境内注册的法人或其他组织或自然人，投标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color w:val="auto"/>
          <w:sz w:val="20"/>
          <w:szCs w:val="24"/>
          <w:highlight w:val="none"/>
          <w:lang w:eastAsia="zh-CN"/>
        </w:rPr>
      </w:pPr>
      <w:r>
        <w:rPr>
          <w:rFonts w:hint="eastAsia" w:ascii="宋体" w:hAnsi="宋体" w:eastAsia="宋体"/>
          <w:color w:val="auto"/>
          <w:sz w:val="21"/>
          <w:szCs w:val="21"/>
          <w:highlight w:val="none"/>
        </w:rPr>
        <w:t>2）有依法缴纳税收和社会保障资金的良好记录：提供投标截止日前6个月内任意1个月依法缴纳税收和社会保障资金的相关材料。如依法免税或不需要缴纳社会保障资金的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w:t>
      </w:r>
      <w:r>
        <w:rPr>
          <w:rFonts w:hint="eastAsia" w:ascii="宋体" w:hAnsi="宋体" w:eastAsia="宋体"/>
          <w:color w:val="auto"/>
          <w:sz w:val="21"/>
          <w:szCs w:val="21"/>
          <w:highlight w:val="none"/>
          <w:lang w:val="en-US" w:eastAsia="zh-CN"/>
        </w:rPr>
        <w:t>202</w:t>
      </w: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年度</w:t>
      </w:r>
      <w:r>
        <w:rPr>
          <w:rFonts w:hint="eastAsia" w:ascii="宋体" w:hAnsi="宋体" w:eastAsia="宋体"/>
          <w:color w:val="auto"/>
          <w:sz w:val="21"/>
          <w:szCs w:val="21"/>
          <w:highlight w:val="none"/>
        </w:rPr>
        <w:t>财务状况报告或基本开户行出具的资信证明）。</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w:t>
      </w:r>
      <w:r>
        <w:rPr>
          <w:rFonts w:hint="eastAsia" w:ascii="宋体" w:hAnsi="宋体" w:cs="宋体"/>
          <w:color w:val="auto"/>
          <w:sz w:val="21"/>
          <w:szCs w:val="21"/>
          <w:highlight w:val="none"/>
          <w:lang w:val="en-US" w:eastAsia="zh-CN"/>
        </w:rPr>
        <w:t>2023</w:t>
      </w:r>
      <w:r>
        <w:rPr>
          <w:rFonts w:hint="eastAsia" w:ascii="宋体" w:hAnsi="宋体" w:eastAsia="宋体" w:cs="宋体"/>
          <w:color w:val="auto"/>
          <w:sz w:val="21"/>
          <w:szCs w:val="21"/>
          <w:highlight w:val="none"/>
          <w:lang w:val="en-US" w:eastAsia="zh-CN"/>
        </w:rPr>
        <w:t>〕3号文，“较大数额罚款”认定为200万元以上的罚款，法律、行政法规以及国务院有关部门明确规定相关领域“较大数额罚款”标准高于200万元的，从其规定）</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信用记录：</w:t>
      </w:r>
      <w:r>
        <w:rPr>
          <w:rFonts w:hint="eastAsia" w:ascii="宋体" w:hAnsi="宋体" w:eastAsia="宋体"/>
          <w:color w:val="auto"/>
          <w:sz w:val="21"/>
          <w:szCs w:val="21"/>
          <w:highlight w:val="none"/>
        </w:rPr>
        <w:t>供应商未被列入“信用中国”网站(www.creditchina.gov.cn)“记录失信被执行人或</w:t>
      </w:r>
      <w:r>
        <w:rPr>
          <w:rFonts w:hint="eastAsia" w:ascii="宋体" w:hAnsi="宋体"/>
          <w:color w:val="auto"/>
          <w:sz w:val="21"/>
          <w:szCs w:val="21"/>
          <w:highlight w:val="none"/>
          <w:lang w:eastAsia="zh-CN"/>
        </w:rPr>
        <w:t>税收违法黑名单</w:t>
      </w:r>
      <w:r>
        <w:rPr>
          <w:rFonts w:hint="eastAsia" w:ascii="宋体" w:hAnsi="宋体" w:eastAsia="宋体"/>
          <w:color w:val="auto"/>
          <w:sz w:val="21"/>
          <w:szCs w:val="21"/>
          <w:highlight w:val="none"/>
        </w:rPr>
        <w:t>”记录名单；不处于中国政府采购网(www.ccgp.gov.cn)“政府采购严重违法失信行为信息记录”中的禁止参加政府采购活动期间。（以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于投标截止时间当天在“信用中国”网站（www.creditchina.gov.cn）及中国政府采购网（http://www.ccgp.gov.cn/）查询结果为准，如相关失信记录已失效，供应商需提供相关证明资料）。</w:t>
      </w:r>
      <w:r>
        <w:rPr>
          <w:rFonts w:hint="eastAsia" w:ascii="宋体" w:hAnsi="宋体" w:eastAsia="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）供应商必须符合法律、行政法规规定的其他条件：单位负责人为同一人或者存在直接控股、管理关系的不同供应商，不得同时参加本采购项目投标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。为本项目提供整体设计、规范编制或者项目管理、监理、检测等服务的供应商，不得再参与本项目投标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4071"/>
      <w:bookmarkStart w:id="37" w:name="_Toc26119"/>
      <w:bookmarkStart w:id="38" w:name="_Toc16617"/>
      <w:bookmarkStart w:id="39" w:name="_Toc18344"/>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200"/>
        <w:jc w:val="left"/>
        <w:textAlignment w:val="auto"/>
        <w:rPr>
          <w:rFonts w:hint="eastAsia" w:ascii="宋体" w:hAnsi="宋体" w:eastAsia="宋体" w:cstheme="minorBidi"/>
          <w:b w:val="0"/>
          <w:color w:val="auto"/>
          <w:kern w:val="2"/>
          <w:sz w:val="21"/>
          <w:szCs w:val="21"/>
          <w:highlight w:val="none"/>
          <w:lang w:val="en-US" w:eastAsia="zh-CN" w:bidi="ar-SA"/>
        </w:rPr>
      </w:pPr>
      <w:r>
        <w:rPr>
          <w:rFonts w:hint="eastAsia" w:ascii="宋体" w:hAnsi="宋体" w:eastAsia="宋体" w:cstheme="minorBidi"/>
          <w:b w:val="0"/>
          <w:color w:val="auto"/>
          <w:kern w:val="2"/>
          <w:sz w:val="21"/>
          <w:szCs w:val="21"/>
          <w:highlight w:val="none"/>
          <w:lang w:val="en-US" w:eastAsia="zh-CN" w:bidi="ar-SA"/>
        </w:rPr>
        <w:t>（1）</w:t>
      </w:r>
      <w:bookmarkStart w:id="40" w:name="_Toc35393623"/>
      <w:bookmarkStart w:id="41" w:name="_Toc173"/>
      <w:bookmarkStart w:id="42" w:name="_Toc35393792"/>
      <w:bookmarkStart w:id="43" w:name="_Toc2137"/>
      <w:bookmarkStart w:id="44" w:name="_Toc27443"/>
      <w:bookmarkStart w:id="45" w:name="_Toc18578"/>
      <w:r>
        <w:rPr>
          <w:rFonts w:hint="eastAsia" w:ascii="宋体" w:hAnsi="宋体" w:eastAsia="宋体" w:cstheme="minorBidi"/>
          <w:b w:val="0"/>
          <w:color w:val="auto"/>
          <w:kern w:val="2"/>
          <w:sz w:val="21"/>
          <w:szCs w:val="21"/>
          <w:highlight w:val="none"/>
          <w:lang w:val="en-US" w:eastAsia="zh-CN" w:bidi="ar-SA"/>
        </w:rPr>
        <w:t>供应商须具备行政主管部门颁发并在有效期内的:市政公用工程施工总承包三级（或以上）资质（或更换资质证书后的市政公用工程施工总承包乙级或以上资质）及《安全生产许可证》（根据《住房和城乡建设部办公厅关于建设工程企业资质有关事宜的通知》，资质证书有效期于2023年12月30日前期满的，统一延期至2023年12月31日。供应商提供的资质证书符合上述规定的，均为有效资质证书）。</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日</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s="宋体"/>
          <w:color w:val="auto"/>
          <w:szCs w:val="21"/>
          <w:highlight w:val="none"/>
          <w:lang w:val="en-US" w:eastAsia="zh-CN"/>
        </w:rPr>
        <w:t>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05"/>
      <w:bookmarkStart w:id="47" w:name="_Toc28359082"/>
      <w:bookmarkStart w:id="48" w:name="_Toc28585"/>
      <w:bookmarkStart w:id="49" w:name="_Toc10322"/>
      <w:bookmarkStart w:id="50" w:name="_Toc35393793"/>
      <w:bookmarkStart w:id="51" w:name="_Toc28435"/>
      <w:bookmarkStart w:id="52" w:name="_Toc27404"/>
      <w:bookmarkStart w:id="53" w:name="_Toc35393624"/>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2023</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r>
        <w:rPr>
          <w:rFonts w:hint="eastAsia" w:ascii="宋体" w:hAnsi="宋体"/>
          <w:bCs/>
          <w:color w:val="auto"/>
          <w:sz w:val="21"/>
          <w:szCs w:val="21"/>
          <w:highlight w:val="none"/>
          <w:lang w:eastAsia="zh-CN"/>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17857"/>
      <w:bookmarkStart w:id="55" w:name="_Toc26299"/>
      <w:bookmarkStart w:id="56" w:name="_Toc35393625"/>
      <w:bookmarkStart w:id="57" w:name="_Toc25695"/>
      <w:bookmarkStart w:id="58" w:name="_Toc35393794"/>
      <w:bookmarkStart w:id="59" w:name="_Toc28359084"/>
      <w:bookmarkStart w:id="60" w:name="_Toc28359007"/>
      <w:bookmarkStart w:id="61" w:name="_Toc1202"/>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1519"/>
      <w:bookmarkStart w:id="63" w:name="_Toc9116"/>
      <w:bookmarkStart w:id="64" w:name="_Toc35393626"/>
      <w:bookmarkStart w:id="65" w:name="_Toc35393795"/>
      <w:bookmarkStart w:id="66" w:name="_Toc6612"/>
      <w:bookmarkStart w:id="67" w:name="_Toc25010"/>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28359008"/>
      <w:bookmarkStart w:id="69" w:name="_Toc28359085"/>
      <w:bookmarkStart w:id="70" w:name="_Toc35393796"/>
      <w:bookmarkStart w:id="71" w:name="_Toc35393627"/>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pPr>
        <w:pStyle w:val="4"/>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5139"/>
      <w:bookmarkStart w:id="73" w:name="_Toc8358"/>
      <w:bookmarkStart w:id="74" w:name="_Toc22586"/>
      <w:bookmarkStart w:id="75" w:name="_Toc12281"/>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1577"/>
      <w:bookmarkStart w:id="77" w:name="_Toc30615"/>
      <w:bookmarkStart w:id="78" w:name="_Toc30277"/>
      <w:bookmarkStart w:id="79" w:name="_Toc7403"/>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东莞市南城阳光实验中学</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址：东莞市南城区宏伟三路43号</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default"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联系人：</w:t>
      </w:r>
      <w:r>
        <w:rPr>
          <w:rFonts w:hint="eastAsia" w:ascii="宋体" w:hAnsi="宋体"/>
          <w:color w:val="auto"/>
          <w:sz w:val="21"/>
          <w:szCs w:val="21"/>
          <w:highlight w:val="none"/>
          <w:lang w:val="en-US" w:eastAsia="zh-CN"/>
        </w:rPr>
        <w:t>梁老师</w:t>
      </w:r>
    </w:p>
    <w:p>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联系方式：0769-23198731 </w:t>
      </w:r>
      <w:bookmarkStart w:id="80" w:name="_Toc28359086"/>
      <w:bookmarkStart w:id="81" w:name="_Toc28359009"/>
    </w:p>
    <w:p>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11561"/>
      <w:bookmarkStart w:id="83" w:name="_Toc10880"/>
      <w:bookmarkStart w:id="84" w:name="_Toc4580"/>
      <w:bookmarkStart w:id="85" w:name="_Toc25259"/>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rPr>
        <w:t>地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87"/>
      <w:bookmarkStart w:id="87" w:name="_Toc28359010"/>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5543"/>
      <w:bookmarkStart w:id="89" w:name="_Toc9440"/>
      <w:bookmarkStart w:id="90" w:name="_Toc28659"/>
      <w:bookmarkStart w:id="91" w:name="_Toc18257"/>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pPr>
        <w:pStyle w:val="11"/>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pPr>
        <w:rPr>
          <w:rFonts w:hint="eastAsia"/>
          <w:color w:val="auto"/>
          <w:highlight w:val="none"/>
          <w:lang w:val="en-US" w:eastAsia="zh-CN"/>
        </w:rPr>
      </w:pPr>
      <w:bookmarkStart w:id="92" w:name="_Toc26573"/>
      <w:r>
        <w:rPr>
          <w:rFonts w:hint="eastAsia"/>
          <w:color w:val="auto"/>
          <w:highlight w:val="none"/>
          <w:lang w:val="en-US" w:eastAsia="zh-CN"/>
        </w:rP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0510"/>
      <w:bookmarkStart w:id="94" w:name="_Toc396137231"/>
      <w:bookmarkStart w:id="95" w:name="_Toc413402429"/>
      <w:bookmarkStart w:id="96" w:name="_Toc497983494"/>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保证金金额：</w:t>
            </w:r>
            <w:r>
              <w:rPr>
                <w:rFonts w:hint="eastAsia"/>
                <w:b/>
                <w:bCs/>
                <w:color w:val="auto"/>
                <w:highlight w:val="none"/>
                <w:lang w:val="en-US" w:eastAsia="zh-CN"/>
              </w:rPr>
              <w:t>/</w:t>
            </w:r>
            <w:r>
              <w:rPr>
                <w:rFonts w:hint="eastAsia"/>
                <w:color w:val="auto"/>
                <w:highlight w:val="none"/>
              </w:rPr>
              <w:t>。</w:t>
            </w:r>
          </w:p>
          <w:p>
            <w:pPr>
              <w:autoSpaceDE/>
              <w:autoSpaceDN/>
              <w:adjustRightInd/>
              <w:spacing w:line="360" w:lineRule="auto"/>
              <w:jc w:val="both"/>
              <w:rPr>
                <w:rFonts w:hint="eastAsia"/>
                <w:color w:val="auto"/>
                <w:highlight w:val="none"/>
              </w:rPr>
            </w:pPr>
            <w:r>
              <w:rPr>
                <w:rFonts w:hint="eastAsia" w:ascii="宋体" w:hAnsi="宋体" w:cs="宋体"/>
                <w:color w:val="auto"/>
                <w:sz w:val="21"/>
                <w:szCs w:val="21"/>
                <w:highlight w:val="none"/>
                <w:lang w:val="en-US" w:eastAsia="zh-CN"/>
              </w:rPr>
              <w:t>响应</w:t>
            </w:r>
            <w:r>
              <w:rPr>
                <w:rFonts w:hint="eastAsia"/>
                <w:color w:val="auto"/>
                <w:highlight w:val="none"/>
              </w:rPr>
              <w:t>保证金账户：</w:t>
            </w:r>
          </w:p>
          <w:p>
            <w:pPr>
              <w:autoSpaceDE/>
              <w:autoSpaceDN/>
              <w:adjustRightInd/>
              <w:spacing w:line="360" w:lineRule="auto"/>
              <w:jc w:val="both"/>
              <w:rPr>
                <w:rFonts w:hint="default"/>
                <w:color w:val="auto"/>
                <w:highlight w:val="none"/>
                <w:lang w:val="en-US" w:eastAsia="zh-CN"/>
              </w:rPr>
            </w:pPr>
            <w:r>
              <w:rPr>
                <w:rFonts w:hint="eastAsia"/>
                <w:color w:val="auto"/>
                <w:highlight w:val="none"/>
              </w:rPr>
              <w:t>开户名称：</w:t>
            </w:r>
            <w:r>
              <w:rPr>
                <w:rFonts w:hint="eastAsia"/>
                <w:color w:val="auto"/>
                <w:highlight w:val="none"/>
                <w:lang w:val="en-US" w:eastAsia="zh-CN"/>
              </w:rPr>
              <w:t>国顺招标有限公司</w:t>
            </w:r>
          </w:p>
          <w:p>
            <w:pPr>
              <w:autoSpaceDE/>
              <w:autoSpaceDN/>
              <w:adjustRightInd/>
              <w:spacing w:line="360" w:lineRule="auto"/>
              <w:jc w:val="both"/>
              <w:rPr>
                <w:rFonts w:hint="eastAsia"/>
                <w:color w:val="auto"/>
                <w:highlight w:val="none"/>
              </w:rPr>
            </w:pPr>
            <w:r>
              <w:rPr>
                <w:rFonts w:hint="eastAsia"/>
                <w:color w:val="auto"/>
                <w:highlight w:val="none"/>
              </w:rPr>
              <w:t>开户银行：广发银行股份有限公司东莞城区支行</w:t>
            </w:r>
          </w:p>
          <w:p>
            <w:pPr>
              <w:autoSpaceDE/>
              <w:autoSpaceDN/>
              <w:adjustRightInd/>
              <w:spacing w:line="360" w:lineRule="auto"/>
              <w:jc w:val="both"/>
              <w:rPr>
                <w:rFonts w:hint="eastAsia"/>
                <w:color w:val="auto"/>
                <w:highlight w:val="none"/>
              </w:rPr>
            </w:pPr>
            <w:r>
              <w:rPr>
                <w:rFonts w:hint="eastAsia"/>
                <w:color w:val="auto"/>
                <w:highlight w:val="none"/>
              </w:rPr>
              <w:t>账号</w:t>
            </w:r>
            <w:r>
              <w:rPr>
                <w:rFonts w:hint="eastAsia" w:ascii="宋体" w:hAnsi="宋体" w:eastAsia="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eastAsia="宋体" w:cs="宋体"/>
                <w:b/>
                <w:color w:val="auto"/>
                <w:sz w:val="21"/>
                <w:szCs w:val="21"/>
                <w:highlight w:val="none"/>
                <w:u w:val="single"/>
              </w:rPr>
              <w:t xml:space="preserve"> </w:t>
            </w:r>
            <w:r>
              <w:rPr>
                <w:rFonts w:hint="eastAsia" w:ascii="宋体" w:hAnsi="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不需要</w:t>
            </w:r>
            <w:r>
              <w:rPr>
                <w:rFonts w:hint="eastAsia" w:ascii="宋体" w:hAnsi="宋体" w:cs="宋体"/>
                <w:bCs/>
                <w:color w:val="auto"/>
                <w:sz w:val="21"/>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履约保证金金额</w:t>
            </w:r>
            <w:r>
              <w:rPr>
                <w:rFonts w:hint="eastAsia" w:ascii="宋体" w:hAnsi="宋体" w:eastAsia="宋体" w:cs="宋体"/>
                <w:b/>
                <w:bCs/>
                <w:color w:val="auto"/>
                <w:sz w:val="21"/>
                <w:szCs w:val="21"/>
                <w:highlight w:val="none"/>
              </w:rPr>
              <w:t>：</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p>
          <w:p>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履约保证金账户：</w:t>
            </w:r>
            <w:r>
              <w:rPr>
                <w:rFonts w:hint="eastAsia" w:ascii="宋体" w:hAnsi="宋体" w:cs="宋体"/>
                <w:bCs/>
                <w:color w:val="auto"/>
                <w:sz w:val="21"/>
                <w:szCs w:val="21"/>
                <w:highlight w:val="none"/>
                <w:lang w:eastAsia="zh-CN"/>
              </w:rPr>
              <w:t>采购人</w:t>
            </w:r>
            <w:r>
              <w:rPr>
                <w:rFonts w:hint="eastAsia" w:ascii="宋体" w:hAnsi="宋体" w:eastAsia="宋体" w:cs="宋体"/>
                <w:bCs/>
                <w:color w:val="auto"/>
                <w:sz w:val="21"/>
                <w:szCs w:val="21"/>
                <w:highlight w:val="none"/>
              </w:rPr>
              <w:t>指定账户(单位基本账户) 。</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（特别提醒，本账户非</w:t>
            </w:r>
            <w:r>
              <w:rPr>
                <w:rFonts w:hint="eastAsia" w:ascii="宋体" w:hAnsi="宋体" w:cs="宋体"/>
                <w:b/>
                <w:bCs/>
                <w:color w:val="auto"/>
                <w:sz w:val="21"/>
                <w:szCs w:val="21"/>
                <w:highlight w:val="none"/>
                <w:lang w:eastAsia="zh-CN"/>
              </w:rPr>
              <w:t>响应保证金</w:t>
            </w:r>
            <w:r>
              <w:rPr>
                <w:rFonts w:hint="eastAsia" w:ascii="宋体" w:hAnsi="宋体" w:eastAsia="宋体" w:cs="宋体"/>
                <w:b/>
                <w:bCs/>
                <w:color w:val="auto"/>
                <w:sz w:val="21"/>
                <w:szCs w:val="21"/>
                <w:highlight w:val="none"/>
              </w:rPr>
              <w:t>账户）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pPr>
              <w:numPr>
                <w:ilvl w:val="0"/>
                <w:numId w:val="3"/>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w:t>
            </w:r>
            <w:r>
              <w:rPr>
                <w:rFonts w:hint="eastAsia" w:ascii="宋体" w:hAnsi="宋体" w:eastAsia="宋体" w:cs="宋体"/>
                <w:color w:val="auto"/>
                <w:highlight w:val="none"/>
              </w:rPr>
              <w:t>仟元整。</w:t>
            </w:r>
          </w:p>
          <w:p>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pPr>
              <w:numPr>
                <w:ilvl w:val="0"/>
                <w:numId w:val="0"/>
              </w:numPr>
              <w:spacing w:line="360" w:lineRule="auto"/>
              <w:rPr>
                <w:rFonts w:hint="eastAsia"/>
                <w:color w:val="auto"/>
                <w:highlight w:val="none"/>
              </w:rPr>
            </w:pPr>
            <w:r>
              <w:rPr>
                <w:rFonts w:hint="eastAsia" w:eastAsia="宋体"/>
                <w:color w:val="auto"/>
                <w:highlight w:val="none"/>
              </w:rPr>
              <w:t>账　　</w:t>
            </w:r>
            <w:r>
              <w:rPr>
                <w:rFonts w:hint="eastAsia" w:ascii="宋体" w:hAnsi="宋体" w:eastAsia="宋体" w:cs="宋体"/>
                <w:color w:val="auto"/>
                <w:highlight w:val="none"/>
              </w:rPr>
              <w:t>号：9550882021051988873</w:t>
            </w:r>
          </w:p>
        </w:tc>
      </w:tr>
    </w:tbl>
    <w:p>
      <w:pPr>
        <w:rPr>
          <w:rFonts w:hint="default"/>
          <w:color w:val="auto"/>
          <w:highlight w:val="none"/>
          <w:lang w:val="en-US" w:eastAsia="zh-CN"/>
        </w:rPr>
      </w:pPr>
      <w:r>
        <w:rPr>
          <w:rFonts w:hint="default"/>
          <w:color w:val="auto"/>
          <w:highlight w:val="none"/>
          <w:lang w:val="en-US" w:eastAsia="zh-CN"/>
        </w:rPr>
        <w:br w:type="page"/>
      </w:r>
    </w:p>
    <w:p>
      <w:pPr>
        <w:pStyle w:val="4"/>
        <w:numPr>
          <w:ilvl w:val="0"/>
          <w:numId w:val="4"/>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pPr>
        <w:pStyle w:val="5"/>
        <w:bidi w:val="0"/>
        <w:rPr>
          <w:color w:val="auto"/>
          <w:highlight w:val="none"/>
          <w:lang w:val="en-US" w:eastAsia="zh-CN"/>
        </w:rPr>
      </w:pPr>
      <w:bookmarkStart w:id="98" w:name="_Toc10658"/>
      <w:bookmarkStart w:id="99" w:name="_Toc30834"/>
      <w:bookmarkStart w:id="100" w:name="_Toc8083"/>
      <w:r>
        <w:rPr>
          <w:rFonts w:hint="eastAsia"/>
          <w:color w:val="auto"/>
          <w:highlight w:val="none"/>
          <w:lang w:val="en-US" w:eastAsia="zh-CN"/>
        </w:rPr>
        <w:t>1.适用范围</w:t>
      </w:r>
      <w:bookmarkEnd w:id="98"/>
      <w:bookmarkEnd w:id="99"/>
      <w:bookmarkEnd w:id="100"/>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1" w:name="_Toc720"/>
      <w:bookmarkStart w:id="102" w:name="_Toc25237"/>
      <w:bookmarkStart w:id="103" w:name="_Toc7271"/>
      <w:r>
        <w:rPr>
          <w:rFonts w:hint="eastAsia" w:eastAsia="宋体"/>
          <w:color w:val="auto"/>
          <w:highlight w:val="none"/>
          <w:lang w:val="en-US" w:eastAsia="zh-CN"/>
        </w:rPr>
        <w:t>2.</w:t>
      </w:r>
      <w:bookmarkStart w:id="104" w:name="_Toc303084246"/>
      <w:bookmarkStart w:id="105" w:name="_Toc382049092"/>
      <w:bookmarkStart w:id="106" w:name="_Toc298847174"/>
      <w:bookmarkStart w:id="107" w:name="_Toc1530"/>
      <w:r>
        <w:rPr>
          <w:rFonts w:hint="eastAsia" w:eastAsia="宋体"/>
          <w:color w:val="auto"/>
          <w:highlight w:val="none"/>
          <w:lang w:val="en-US" w:eastAsia="zh-CN"/>
        </w:rPr>
        <w:t>定义</w:t>
      </w:r>
      <w:bookmarkEnd w:id="101"/>
      <w:bookmarkEnd w:id="102"/>
      <w:bookmarkEnd w:id="103"/>
      <w:bookmarkEnd w:id="104"/>
      <w:bookmarkEnd w:id="105"/>
      <w:bookmarkEnd w:id="106"/>
      <w:bookmarkEnd w:id="10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08" w:name="_Toc24019"/>
      <w:bookmarkStart w:id="109" w:name="_Toc9030"/>
      <w:bookmarkStart w:id="110" w:name="_Toc30379"/>
      <w:r>
        <w:rPr>
          <w:rFonts w:hint="eastAsia" w:eastAsia="宋体"/>
          <w:color w:val="auto"/>
          <w:highlight w:val="none"/>
          <w:lang w:val="en-US" w:eastAsia="zh-CN"/>
        </w:rPr>
        <w:t>3.货物和服务</w:t>
      </w:r>
      <w:bookmarkEnd w:id="108"/>
      <w:bookmarkEnd w:id="109"/>
      <w:bookmarkEnd w:id="11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12" w:name="_Toc18277"/>
      <w:bookmarkStart w:id="113" w:name="_Toc14543"/>
      <w:bookmarkStart w:id="114" w:name="_Toc8119"/>
      <w:r>
        <w:rPr>
          <w:rFonts w:hint="eastAsia" w:eastAsia="宋体"/>
          <w:color w:val="auto"/>
          <w:highlight w:val="none"/>
          <w:lang w:val="en-US" w:eastAsia="zh-CN"/>
        </w:rPr>
        <w:t>4.响应费用</w:t>
      </w:r>
      <w:bookmarkEnd w:id="112"/>
      <w:bookmarkEnd w:id="113"/>
      <w:bookmarkEnd w:id="114"/>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5" w:name="_Toc32220"/>
      <w:bookmarkStart w:id="116" w:name="_Toc25254"/>
      <w:bookmarkStart w:id="117" w:name="_Toc24793"/>
      <w:r>
        <w:rPr>
          <w:rFonts w:hint="eastAsia" w:eastAsia="宋体"/>
          <w:color w:val="auto"/>
          <w:highlight w:val="none"/>
          <w:lang w:val="en-US" w:eastAsia="zh-CN"/>
        </w:rPr>
        <w:t>5.知识产权</w:t>
      </w:r>
      <w:bookmarkEnd w:id="115"/>
      <w:bookmarkEnd w:id="116"/>
      <w:bookmarkEnd w:id="11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18" w:name="_Toc31725"/>
      <w:bookmarkStart w:id="119" w:name="_Toc30779"/>
      <w:bookmarkStart w:id="120" w:name="_Toc13064"/>
      <w:r>
        <w:rPr>
          <w:rFonts w:hint="eastAsia" w:eastAsia="宋体"/>
          <w:color w:val="auto"/>
          <w:highlight w:val="none"/>
          <w:lang w:val="en-US" w:eastAsia="zh-CN"/>
        </w:rPr>
        <w:t>6.关于联合体</w:t>
      </w:r>
      <w:bookmarkEnd w:id="118"/>
      <w:bookmarkEnd w:id="119"/>
      <w:bookmarkEnd w:id="12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21" w:name="_Toc18142"/>
      <w:bookmarkStart w:id="122" w:name="_Toc27755"/>
      <w:bookmarkStart w:id="123" w:name="_Toc23688"/>
      <w:r>
        <w:rPr>
          <w:rFonts w:hint="eastAsia" w:eastAsia="宋体"/>
          <w:color w:val="auto"/>
          <w:highlight w:val="none"/>
          <w:lang w:val="en-US" w:eastAsia="zh-CN"/>
        </w:rPr>
        <w:t>7.关于分支机构响应</w:t>
      </w:r>
      <w:bookmarkEnd w:id="121"/>
      <w:bookmarkEnd w:id="122"/>
      <w:bookmarkEnd w:id="12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5" w:name="_Toc19660"/>
      <w:bookmarkStart w:id="126" w:name="_Toc29774"/>
      <w:bookmarkStart w:id="127" w:name="_Toc5596"/>
      <w:r>
        <w:rPr>
          <w:rFonts w:hint="eastAsia" w:eastAsia="宋体"/>
          <w:color w:val="auto"/>
          <w:highlight w:val="none"/>
          <w:lang w:val="en-US" w:eastAsia="zh-CN"/>
        </w:rPr>
        <w:t>8.磋商文件的组成</w:t>
      </w:r>
      <w:bookmarkEnd w:id="125"/>
      <w:bookmarkEnd w:id="126"/>
      <w:bookmarkEnd w:id="12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28" w:name="_Toc28076"/>
      <w:bookmarkStart w:id="129" w:name="_Toc3812"/>
      <w:bookmarkStart w:id="130" w:name="_Toc20046"/>
      <w:r>
        <w:rPr>
          <w:rFonts w:hint="eastAsia" w:eastAsia="宋体"/>
          <w:color w:val="auto"/>
          <w:highlight w:val="none"/>
          <w:lang w:val="en-US" w:eastAsia="zh-CN"/>
        </w:rPr>
        <w:t>9.磋商文件的澄清或修改</w:t>
      </w:r>
      <w:bookmarkEnd w:id="128"/>
      <w:bookmarkEnd w:id="129"/>
      <w:bookmarkEnd w:id="13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pPr>
        <w:widowControl w:val="0"/>
        <w:adjustRightInd/>
        <w:snapToGrid/>
        <w:spacing w:after="0" w:line="360" w:lineRule="exact"/>
        <w:ind w:left="567"/>
        <w:jc w:val="both"/>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1" w:name="_Toc17507"/>
      <w:bookmarkStart w:id="132" w:name="_Toc5431"/>
      <w:bookmarkStart w:id="133" w:name="_Toc28595"/>
      <w:r>
        <w:rPr>
          <w:rFonts w:hint="eastAsia" w:eastAsia="宋体"/>
          <w:color w:val="auto"/>
          <w:highlight w:val="none"/>
          <w:lang w:val="en-US" w:eastAsia="zh-CN"/>
        </w:rPr>
        <w:t>10.响应文件的语言及度量衡单位</w:t>
      </w:r>
      <w:bookmarkEnd w:id="131"/>
      <w:bookmarkEnd w:id="132"/>
      <w:bookmarkEnd w:id="13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pPr>
        <w:pStyle w:val="5"/>
        <w:bidi w:val="0"/>
        <w:rPr>
          <w:rFonts w:hint="eastAsia" w:eastAsia="宋体"/>
          <w:color w:val="auto"/>
          <w:highlight w:val="none"/>
          <w:lang w:val="en-US" w:eastAsia="zh-CN"/>
        </w:rPr>
      </w:pPr>
      <w:bookmarkStart w:id="134" w:name="_Toc25080"/>
      <w:bookmarkStart w:id="135" w:name="_Toc382049103"/>
      <w:bookmarkStart w:id="136" w:name="_Toc17694"/>
      <w:bookmarkStart w:id="137" w:name="_Toc307934854"/>
      <w:bookmarkStart w:id="138" w:name="_Toc28866"/>
      <w:bookmarkStart w:id="139" w:name="_Toc21308"/>
      <w:bookmarkStart w:id="140" w:name="_Toc303084256"/>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1" w:name="_Toc26322"/>
      <w:bookmarkStart w:id="142" w:name="_Toc28835"/>
      <w:bookmarkStart w:id="143" w:name="_Toc23396"/>
      <w:r>
        <w:rPr>
          <w:rFonts w:hint="eastAsia" w:eastAsia="宋体"/>
          <w:color w:val="auto"/>
          <w:highlight w:val="none"/>
          <w:lang w:val="en-US" w:eastAsia="zh-CN"/>
        </w:rPr>
        <w:t>12.响应文件编制</w:t>
      </w:r>
      <w:bookmarkEnd w:id="141"/>
      <w:bookmarkEnd w:id="142"/>
      <w:bookmarkEnd w:id="14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5" w:name="_Toc29388"/>
      <w:bookmarkStart w:id="146" w:name="_Toc10449"/>
      <w:bookmarkStart w:id="147" w:name="_Toc11253"/>
      <w:r>
        <w:rPr>
          <w:rFonts w:hint="eastAsia" w:eastAsia="宋体"/>
          <w:color w:val="auto"/>
          <w:highlight w:val="none"/>
          <w:lang w:val="en-US" w:eastAsia="zh-CN"/>
        </w:rPr>
        <w:t>13.响应报价说明</w:t>
      </w:r>
      <w:bookmarkEnd w:id="145"/>
      <w:bookmarkEnd w:id="146"/>
      <w:bookmarkEnd w:id="14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48" w:name="_Toc28006"/>
      <w:bookmarkStart w:id="149" w:name="_Toc18749"/>
      <w:bookmarkStart w:id="150" w:name="_Toc29860"/>
      <w:r>
        <w:rPr>
          <w:rFonts w:hint="eastAsia" w:eastAsia="宋体"/>
          <w:color w:val="auto"/>
          <w:highlight w:val="none"/>
          <w:lang w:val="en-US" w:eastAsia="zh-CN"/>
        </w:rPr>
        <w:t>14.供应商所提供的服务或货物的证明文件</w:t>
      </w:r>
      <w:bookmarkEnd w:id="148"/>
      <w:bookmarkEnd w:id="149"/>
      <w:bookmarkEnd w:id="15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bookmarkStart w:id="151" w:name="_Hlt107925668"/>
      <w:bookmarkEnd w:id="151"/>
      <w:bookmarkStart w:id="152" w:name="_Hlt10792563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pPr>
        <w:pStyle w:val="5"/>
        <w:bidi w:val="0"/>
        <w:rPr>
          <w:rFonts w:hint="eastAsia" w:eastAsia="宋体"/>
          <w:color w:val="auto"/>
          <w:highlight w:val="none"/>
          <w:lang w:val="en-US" w:eastAsia="zh-CN"/>
        </w:rPr>
      </w:pPr>
      <w:bookmarkStart w:id="153" w:name="_Toc4792"/>
      <w:bookmarkStart w:id="154" w:name="_Toc20435"/>
      <w:bookmarkStart w:id="155" w:name="_Toc12457"/>
      <w:r>
        <w:rPr>
          <w:rFonts w:hint="eastAsia" w:eastAsia="宋体"/>
          <w:color w:val="auto"/>
          <w:highlight w:val="none"/>
          <w:lang w:val="en-US" w:eastAsia="zh-CN"/>
        </w:rPr>
        <w:t>15.★响应有效期</w:t>
      </w:r>
      <w:bookmarkEnd w:id="153"/>
      <w:bookmarkEnd w:id="154"/>
      <w:bookmarkEnd w:id="15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56" w:name="_Toc11339"/>
      <w:bookmarkStart w:id="157" w:name="_Toc28431"/>
      <w:bookmarkStart w:id="158" w:name="_Toc20804"/>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本项目不需要</w:t>
      </w:r>
      <w:r>
        <w:rPr>
          <w:rFonts w:hint="eastAsia" w:ascii="宋体" w:hAnsi="宋体" w:cs="宋体"/>
          <w:color w:val="auto"/>
          <w:sz w:val="21"/>
          <w:szCs w:val="21"/>
          <w:highlight w:val="none"/>
          <w:lang w:eastAsia="zh-CN"/>
        </w:rPr>
        <w:t>）</w:t>
      </w:r>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bookmarkStart w:id="159" w:name="_Ref179619405"/>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w:t>
      </w:r>
      <w:r>
        <w:rPr>
          <w:rFonts w:hint="eastAsia" w:ascii="宋体" w:hAnsi="宋体"/>
          <w:color w:val="auto"/>
          <w:kern w:val="0"/>
          <w:sz w:val="21"/>
          <w:szCs w:val="21"/>
          <w:highlight w:val="none"/>
          <w:lang w:val="en-US" w:eastAsia="zh-CN"/>
        </w:rPr>
        <w:t>文件</w:t>
      </w:r>
      <w:r>
        <w:rPr>
          <w:rFonts w:hint="eastAsia" w:ascii="宋体" w:hAnsi="宋体" w:eastAsia="宋体"/>
          <w:color w:val="auto"/>
          <w:kern w:val="0"/>
          <w:sz w:val="21"/>
          <w:szCs w:val="21"/>
          <w:highlight w:val="none"/>
        </w:rPr>
        <w:t>中规定数额及法律规定的时间按相应包号保证金金额要求一次性提交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，以多次汇入达到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bookmarkEnd w:id="159"/>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金额与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要求金额保持一致。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有效期与</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保持一致。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应一次性缴交</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规定数额的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与交款人名称必须一致</w:t>
      </w:r>
      <w:r>
        <w:rPr>
          <w:rFonts w:hint="eastAsia" w:ascii="宋体" w:hAnsi="宋体" w:eastAsia="宋体"/>
          <w:color w:val="auto"/>
          <w:kern w:val="0"/>
          <w:sz w:val="21"/>
          <w:szCs w:val="21"/>
          <w:highlight w:val="none"/>
          <w:lang w:eastAsia="zh-CN"/>
        </w:rPr>
        <w:t>（分公司响应的，其保证金可由上级公司缴纳并提供加盖公章的相关证明）</w:t>
      </w:r>
      <w:r>
        <w:rPr>
          <w:rFonts w:hint="eastAsia" w:ascii="宋体" w:hAnsi="宋体" w:eastAsia="宋体"/>
          <w:color w:val="auto"/>
          <w:kern w:val="0"/>
          <w:sz w:val="21"/>
          <w:szCs w:val="21"/>
          <w:highlight w:val="none"/>
        </w:rPr>
        <w:t>，非</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缴纳的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采用银行转账、电汇方式提交的,付至采购代理机构指定账户上。</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担保。是指由担保机构为供应商交纳</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向采购人或者采购代理机构提供的保证担保。供应商在</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内撤回</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或</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后不签订采购合同的，由担保机构按照担保函的约定履行支付</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的责任。（担保</w:t>
      </w:r>
      <w:r>
        <w:rPr>
          <w:rFonts w:hint="eastAsia" w:ascii="宋体" w:hAnsi="宋体"/>
          <w:color w:val="auto"/>
          <w:kern w:val="0"/>
          <w:sz w:val="21"/>
          <w:szCs w:val="21"/>
          <w:highlight w:val="none"/>
          <w:lang w:val="en-US" w:eastAsia="zh-CN"/>
        </w:rPr>
        <w:t>函</w:t>
      </w:r>
      <w:r>
        <w:rPr>
          <w:rFonts w:hint="eastAsia" w:ascii="宋体" w:hAnsi="宋体" w:eastAsia="宋体"/>
          <w:color w:val="auto"/>
          <w:kern w:val="0"/>
          <w:sz w:val="21"/>
          <w:szCs w:val="21"/>
          <w:highlight w:val="none"/>
        </w:rPr>
        <w:t>格式详见附件）</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采用《</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rPr>
        <w:t>》提交的，应符合下列规定：</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①担保函有效期应与</w:t>
      </w:r>
      <w:r>
        <w:rPr>
          <w:rFonts w:hint="eastAsia" w:ascii="宋体" w:hAnsi="宋体" w:eastAsia="宋体"/>
          <w:b/>
          <w:color w:val="auto"/>
          <w:kern w:val="0"/>
          <w:sz w:val="21"/>
          <w:szCs w:val="21"/>
          <w:highlight w:val="none"/>
          <w:lang w:eastAsia="zh-CN"/>
        </w:rPr>
        <w:t>响应有效期</w:t>
      </w:r>
      <w:r>
        <w:rPr>
          <w:rFonts w:hint="eastAsia" w:ascii="宋体" w:hAnsi="宋体" w:eastAsia="宋体"/>
          <w:b/>
          <w:color w:val="auto"/>
          <w:kern w:val="0"/>
          <w:sz w:val="21"/>
          <w:szCs w:val="21"/>
          <w:highlight w:val="none"/>
        </w:rPr>
        <w:t>一致；</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②担保金额应与本项目的</w:t>
      </w:r>
      <w:r>
        <w:rPr>
          <w:rFonts w:hint="eastAsia" w:ascii="宋体" w:hAnsi="宋体"/>
          <w:b/>
          <w:color w:val="auto"/>
          <w:kern w:val="0"/>
          <w:sz w:val="21"/>
          <w:szCs w:val="21"/>
          <w:highlight w:val="none"/>
          <w:lang w:eastAsia="zh-CN"/>
        </w:rPr>
        <w:t>响应保证金</w:t>
      </w:r>
      <w:r>
        <w:rPr>
          <w:rFonts w:hint="eastAsia" w:ascii="宋体" w:hAnsi="宋体"/>
          <w:b/>
          <w:color w:val="auto"/>
          <w:kern w:val="0"/>
          <w:sz w:val="21"/>
          <w:szCs w:val="21"/>
          <w:highlight w:val="none"/>
          <w:lang w:val="en-US" w:eastAsia="zh-CN"/>
        </w:rPr>
        <w:t>金额</w:t>
      </w:r>
      <w:r>
        <w:rPr>
          <w:rFonts w:hint="eastAsia" w:ascii="宋体" w:hAnsi="宋体" w:eastAsia="宋体"/>
          <w:b/>
          <w:color w:val="auto"/>
          <w:kern w:val="0"/>
          <w:sz w:val="21"/>
          <w:szCs w:val="21"/>
          <w:highlight w:val="none"/>
        </w:rPr>
        <w:t>一致；</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保证金不接受现金方式（包括以存现方式）提交，未按要求提交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的将导致废标。</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的保证金在采购结果公示发出后5个工作日内退还，</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的保证金在采购合同签订后5个工作日内退还。</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的投保人的保证金，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应制作《</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一并递交。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有下列情形之一的，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保证金将不予退还：</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①</w:t>
      </w:r>
      <w:r>
        <w:rPr>
          <w:rFonts w:hint="eastAsia" w:ascii="宋体" w:hAnsi="宋体" w:eastAsia="宋体"/>
          <w:b/>
          <w:bCs/>
          <w:color w:val="auto"/>
          <w:kern w:val="0"/>
          <w:sz w:val="21"/>
          <w:szCs w:val="21"/>
          <w:highlight w:val="none"/>
          <w:lang w:eastAsia="zh-CN"/>
        </w:rPr>
        <w:t>供应商</w:t>
      </w:r>
      <w:r>
        <w:rPr>
          <w:rFonts w:hint="eastAsia" w:ascii="宋体" w:hAnsi="宋体" w:eastAsia="宋体"/>
          <w:b/>
          <w:bCs/>
          <w:color w:val="auto"/>
          <w:kern w:val="0"/>
          <w:sz w:val="21"/>
          <w:szCs w:val="21"/>
          <w:highlight w:val="none"/>
        </w:rPr>
        <w:t>在招</w:t>
      </w:r>
      <w:r>
        <w:rPr>
          <w:rFonts w:hint="eastAsia" w:ascii="宋体" w:hAnsi="宋体" w:eastAsia="宋体"/>
          <w:b/>
          <w:bCs/>
          <w:color w:val="auto"/>
          <w:kern w:val="0"/>
          <w:sz w:val="21"/>
          <w:szCs w:val="21"/>
          <w:highlight w:val="none"/>
          <w:lang w:eastAsia="zh-CN"/>
        </w:rPr>
        <w:t>磋商</w:t>
      </w:r>
      <w:r>
        <w:rPr>
          <w:rFonts w:hint="eastAsia" w:ascii="宋体" w:hAnsi="宋体" w:eastAsia="宋体"/>
          <w:b/>
          <w:bCs/>
          <w:color w:val="auto"/>
          <w:kern w:val="0"/>
          <w:sz w:val="21"/>
          <w:szCs w:val="21"/>
          <w:highlight w:val="none"/>
        </w:rPr>
        <w:t>文件中规定的</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有效期内撤销其</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w:t>
      </w:r>
    </w:p>
    <w:p>
      <w:pPr>
        <w:pageBreakBefore w:val="0"/>
        <w:widowControl/>
        <w:kinsoku/>
        <w:wordWrap/>
        <w:topLinePunct w:val="0"/>
        <w:autoSpaceDE/>
        <w:autoSpaceDN/>
        <w:bidi w:val="0"/>
        <w:adjustRightInd w:val="0"/>
        <w:snapToGrid w:val="0"/>
        <w:spacing w:after="0" w:line="400" w:lineRule="exact"/>
        <w:ind w:firstLine="422" w:firstLineChars="200"/>
        <w:jc w:val="left"/>
        <w:textAlignment w:val="auto"/>
        <w:rPr>
          <w:rFonts w:hint="eastAsia"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②法律法规规定不予退还</w:t>
      </w:r>
      <w:r>
        <w:rPr>
          <w:rFonts w:hint="eastAsia" w:ascii="宋体" w:hAnsi="宋体" w:eastAsia="宋体"/>
          <w:b/>
          <w:bCs/>
          <w:color w:val="auto"/>
          <w:kern w:val="0"/>
          <w:sz w:val="21"/>
          <w:szCs w:val="21"/>
          <w:highlight w:val="none"/>
          <w:lang w:eastAsia="zh-CN"/>
        </w:rPr>
        <w:t>响应</w:t>
      </w:r>
      <w:r>
        <w:rPr>
          <w:rFonts w:hint="eastAsia" w:ascii="宋体" w:hAnsi="宋体" w:eastAsia="宋体"/>
          <w:b/>
          <w:bCs/>
          <w:color w:val="auto"/>
          <w:kern w:val="0"/>
          <w:sz w:val="21"/>
          <w:szCs w:val="21"/>
          <w:highlight w:val="none"/>
        </w:rPr>
        <w:t>保证金的其它情形。</w:t>
      </w:r>
    </w:p>
    <w:p>
      <w:pPr>
        <w:widowControl/>
        <w:adjustRightInd w:val="0"/>
        <w:snapToGrid w:val="0"/>
        <w:spacing w:after="200"/>
        <w:jc w:val="left"/>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0" w:name="_Toc21699"/>
      <w:bookmarkStart w:id="161" w:name="_Toc5055"/>
      <w:bookmarkStart w:id="162" w:name="_Toc303084264"/>
      <w:bookmarkStart w:id="163" w:name="_Toc24997"/>
      <w:bookmarkStart w:id="164" w:name="_Toc17970"/>
      <w:bookmarkStart w:id="165" w:name="_Toc382049111"/>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pPr>
        <w:pageBreakBefore w:val="0"/>
        <w:widowControl w:val="0"/>
        <w:numPr>
          <w:ilvl w:val="0"/>
          <w:numId w:val="6"/>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pPr>
        <w:pageBreakBefore w:val="0"/>
        <w:widowControl w:val="0"/>
        <w:numPr>
          <w:ilvl w:val="0"/>
          <w:numId w:val="7"/>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pPr>
        <w:pageBreakBefore w:val="0"/>
        <w:widowControl w:val="0"/>
        <w:numPr>
          <w:ilvl w:val="1"/>
          <w:numId w:val="5"/>
        </w:numPr>
        <w:tabs>
          <w:tab w:val="left" w:pos="660"/>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pPr>
        <w:pageBreakBefore w:val="0"/>
        <w:widowControl w:val="0"/>
        <w:numPr>
          <w:ilvl w:val="1"/>
          <w:numId w:val="5"/>
        </w:numPr>
        <w:tabs>
          <w:tab w:val="left" w:pos="440"/>
          <w:tab w:val="left" w:pos="660"/>
          <w:tab w:val="clear" w:pos="56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6" w:name="_Toc3249"/>
      <w:bookmarkStart w:id="167" w:name="_Toc14913"/>
      <w:bookmarkStart w:id="168" w:name="_Toc1911"/>
      <w:r>
        <w:rPr>
          <w:rFonts w:hint="eastAsia" w:eastAsia="宋体"/>
          <w:color w:val="auto"/>
          <w:highlight w:val="none"/>
          <w:lang w:val="en-US" w:eastAsia="zh-CN"/>
        </w:rPr>
        <w:t>18.迟交的响应文件</w:t>
      </w:r>
      <w:bookmarkEnd w:id="166"/>
      <w:bookmarkEnd w:id="167"/>
      <w:bookmarkEnd w:id="168"/>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69" w:name="_Toc13946"/>
      <w:bookmarkStart w:id="170" w:name="_Toc22059"/>
      <w:bookmarkStart w:id="171" w:name="_Toc8387"/>
      <w:r>
        <w:rPr>
          <w:rFonts w:hint="eastAsia" w:eastAsia="宋体"/>
          <w:color w:val="auto"/>
          <w:highlight w:val="none"/>
          <w:lang w:val="en-US" w:eastAsia="zh-CN"/>
        </w:rPr>
        <w:t>19.磋商样品、磋商演示（如有要求）</w:t>
      </w:r>
      <w:bookmarkEnd w:id="169"/>
      <w:bookmarkEnd w:id="170"/>
      <w:bookmarkEnd w:id="171"/>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2" w:name="_Toc382049112"/>
      <w:bookmarkStart w:id="173" w:name="_Toc1364"/>
      <w:bookmarkStart w:id="174" w:name="_Toc9777"/>
      <w:bookmarkStart w:id="175" w:name="_Toc518"/>
      <w:bookmarkStart w:id="176" w:name="_Toc303084265"/>
      <w:bookmarkStart w:id="177" w:name="_Toc24777"/>
      <w:r>
        <w:rPr>
          <w:rFonts w:hint="eastAsia" w:eastAsia="宋体"/>
          <w:color w:val="auto"/>
          <w:highlight w:val="none"/>
          <w:lang w:val="en-US" w:eastAsia="zh-CN"/>
        </w:rPr>
        <w:t>20.响应截止期</w:t>
      </w:r>
      <w:bookmarkEnd w:id="172"/>
      <w:bookmarkEnd w:id="173"/>
      <w:bookmarkEnd w:id="174"/>
      <w:bookmarkEnd w:id="175"/>
      <w:bookmarkEnd w:id="176"/>
      <w:bookmarkEnd w:id="177"/>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78" w:name="_Toc28776"/>
      <w:bookmarkStart w:id="179" w:name="_Toc14390"/>
      <w:bookmarkStart w:id="180" w:name="_Toc4603"/>
      <w:r>
        <w:rPr>
          <w:rFonts w:hint="eastAsia" w:eastAsia="宋体"/>
          <w:color w:val="auto"/>
          <w:highlight w:val="none"/>
          <w:lang w:val="en-US" w:eastAsia="zh-CN"/>
        </w:rPr>
        <w:t>21.响应文件的补充、修改与撤回</w:t>
      </w:r>
      <w:bookmarkEnd w:id="178"/>
      <w:bookmarkEnd w:id="179"/>
      <w:bookmarkEnd w:id="180"/>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181" w:name="_Toc14512"/>
      <w:bookmarkStart w:id="182" w:name="_Toc191"/>
      <w:bookmarkStart w:id="183" w:name="_Toc11914"/>
      <w:r>
        <w:rPr>
          <w:rFonts w:hint="eastAsia" w:eastAsia="宋体"/>
          <w:color w:val="auto"/>
          <w:highlight w:val="none"/>
          <w:lang w:val="en-US" w:eastAsia="zh-CN"/>
        </w:rPr>
        <w:t>22.磋商</w:t>
      </w:r>
      <w:bookmarkEnd w:id="181"/>
      <w:bookmarkEnd w:id="182"/>
      <w:bookmarkEnd w:id="183"/>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pPr>
        <w:keepNext w:val="0"/>
        <w:keepLines w:val="0"/>
        <w:pageBreakBefore w:val="0"/>
        <w:widowControl w:val="0"/>
        <w:numPr>
          <w:ilvl w:val="1"/>
          <w:numId w:val="5"/>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4" w:name="_Toc31198"/>
      <w:bookmarkStart w:id="185" w:name="_Toc19811"/>
      <w:bookmarkStart w:id="186" w:name="_Toc13823"/>
      <w:r>
        <w:rPr>
          <w:rFonts w:hint="eastAsia" w:eastAsia="宋体"/>
          <w:color w:val="auto"/>
          <w:highlight w:val="none"/>
          <w:lang w:val="en-US" w:eastAsia="zh-CN"/>
        </w:rPr>
        <w:t>23.磋商小组及评审方法</w:t>
      </w:r>
      <w:bookmarkEnd w:id="184"/>
      <w:bookmarkEnd w:id="185"/>
      <w:bookmarkEnd w:id="186"/>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87" w:name="_Toc3525"/>
      <w:bookmarkStart w:id="188" w:name="_Toc9540"/>
      <w:bookmarkStart w:id="189" w:name="_Toc20823"/>
      <w:r>
        <w:rPr>
          <w:rFonts w:hint="eastAsia" w:eastAsia="宋体"/>
          <w:color w:val="auto"/>
          <w:highlight w:val="none"/>
          <w:lang w:val="en-US" w:eastAsia="zh-CN"/>
        </w:rPr>
        <w:t>24.评审原则及评审过程的保密</w:t>
      </w:r>
      <w:bookmarkEnd w:id="187"/>
      <w:bookmarkEnd w:id="188"/>
      <w:bookmarkEnd w:id="189"/>
    </w:p>
    <w:p>
      <w:pPr>
        <w:pageBreakBefore w:val="0"/>
        <w:widowControl w:val="0"/>
        <w:numPr>
          <w:ilvl w:val="0"/>
          <w:numId w:val="5"/>
        </w:numPr>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190" w:name="_Toc18014"/>
      <w:bookmarkStart w:id="191" w:name="_Toc7072"/>
      <w:bookmarkStart w:id="192" w:name="_Toc15479"/>
      <w:r>
        <w:rPr>
          <w:rFonts w:hint="eastAsia" w:eastAsia="宋体"/>
          <w:color w:val="auto"/>
          <w:highlight w:val="none"/>
          <w:lang w:val="en-US" w:eastAsia="zh-CN"/>
        </w:rPr>
        <w:t>25.响应文件的初审</w:t>
      </w:r>
      <w:bookmarkEnd w:id="190"/>
      <w:bookmarkEnd w:id="191"/>
      <w:bookmarkEnd w:id="19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pPr>
        <w:pageBreakBefore w:val="0"/>
        <w:widowControl w:val="0"/>
        <w:numPr>
          <w:ilvl w:val="1"/>
          <w:numId w:val="5"/>
        </w:numPr>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pPr>
        <w:pStyle w:val="5"/>
        <w:bidi w:val="0"/>
        <w:rPr>
          <w:rFonts w:hint="eastAsia" w:eastAsia="宋体"/>
          <w:color w:val="auto"/>
          <w:highlight w:val="none"/>
          <w:lang w:val="en-US" w:eastAsia="zh-CN"/>
        </w:rPr>
      </w:pPr>
      <w:bookmarkStart w:id="193" w:name="_Toc4041"/>
      <w:bookmarkStart w:id="194" w:name="_Toc9736"/>
      <w:bookmarkStart w:id="195" w:name="_Toc16157"/>
      <w:r>
        <w:rPr>
          <w:rFonts w:hint="eastAsia" w:eastAsia="宋体"/>
          <w:color w:val="auto"/>
          <w:highlight w:val="none"/>
          <w:lang w:val="en-US" w:eastAsia="zh-CN"/>
        </w:rPr>
        <w:t>26.商务、技术、价格评审</w:t>
      </w:r>
      <w:bookmarkEnd w:id="193"/>
      <w:bookmarkEnd w:id="194"/>
      <w:bookmarkEnd w:id="19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pPr>
        <w:keepNext w:val="0"/>
        <w:keepLines w:val="0"/>
        <w:pageBreakBefore w:val="0"/>
        <w:widowControl w:val="0"/>
        <w:numPr>
          <w:ilvl w:val="1"/>
          <w:numId w:val="5"/>
        </w:numPr>
        <w:tabs>
          <w:tab w:val="left" w:pos="907"/>
        </w:tabs>
        <w:kinsoku/>
        <w:wordWrap/>
        <w:overflowPunct/>
        <w:topLinePunct w:val="0"/>
        <w:autoSpaceDE/>
        <w:autoSpaceDN/>
        <w:bidi w:val="0"/>
        <w:adjustRightInd/>
        <w:snapToGrid/>
        <w:spacing w:after="0" w:line="400" w:lineRule="exact"/>
        <w:ind w:left="567" w:hanging="567"/>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keepNext w:val="0"/>
        <w:keepLines w:val="0"/>
        <w:pageBreakBefore w:val="0"/>
        <w:widowControl/>
        <w:numPr>
          <w:ilvl w:val="0"/>
          <w:numId w:val="8"/>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pPr>
        <w:pStyle w:val="5"/>
        <w:bidi w:val="0"/>
        <w:rPr>
          <w:rFonts w:hint="eastAsia" w:eastAsia="宋体"/>
          <w:color w:val="auto"/>
          <w:highlight w:val="none"/>
          <w:lang w:val="en-US" w:eastAsia="zh-CN"/>
        </w:rPr>
      </w:pPr>
      <w:bookmarkStart w:id="196" w:name="_Toc316375620"/>
      <w:bookmarkStart w:id="197" w:name="_Toc30573"/>
      <w:bookmarkStart w:id="198" w:name="_Toc20328"/>
      <w:bookmarkStart w:id="199" w:name="_Toc382049120"/>
      <w:bookmarkStart w:id="200" w:name="_Toc25030"/>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default" w:eastAsia="宋体"/>
          <w:color w:val="auto"/>
          <w:highlight w:val="none"/>
          <w:lang w:val="en-US" w:eastAsia="zh-CN"/>
        </w:rPr>
      </w:pPr>
      <w:bookmarkStart w:id="202" w:name="_Toc508284011"/>
      <w:bookmarkStart w:id="203" w:name="_Toc27383"/>
      <w:bookmarkStart w:id="204" w:name="_Toc21265"/>
      <w:bookmarkStart w:id="205" w:name="_Toc21560"/>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06" w:name="_Toc508284013"/>
      <w:bookmarkStart w:id="207" w:name="_Toc2468"/>
      <w:bookmarkStart w:id="208" w:name="_Toc24851"/>
      <w:bookmarkStart w:id="209" w:name="_Toc6459"/>
      <w:r>
        <w:rPr>
          <w:rFonts w:hint="eastAsia" w:eastAsia="宋体"/>
          <w:color w:val="auto"/>
          <w:highlight w:val="none"/>
          <w:lang w:val="en-US" w:eastAsia="zh-CN"/>
        </w:rPr>
        <w:t>29.发布采购结果</w:t>
      </w:r>
      <w:bookmarkEnd w:id="206"/>
      <w:bookmarkEnd w:id="207"/>
      <w:bookmarkEnd w:id="208"/>
      <w:bookmarkEnd w:id="209"/>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pPr>
        <w:pageBreakBefore w:val="0"/>
        <w:widowControl w:val="0"/>
        <w:numPr>
          <w:ilvl w:val="0"/>
          <w:numId w:val="9"/>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pPr>
        <w:pageBreakBefore w:val="0"/>
        <w:widowControl w:val="0"/>
        <w:numPr>
          <w:ilvl w:val="2"/>
          <w:numId w:val="5"/>
        </w:numPr>
        <w:tabs>
          <w:tab w:val="left" w:pos="567"/>
          <w:tab w:val="left" w:pos="907"/>
          <w:tab w:val="clear" w:pos="794"/>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pPr>
        <w:pStyle w:val="5"/>
        <w:bidi w:val="0"/>
        <w:rPr>
          <w:rFonts w:hint="eastAsia" w:eastAsia="宋体"/>
          <w:color w:val="auto"/>
          <w:highlight w:val="none"/>
          <w:lang w:val="en-US" w:eastAsia="zh-CN"/>
        </w:rPr>
      </w:pPr>
      <w:bookmarkStart w:id="210" w:name="_Toc1555"/>
      <w:bookmarkStart w:id="211" w:name="_Toc18733"/>
      <w:bookmarkStart w:id="212" w:name="_Toc7001"/>
      <w:r>
        <w:rPr>
          <w:rFonts w:hint="eastAsia" w:eastAsia="宋体"/>
          <w:color w:val="auto"/>
          <w:highlight w:val="none"/>
          <w:lang w:val="en-US" w:eastAsia="zh-CN"/>
        </w:rPr>
        <w:t>30.合同的签订与履行</w:t>
      </w:r>
      <w:bookmarkEnd w:id="210"/>
      <w:bookmarkEnd w:id="211"/>
      <w:bookmarkEnd w:id="212"/>
    </w:p>
    <w:p>
      <w:pPr>
        <w:pageBreakBefore w:val="0"/>
        <w:widowControl w:val="0"/>
        <w:numPr>
          <w:ilvl w:val="0"/>
          <w:numId w:val="5"/>
        </w:numPr>
        <w:tabs>
          <w:tab w:val="left" w:pos="907"/>
        </w:tabs>
        <w:kinsoku/>
        <w:wordWrap/>
        <w:topLinePunct w:val="0"/>
        <w:autoSpaceDE/>
        <w:autoSpaceDN/>
        <w:bidi w:val="0"/>
        <w:adjustRightInd/>
        <w:snapToGrid/>
        <w:spacing w:after="0" w:line="400" w:lineRule="exact"/>
        <w:ind w:firstLine="420" w:firstLineChars="0"/>
        <w:jc w:val="both"/>
        <w:textAlignment w:val="auto"/>
        <w:rPr>
          <w:rFonts w:ascii="宋体" w:hAnsi="宋体" w:eastAsia="宋体" w:cstheme="minorBidi"/>
          <w:vanish/>
          <w:color w:val="auto"/>
          <w:sz w:val="21"/>
          <w:szCs w:val="21"/>
          <w:highlight w:val="none"/>
          <w:lang w:val="en-US" w:eastAsia="zh-CN" w:bidi="ar-SA"/>
        </w:rPr>
      </w:pP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pPr>
        <w:pageBreakBefore w:val="0"/>
        <w:widowControl w:val="0"/>
        <w:numPr>
          <w:ilvl w:val="1"/>
          <w:numId w:val="5"/>
        </w:numPr>
        <w:tabs>
          <w:tab w:val="left" w:pos="907"/>
        </w:tabs>
        <w:kinsoku/>
        <w:wordWrap/>
        <w:topLinePunct w:val="0"/>
        <w:autoSpaceDE/>
        <w:autoSpaceDN/>
        <w:bidi w:val="0"/>
        <w:adjustRightInd/>
        <w:snapToGrid/>
        <w:spacing w:after="0" w:line="400" w:lineRule="exact"/>
        <w:ind w:left="567" w:hanging="567"/>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pPr>
        <w:pStyle w:val="5"/>
        <w:bidi w:val="0"/>
        <w:rPr>
          <w:rFonts w:hint="eastAsia" w:eastAsia="宋体"/>
          <w:color w:val="auto"/>
          <w:highlight w:val="none"/>
          <w:lang w:val="en-US" w:eastAsia="zh-CN"/>
        </w:rPr>
      </w:pPr>
      <w:bookmarkStart w:id="213" w:name="_Toc9041"/>
      <w:bookmarkStart w:id="214" w:name="_Toc26547"/>
      <w:r>
        <w:rPr>
          <w:rFonts w:hint="eastAsia" w:eastAsia="宋体"/>
          <w:color w:val="auto"/>
          <w:highlight w:val="none"/>
          <w:lang w:val="en-US" w:eastAsia="zh-CN"/>
        </w:rPr>
        <w:t>31.履约保证金</w:t>
      </w:r>
      <w:bookmarkEnd w:id="213"/>
      <w:bookmarkEnd w:id="214"/>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eastAsia="宋体"/>
          <w:color w:val="auto"/>
          <w:kern w:val="0"/>
          <w:sz w:val="21"/>
          <w:szCs w:val="21"/>
          <w:highlight w:val="none"/>
          <w:lang w:eastAsia="zh-CN"/>
        </w:rPr>
        <w:t>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57" w:leftChars="13"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32.2. </w:t>
      </w:r>
      <w:r>
        <w:rPr>
          <w:rFonts w:hint="eastAsia" w:ascii="宋体" w:hAnsi="宋体" w:eastAsia="宋体"/>
          <w:color w:val="auto"/>
          <w:kern w:val="0"/>
          <w:sz w:val="21"/>
          <w:szCs w:val="21"/>
          <w:highlight w:val="none"/>
          <w:lang w:eastAsia="zh-CN"/>
        </w:rPr>
        <w:t>采用保证金（银行转账、电汇）方式：成交单位必须保证资金在签订合同前到账。履约保证金账户采购人另行通知，到期后无息退还。</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32.3. </w:t>
      </w:r>
      <w:r>
        <w:rPr>
          <w:rFonts w:hint="eastAsia" w:ascii="宋体" w:hAnsi="宋体" w:eastAsia="宋体"/>
          <w:color w:val="auto"/>
          <w:kern w:val="0"/>
          <w:sz w:val="21"/>
          <w:szCs w:val="21"/>
          <w:highlight w:val="none"/>
          <w:lang w:eastAsia="zh-CN"/>
        </w:rPr>
        <w:t>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w:t>
      </w:r>
      <w:r>
        <w:rPr>
          <w:rFonts w:hint="eastAsia" w:ascii="宋体" w:hAnsi="宋体"/>
          <w:color w:val="auto"/>
          <w:kern w:val="0"/>
          <w:sz w:val="21"/>
          <w:szCs w:val="21"/>
          <w:highlight w:val="none"/>
          <w:lang w:eastAsia="zh-CN"/>
        </w:rPr>
        <w:t>响应担保函</w:t>
      </w:r>
      <w:r>
        <w:rPr>
          <w:rFonts w:hint="eastAsia" w:ascii="宋体" w:hAnsi="宋体" w:eastAsia="宋体"/>
          <w:color w:val="auto"/>
          <w:kern w:val="0"/>
          <w:sz w:val="21"/>
          <w:szCs w:val="21"/>
          <w:highlight w:val="none"/>
          <w:lang w:eastAsia="zh-CN"/>
        </w:rPr>
        <w:t>》）</w:t>
      </w:r>
    </w:p>
    <w:p>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hanging="630" w:hangingChars="30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 xml:space="preserve">32.4. </w:t>
      </w:r>
      <w:r>
        <w:rPr>
          <w:rFonts w:hint="eastAsia" w:ascii="宋体" w:hAnsi="宋体" w:eastAsia="宋体"/>
          <w:color w:val="auto"/>
          <w:kern w:val="0"/>
          <w:sz w:val="21"/>
          <w:szCs w:val="21"/>
          <w:highlight w:val="none"/>
          <w:lang w:eastAsia="zh-CN"/>
        </w:rPr>
        <w:t>成交单位须将履约保证金的汇款凭证 (注明成交通知书或项目编号)或履约保函（采购人注明原件已收到并盖章）用A4纸复印一式四份并加盖成交单位的公章送至采购代理机构。</w:t>
      </w:r>
    </w:p>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32.5. </w:t>
      </w:r>
      <w:r>
        <w:rPr>
          <w:rFonts w:hint="eastAsia" w:ascii="宋体" w:hAnsi="宋体" w:eastAsia="宋体"/>
          <w:color w:val="auto"/>
          <w:kern w:val="0"/>
          <w:sz w:val="21"/>
          <w:szCs w:val="21"/>
          <w:highlight w:val="none"/>
          <w:lang w:eastAsia="zh-CN"/>
        </w:rPr>
        <w:t>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eastAsia="宋体" w:cs="宋体"/>
          <w:color w:val="auto"/>
          <w:sz w:val="21"/>
          <w:szCs w:val="21"/>
          <w:highlight w:val="none"/>
          <w:lang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pPr>
        <w:bidi w:val="0"/>
        <w:jc w:val="center"/>
        <w:outlineLvl w:val="1"/>
        <w:rPr>
          <w:rFonts w:hint="eastAsia"/>
          <w:b/>
          <w:bCs/>
          <w:color w:val="auto"/>
          <w:sz w:val="28"/>
          <w:szCs w:val="36"/>
          <w:highlight w:val="none"/>
          <w:lang w:eastAsia="zh-CN"/>
        </w:rPr>
      </w:pPr>
      <w:bookmarkStart w:id="216" w:name="_Toc27180"/>
      <w:bookmarkStart w:id="217" w:name="_Toc7855"/>
      <w:bookmarkStart w:id="218" w:name="_Toc18002"/>
      <w:bookmarkStart w:id="219" w:name="_Toc16006"/>
      <w:r>
        <w:rPr>
          <w:rFonts w:hint="eastAsia"/>
          <w:b/>
          <w:bCs/>
          <w:color w:val="auto"/>
          <w:sz w:val="28"/>
          <w:szCs w:val="36"/>
          <w:highlight w:val="none"/>
          <w:lang w:eastAsia="zh-CN"/>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0" w:type="auto"/>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noWrap w:val="0"/>
            <w:vAlign w:val="center"/>
          </w:tcPr>
          <w:p>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noWrap w:val="0"/>
            <w:vAlign w:val="center"/>
          </w:tcPr>
          <w:p>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294"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ascii="宋体" w:hAnsi="宋体"/>
                <w:color w:val="auto"/>
                <w:szCs w:val="21"/>
                <w:highlight w:val="none"/>
              </w:rPr>
            </w:pPr>
            <w:r>
              <w:rPr>
                <w:rFonts w:hint="eastAsia" w:ascii="宋体" w:hAnsi="宋体" w:cs="宋体"/>
                <w:color w:val="auto"/>
                <w:sz w:val="21"/>
                <w:szCs w:val="21"/>
                <w:highlight w:val="none"/>
                <w:lang w:val="en-US" w:eastAsia="zh-CN"/>
              </w:rPr>
              <w:t>完工期</w:t>
            </w:r>
          </w:p>
        </w:tc>
        <w:tc>
          <w:tcPr>
            <w:tcW w:w="6728"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自合同签订之日起25个日历日内完成。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jc w:val="center"/>
        </w:trPr>
        <w:tc>
          <w:tcPr>
            <w:tcW w:w="0" w:type="auto"/>
            <w:noWrap w:val="0"/>
            <w:vAlign w:val="center"/>
          </w:tcPr>
          <w:p>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294"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728"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东莞市南城实验中学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0" w:type="auto"/>
            <w:noWrap w:val="0"/>
            <w:vAlign w:val="center"/>
          </w:tcPr>
          <w:p>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294"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default" w:hAnsi="宋体"/>
                <w:color w:val="auto"/>
                <w:szCs w:val="21"/>
                <w:highlight w:val="none"/>
                <w:lang w:val="en-US" w:eastAsia="zh-CN"/>
              </w:rPr>
            </w:pPr>
            <w:r>
              <w:rPr>
                <w:rFonts w:hint="eastAsia" w:ascii="宋体" w:hAnsi="宋体" w:cs="宋体"/>
                <w:color w:val="auto"/>
                <w:sz w:val="21"/>
                <w:szCs w:val="21"/>
                <w:highlight w:val="none"/>
                <w:lang w:eastAsia="zh-CN"/>
              </w:rPr>
              <w:t>响应有效期</w:t>
            </w:r>
          </w:p>
        </w:tc>
        <w:tc>
          <w:tcPr>
            <w:tcW w:w="6728"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从提交投标（响应）文件的截止之日起90日历天</w:t>
            </w:r>
            <w:r>
              <w:rPr>
                <w:rFonts w:hint="eastAsia" w:ascii="宋体" w:hAnsi="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500" w:type="dxa"/>
            <w:noWrap w:val="0"/>
            <w:vAlign w:val="center"/>
          </w:tcPr>
          <w:p>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294"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olor w:val="auto"/>
                <w:szCs w:val="21"/>
                <w:highlight w:val="none"/>
              </w:rPr>
            </w:pPr>
            <w:r>
              <w:rPr>
                <w:rFonts w:hint="eastAsia" w:ascii="宋体" w:hAnsi="宋体" w:cs="宋体"/>
                <w:color w:val="auto"/>
                <w:sz w:val="21"/>
                <w:szCs w:val="21"/>
                <w:highlight w:val="none"/>
                <w:lang w:val="en-US" w:eastAsia="zh-CN"/>
              </w:rPr>
              <w:t>质保期</w:t>
            </w:r>
          </w:p>
        </w:tc>
        <w:tc>
          <w:tcPr>
            <w:tcW w:w="6728"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质保期1年，自项目验收合格之日算起。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1" w:hRule="atLeast"/>
          <w:jc w:val="center"/>
        </w:trPr>
        <w:tc>
          <w:tcPr>
            <w:tcW w:w="500" w:type="dxa"/>
            <w:noWrap w:val="0"/>
            <w:vAlign w:val="center"/>
          </w:tcPr>
          <w:p>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294"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672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1、签订合同进场后，采购人向成交人于7个工作日内支付合同总价的30%；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2、工程完工验收后，采购人向成交人于7个工作日内支付至合同总价</w:t>
            </w:r>
            <w:r>
              <w:rPr>
                <w:rFonts w:hint="eastAsia" w:ascii="宋体" w:hAnsi="宋体"/>
                <w:color w:val="auto"/>
                <w:sz w:val="21"/>
                <w:szCs w:val="21"/>
                <w:highlight w:val="none"/>
                <w:lang w:val="en-US" w:eastAsia="zh-CN"/>
              </w:rPr>
              <w:t>的</w:t>
            </w:r>
            <w:r>
              <w:rPr>
                <w:rFonts w:hint="eastAsia" w:ascii="宋体" w:hAnsi="宋体" w:eastAsia="宋体"/>
                <w:color w:val="auto"/>
                <w:sz w:val="21"/>
                <w:szCs w:val="21"/>
                <w:highlight w:val="none"/>
                <w:lang w:val="en-US" w:eastAsia="zh-CN"/>
              </w:rPr>
              <w:t>80%；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3、成交人提交结算申请后，采购人向成交人于7个工作日内支付至合同总价的100%。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0" w:hRule="atLeast"/>
          <w:jc w:val="center"/>
        </w:trPr>
        <w:tc>
          <w:tcPr>
            <w:tcW w:w="500" w:type="dxa"/>
            <w:noWrap w:val="0"/>
            <w:vAlign w:val="center"/>
          </w:tcPr>
          <w:p>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294"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验收要求</w:t>
            </w:r>
          </w:p>
        </w:tc>
        <w:tc>
          <w:tcPr>
            <w:tcW w:w="6728" w:type="dxa"/>
            <w:noWrap w:val="0"/>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按国家及行业相关标准验收。</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220" w:name="_Toc4445"/>
      <w:bookmarkStart w:id="221" w:name="_Toc16983"/>
      <w:bookmarkStart w:id="222" w:name="_Toc3714"/>
      <w:bookmarkStart w:id="223" w:name="_Toc4572"/>
      <w:r>
        <w:rPr>
          <w:rFonts w:hint="eastAsia" w:eastAsia="宋体"/>
          <w:b/>
          <w:bCs/>
          <w:color w:val="auto"/>
          <w:sz w:val="28"/>
          <w:szCs w:val="36"/>
          <w:highlight w:val="none"/>
          <w:lang w:eastAsia="zh-CN"/>
        </w:rPr>
        <w:t>技术要求</w:t>
      </w:r>
      <w:bookmarkEnd w:id="220"/>
      <w:bookmarkEnd w:id="221"/>
      <w:bookmarkEnd w:id="222"/>
      <w:bookmarkEnd w:id="223"/>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宋体" w:hAnsi="宋体" w:eastAsia="宋体"/>
          <w:b/>
          <w:color w:val="auto"/>
          <w:sz w:val="21"/>
          <w:szCs w:val="21"/>
          <w:highlight w:val="none"/>
          <w:lang w:val="en-US" w:eastAsia="zh-CN"/>
        </w:rPr>
      </w:pPr>
      <w:bookmarkStart w:id="224" w:name="_Toc42033153"/>
      <w:bookmarkStart w:id="225" w:name="_Toc476901034"/>
      <w:bookmarkStart w:id="226" w:name="_Toc485835248"/>
      <w:bookmarkStart w:id="227" w:name="_Toc17699252"/>
      <w:r>
        <w:rPr>
          <w:rFonts w:hint="eastAsia" w:ascii="宋体" w:hAnsi="宋体" w:eastAsia="宋体"/>
          <w:b/>
          <w:color w:val="auto"/>
          <w:sz w:val="21"/>
          <w:szCs w:val="21"/>
          <w:highlight w:val="none"/>
          <w:lang w:val="en-US" w:eastAsia="zh-CN"/>
        </w:rPr>
        <w:t>一、</w:t>
      </w:r>
      <w:bookmarkEnd w:id="224"/>
      <w:bookmarkEnd w:id="225"/>
      <w:r>
        <w:rPr>
          <w:rFonts w:hint="eastAsia" w:ascii="宋体" w:hAnsi="宋体" w:eastAsia="宋体"/>
          <w:b/>
          <w:color w:val="auto"/>
          <w:sz w:val="21"/>
          <w:szCs w:val="21"/>
          <w:highlight w:val="none"/>
          <w:lang w:val="en-US" w:eastAsia="zh-CN"/>
        </w:rPr>
        <w:t>项目清单</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1"/>
        <w:gridCol w:w="1923"/>
        <w:gridCol w:w="3377"/>
        <w:gridCol w:w="1040"/>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12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98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技术要求</w:t>
            </w:r>
          </w:p>
        </w:tc>
        <w:tc>
          <w:tcPr>
            <w:tcW w:w="61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1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12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198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61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c>
          <w:tcPr>
            <w:tcW w:w="7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整理绿化用地</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1.绿化苗木清表及外运</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清除灌木</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1.灌木清除及外运</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降低沙井</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1.降低沙井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2.降低15厘米（拆除盖板降低砖高度再重装盖板）</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草坪灯具 立柱式</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1.拆除灯柱（高6米）</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植草砖内植草</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1.植草砖内人工种植草皮</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1,258.83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植草砖</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1.块料品种、规格:400*200*65mm八字形植草砖</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1,258.83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砂砾石</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1.100厚砾石与种植土混合物（粗砾石60%、细砾石30%、种植土10%）</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水泥混凝土</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1.混凝土强度等级:100厚C25垫层</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水泥稳定土</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1.水泥含量:150厚6%水泥稳定碎石垫层</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1,458.67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人行道块料铺设【芝麻白花岗岩】</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1.块料品种、规格:芝麻白花岗岩（深50*宽200*长600）</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安砌侧(平、缘)石</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1.材料品种、规格:芝麻白花岗岩（深250*宽120*600)路缘石</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塑料管【DN150排水管】</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2.介质:排水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3.材质、规格:PVC-U DN150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4.连接形式:粘接</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砌筑井【雨水井】</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1.垫层、基础材质及厚度:100厚C20混凝土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2.砌筑材料品种、规格、强度等级:120厚MU7.5砖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3.勾缝、抹面要求:20厚墙内1:2水泥砂浆抹面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4.井盖、井圈材质及规格:600*400*50厚（塑胶制品）</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塑料管【DN100排水管】</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2.介质:排水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3.材质、规格:PVC-U DN100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4.连接形式:粘接</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给、排水附(配)件</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1.型号、规格:DN20不锈钢水龙头</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塑料管【DN32给水管】</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1.安装部位:室外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2.介质:给水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3.材质、规格:PVC-U DN32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4.连接形式:粘接</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配管</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2.规格:PC25</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1.名称:电气配线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2.配线形式:管内穿线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3.规格:VV-3*4</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围墙灯</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1.名称:围墙灯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2.规格:29*（35）W</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1.名称:配电箱</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挖沟槽土方</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1.土壤类别:一、二类土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2.挖土深度:2m 内</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挖基坑土方</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1.土壤类别:一、二类土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2.挖土深度:2m 内</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回填方</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1.填方材料品种:回填土</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1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余方弃置</w:t>
            </w:r>
          </w:p>
        </w:tc>
        <w:tc>
          <w:tcPr>
            <w:tcW w:w="198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1.运距:1Km内</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7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r>
    </w:tbl>
    <w:p>
      <w:pPr>
        <w:rPr>
          <w:rFonts w:hint="eastAsia" w:ascii="宋体" w:hAnsi="宋体" w:eastAsia="宋体"/>
          <w:b/>
          <w:color w:val="auto"/>
          <w:sz w:val="21"/>
          <w:szCs w:val="21"/>
          <w:highlight w:val="none"/>
          <w:lang w:val="en-US" w:eastAsia="zh-CN"/>
        </w:rPr>
      </w:pPr>
    </w:p>
    <w:bookmarkEnd w:id="226"/>
    <w:bookmarkEnd w:id="227"/>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二、技术标准和要求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项目的材料、施工、验收须达到现行中华人民共和国以及省、自治区、直辖市、市或行业的工程建设标准、规范的要求。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2.1.所采用的材料、设备必须满足国家有关技术操作规程的要求。</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2.2施工组织方案需列明保证施工进度计划实施及保证质量、安全生产、文明施工、环境保护的措施；中标（成交）供应商应结合自身的实际情况制定合理的施工进度计划。</w:t>
      </w:r>
    </w:p>
    <w:p>
      <w:pPr>
        <w:spacing w:line="360" w:lineRule="auto"/>
        <w:ind w:left="-141" w:leftChars="-67"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2.3.结合施工现场的实际情况进行施工组织设计（如须采用较复杂的施工技术的施工方案），施工中因施工方案及施工措施所引起的费用由中标（成交）供应商负责。</w:t>
      </w:r>
    </w:p>
    <w:p>
      <w:pPr>
        <w:rPr>
          <w:rFonts w:hint="eastAsia" w:eastAsia="宋体"/>
          <w:b/>
          <w:bCs/>
          <w:color w:val="auto"/>
          <w:sz w:val="28"/>
          <w:szCs w:val="36"/>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三、质量保证</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1、自项目竣工验收合格之日起算，在质保期内因质量问题以及工程竣工未交付采购人之前因中标（成交）供应商保管不力而导致的返工、翻工、维修等各项相关费用均由中标（成交）供应商承担。</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施工过程中，中标（成交）供应商必须保证质量，选用的材料和施工质量要求符合合同所列标准。如中标（成交）供应商投标时承诺的技术标准高于采购人要求，则按中标（成交）供应商投标文件的要求标准提供产品及施工。</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3、中标（成交）供应商应建立并实施符合工程各项要求的质量管理体系，如因中标（成交）供应商原因，使得项目工作受到影响，相应责任由中标（成交）供应商承担</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b/>
          <w:color w:val="auto"/>
          <w:sz w:val="21"/>
          <w:szCs w:val="21"/>
          <w:highlight w:val="none"/>
          <w:lang w:val="en-US" w:eastAsia="zh-CN"/>
        </w:rPr>
        <w:t>成交供应商</w:t>
      </w:r>
      <w:r>
        <w:rPr>
          <w:rFonts w:hint="eastAsia" w:ascii="宋体" w:hAnsi="宋体" w:eastAsia="宋体"/>
          <w:b/>
          <w:color w:val="auto"/>
          <w:sz w:val="21"/>
          <w:szCs w:val="21"/>
          <w:highlight w:val="none"/>
          <w:lang w:val="en-US" w:eastAsia="zh-CN"/>
        </w:rPr>
        <w:t>应当履行下列义务</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1、遵守国家法律、法规和政策，遵守社会公德，自觉维护建筑市场秩序。</w:t>
      </w:r>
    </w:p>
    <w:p>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2、遵守诚实信用原则，积极与采购人建立良好合作关系，认真履行服务合同。</w:t>
      </w:r>
    </w:p>
    <w:p>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3、严格服从管理要求，自觉接受履约评价。</w:t>
      </w: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p>
    <w:p>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pPr>
        <w:pStyle w:val="2"/>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pPr>
        <w:pStyle w:val="3"/>
        <w:numPr>
          <w:ilvl w:val="0"/>
          <w:numId w:val="1"/>
        </w:numPr>
        <w:bidi w:val="0"/>
        <w:ind w:left="0" w:leftChars="0" w:firstLine="0" w:firstLineChars="0"/>
        <w:rPr>
          <w:rFonts w:hint="eastAsia"/>
          <w:color w:val="auto"/>
          <w:highlight w:val="none"/>
          <w:lang w:val="en-US" w:eastAsia="zh-CN"/>
        </w:rPr>
      </w:pPr>
      <w:bookmarkStart w:id="228" w:name="_Toc29929"/>
      <w:r>
        <w:rPr>
          <w:rFonts w:hint="eastAsia"/>
          <w:color w:val="auto"/>
          <w:highlight w:val="none"/>
          <w:lang w:val="en-US" w:eastAsia="zh-CN"/>
        </w:rPr>
        <w:t>详细评审</w:t>
      </w:r>
      <w:bookmarkEnd w:id="228"/>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w:t>
            </w:r>
            <w:bookmarkStart w:id="369" w:name="_GoBack"/>
            <w:bookmarkEnd w:id="369"/>
            <w:r>
              <w:rPr>
                <w:rFonts w:hint="eastAsia" w:ascii="宋体" w:eastAsia="宋体" w:cs="宋体"/>
                <w:b/>
                <w:bCs/>
                <w:color w:val="auto"/>
                <w:sz w:val="21"/>
                <w:szCs w:val="21"/>
                <w:highlight w:val="none"/>
                <w:lang w:val="en-US" w:eastAsia="zh-CN"/>
              </w:rPr>
              <w:t>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企业认证</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left="1"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供应商具有由国家认证认可监督管理部门批准设立的认证机构颁发并在有效期内的ISO9001质量管理体系认证、ISO14001环境管理体系认证和GB/T28001职业健康安全管理体系认证证书的，每提供一个证书得2分，本项满分6分。</w:t>
            </w:r>
          </w:p>
          <w:p>
            <w:pPr>
              <w:pStyle w:val="16"/>
              <w:widowControl w:val="0"/>
              <w:spacing w:before="0" w:beforeAutospacing="0" w:after="0" w:afterAutospacing="0"/>
              <w:ind w:left="1" w:leftChars="0" w:right="0" w:rightChars="0" w:firstLine="422" w:firstLineChars="200"/>
              <w:jc w:val="both"/>
              <w:rPr>
                <w:rFonts w:hint="eastAsia" w:ascii="宋体" w:hAnsi="宋体" w:eastAsia="宋体" w:cs="宋体"/>
                <w:bCs/>
                <w:color w:val="auto"/>
                <w:sz w:val="21"/>
                <w:szCs w:val="21"/>
                <w:highlight w:val="none"/>
                <w:lang w:val="zh-CN" w:eastAsia="zh-CN"/>
              </w:rPr>
            </w:pPr>
            <w:r>
              <w:rPr>
                <w:rFonts w:hint="eastAsia" w:ascii="宋体" w:eastAsia="宋体"/>
                <w:b/>
                <w:color w:val="auto"/>
                <w:sz w:val="21"/>
                <w:szCs w:val="21"/>
                <w:highlight w:val="none"/>
                <w:lang w:val="en-US" w:eastAsia="zh-CN"/>
              </w:rPr>
              <w:t>注：须提供有效的资料证明复印件并加盖供应商公章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业绩</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场地改造</w:t>
            </w:r>
            <w:r>
              <w:rPr>
                <w:rFonts w:hint="eastAsia" w:ascii="宋体" w:hAnsi="宋体" w:eastAsia="宋体" w:cs="宋体"/>
                <w:bCs/>
                <w:color w:val="auto"/>
                <w:sz w:val="21"/>
                <w:szCs w:val="21"/>
                <w:highlight w:val="none"/>
              </w:rPr>
              <w:t>类</w:t>
            </w:r>
            <w:r>
              <w:rPr>
                <w:rFonts w:hint="eastAsia" w:ascii="宋体" w:eastAsia="宋体" w:cs="宋体"/>
                <w:bCs/>
                <w:color w:val="auto"/>
                <w:sz w:val="21"/>
                <w:szCs w:val="21"/>
                <w:highlight w:val="none"/>
                <w:lang w:val="en-US" w:eastAsia="zh-CN"/>
              </w:rPr>
              <w:t>或场地建设类或场地翻新类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pStyle w:val="26"/>
              <w:keepNext w:val="0"/>
              <w:keepLines w:val="0"/>
              <w:pageBreakBefore w:val="0"/>
              <w:kinsoku/>
              <w:wordWrap/>
              <w:overflowPunct/>
              <w:topLinePunct w:val="0"/>
              <w:autoSpaceDE/>
              <w:autoSpaceDN/>
              <w:bidi w:val="0"/>
              <w:spacing w:after="0" w:line="240" w:lineRule="auto"/>
              <w:ind w:firstLine="422"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
                <w:bCs w:val="0"/>
                <w:color w:val="auto"/>
                <w:sz w:val="21"/>
                <w:szCs w:val="21"/>
                <w:highlight w:val="none"/>
                <w:lang w:val="zh-CN"/>
              </w:rPr>
              <w:t>注：须提供合同复印件并加盖供应商公章，不符合以上要求</w:t>
            </w:r>
            <w:r>
              <w:rPr>
                <w:rFonts w:hint="eastAsia" w:ascii="宋体" w:hAnsi="宋体" w:eastAsia="宋体" w:cs="宋体"/>
                <w:b/>
                <w:bCs w:val="0"/>
                <w:color w:val="auto"/>
                <w:sz w:val="21"/>
                <w:szCs w:val="21"/>
                <w:highlight w:val="none"/>
              </w:rPr>
              <w:t>的</w:t>
            </w:r>
            <w:r>
              <w:rPr>
                <w:rFonts w:hint="eastAsia" w:ascii="宋体" w:hAnsi="宋体" w:eastAsia="宋体" w:cs="宋体"/>
                <w:b/>
                <w:bCs w:val="0"/>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eastAsia="宋体"/>
                <w:color w:val="auto"/>
                <w:sz w:val="21"/>
                <w:szCs w:val="21"/>
                <w:highlight w:val="none"/>
                <w:lang w:val="en-US" w:eastAsia="zh-CN"/>
              </w:rPr>
            </w:pPr>
            <w:r>
              <w:rPr>
                <w:rFonts w:hint="eastAsia" w:ascii="宋体" w:hAnsi="宋体" w:eastAsia="宋体" w:cs="宋体"/>
                <w:bCs/>
                <w:color w:val="auto"/>
                <w:sz w:val="21"/>
                <w:szCs w:val="21"/>
                <w:highlight w:val="none"/>
              </w:rPr>
              <w:t>服务响应</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color w:val="auto"/>
                <w:szCs w:val="21"/>
                <w:highlight w:val="none"/>
                <w:lang w:val="en-US" w:eastAsia="zh-CN"/>
              </w:rPr>
            </w:pPr>
            <w:r>
              <w:rPr>
                <w:rFonts w:hint="eastAsia" w:ascii="宋体" w:eastAsia="宋体" w:cs="宋体"/>
                <w:bCs/>
                <w:color w:val="auto"/>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含1小时</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含2小时</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含3小时</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pPr>
              <w:pStyle w:val="26"/>
              <w:keepNext w:val="0"/>
              <w:keepLines w:val="0"/>
              <w:pageBreakBefore w:val="0"/>
              <w:kinsoku/>
              <w:wordWrap/>
              <w:overflowPunct/>
              <w:topLinePunct w:val="0"/>
              <w:autoSpaceDE/>
              <w:autoSpaceDN/>
              <w:bidi w:val="0"/>
              <w:spacing w:after="0" w:line="24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val="0"/>
                <w:color w:val="auto"/>
                <w:sz w:val="21"/>
                <w:szCs w:val="21"/>
                <w:highlight w:val="none"/>
              </w:rPr>
              <w:t>注：须提供服务承诺书并加盖供应商公章，否则不得分。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50分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项目的理解</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根据供应商对本项目现场的熟悉程度、理解及项目重点和难点的分析，以及根据项目重点和难点所采取的措施等进行评价。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深入，重点和难点分析</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合理、所采取的应急计划和措施可行性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w:t>
            </w:r>
            <w:r>
              <w:rPr>
                <w:rFonts w:hint="eastAsia" w:ascii="宋体" w:hAnsi="宋体" w:eastAsia="宋体" w:cs="宋体"/>
                <w:bCs/>
                <w:color w:val="auto"/>
                <w:sz w:val="21"/>
                <w:szCs w:val="21"/>
                <w:highlight w:val="none"/>
                <w:lang w:val="en-US" w:eastAsia="zh-CN"/>
              </w:rPr>
              <w:t>基本合理</w:t>
            </w:r>
            <w:r>
              <w:rPr>
                <w:rFonts w:hint="eastAsia" w:ascii="宋体" w:hAnsi="宋体" w:eastAsia="宋体" w:cs="宋体"/>
                <w:bCs/>
                <w:color w:val="auto"/>
                <w:sz w:val="21"/>
                <w:szCs w:val="21"/>
                <w:highlight w:val="none"/>
              </w:rPr>
              <w:t>、所采取的应急计划和措施可行性一般，得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施工组织方案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施工组织方案的科学性、可行性、完善性等进行综合评价：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可行，得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施工组织方案针对性一般、合理</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施工组织方案针对性差、不够合理，得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安全文明方案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提供的安全文明措施、配套设备设施、达到的标准及承诺等进行综合评价: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应急方案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eastAsia="宋体" w:cs="宋体"/>
                <w:bCs/>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合理完整，可操作性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验收方案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eastAsia="宋体" w:cs="宋体"/>
                <w:bCs/>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供应商提供的</w:t>
            </w:r>
            <w:r>
              <w:rPr>
                <w:rFonts w:hint="eastAsia" w:ascii="宋体" w:hAnsi="宋体" w:eastAsia="宋体" w:cs="宋体"/>
                <w:bCs/>
                <w:color w:val="auto"/>
                <w:sz w:val="21"/>
                <w:szCs w:val="21"/>
                <w:highlight w:val="none"/>
                <w:lang w:val="zh-CN"/>
              </w:rPr>
              <w:t>验收方案、承诺验收达到标准、整改方案及标准等进行综合评价: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right w:val="single" w:color="auto" w:sz="4" w:space="0"/>
            </w:tcBorders>
            <w:noWrap w:val="0"/>
            <w:vAlign w:val="center"/>
          </w:tcPr>
          <w:p>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eastAsia="宋体" w:cs="宋体"/>
                <w:color w:val="auto"/>
                <w:sz w:val="21"/>
                <w:szCs w:val="21"/>
                <w:highlight w:val="none"/>
              </w:rPr>
            </w:pPr>
            <w:r>
              <w:rPr>
                <w:rFonts w:hint="eastAsia" w:ascii="宋体" w:hAnsi="宋体" w:eastAsia="宋体" w:cs="宋体"/>
                <w:bCs/>
                <w:color w:val="auto"/>
                <w:sz w:val="21"/>
                <w:szCs w:val="21"/>
                <w:highlight w:val="none"/>
              </w:rPr>
              <w:t>规章制度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6</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根据供应商的规章管理制度进行</w:t>
            </w:r>
            <w:r>
              <w:rPr>
                <w:rFonts w:hint="eastAsia" w:ascii="宋体" w:hAnsi="宋体" w:eastAsia="宋体" w:cs="宋体"/>
                <w:bCs/>
                <w:color w:val="auto"/>
                <w:sz w:val="21"/>
                <w:szCs w:val="21"/>
                <w:highlight w:val="none"/>
              </w:rPr>
              <w:t>综合评审：</w:t>
            </w:r>
          </w:p>
          <w:p>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制度基本完整，可行性一般，得</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分；</w:t>
            </w:r>
          </w:p>
          <w:p>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制度不完整，可行性较差，得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rPr>
              <w:t>制度</w:t>
            </w:r>
            <w:r>
              <w:rPr>
                <w:rFonts w:hint="eastAsia" w:ascii="宋体" w:hAnsi="宋体" w:eastAsia="宋体" w:cs="宋体"/>
                <w:bCs/>
                <w:color w:val="auto"/>
                <w:sz w:val="21"/>
                <w:szCs w:val="21"/>
                <w:highlight w:val="none"/>
                <w:lang w:val="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6"/>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pPr>
        <w:rPr>
          <w:rFonts w:hint="default"/>
          <w:color w:val="auto"/>
          <w:highlight w:val="none"/>
          <w:lang w:val="en-US" w:eastAsia="zh-CN"/>
        </w:rPr>
      </w:pPr>
      <w:r>
        <w:rPr>
          <w:rFonts w:hint="default"/>
          <w:color w:val="auto"/>
          <w:highlight w:val="none"/>
          <w:lang w:val="en-US" w:eastAsia="zh-CN"/>
        </w:rPr>
        <w:br w:type="page"/>
      </w:r>
    </w:p>
    <w:p>
      <w:pPr>
        <w:pStyle w:val="3"/>
        <w:numPr>
          <w:ilvl w:val="0"/>
          <w:numId w:val="1"/>
        </w:numPr>
        <w:bidi w:val="0"/>
        <w:ind w:left="0" w:leftChars="0" w:firstLine="0" w:firstLineChars="0"/>
        <w:rPr>
          <w:rFonts w:hint="eastAsia"/>
          <w:color w:val="auto"/>
          <w:highlight w:val="none"/>
          <w:lang w:val="en-US" w:eastAsia="zh-CN"/>
        </w:rPr>
      </w:pPr>
      <w:bookmarkStart w:id="229" w:name="_Toc20102"/>
      <w:r>
        <w:rPr>
          <w:rFonts w:hint="eastAsia"/>
          <w:color w:val="auto"/>
          <w:highlight w:val="none"/>
          <w:lang w:val="en-US" w:eastAsia="zh-CN"/>
        </w:rPr>
        <w:t>合同文本参考格式</w:t>
      </w:r>
      <w:bookmarkEnd w:id="229"/>
    </w:p>
    <w:p>
      <w:pPr>
        <w:jc w:val="center"/>
        <w:outlineLvl w:val="1"/>
        <w:rPr>
          <w:rFonts w:hint="eastAsia"/>
          <w:color w:val="auto"/>
          <w:sz w:val="18"/>
          <w:szCs w:val="21"/>
          <w:highlight w:val="none"/>
          <w:lang w:val="en-US" w:eastAsia="zh-CN"/>
        </w:rPr>
      </w:pPr>
      <w:bookmarkStart w:id="230" w:name="_Toc1541"/>
      <w:bookmarkStart w:id="231" w:name="_Toc25458"/>
      <w:bookmarkStart w:id="232" w:name="_Toc20453"/>
      <w:bookmarkStart w:id="233" w:name="_Toc27897"/>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14994"/>
      <w:bookmarkStart w:id="235" w:name="_Toc21895"/>
      <w:bookmarkStart w:id="236" w:name="_Toc3633"/>
      <w:bookmarkStart w:id="237" w:name="_Toc864"/>
      <w:r>
        <w:rPr>
          <w:rFonts w:hint="eastAsia"/>
          <w:b/>
          <w:bCs/>
          <w:color w:val="auto"/>
          <w:highlight w:val="none"/>
          <w:lang w:val="en-US" w:eastAsia="zh-CN"/>
        </w:rPr>
        <w:t>一、合同金额</w:t>
      </w:r>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32599"/>
      <w:bookmarkStart w:id="239" w:name="_Toc8673"/>
      <w:bookmarkStart w:id="240" w:name="_Toc31907"/>
      <w:bookmarkStart w:id="241" w:name="_Toc8984"/>
      <w:r>
        <w:rPr>
          <w:rFonts w:hint="eastAsia"/>
          <w:b/>
          <w:bCs/>
          <w:color w:val="auto"/>
          <w:highlight w:val="none"/>
          <w:lang w:val="en-US" w:eastAsia="zh-CN"/>
        </w:rPr>
        <w:t>二、服务范围</w:t>
      </w:r>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2159"/>
      <w:bookmarkStart w:id="243" w:name="_Toc28304"/>
      <w:bookmarkStart w:id="244" w:name="_Toc9958"/>
      <w:bookmarkStart w:id="245" w:name="_Toc23270"/>
      <w:r>
        <w:rPr>
          <w:rFonts w:hint="eastAsia"/>
          <w:b/>
          <w:bCs/>
          <w:color w:val="auto"/>
          <w:highlight w:val="none"/>
          <w:lang w:val="en-US" w:eastAsia="zh-CN"/>
        </w:rPr>
        <w:t>三、甲方乙方的权利和义务</w:t>
      </w:r>
      <w:bookmarkEnd w:id="242"/>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3949"/>
      <w:bookmarkStart w:id="247" w:name="_Toc29743"/>
      <w:bookmarkStart w:id="248" w:name="_Toc13843"/>
      <w:bookmarkStart w:id="249" w:name="_Toc31228"/>
      <w:r>
        <w:rPr>
          <w:rFonts w:hint="eastAsia"/>
          <w:b/>
          <w:bCs/>
          <w:color w:val="auto"/>
          <w:highlight w:val="none"/>
          <w:lang w:val="en-US" w:eastAsia="zh-CN"/>
        </w:rPr>
        <w:t>四、服务期间（项目完成期限）</w:t>
      </w:r>
      <w:bookmarkEnd w:id="246"/>
      <w:bookmarkEnd w:id="247"/>
      <w:bookmarkEnd w:id="248"/>
      <w:bookmarkEnd w:id="24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0" w:name="_Toc3509"/>
      <w:bookmarkStart w:id="251" w:name="_Toc30401"/>
      <w:bookmarkStart w:id="252" w:name="_Toc26555"/>
      <w:bookmarkStart w:id="253" w:name="_Toc1315"/>
      <w:r>
        <w:rPr>
          <w:rFonts w:hint="eastAsia"/>
          <w:b/>
          <w:bCs/>
          <w:color w:val="auto"/>
          <w:highlight w:val="none"/>
          <w:lang w:val="en-US" w:eastAsia="zh-CN"/>
        </w:rPr>
        <w:t>五、付款方式</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28728"/>
      <w:bookmarkStart w:id="255" w:name="_Toc27026"/>
      <w:bookmarkStart w:id="256" w:name="_Toc29016"/>
      <w:bookmarkStart w:id="257" w:name="_Toc25049"/>
      <w:r>
        <w:rPr>
          <w:rFonts w:hint="eastAsia"/>
          <w:b/>
          <w:bCs/>
          <w:color w:val="auto"/>
          <w:highlight w:val="none"/>
          <w:lang w:val="en-US" w:eastAsia="zh-CN"/>
        </w:rPr>
        <w:t>六、知识产权</w:t>
      </w:r>
      <w:r>
        <w:rPr>
          <w:rFonts w:hint="eastAsia"/>
          <w:b/>
          <w:bCs/>
          <w:color w:val="auto"/>
          <w:highlight w:val="none"/>
        </w:rPr>
        <w:t>归属</w:t>
      </w:r>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8" w:name="_Toc15194"/>
      <w:bookmarkStart w:id="259" w:name="_Toc491"/>
      <w:bookmarkStart w:id="260" w:name="_Toc16011"/>
      <w:bookmarkStart w:id="261" w:name="_Toc25037"/>
      <w:r>
        <w:rPr>
          <w:rFonts w:hint="eastAsia"/>
          <w:b/>
          <w:bCs/>
          <w:color w:val="auto"/>
          <w:highlight w:val="none"/>
          <w:lang w:val="en-US" w:eastAsia="zh-CN"/>
        </w:rPr>
        <w:t>七、保密</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5642"/>
      <w:bookmarkStart w:id="263" w:name="_Toc8277"/>
      <w:bookmarkStart w:id="264" w:name="_Toc28189"/>
      <w:bookmarkStart w:id="265" w:name="_Toc14319"/>
      <w:r>
        <w:rPr>
          <w:rFonts w:hint="eastAsia"/>
          <w:b/>
          <w:bCs/>
          <w:color w:val="auto"/>
          <w:highlight w:val="none"/>
          <w:lang w:val="en-US" w:eastAsia="zh-CN"/>
        </w:rPr>
        <w:t>八、违约责任与赔偿损失</w:t>
      </w:r>
      <w:bookmarkEnd w:id="262"/>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4754"/>
      <w:bookmarkStart w:id="267" w:name="_Toc30679"/>
      <w:bookmarkStart w:id="268" w:name="_Toc18504"/>
      <w:bookmarkStart w:id="269" w:name="_Toc23187"/>
      <w:r>
        <w:rPr>
          <w:rFonts w:hint="eastAsia"/>
          <w:b/>
          <w:bCs/>
          <w:color w:val="auto"/>
          <w:highlight w:val="none"/>
          <w:lang w:val="en-US" w:eastAsia="zh-CN"/>
        </w:rPr>
        <w:t>九、争议的解决</w:t>
      </w:r>
      <w:bookmarkEnd w:id="266"/>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20074"/>
      <w:bookmarkStart w:id="271" w:name="_Toc23085"/>
      <w:bookmarkStart w:id="272" w:name="_Toc26856"/>
      <w:bookmarkStart w:id="273" w:name="_Toc21080"/>
      <w:r>
        <w:rPr>
          <w:rFonts w:hint="eastAsia"/>
          <w:b/>
          <w:bCs/>
          <w:color w:val="auto"/>
          <w:highlight w:val="none"/>
          <w:lang w:val="en-US" w:eastAsia="zh-CN"/>
        </w:rPr>
        <w:t>十、不可抗力</w:t>
      </w:r>
      <w:bookmarkEnd w:id="270"/>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2645"/>
      <w:bookmarkStart w:id="275" w:name="_Toc29236"/>
      <w:bookmarkStart w:id="276" w:name="_Toc16247"/>
      <w:bookmarkStart w:id="277" w:name="_Toc12495"/>
      <w:r>
        <w:rPr>
          <w:rFonts w:hint="eastAsia"/>
          <w:b/>
          <w:bCs/>
          <w:color w:val="auto"/>
          <w:highlight w:val="none"/>
          <w:lang w:val="en-US" w:eastAsia="zh-CN"/>
        </w:rPr>
        <w:t>十一、税费</w:t>
      </w:r>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8" w:name="_Toc16429"/>
      <w:bookmarkStart w:id="279" w:name="_Toc1974"/>
      <w:bookmarkStart w:id="280" w:name="_Toc14065"/>
      <w:bookmarkStart w:id="281" w:name="_Toc7253"/>
      <w:r>
        <w:rPr>
          <w:rFonts w:hint="eastAsia"/>
          <w:b/>
          <w:bCs/>
          <w:color w:val="auto"/>
          <w:highlight w:val="none"/>
          <w:lang w:val="en-US" w:eastAsia="zh-CN"/>
        </w:rPr>
        <w:t>十二、其它</w:t>
      </w:r>
      <w:bookmarkEnd w:id="278"/>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82" w:name="_Toc13763"/>
      <w:bookmarkStart w:id="283" w:name="_Toc31822"/>
      <w:bookmarkStart w:id="284" w:name="_Toc22153"/>
      <w:bookmarkStart w:id="285" w:name="_Toc15369"/>
      <w:r>
        <w:rPr>
          <w:rFonts w:hint="eastAsia"/>
          <w:b/>
          <w:bCs/>
          <w:color w:val="auto"/>
          <w:highlight w:val="none"/>
          <w:lang w:val="en-US" w:eastAsia="zh-CN"/>
        </w:rPr>
        <w:t>十三、合同生效</w:t>
      </w:r>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pPr>
        <w:rPr>
          <w:rFonts w:hint="eastAsia"/>
          <w:color w:val="auto"/>
          <w:highlight w:val="none"/>
          <w:lang w:val="en-US" w:eastAsia="zh-CN"/>
        </w:rPr>
      </w:pPr>
      <w:r>
        <w:rPr>
          <w:rFonts w:hint="eastAsia"/>
          <w:color w:val="auto"/>
          <w:highlight w:val="none"/>
          <w:lang w:val="en-US" w:eastAsia="zh-CN"/>
        </w:rPr>
        <w:br w:type="page"/>
      </w:r>
    </w:p>
    <w:p>
      <w:pPr>
        <w:pStyle w:val="3"/>
        <w:bidi w:val="0"/>
        <w:rPr>
          <w:rFonts w:hint="eastAsia"/>
          <w:color w:val="auto"/>
          <w:highlight w:val="none"/>
          <w:lang w:val="en-US" w:eastAsia="zh-CN"/>
        </w:rPr>
      </w:pPr>
      <w:bookmarkStart w:id="286" w:name="_Toc2896"/>
      <w:r>
        <w:rPr>
          <w:rFonts w:hint="eastAsia"/>
          <w:color w:val="auto"/>
          <w:highlight w:val="none"/>
          <w:lang w:val="en-US" w:eastAsia="zh-CN"/>
        </w:rPr>
        <w:t>第六篇 响应文件格式</w:t>
      </w:r>
      <w:bookmarkEnd w:id="286"/>
    </w:p>
    <w:p>
      <w:pPr>
        <w:rPr>
          <w:rFonts w:hint="eastAsia"/>
          <w:b/>
          <w:bCs/>
          <w:color w:val="auto"/>
          <w:highlight w:val="none"/>
          <w:lang w:val="en-US" w:eastAsia="zh-CN"/>
        </w:rPr>
      </w:pPr>
      <w:r>
        <w:rPr>
          <w:rFonts w:hint="eastAsia"/>
          <w:b/>
          <w:bCs/>
          <w:color w:val="auto"/>
          <w:highlight w:val="none"/>
          <w:lang w:val="en-US" w:eastAsia="zh-CN"/>
        </w:rPr>
        <w:t>注意事项：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pPr>
        <w:jc w:val="center"/>
        <w:outlineLvl w:val="1"/>
        <w:rPr>
          <w:rFonts w:hint="eastAsia"/>
          <w:b/>
          <w:bCs/>
          <w:color w:val="auto"/>
          <w:highlight w:val="none"/>
          <w:lang w:val="en-US" w:eastAsia="zh-CN"/>
        </w:rPr>
      </w:pPr>
      <w:bookmarkStart w:id="287" w:name="_Toc7065"/>
      <w:bookmarkStart w:id="288" w:name="_Toc32213"/>
      <w:bookmarkStart w:id="289" w:name="_Toc23380"/>
      <w:bookmarkStart w:id="290" w:name="_Toc712"/>
      <w:r>
        <w:rPr>
          <w:rFonts w:hint="eastAsia"/>
          <w:b/>
          <w:bCs/>
          <w:color w:val="auto"/>
          <w:highlight w:val="none"/>
          <w:lang w:val="en-US" w:eastAsia="zh-CN"/>
        </w:rPr>
        <w:t>（封面格式仅供参考）</w:t>
      </w:r>
      <w:bookmarkEnd w:id="287"/>
      <w:bookmarkEnd w:id="288"/>
      <w:bookmarkEnd w:id="289"/>
      <w:bookmarkEnd w:id="29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91" w:name="_Toc4650"/>
      <w:bookmarkStart w:id="292" w:name="_Toc14748"/>
      <w:bookmarkStart w:id="293" w:name="_Toc26688"/>
      <w:bookmarkStart w:id="294" w:name="_Toc24171"/>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91"/>
      <w:bookmarkEnd w:id="292"/>
      <w:bookmarkEnd w:id="293"/>
      <w:bookmarkEnd w:id="294"/>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5" w:name="_Toc302"/>
      <w:bookmarkStart w:id="296" w:name="_Toc6353"/>
      <w:bookmarkStart w:id="297" w:name="_Toc25136"/>
      <w:bookmarkStart w:id="298"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5"/>
      <w:bookmarkEnd w:id="296"/>
      <w:bookmarkEnd w:id="297"/>
      <w:bookmarkEnd w:id="298"/>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hint="eastAsia" w:ascii="宋体" w:hAnsi="宋体" w:eastAsia="宋体" w:cs="宋体"/>
                <w:b w:val="0"/>
                <w:bCs w:val="0"/>
                <w:color w:val="auto"/>
                <w:szCs w:val="21"/>
                <w:highlight w:val="none"/>
              </w:rPr>
            </w:pPr>
          </w:p>
        </w:tc>
        <w:tc>
          <w:tcPr>
            <w:tcW w:w="1551" w:type="dxa"/>
            <w:vAlign w:val="center"/>
          </w:tcPr>
          <w:p>
            <w:pPr>
              <w:spacing w:line="360" w:lineRule="auto"/>
              <w:jc w:val="center"/>
              <w:rPr>
                <w:rFonts w:hint="eastAsia" w:ascii="宋体" w:hAnsi="宋体" w:eastAsia="宋体" w:cs="宋体"/>
                <w:b w:val="0"/>
                <w:bCs w:val="0"/>
                <w:color w:val="auto"/>
                <w:szCs w:val="21"/>
                <w:highlight w:val="none"/>
              </w:rPr>
            </w:pPr>
          </w:p>
        </w:tc>
        <w:tc>
          <w:tcPr>
            <w:tcW w:w="3382" w:type="dxa"/>
            <w:vAlign w:val="center"/>
          </w:tcPr>
          <w:p>
            <w:pPr>
              <w:spacing w:line="360" w:lineRule="auto"/>
              <w:jc w:val="center"/>
              <w:rPr>
                <w:rFonts w:hint="eastAsia" w:ascii="宋体" w:hAnsi="宋体" w:eastAsia="宋体" w:cs="宋体"/>
                <w:b w:val="0"/>
                <w:bCs w:val="0"/>
                <w:color w:val="auto"/>
                <w:szCs w:val="21"/>
                <w:highlight w:val="none"/>
              </w:rPr>
            </w:pPr>
          </w:p>
        </w:tc>
        <w:tc>
          <w:tcPr>
            <w:tcW w:w="2452" w:type="dxa"/>
            <w:vAlign w:val="center"/>
          </w:tcPr>
          <w:p>
            <w:pPr>
              <w:spacing w:line="360" w:lineRule="auto"/>
              <w:jc w:val="center"/>
              <w:rPr>
                <w:rFonts w:hint="eastAsia" w:ascii="宋体" w:hAnsi="宋体" w:eastAsia="宋体" w:cs="宋体"/>
                <w:b w:val="0"/>
                <w:bCs w:val="0"/>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pPr>
        <w:pStyle w:val="2"/>
        <w:spacing w:before="8"/>
        <w:rPr>
          <w:b/>
          <w:color w:val="auto"/>
          <w:sz w:val="1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pPr>
        <w:rPr>
          <w:b/>
          <w:bCs/>
          <w:color w:val="auto"/>
          <w:sz w:val="24"/>
          <w:szCs w:val="32"/>
          <w:highlight w:val="none"/>
        </w:rPr>
      </w:pPr>
      <w:r>
        <w:rPr>
          <w:b/>
          <w:bCs/>
          <w:color w:val="auto"/>
          <w:sz w:val="24"/>
          <w:szCs w:val="32"/>
          <w:highlight w:val="none"/>
        </w:rPr>
        <w:br w:type="page"/>
      </w:r>
    </w:p>
    <w:p>
      <w:pPr>
        <w:bidi w:val="0"/>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pPr>
        <w:pStyle w:val="2"/>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pPr>
        <w:pStyle w:val="2"/>
        <w:rPr>
          <w:rFonts w:hint="eastAsia"/>
          <w:color w:val="auto"/>
          <w:highlight w:val="none"/>
          <w:lang w:val="en-US" w:eastAsia="zh-CN"/>
        </w:rPr>
      </w:pPr>
    </w:p>
    <w:p>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pPr>
        <w:pageBreakBefore w:val="0"/>
        <w:kinsoku/>
        <w:topLinePunct w:val="0"/>
        <w:autoSpaceDE/>
        <w:autoSpaceDN/>
        <w:bidi w:val="0"/>
        <w:spacing w:line="360" w:lineRule="auto"/>
        <w:rPr>
          <w:color w:val="auto"/>
          <w:highlight w:val="none"/>
        </w:rPr>
      </w:pP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w:t>
            </w:r>
            <w:r>
              <w:rPr>
                <w:rFonts w:hint="eastAsia" w:ascii="宋体" w:hAnsi="宋体" w:cs="宋体"/>
                <w:b/>
                <w:color w:val="auto"/>
                <w:sz w:val="21"/>
                <w:szCs w:val="21"/>
                <w:highlight w:val="none"/>
                <w:lang w:val="en-US" w:eastAsia="zh-CN"/>
              </w:rPr>
              <w:t>报价</w:t>
            </w:r>
            <w:r>
              <w:rPr>
                <w:rFonts w:hint="eastAsia" w:ascii="宋体" w:hAnsi="宋体" w:cs="宋体"/>
                <w:b/>
                <w:color w:val="auto"/>
                <w:sz w:val="21"/>
                <w:szCs w:val="21"/>
                <w:highlight w:val="none"/>
                <w:lang w:val="zh-CN"/>
              </w:rPr>
              <w:t>（</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highlight w:val="none"/>
              </w:rPr>
            </w:pPr>
          </w:p>
        </w:tc>
        <w:tc>
          <w:tcPr>
            <w:tcW w:w="691"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Pr>
        <w:pageBreakBefore w:val="0"/>
        <w:kinsoku/>
        <w:topLinePunct w:val="0"/>
        <w:autoSpaceDE/>
        <w:autoSpaceDN/>
        <w:bidi w:val="0"/>
        <w:spacing w:after="0" w:line="360" w:lineRule="auto"/>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pPr>
        <w:pStyle w:val="11"/>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格式四：</w:t>
      </w:r>
    </w:p>
    <w:p>
      <w:pPr>
        <w:pStyle w:val="4"/>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9" w:name="_Toc23039"/>
      <w:bookmarkStart w:id="300" w:name="_Toc4452"/>
      <w:bookmarkStart w:id="301" w:name="_Toc19106"/>
      <w:bookmarkStart w:id="302" w:name="_Toc17533"/>
      <w:r>
        <w:rPr>
          <w:color w:val="auto"/>
          <w:sz w:val="24"/>
          <w:szCs w:val="24"/>
          <w:highlight w:val="none"/>
        </w:rPr>
        <w:t>法定代表人证明书</w:t>
      </w:r>
      <w:bookmarkEnd w:id="299"/>
      <w:bookmarkEnd w:id="300"/>
      <w:bookmarkEnd w:id="301"/>
      <w:bookmarkEnd w:id="302"/>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pPr>
        <w:pStyle w:val="2"/>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2"/>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tabs>
          <w:tab w:val="left" w:pos="3693"/>
        </w:tabs>
        <w:spacing w:line="242" w:lineRule="exact"/>
        <w:ind w:right="104"/>
        <w:jc w:val="right"/>
        <w:rPr>
          <w:rFonts w:hint="eastAsia" w:ascii="宋体" w:hAnsi="宋体" w:eastAsia="宋体" w:cs="宋体"/>
          <w:color w:val="auto"/>
          <w:sz w:val="21"/>
          <w:szCs w:val="21"/>
          <w:highlight w:val="none"/>
        </w:rPr>
      </w:pPr>
    </w:p>
    <w:p>
      <w:pPr>
        <w:pStyle w:val="2"/>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rPr>
          <w:rFonts w:hint="eastAsia"/>
          <w:color w:val="auto"/>
          <w:highlight w:val="none"/>
          <w:lang w:val="en-US" w:eastAsia="zh-CN"/>
        </w:rPr>
      </w:pPr>
      <w:r>
        <w:rPr>
          <w:rFonts w:hint="eastAsia"/>
          <w:color w:val="auto"/>
          <w:highlight w:val="none"/>
          <w:lang w:val="en-US" w:eastAsia="zh-CN"/>
        </w:rPr>
        <w:br w:type="page"/>
      </w:r>
    </w:p>
    <w:p>
      <w:pPr>
        <w:pStyle w:val="2"/>
        <w:rPr>
          <w:rFonts w:hint="eastAsia"/>
          <w:b/>
          <w:bCs/>
          <w:color w:val="auto"/>
          <w:highlight w:val="none"/>
          <w:lang w:val="en-US" w:eastAsia="zh-CN"/>
        </w:rPr>
      </w:pPr>
      <w:r>
        <w:rPr>
          <w:rFonts w:hint="eastAsia"/>
          <w:b/>
          <w:bCs/>
          <w:color w:val="auto"/>
          <w:highlight w:val="none"/>
          <w:lang w:val="en-US" w:eastAsia="zh-CN"/>
        </w:rPr>
        <w:t>格式五：</w:t>
      </w:r>
    </w:p>
    <w:p>
      <w:pPr>
        <w:bidi w:val="0"/>
        <w:jc w:val="center"/>
        <w:rPr>
          <w:b/>
          <w:bCs/>
          <w:color w:val="auto"/>
          <w:sz w:val="24"/>
          <w:szCs w:val="32"/>
          <w:highlight w:val="none"/>
        </w:rPr>
      </w:pPr>
      <w:r>
        <w:rPr>
          <w:b/>
          <w:bCs/>
          <w:color w:val="auto"/>
          <w:sz w:val="24"/>
          <w:szCs w:val="32"/>
          <w:highlight w:val="none"/>
        </w:rPr>
        <w:t>法定代表人授权书</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2"/>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pPr>
        <w:pStyle w:val="2"/>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bidi w:val="0"/>
        <w:rPr>
          <w:rFonts w:hint="eastAsia"/>
          <w:color w:val="auto"/>
          <w:highlight w:val="none"/>
          <w:lang w:val="en-US" w:eastAsia="zh-CN"/>
        </w:rPr>
      </w:pPr>
      <w:r>
        <w:rPr>
          <w:rFonts w:hint="eastAsia"/>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pPr>
        <w:pStyle w:val="2"/>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pPr>
        <w:ind w:firstLine="420" w:firstLineChars="200"/>
        <w:rPr>
          <w:rFonts w:hint="eastAsia"/>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pPr>
        <w:rPr>
          <w:rFonts w:hint="default"/>
          <w:b/>
          <w:bCs/>
          <w:color w:val="auto"/>
          <w:highlight w:val="none"/>
          <w:lang w:val="en-US" w:eastAsia="zh-CN"/>
        </w:rPr>
      </w:pPr>
      <w:r>
        <w:rPr>
          <w:rFonts w:hint="default"/>
          <w:b/>
          <w:bCs/>
          <w:color w:val="auto"/>
          <w:highlight w:val="none"/>
          <w:lang w:val="en-US" w:eastAsia="zh-CN"/>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pPr>
        <w:pStyle w:val="2"/>
        <w:jc w:val="center"/>
        <w:rPr>
          <w:b/>
          <w:bCs w:val="0"/>
          <w:color w:val="auto"/>
          <w:sz w:val="24"/>
          <w:highlight w:val="none"/>
        </w:rPr>
      </w:pPr>
      <w:r>
        <w:rPr>
          <w:b/>
          <w:bCs w:val="0"/>
          <w:color w:val="auto"/>
          <w:sz w:val="24"/>
          <w:highlight w:val="none"/>
        </w:rPr>
        <w:t>资格性审查要求的其他资质证明文件</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有依法缴纳税收和社会保障资金的良好记录：提供投标</w:t>
      </w:r>
      <w:r>
        <w:rPr>
          <w:b w:val="0"/>
          <w:bCs w:val="0"/>
          <w:color w:val="auto"/>
          <w:sz w:val="21"/>
          <w:szCs w:val="21"/>
          <w:highlight w:val="none"/>
        </w:rPr>
        <w:t>（响应）</w:t>
      </w:r>
      <w:r>
        <w:rPr>
          <w:rFonts w:hint="eastAsia" w:ascii="宋体" w:hAnsi="宋体" w:eastAsia="宋体"/>
          <w:color w:val="auto"/>
          <w:sz w:val="21"/>
          <w:szCs w:val="21"/>
          <w:highlight w:val="none"/>
        </w:rPr>
        <w:t>截止日前6个月内任意1个月依法缴纳税收和社会保障资金的相关材料。如依法免税或不需要缴纳社会保障资金的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提供相应证明材料。</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具有良好的商业信誉和健全的财务会计制度</w:t>
      </w:r>
      <w:r>
        <w:rPr>
          <w:rFonts w:hint="eastAsia" w:ascii="宋体" w:hAnsi="宋体" w:eastAsia="宋体"/>
          <w:color w:val="auto"/>
          <w:sz w:val="21"/>
          <w:szCs w:val="21"/>
          <w:highlight w:val="none"/>
          <w:lang w:eastAsia="zh-CN"/>
        </w:rPr>
        <w:t>：供应商必须具有良好的商业信誉和健全的财务会计制度</w:t>
      </w:r>
      <w:r>
        <w:rPr>
          <w:rFonts w:hint="eastAsia" w:ascii="宋体" w:hAnsi="宋体" w:eastAsia="宋体"/>
          <w:color w:val="auto"/>
          <w:sz w:val="21"/>
          <w:szCs w:val="21"/>
          <w:highlight w:val="none"/>
        </w:rPr>
        <w:t>（提供</w:t>
      </w:r>
      <w:r>
        <w:rPr>
          <w:rFonts w:hint="eastAsia" w:ascii="宋体" w:hAnsi="宋体"/>
          <w:color w:val="auto"/>
          <w:sz w:val="21"/>
          <w:szCs w:val="21"/>
          <w:highlight w:val="none"/>
          <w:lang w:val="en-US" w:eastAsia="zh-CN"/>
        </w:rPr>
        <w:t>2022年度</w:t>
      </w:r>
      <w:r>
        <w:rPr>
          <w:rFonts w:hint="eastAsia" w:ascii="宋体" w:hAnsi="宋体" w:eastAsia="宋体"/>
          <w:color w:val="auto"/>
          <w:sz w:val="21"/>
          <w:szCs w:val="21"/>
          <w:highlight w:val="none"/>
        </w:rPr>
        <w:t>财务状况报告或基本开户行出具的资信证明）。</w:t>
      </w:r>
      <w:r>
        <w:rPr>
          <w:rFonts w:hint="eastAsia"/>
          <w:color w:val="auto"/>
          <w:sz w:val="20"/>
          <w:szCs w:val="24"/>
          <w:highlight w:val="none"/>
          <w:lang w:eastAsia="zh-CN"/>
        </w:rPr>
        <w:t>(或提供相关承诺函）</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履行合同所必须的设备和专业技术能力：填报设备及专业技术能力情况</w:t>
      </w:r>
      <w:r>
        <w:rPr>
          <w:rFonts w:hint="eastAsia" w:ascii="宋体" w:hAnsi="宋体" w:eastAsia="宋体"/>
          <w:color w:val="auto"/>
          <w:sz w:val="21"/>
          <w:szCs w:val="21"/>
          <w:highlight w:val="none"/>
          <w:lang w:eastAsia="zh-CN"/>
        </w:rPr>
        <w:t>，格式自拟</w:t>
      </w:r>
      <w:r>
        <w:rPr>
          <w:rFonts w:hint="eastAsia" w:ascii="宋体" w:hAnsi="宋体" w:eastAsia="宋体"/>
          <w:color w:val="auto"/>
          <w:sz w:val="21"/>
          <w:szCs w:val="21"/>
          <w:highlight w:val="none"/>
        </w:rPr>
        <w:t>。</w:t>
      </w:r>
      <w:r>
        <w:rPr>
          <w:rFonts w:hint="eastAsia"/>
          <w:color w:val="auto"/>
          <w:sz w:val="20"/>
          <w:szCs w:val="24"/>
          <w:highlight w:val="none"/>
          <w:lang w:eastAsia="zh-CN"/>
        </w:rPr>
        <w:t>(或提供相关承诺函）</w:t>
      </w:r>
    </w:p>
    <w:p>
      <w:pPr>
        <w:rPr>
          <w:rFonts w:hint="eastAsia"/>
          <w:color w:val="auto"/>
          <w:sz w:val="20"/>
          <w:szCs w:val="24"/>
          <w:highlight w:val="none"/>
          <w:lang w:eastAsia="zh-CN"/>
        </w:rPr>
      </w:pPr>
      <w:r>
        <w:rPr>
          <w:rFonts w:hint="eastAsia"/>
          <w:color w:val="auto"/>
          <w:sz w:val="20"/>
          <w:szCs w:val="24"/>
          <w:highlight w:val="none"/>
          <w:lang w:eastAsia="zh-CN"/>
        </w:rPr>
        <w:br w:type="page"/>
      </w:r>
    </w:p>
    <w:p>
      <w:pPr>
        <w:pStyle w:val="2"/>
        <w:rPr>
          <w:rFonts w:hint="eastAsia"/>
          <w:color w:val="auto"/>
          <w:highlight w:val="none"/>
          <w:lang w:eastAsia="zh-CN"/>
        </w:rPr>
      </w:pPr>
      <w:r>
        <w:rPr>
          <w:rFonts w:hint="eastAsia"/>
          <w:b/>
          <w:bCs/>
          <w:color w:val="auto"/>
          <w:highlight w:val="none"/>
          <w:lang w:eastAsia="zh-CN"/>
        </w:rPr>
        <w:t>格式九：</w:t>
      </w:r>
    </w:p>
    <w:p>
      <w:pPr>
        <w:rPr>
          <w:rFonts w:hint="eastAsia"/>
          <w:color w:val="auto"/>
          <w:highlight w:val="none"/>
          <w:lang w:eastAsia="zh-CN"/>
        </w:rPr>
      </w:pPr>
    </w:p>
    <w:p>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pPr>
        <w:bidi w:val="0"/>
        <w:rPr>
          <w:color w:val="auto"/>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bidi w:val="0"/>
        <w:rPr>
          <w:color w:val="auto"/>
          <w:highlight w:val="none"/>
        </w:rPr>
      </w:pPr>
      <w:r>
        <w:rPr>
          <w:color w:val="auto"/>
          <w:highlight w:val="none"/>
        </w:rPr>
        <w:br w:type="page"/>
      </w:r>
    </w:p>
    <w:p>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pPr>
        <w:pStyle w:val="2"/>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pPr>
        <w:pStyle w:val="2"/>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val="en-US" w:eastAsia="zh-CN"/>
        </w:rPr>
      </w:pPr>
      <w:r>
        <w:rPr>
          <w:rFonts w:hint="eastAsia"/>
          <w:b/>
          <w:bCs/>
          <w:color w:val="auto"/>
          <w:highlight w:val="none"/>
          <w:lang w:val="en-US" w:eastAsia="zh-CN"/>
        </w:rPr>
        <w:t>格式十一：</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pPr>
              <w:spacing w:line="360" w:lineRule="auto"/>
              <w:rPr>
                <w:rFonts w:ascii="宋体" w:hAnsi="宋体" w:cs="宋体"/>
                <w:color w:val="auto"/>
                <w:szCs w:val="21"/>
                <w:highlight w:val="none"/>
              </w:rPr>
            </w:pPr>
          </w:p>
        </w:tc>
        <w:tc>
          <w:tcPr>
            <w:tcW w:w="2907" w:type="dxa"/>
            <w:vAlign w:val="center"/>
          </w:tcPr>
          <w:p>
            <w:pPr>
              <w:spacing w:line="360" w:lineRule="auto"/>
              <w:rPr>
                <w:rFonts w:ascii="宋体" w:hAnsi="宋体" w:cs="宋体"/>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pPr>
              <w:spacing w:line="360" w:lineRule="auto"/>
              <w:rPr>
                <w:rFonts w:ascii="宋体" w:hAnsi="宋体"/>
                <w:b/>
                <w:color w:val="auto"/>
                <w:szCs w:val="21"/>
                <w:highlight w:val="none"/>
              </w:rPr>
            </w:pPr>
          </w:p>
        </w:tc>
        <w:tc>
          <w:tcPr>
            <w:tcW w:w="2907" w:type="dxa"/>
          </w:tcPr>
          <w:p>
            <w:pPr>
              <w:spacing w:line="360" w:lineRule="auto"/>
              <w:rPr>
                <w:rFonts w:ascii="宋体" w:hAnsi="宋体"/>
                <w:b/>
                <w:color w:val="auto"/>
                <w:szCs w:val="21"/>
                <w:highlight w:val="none"/>
              </w:rPr>
            </w:pPr>
          </w:p>
        </w:tc>
        <w:tc>
          <w:tcPr>
            <w:tcW w:w="2551" w:type="dxa"/>
          </w:tcPr>
          <w:p>
            <w:pPr>
              <w:spacing w:line="360" w:lineRule="auto"/>
              <w:rPr>
                <w:rFonts w:ascii="宋体" w:hAnsi="宋体"/>
                <w:b/>
                <w:color w:val="auto"/>
                <w:szCs w:val="21"/>
                <w:highlight w:val="none"/>
              </w:rPr>
            </w:pPr>
          </w:p>
        </w:tc>
        <w:tc>
          <w:tcPr>
            <w:tcW w:w="1418" w:type="dxa"/>
          </w:tcPr>
          <w:p>
            <w:pPr>
              <w:spacing w:line="360" w:lineRule="auto"/>
              <w:rPr>
                <w:rFonts w:ascii="宋体" w:hAnsi="宋体"/>
                <w:b/>
                <w:color w:val="auto"/>
                <w:szCs w:val="21"/>
                <w:highlight w:val="none"/>
              </w:rPr>
            </w:pPr>
          </w:p>
        </w:tc>
        <w:tc>
          <w:tcPr>
            <w:tcW w:w="851" w:type="dxa"/>
          </w:tcPr>
          <w:p>
            <w:pPr>
              <w:spacing w:line="360" w:lineRule="auto"/>
              <w:rPr>
                <w:rFonts w:ascii="宋体" w:hAnsi="宋体"/>
                <w:b/>
                <w:color w:val="auto"/>
                <w:szCs w:val="21"/>
                <w:highlight w:val="none"/>
              </w:rPr>
            </w:pPr>
          </w:p>
        </w:tc>
      </w:tr>
    </w:tbl>
    <w:p>
      <w:pPr>
        <w:spacing w:line="360" w:lineRule="auto"/>
        <w:rPr>
          <w:rFonts w:ascii="宋体" w:hAnsi="宋体"/>
          <w:color w:val="auto"/>
          <w:szCs w:val="21"/>
          <w:highlight w:val="none"/>
        </w:rPr>
      </w:pPr>
    </w:p>
    <w:p>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pPr>
        <w:snapToGrid w:val="0"/>
        <w:spacing w:line="360" w:lineRule="auto"/>
        <w:rPr>
          <w:rFonts w:ascii="宋体" w:hAnsi="宋体"/>
          <w:color w:val="auto"/>
          <w:szCs w:val="21"/>
          <w:highlight w:val="none"/>
        </w:rPr>
      </w:pPr>
    </w:p>
    <w:p>
      <w:pPr>
        <w:snapToGrid w:val="0"/>
        <w:spacing w:line="360" w:lineRule="auto"/>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303" w:name="_Toc16713"/>
      <w:bookmarkStart w:id="304" w:name="_Toc20098"/>
      <w:bookmarkStart w:id="305" w:name="_Toc10424"/>
      <w:bookmarkStart w:id="306" w:name="_Toc27833"/>
      <w:r>
        <w:rPr>
          <w:color w:val="auto"/>
          <w:highlight w:val="none"/>
        </w:rPr>
        <w:t>履约进度计划表</w:t>
      </w:r>
      <w:bookmarkEnd w:id="303"/>
      <w:bookmarkEnd w:id="304"/>
      <w:bookmarkEnd w:id="305"/>
      <w:bookmarkEnd w:id="306"/>
    </w:p>
    <w:p>
      <w:pPr>
        <w:pStyle w:val="2"/>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pPr>
        <w:rPr>
          <w:rFonts w:hint="eastAsia"/>
          <w:color w:val="auto"/>
          <w:highlight w:val="none"/>
          <w:lang w:val="en-US" w:eastAsia="zh-CN"/>
        </w:rPr>
      </w:pPr>
      <w:r>
        <w:rPr>
          <w:rFonts w:hint="eastAsia"/>
          <w:color w:val="auto"/>
          <w:highlight w:val="none"/>
          <w:lang w:val="en-US" w:eastAsia="zh-CN"/>
        </w:rPr>
        <w:br w:type="page"/>
      </w:r>
    </w:p>
    <w:p>
      <w:pPr>
        <w:outlineLvl w:val="1"/>
        <w:rPr>
          <w:rFonts w:hint="eastAsia"/>
          <w:b/>
          <w:bCs/>
          <w:color w:val="auto"/>
          <w:sz w:val="24"/>
          <w:szCs w:val="32"/>
          <w:highlight w:val="none"/>
          <w:lang w:val="en-US" w:eastAsia="zh-CN"/>
        </w:rPr>
      </w:pPr>
      <w:bookmarkStart w:id="307" w:name="_Toc2912"/>
      <w:bookmarkStart w:id="308" w:name="_Toc6564"/>
      <w:bookmarkStart w:id="309" w:name="_Toc26415"/>
      <w:bookmarkStart w:id="310" w:name="_Toc7867"/>
      <w:r>
        <w:rPr>
          <w:rFonts w:hint="eastAsia"/>
          <w:b/>
          <w:bCs/>
          <w:color w:val="auto"/>
          <w:sz w:val="24"/>
          <w:szCs w:val="32"/>
          <w:highlight w:val="none"/>
          <w:lang w:val="en-US" w:eastAsia="zh-CN"/>
        </w:rPr>
        <w:t>格式十四：</w:t>
      </w:r>
      <w:bookmarkEnd w:id="307"/>
      <w:bookmarkEnd w:id="308"/>
      <w:bookmarkEnd w:id="309"/>
      <w:bookmarkEnd w:id="310"/>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14919"/>
      <w:bookmarkStart w:id="312" w:name="_Toc10497"/>
      <w:bookmarkStart w:id="313" w:name="_Toc3436"/>
      <w:bookmarkStart w:id="314" w:name="_Toc3338"/>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11"/>
      <w:bookmarkEnd w:id="312"/>
      <w:bookmarkEnd w:id="313"/>
      <w:bookmarkEnd w:id="314"/>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5" w:name="_Toc7938"/>
      <w:bookmarkStart w:id="316" w:name="_Toc26572"/>
      <w:bookmarkStart w:id="317" w:name="_Toc2429"/>
      <w:bookmarkStart w:id="318"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5"/>
      <w:bookmarkEnd w:id="316"/>
      <w:bookmarkEnd w:id="317"/>
      <w:bookmarkEnd w:id="318"/>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30382"/>
      <w:bookmarkStart w:id="320" w:name="_Toc2436"/>
      <w:bookmarkStart w:id="321" w:name="_Toc27193"/>
      <w:bookmarkStart w:id="322" w:name="_Toc25195"/>
      <w:r>
        <w:rPr>
          <w:rFonts w:hint="eastAsia" w:ascii="宋体" w:hAnsi="宋体" w:eastAsia="宋体" w:cs="宋体"/>
          <w:b/>
          <w:bCs/>
          <w:color w:val="auto"/>
          <w:sz w:val="24"/>
          <w:szCs w:val="24"/>
          <w:highlight w:val="none"/>
          <w:lang w:eastAsia="zh-CN"/>
        </w:rPr>
        <w:t>格式十五：</w:t>
      </w:r>
      <w:bookmarkEnd w:id="319"/>
      <w:bookmarkEnd w:id="320"/>
      <w:bookmarkEnd w:id="321"/>
      <w:bookmarkEnd w:id="322"/>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pPr>
        <w:bidi w:val="0"/>
        <w:rPr>
          <w:rFonts w:hint="eastAsia"/>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pPr>
        <w:rPr>
          <w:rFonts w:hint="eastAsia"/>
          <w:color w:val="auto"/>
          <w:highlight w:val="none"/>
        </w:rPr>
      </w:pPr>
      <w:r>
        <w:rPr>
          <w:rFonts w:hint="eastAsia"/>
          <w:color w:val="auto"/>
          <w:highlight w:val="none"/>
        </w:rPr>
        <w:br w:type="page"/>
      </w:r>
    </w:p>
    <w:p>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23" w:name="_Toc32108"/>
      <w:bookmarkStart w:id="324" w:name="_Toc3970"/>
      <w:bookmarkStart w:id="325" w:name="_Toc28801"/>
      <w:bookmarkStart w:id="326" w:name="_Toc7693"/>
      <w:r>
        <w:rPr>
          <w:rFonts w:hint="eastAsia" w:ascii="宋体" w:hAnsi="宋体" w:eastAsia="宋体" w:cs="宋体"/>
          <w:b/>
          <w:bCs/>
          <w:color w:val="auto"/>
          <w:sz w:val="24"/>
          <w:szCs w:val="24"/>
          <w:highlight w:val="none"/>
          <w:lang w:eastAsia="zh-CN"/>
        </w:rPr>
        <w:t>格式十五：</w:t>
      </w:r>
      <w:bookmarkEnd w:id="323"/>
      <w:bookmarkEnd w:id="324"/>
      <w:bookmarkEnd w:id="325"/>
      <w:bookmarkEnd w:id="326"/>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pPr>
        <w:pStyle w:val="2"/>
        <w:spacing w:before="8"/>
        <w:rPr>
          <w:rFonts w:hint="eastAsia" w:ascii="宋体" w:hAnsi="宋体" w:eastAsia="宋体" w:cs="宋体"/>
          <w:color w:val="auto"/>
          <w:sz w:val="21"/>
          <w:szCs w:val="21"/>
          <w:highlight w:val="none"/>
        </w:rPr>
      </w:pPr>
    </w:p>
    <w:p>
      <w:pPr>
        <w:bidi w:val="0"/>
        <w:jc w:val="center"/>
        <w:outlineLvl w:val="1"/>
        <w:rPr>
          <w:rFonts w:hint="eastAsia" w:ascii="宋体" w:hAnsi="宋体" w:eastAsia="宋体" w:cs="宋体"/>
          <w:b/>
          <w:bCs/>
          <w:color w:val="auto"/>
          <w:sz w:val="21"/>
          <w:szCs w:val="21"/>
          <w:highlight w:val="none"/>
        </w:rPr>
      </w:pPr>
      <w:bookmarkStart w:id="327" w:name="_Toc11855"/>
      <w:bookmarkStart w:id="328" w:name="_Toc17430"/>
      <w:bookmarkStart w:id="329" w:name="_Toc31849"/>
      <w:bookmarkStart w:id="330" w:name="_Toc4401"/>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7"/>
      <w:bookmarkEnd w:id="328"/>
      <w:bookmarkEnd w:id="329"/>
      <w:bookmarkEnd w:id="330"/>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pPr>
        <w:rPr>
          <w:color w:val="auto"/>
          <w:sz w:val="20"/>
          <w:szCs w:val="20"/>
          <w:highlight w:val="none"/>
        </w:rPr>
      </w:pPr>
      <w:r>
        <w:rPr>
          <w:color w:val="auto"/>
          <w:sz w:val="20"/>
          <w:szCs w:val="20"/>
          <w:highlight w:val="none"/>
        </w:rPr>
        <w:br w:type="page"/>
      </w:r>
    </w:p>
    <w:p>
      <w:pPr>
        <w:pStyle w:val="2"/>
        <w:outlineLvl w:val="1"/>
        <w:rPr>
          <w:rFonts w:hint="eastAsia"/>
          <w:b/>
          <w:bCs/>
          <w:color w:val="auto"/>
          <w:highlight w:val="none"/>
          <w:lang w:val="en-US" w:eastAsia="zh-CN"/>
        </w:rPr>
      </w:pPr>
      <w:bookmarkStart w:id="331" w:name="_Toc29664"/>
      <w:bookmarkStart w:id="332" w:name="_Toc29916"/>
      <w:bookmarkStart w:id="333" w:name="_Toc25747"/>
      <w:bookmarkStart w:id="334" w:name="_Toc2879"/>
      <w:r>
        <w:rPr>
          <w:rFonts w:hint="eastAsia"/>
          <w:b/>
          <w:bCs/>
          <w:color w:val="auto"/>
          <w:highlight w:val="none"/>
          <w:lang w:val="en-US" w:eastAsia="zh-CN"/>
        </w:rPr>
        <w:t>格式十六：</w:t>
      </w:r>
      <w:bookmarkEnd w:id="331"/>
      <w:bookmarkEnd w:id="332"/>
      <w:bookmarkEnd w:id="333"/>
      <w:bookmarkEnd w:id="334"/>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 w:val="21"/>
          <w:szCs w:val="21"/>
          <w:highlight w:val="none"/>
        </w:rPr>
      </w:pPr>
      <w:r>
        <w:rPr>
          <w:color w:val="auto"/>
          <w:sz w:val="21"/>
          <w:szCs w:val="21"/>
          <w:highlight w:val="none"/>
        </w:rPr>
        <w:br w:type="page"/>
      </w:r>
    </w:p>
    <w:p>
      <w:pPr>
        <w:pStyle w:val="3"/>
        <w:bidi w:val="0"/>
        <w:rPr>
          <w:rFonts w:hint="eastAsia"/>
          <w:color w:val="auto"/>
          <w:highlight w:val="none"/>
          <w:lang w:val="en-US" w:eastAsia="zh-CN"/>
        </w:rPr>
      </w:pPr>
      <w:bookmarkStart w:id="335"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5"/>
    </w:p>
    <w:p>
      <w:pPr>
        <w:jc w:val="center"/>
        <w:outlineLvl w:val="1"/>
        <w:rPr>
          <w:rFonts w:hint="eastAsia"/>
          <w:b/>
          <w:bCs/>
          <w:color w:val="auto"/>
          <w:highlight w:val="none"/>
          <w:lang w:val="en-US" w:eastAsia="zh-CN"/>
        </w:rPr>
      </w:pPr>
      <w:bookmarkStart w:id="336" w:name="_Toc23654"/>
      <w:bookmarkStart w:id="337" w:name="_Toc11568"/>
      <w:bookmarkStart w:id="338" w:name="_Toc29643"/>
      <w:bookmarkStart w:id="339" w:name="_Toc32249"/>
      <w:r>
        <w:rPr>
          <w:rFonts w:hint="eastAsia"/>
          <w:b/>
          <w:bCs/>
          <w:color w:val="auto"/>
          <w:highlight w:val="none"/>
          <w:lang w:val="en-US" w:eastAsia="zh-CN"/>
        </w:rPr>
        <w:t>（封面格式仅供参考）</w:t>
      </w:r>
      <w:bookmarkEnd w:id="336"/>
      <w:bookmarkEnd w:id="337"/>
      <w:bookmarkEnd w:id="338"/>
      <w:bookmarkEnd w:id="339"/>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40" w:name="_Toc10015"/>
      <w:bookmarkStart w:id="341" w:name="_Toc31076"/>
      <w:bookmarkStart w:id="342" w:name="_Toc24898"/>
      <w:bookmarkStart w:id="343" w:name="_Toc5561"/>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40"/>
      <w:bookmarkEnd w:id="341"/>
      <w:bookmarkEnd w:id="342"/>
      <w:bookmarkEnd w:id="343"/>
    </w:p>
    <w:p>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4" w:name="_Toc14351"/>
      <w:bookmarkStart w:id="345" w:name="_Toc77"/>
      <w:bookmarkStart w:id="346" w:name="_Toc28515"/>
      <w:bookmarkStart w:id="347"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4"/>
      <w:bookmarkEnd w:id="345"/>
      <w:bookmarkEnd w:id="346"/>
      <w:bookmarkEnd w:id="347"/>
    </w:p>
    <w:p>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jc w:val="center"/>
        <w:rPr>
          <w:rFonts w:ascii="宋体" w:hAnsi="宋体" w:eastAsia="宋体" w:cs="宋体"/>
          <w:b/>
          <w:color w:val="auto"/>
          <w:sz w:val="28"/>
          <w:szCs w:val="19"/>
          <w:highlight w:val="none"/>
          <w:lang w:val="zh-CN" w:eastAsia="zh-CN" w:bidi="zh-CN"/>
        </w:rPr>
      </w:pPr>
    </w:p>
    <w:p>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widowControl w:val="0"/>
        <w:autoSpaceDE w:val="0"/>
        <w:autoSpaceDN w:val="0"/>
        <w:jc w:val="center"/>
        <w:rPr>
          <w:rFonts w:ascii="宋体" w:hAnsi="宋体" w:eastAsia="宋体" w:cs="宋体"/>
          <w:b/>
          <w:color w:val="auto"/>
          <w:sz w:val="24"/>
          <w:szCs w:val="19"/>
          <w:highlight w:val="none"/>
          <w:lang w:val="zh-CN" w:eastAsia="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32100"/>
      <w:bookmarkStart w:id="349" w:name="_Toc7980"/>
      <w:bookmarkStart w:id="350" w:name="_Toc31505"/>
      <w:bookmarkStart w:id="351" w:name="_Toc24484"/>
      <w:r>
        <w:rPr>
          <w:rFonts w:hint="eastAsia" w:ascii="宋体" w:hAnsi="宋体" w:eastAsia="宋体" w:cs="宋体"/>
          <w:b/>
          <w:bCs/>
          <w:color w:val="auto"/>
          <w:sz w:val="21"/>
          <w:szCs w:val="21"/>
          <w:highlight w:val="none"/>
          <w:lang w:val="en-US" w:eastAsia="zh-CN"/>
        </w:rPr>
        <w:t>1、</w:t>
      </w:r>
      <w:bookmarkEnd w:id="348"/>
      <w:bookmarkEnd w:id="349"/>
      <w:bookmarkEnd w:id="350"/>
      <w:bookmarkEnd w:id="351"/>
      <w:r>
        <w:rPr>
          <w:rFonts w:hint="eastAsia" w:cs="宋体"/>
          <w:b/>
          <w:bCs/>
          <w:color w:val="auto"/>
          <w:sz w:val="21"/>
          <w:szCs w:val="21"/>
          <w:highlight w:val="none"/>
          <w:lang w:val="en-US" w:eastAsia="zh-CN"/>
        </w:rPr>
        <w:t>首轮报价表</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29661"/>
      <w:bookmarkStart w:id="353" w:name="_Toc6563"/>
      <w:bookmarkStart w:id="354" w:name="_Toc8054"/>
      <w:bookmarkStart w:id="355" w:name="_Toc20806"/>
      <w:r>
        <w:rPr>
          <w:rFonts w:hint="eastAsia" w:ascii="宋体" w:hAnsi="宋体" w:eastAsia="宋体" w:cs="宋体"/>
          <w:b/>
          <w:bCs/>
          <w:color w:val="auto"/>
          <w:sz w:val="21"/>
          <w:szCs w:val="21"/>
          <w:highlight w:val="none"/>
          <w:lang w:val="en-US" w:eastAsia="zh-CN"/>
        </w:rPr>
        <w:t>2、分项报价表</w:t>
      </w:r>
      <w:bookmarkEnd w:id="352"/>
      <w:bookmarkEnd w:id="353"/>
      <w:bookmarkEnd w:id="354"/>
      <w:bookmarkEnd w:id="355"/>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13609"/>
      <w:bookmarkStart w:id="357" w:name="_Toc3142"/>
      <w:bookmarkStart w:id="358" w:name="_Toc5011"/>
      <w:bookmarkStart w:id="359" w:name="_Toc20631"/>
      <w:r>
        <w:rPr>
          <w:rFonts w:hint="eastAsia" w:ascii="宋体" w:hAnsi="宋体" w:eastAsia="宋体" w:cs="宋体"/>
          <w:b/>
          <w:bCs/>
          <w:color w:val="auto"/>
          <w:sz w:val="21"/>
          <w:szCs w:val="21"/>
          <w:highlight w:val="none"/>
          <w:lang w:val="en-US" w:eastAsia="zh-CN"/>
        </w:rPr>
        <w:t>3、法定代表人证明书</w:t>
      </w:r>
      <w:bookmarkEnd w:id="356"/>
      <w:bookmarkEnd w:id="357"/>
      <w:bookmarkEnd w:id="358"/>
      <w:bookmarkEnd w:id="359"/>
    </w:p>
    <w:p>
      <w:pPr>
        <w:pStyle w:val="2"/>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31223"/>
      <w:bookmarkStart w:id="361" w:name="_Toc17346"/>
      <w:bookmarkStart w:id="362" w:name="_Toc27439"/>
      <w:bookmarkStart w:id="363" w:name="_Toc31054"/>
      <w:r>
        <w:rPr>
          <w:rFonts w:hint="eastAsia" w:ascii="宋体" w:hAnsi="宋体" w:eastAsia="宋体" w:cs="宋体"/>
          <w:b/>
          <w:bCs/>
          <w:color w:val="auto"/>
          <w:sz w:val="21"/>
          <w:szCs w:val="21"/>
          <w:highlight w:val="none"/>
          <w:lang w:val="en-US" w:eastAsia="zh-CN"/>
        </w:rPr>
        <w:t>4、法定代表人授权书</w:t>
      </w:r>
      <w:bookmarkEnd w:id="360"/>
      <w:bookmarkEnd w:id="361"/>
      <w:bookmarkEnd w:id="362"/>
      <w:bookmarkEnd w:id="363"/>
    </w:p>
    <w:p>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4" w:name="_Toc16304"/>
      <w:bookmarkStart w:id="365" w:name="_Toc20213"/>
      <w:bookmarkStart w:id="366" w:name="_Toc29210"/>
      <w:bookmarkStart w:id="367" w:name="_Toc23814"/>
      <w:r>
        <w:rPr>
          <w:rFonts w:hint="eastAsia" w:ascii="宋体" w:hAnsi="宋体" w:eastAsia="宋体" w:cs="宋体"/>
          <w:b/>
          <w:bCs/>
          <w:color w:val="auto"/>
          <w:sz w:val="21"/>
          <w:szCs w:val="21"/>
          <w:highlight w:val="none"/>
          <w:lang w:val="en-US" w:eastAsia="zh-CN"/>
        </w:rPr>
        <w:t>5、</w:t>
      </w:r>
      <w:bookmarkEnd w:id="364"/>
      <w:r>
        <w:rPr>
          <w:rFonts w:hint="eastAsia" w:ascii="宋体" w:hAnsi="宋体" w:cs="宋体"/>
          <w:b/>
          <w:bCs/>
          <w:color w:val="auto"/>
          <w:sz w:val="21"/>
          <w:szCs w:val="21"/>
          <w:highlight w:val="none"/>
          <w:lang w:val="en-US" w:eastAsia="zh-CN"/>
        </w:rPr>
        <w:t>响应保证金</w:t>
      </w:r>
      <w:bookmarkEnd w:id="365"/>
      <w:bookmarkEnd w:id="366"/>
      <w:bookmarkEnd w:id="367"/>
    </w:p>
    <w:p>
      <w:pPr>
        <w:rPr>
          <w:rFonts w:hint="eastAsia"/>
          <w:color w:val="auto"/>
          <w:highlight w:val="none"/>
          <w:lang w:val="en-US" w:eastAsia="zh-CN"/>
        </w:rPr>
      </w:pP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3"/>
        <w:bidi w:val="0"/>
        <w:rPr>
          <w:rFonts w:hint="eastAsia"/>
          <w:color w:val="auto"/>
          <w:highlight w:val="none"/>
          <w:lang w:val="en-US" w:eastAsia="zh-CN"/>
        </w:rPr>
      </w:pPr>
      <w:bookmarkStart w:id="368" w:name="_Toc30888"/>
      <w:r>
        <w:rPr>
          <w:rFonts w:hint="eastAsia"/>
          <w:color w:val="auto"/>
          <w:highlight w:val="none"/>
          <w:lang w:val="en-US" w:eastAsia="zh-CN"/>
        </w:rPr>
        <w:t>第八篇 其它文件格式（如有需要）</w:t>
      </w:r>
      <w:bookmarkEnd w:id="368"/>
    </w:p>
    <w:p>
      <w:pPr>
        <w:rPr>
          <w:rFonts w:hint="eastAsia"/>
          <w:b/>
          <w:bCs/>
          <w:color w:val="auto"/>
          <w:highlight w:val="none"/>
          <w:lang w:val="en-US" w:eastAsia="zh-CN"/>
        </w:rPr>
      </w:pPr>
      <w:r>
        <w:rPr>
          <w:rFonts w:hint="eastAsia"/>
          <w:b/>
          <w:bCs/>
          <w:color w:val="auto"/>
          <w:highlight w:val="none"/>
          <w:lang w:val="en-US" w:eastAsia="zh-CN"/>
        </w:rPr>
        <w:t>格式一：</w:t>
      </w:r>
    </w:p>
    <w:p>
      <w:pPr>
        <w:bidi w:val="0"/>
        <w:jc w:val="center"/>
        <w:rPr>
          <w:b/>
          <w:bCs/>
          <w:color w:val="auto"/>
          <w:highlight w:val="none"/>
        </w:rPr>
      </w:pPr>
      <w:r>
        <w:rPr>
          <w:b/>
          <w:bCs/>
          <w:color w:val="auto"/>
          <w:highlight w:val="none"/>
        </w:rPr>
        <w:t>询问函、质疑函格式</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pPr>
        <w:bidi w:val="0"/>
        <w:jc w:val="center"/>
        <w:rPr>
          <w:b/>
          <w:bCs/>
          <w:color w:val="auto"/>
          <w:highlight w:val="none"/>
        </w:rPr>
      </w:pPr>
      <w:r>
        <w:rPr>
          <w:b/>
          <w:bCs/>
          <w:color w:val="auto"/>
          <w:highlight w:val="none"/>
        </w:rPr>
        <w:t>询问函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pPr>
        <w:pStyle w:val="2"/>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pPr>
        <w:pStyle w:val="2"/>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pPr>
        <w:rPr>
          <w:color w:val="auto"/>
          <w:sz w:val="21"/>
          <w:szCs w:val="21"/>
          <w:highlight w:val="none"/>
        </w:rPr>
      </w:pPr>
      <w:r>
        <w:rPr>
          <w:color w:val="auto"/>
          <w:sz w:val="21"/>
          <w:szCs w:val="21"/>
          <w:highlight w:val="none"/>
        </w:rPr>
        <w:br w:type="page"/>
      </w:r>
    </w:p>
    <w:p>
      <w:pPr>
        <w:bidi w:val="0"/>
        <w:jc w:val="center"/>
        <w:rPr>
          <w:b/>
          <w:bCs/>
          <w:color w:val="auto"/>
          <w:highlight w:val="none"/>
        </w:rPr>
      </w:pPr>
      <w:r>
        <w:rPr>
          <w:b/>
          <w:bCs/>
          <w:color w:val="auto"/>
          <w:highlight w:val="none"/>
        </w:rPr>
        <w:t>质疑函</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pPr>
        <w:pStyle w:val="2"/>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2"/>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pPr>
        <w:pStyle w:val="2"/>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 w:val="21"/>
          <w:szCs w:val="21"/>
          <w:highlight w:val="none"/>
        </w:rPr>
      </w:pPr>
      <w:r>
        <w:rPr>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格式二：</w:t>
      </w:r>
    </w:p>
    <w:p>
      <w:pPr>
        <w:bidi w:val="0"/>
        <w:jc w:val="center"/>
        <w:rPr>
          <w:rFonts w:hint="eastAsia" w:eastAsia="宋体"/>
          <w:b/>
          <w:bCs/>
          <w:color w:val="auto"/>
          <w:highlight w:val="none"/>
          <w:lang w:eastAsia="zh-CN"/>
        </w:rPr>
      </w:pPr>
      <w:r>
        <w:rPr>
          <w:rFonts w:hint="eastAsia"/>
          <w:b/>
          <w:bCs/>
          <w:color w:val="auto"/>
          <w:highlight w:val="none"/>
          <w:lang w:eastAsia="zh-CN"/>
        </w:rPr>
        <w:t>响应担保函</w:t>
      </w:r>
    </w:p>
    <w:p>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pPr>
        <w:pStyle w:val="2"/>
        <w:rPr>
          <w:rFonts w:hint="eastAsia"/>
          <w:b/>
          <w:bCs/>
          <w:color w:val="auto"/>
          <w:highlight w:val="none"/>
          <w:lang w:eastAsia="zh-CN"/>
        </w:rPr>
      </w:pPr>
      <w:r>
        <w:rPr>
          <w:rFonts w:hint="eastAsia"/>
          <w:b/>
          <w:bCs/>
          <w:color w:val="auto"/>
          <w:highlight w:val="none"/>
          <w:lang w:eastAsia="zh-CN"/>
        </w:rPr>
        <w:t>格式三：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
        <w:rPr>
          <w:rFonts w:hint="eastAsia"/>
          <w:b/>
          <w:bCs/>
          <w:color w:val="auto"/>
          <w:highlight w:val="none"/>
          <w:lang w:eastAsia="zh-CN"/>
        </w:rPr>
      </w:pPr>
      <w:r>
        <w:rPr>
          <w:rFonts w:hint="eastAsia"/>
          <w:b/>
          <w:bCs/>
          <w:color w:val="auto"/>
          <w:highlight w:val="none"/>
          <w:lang w:eastAsia="zh-CN"/>
        </w:rPr>
        <w:t>格式四：</w:t>
      </w:r>
    </w:p>
    <w:p>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center"/>
      <w:rPr>
        <w:rFonts w:hint="default" w:eastAsia="宋体"/>
        <w:lang w:val="en-US" w:eastAsia="zh-CN"/>
      </w:rPr>
    </w:pPr>
    <w:r>
      <w:rPr>
        <w:rFonts w:hint="eastAsia"/>
        <w:lang w:val="en-US" w:eastAsia="zh-CN"/>
      </w:rPr>
      <w:t>东莞市南城阳光实验中学停车场改造项目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ZGU5NzJkYTliZTllYTk2MWQ5MTk3Yzk3NWJhNWEifQ=="/>
  </w:docVars>
  <w:rsids>
    <w:rsidRoot w:val="0B696582"/>
    <w:rsid w:val="01BE7323"/>
    <w:rsid w:val="024829A0"/>
    <w:rsid w:val="02880AAC"/>
    <w:rsid w:val="03C618A1"/>
    <w:rsid w:val="043807E7"/>
    <w:rsid w:val="04F11DE3"/>
    <w:rsid w:val="0548041A"/>
    <w:rsid w:val="074100C5"/>
    <w:rsid w:val="080D0324"/>
    <w:rsid w:val="08C674F4"/>
    <w:rsid w:val="08DB5114"/>
    <w:rsid w:val="094A084B"/>
    <w:rsid w:val="0A4036B4"/>
    <w:rsid w:val="0AA575BB"/>
    <w:rsid w:val="0B2722F8"/>
    <w:rsid w:val="0B696582"/>
    <w:rsid w:val="0BE32B7B"/>
    <w:rsid w:val="0C545EC4"/>
    <w:rsid w:val="0CB21F77"/>
    <w:rsid w:val="0FA75340"/>
    <w:rsid w:val="13256801"/>
    <w:rsid w:val="13EB22ED"/>
    <w:rsid w:val="1415573E"/>
    <w:rsid w:val="152E568B"/>
    <w:rsid w:val="17841480"/>
    <w:rsid w:val="19BB08C0"/>
    <w:rsid w:val="19C92056"/>
    <w:rsid w:val="1B046FEA"/>
    <w:rsid w:val="1B5A74F3"/>
    <w:rsid w:val="1CE123EB"/>
    <w:rsid w:val="1CEE19EB"/>
    <w:rsid w:val="28CE4B49"/>
    <w:rsid w:val="29A20A66"/>
    <w:rsid w:val="2A213986"/>
    <w:rsid w:val="2AC4758F"/>
    <w:rsid w:val="2C250F65"/>
    <w:rsid w:val="2E69728F"/>
    <w:rsid w:val="2EF83FF0"/>
    <w:rsid w:val="304A47CF"/>
    <w:rsid w:val="3320692B"/>
    <w:rsid w:val="33955886"/>
    <w:rsid w:val="339D5B51"/>
    <w:rsid w:val="33E12E57"/>
    <w:rsid w:val="341076F7"/>
    <w:rsid w:val="344D01B8"/>
    <w:rsid w:val="398B6F9F"/>
    <w:rsid w:val="39C27E7C"/>
    <w:rsid w:val="3A123017"/>
    <w:rsid w:val="3CEB14FD"/>
    <w:rsid w:val="3F53097E"/>
    <w:rsid w:val="414A030F"/>
    <w:rsid w:val="426F54B2"/>
    <w:rsid w:val="460F2D8E"/>
    <w:rsid w:val="466D59AC"/>
    <w:rsid w:val="494E7FD2"/>
    <w:rsid w:val="4B5B3ECB"/>
    <w:rsid w:val="4C22418B"/>
    <w:rsid w:val="4DD477D5"/>
    <w:rsid w:val="4E6A7DE2"/>
    <w:rsid w:val="4E862B87"/>
    <w:rsid w:val="4E9C6EA6"/>
    <w:rsid w:val="50000BF4"/>
    <w:rsid w:val="505F3E03"/>
    <w:rsid w:val="51593AA1"/>
    <w:rsid w:val="51ED4F85"/>
    <w:rsid w:val="528A52C5"/>
    <w:rsid w:val="549178FF"/>
    <w:rsid w:val="55206652"/>
    <w:rsid w:val="57961A49"/>
    <w:rsid w:val="59F20A8D"/>
    <w:rsid w:val="5DE26737"/>
    <w:rsid w:val="5DE85889"/>
    <w:rsid w:val="5E2A2E41"/>
    <w:rsid w:val="5F8F1E39"/>
    <w:rsid w:val="64677E69"/>
    <w:rsid w:val="648F7060"/>
    <w:rsid w:val="64D3048A"/>
    <w:rsid w:val="661736CC"/>
    <w:rsid w:val="67520D2F"/>
    <w:rsid w:val="67880920"/>
    <w:rsid w:val="68402491"/>
    <w:rsid w:val="6A2E1000"/>
    <w:rsid w:val="6A7F3B49"/>
    <w:rsid w:val="6DCB42B6"/>
    <w:rsid w:val="6E003853"/>
    <w:rsid w:val="72620D95"/>
    <w:rsid w:val="735656B0"/>
    <w:rsid w:val="739B0891"/>
    <w:rsid w:val="74951BFB"/>
    <w:rsid w:val="750A3303"/>
    <w:rsid w:val="75DE459B"/>
    <w:rsid w:val="77541AF7"/>
    <w:rsid w:val="785C7CED"/>
    <w:rsid w:val="787A69D8"/>
    <w:rsid w:val="79533EEE"/>
    <w:rsid w:val="7AEF48EE"/>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beforeLines="0" w:beforeAutospacing="0" w:afterLines="0" w:afterAutospacing="0" w:line="360" w:lineRule="auto"/>
      <w:outlineLvl w:val="2"/>
    </w:pPr>
    <w:rPr>
      <w:rFonts w:eastAsia="宋体"/>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table of authorities"/>
    <w:basedOn w:val="1"/>
    <w:next w:val="1"/>
    <w:qFormat/>
    <w:uiPriority w:val="0"/>
    <w:pPr>
      <w:ind w:left="420" w:leftChars="200"/>
    </w:pPr>
  </w:style>
  <w:style w:type="paragraph" w:styleId="8">
    <w:name w:val="Normal Indent"/>
    <w:basedOn w:val="1"/>
    <w:semiHidden/>
    <w:unhideWhenUsed/>
    <w:qFormat/>
    <w:uiPriority w:val="99"/>
    <w:pPr>
      <w:ind w:firstLine="420" w:firstLineChars="200"/>
    </w:pPr>
  </w:style>
  <w:style w:type="paragraph" w:styleId="9">
    <w:name w:val="annotation text"/>
    <w:basedOn w:val="1"/>
    <w:qFormat/>
    <w:uiPriority w:val="0"/>
    <w:pPr>
      <w:jc w:val="left"/>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eastAsiaTheme="minorEastAsia" w:cstheme="minorBidi"/>
      <w:szCs w:val="22"/>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0"/>
    <w:rPr>
      <w:i/>
    </w:rPr>
  </w:style>
  <w:style w:type="character" w:styleId="21">
    <w:name w:val="Hyperlink"/>
    <w:qFormat/>
    <w:uiPriority w:val="99"/>
    <w:rPr>
      <w:color w:val="0000FF"/>
      <w:u w:val="single"/>
    </w:rPr>
  </w:style>
  <w:style w:type="paragraph" w:customStyle="1" w:styleId="22">
    <w:name w:val="表格文字"/>
    <w:basedOn w:val="1"/>
    <w:qFormat/>
    <w:uiPriority w:val="0"/>
    <w:pPr>
      <w:spacing w:before="25" w:after="25" w:line="300" w:lineRule="auto"/>
    </w:pPr>
    <w:rPr>
      <w:rFonts w:ascii="Times" w:hAnsi="Times"/>
      <w:spacing w:val="10"/>
      <w:kern w:val="0"/>
      <w:sz w:val="24"/>
      <w:szCs w:val="20"/>
    </w:rPr>
  </w:style>
  <w:style w:type="paragraph" w:styleId="23">
    <w:name w:val="List Paragraph"/>
    <w:basedOn w:val="1"/>
    <w:qFormat/>
    <w:uiPriority w:val="34"/>
    <w:pPr>
      <w:ind w:firstLine="420" w:firstLineChars="200"/>
    </w:pPr>
  </w:style>
  <w:style w:type="character" w:customStyle="1" w:styleId="24">
    <w:name w:val="标题 1 Char"/>
    <w:link w:val="3"/>
    <w:qFormat/>
    <w:uiPriority w:val="0"/>
    <w:rPr>
      <w:b/>
      <w:kern w:val="44"/>
      <w:sz w:val="30"/>
    </w:rPr>
  </w:style>
  <w:style w:type="paragraph" w:customStyle="1" w:styleId="25">
    <w:name w:val="Table Paragraph"/>
    <w:basedOn w:val="1"/>
    <w:qFormat/>
    <w:uiPriority w:val="1"/>
  </w:style>
  <w:style w:type="paragraph" w:customStyle="1" w:styleId="26">
    <w:name w:val="正文缩进2格"/>
    <w:basedOn w:val="1"/>
    <w:next w:val="1"/>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heme="minorHAnsi" w:hAnsiTheme="minorHAnsi" w:eastAsiaTheme="minorEastAsia" w:cstheme="minorBidi"/>
      <w:sz w:val="20"/>
      <w:szCs w:val="20"/>
    </w:rPr>
  </w:style>
  <w:style w:type="paragraph" w:customStyle="1" w:styleId="30">
    <w:name w:val="_Style 4"/>
    <w:basedOn w:val="1"/>
    <w:qFormat/>
    <w:uiPriority w:val="0"/>
    <w:pPr>
      <w:spacing w:line="360" w:lineRule="auto"/>
      <w:ind w:firstLine="420" w:firstLineChars="200"/>
    </w:pPr>
    <w:rPr>
      <w:rFonts w:ascii="Calibri" w:hAnsi="Calibri"/>
      <w:szCs w:val="22"/>
    </w:rPr>
  </w:style>
  <w:style w:type="character" w:customStyle="1" w:styleId="31">
    <w:name w:val="font61"/>
    <w:basedOn w:val="19"/>
    <w:qFormat/>
    <w:uiPriority w:val="0"/>
    <w:rPr>
      <w:rFonts w:hint="default" w:ascii="Times New Roman" w:hAnsi="Times New Roman" w:cs="Times New Roman"/>
      <w:color w:val="000000"/>
      <w:sz w:val="20"/>
      <w:szCs w:val="20"/>
      <w:u w:val="none"/>
    </w:rPr>
  </w:style>
  <w:style w:type="character" w:customStyle="1" w:styleId="32">
    <w:name w:val="font41"/>
    <w:basedOn w:val="19"/>
    <w:qFormat/>
    <w:uiPriority w:val="0"/>
    <w:rPr>
      <w:rFonts w:hint="eastAsia" w:ascii="宋体" w:hAnsi="宋体" w:eastAsia="宋体" w:cs="宋体"/>
      <w:color w:val="000000"/>
      <w:sz w:val="20"/>
      <w:szCs w:val="20"/>
      <w:u w:val="none"/>
    </w:rPr>
  </w:style>
  <w:style w:type="character" w:customStyle="1" w:styleId="33">
    <w:name w:val="font71"/>
    <w:basedOn w:val="19"/>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qFormat/>
    <w:uiPriority w:val="0"/>
    <w:rPr>
      <w:rFonts w:hint="eastAsia" w:ascii="宋体" w:hAnsi="宋体" w:eastAsia="宋体" w:cs="宋体"/>
      <w:color w:val="000000"/>
      <w:sz w:val="20"/>
      <w:szCs w:val="20"/>
      <w:u w:val="none"/>
    </w:rPr>
  </w:style>
  <w:style w:type="character" w:customStyle="1" w:styleId="35">
    <w:name w:val="font01"/>
    <w:basedOn w:val="19"/>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qFormat/>
    <w:uiPriority w:val="0"/>
    <w:rPr>
      <w:rFonts w:hint="eastAsia" w:ascii="宋体" w:hAnsi="宋体" w:eastAsia="宋体" w:cs="宋体"/>
      <w:color w:val="000000"/>
      <w:sz w:val="20"/>
      <w:szCs w:val="20"/>
      <w:u w:val="none"/>
    </w:rPr>
  </w:style>
  <w:style w:type="character" w:customStyle="1" w:styleId="37">
    <w:name w:val="font51"/>
    <w:basedOn w:val="19"/>
    <w:qFormat/>
    <w:uiPriority w:val="0"/>
    <w:rPr>
      <w:rFonts w:hint="eastAsia" w:ascii="宋体" w:hAnsi="宋体" w:eastAsia="宋体" w:cs="宋体"/>
      <w:color w:val="000000"/>
      <w:sz w:val="20"/>
      <w:szCs w:val="20"/>
      <w:u w:val="none"/>
    </w:rPr>
  </w:style>
  <w:style w:type="character" w:customStyle="1" w:styleId="38">
    <w:name w:val="font81"/>
    <w:basedOn w:val="19"/>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30105</Words>
  <Characters>31362</Characters>
  <Lines>0</Lines>
  <Paragraphs>0</Paragraphs>
  <TotalTime>2</TotalTime>
  <ScaleCrop>false</ScaleCrop>
  <LinksUpToDate>false</LinksUpToDate>
  <CharactersWithSpaces>32920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2023-08-03T08:48:00Z</cp:lastPrinted>
  <dcterms:modified xsi:type="dcterms:W3CDTF">2023-08-14T06:20:32Z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4BCF3A46FA22441CAA0FF8F6FDA995C8_13</vt:lpwstr>
  </property>
</Properties>
</file>