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5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东莞市大朗镇黄草朗小学采购食堂食材加工及相关配套服务项目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GSDG2023-021C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370"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 xml:space="preserve">东莞市大朗镇黄草朗小学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629"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370"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8</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26"/>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7"/>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27"/>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东莞市大朗镇黄草朗小学采购食堂食材加工及相关配套服务项目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23</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4"/>
        <w:spacing w:line="360" w:lineRule="auto"/>
        <w:jc w:val="left"/>
        <w:rPr>
          <w:rFonts w:ascii="宋体" w:hAnsi="宋体" w:cs="宋体"/>
          <w:bCs/>
          <w:color w:val="auto"/>
          <w:sz w:val="21"/>
          <w:szCs w:val="21"/>
          <w:highlight w:val="none"/>
        </w:rPr>
      </w:pPr>
      <w:bookmarkStart w:id="4" w:name="_Toc28359002"/>
      <w:bookmarkStart w:id="5" w:name="_Toc35393621"/>
      <w:bookmarkStart w:id="6" w:name="_Toc2169"/>
      <w:bookmarkStart w:id="7" w:name="_Toc28359079"/>
      <w:bookmarkStart w:id="8" w:name="_Toc35393790"/>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GSDG2023-021C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东莞市大朗镇黄草朗小学采购食堂食材加工及相关配套服务项目</w:t>
      </w:r>
    </w:p>
    <w:bookmarkEnd w:id="9"/>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预算金额：2,95</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,000.00元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1"/>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427" w:type="pct"/>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1572" w:type="pct"/>
            <w:vAlign w:val="center"/>
          </w:tcPr>
          <w:p>
            <w:pPr>
              <w:spacing w:line="360" w:lineRule="auto"/>
              <w:jc w:val="center"/>
              <w:rPr>
                <w:rFonts w:hAnsi="宋体"/>
                <w:b/>
                <w:color w:val="auto"/>
                <w:szCs w:val="21"/>
                <w:highlight w:val="none"/>
              </w:rPr>
            </w:pPr>
            <w:r>
              <w:rPr>
                <w:rFonts w:hint="eastAsia" w:hAnsi="宋体"/>
                <w:b/>
                <w:color w:val="auto"/>
                <w:szCs w:val="21"/>
                <w:highlight w:val="none"/>
                <w:lang w:val="en-US" w:eastAsia="zh-CN"/>
              </w:rPr>
              <w:t>服务</w:t>
            </w:r>
            <w:r>
              <w:rPr>
                <w:rFonts w:hint="eastAsia" w:hAnsi="宋体"/>
                <w:b/>
                <w:color w:val="auto"/>
                <w:szCs w:val="21"/>
                <w:highlight w:val="none"/>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3427" w:type="pct"/>
            <w:vAlign w:val="center"/>
          </w:tcPr>
          <w:p>
            <w:pPr>
              <w:spacing w:line="360" w:lineRule="auto"/>
              <w:jc w:val="center"/>
              <w:rPr>
                <w:rFonts w:hint="eastAsia" w:hAnsi="宋体" w:eastAsia="宋体"/>
                <w:color w:val="auto"/>
                <w:szCs w:val="21"/>
                <w:highlight w:val="none"/>
                <w:lang w:eastAsia="zh-CN"/>
              </w:rPr>
            </w:pPr>
            <w:r>
              <w:rPr>
                <w:rFonts w:hint="eastAsia" w:ascii="宋体" w:hAnsi="宋体" w:cs="宋体"/>
                <w:color w:val="auto"/>
                <w:sz w:val="21"/>
                <w:szCs w:val="21"/>
                <w:highlight w:val="none"/>
                <w:lang w:eastAsia="zh-CN"/>
              </w:rPr>
              <w:t>东莞市大朗镇黄草朗小学采购食堂食材加工及相关配套服务项目</w:t>
            </w:r>
          </w:p>
        </w:tc>
        <w:tc>
          <w:tcPr>
            <w:tcW w:w="1572" w:type="pct"/>
            <w:vAlign w:val="center"/>
          </w:tcPr>
          <w:p>
            <w:pPr>
              <w:spacing w:line="360" w:lineRule="auto"/>
              <w:jc w:val="center"/>
              <w:rPr>
                <w:rFonts w:hint="eastAsia" w:hAnsi="宋体"/>
                <w:color w:val="auto"/>
                <w:szCs w:val="21"/>
                <w:highlight w:val="none"/>
                <w:lang w:eastAsia="zh-CN"/>
              </w:rPr>
            </w:pPr>
            <w:r>
              <w:rPr>
                <w:rFonts w:hint="eastAsia" w:ascii="宋体" w:hAnsi="宋体" w:eastAsia="宋体" w:cs="宋体"/>
                <w:color w:val="auto"/>
                <w:sz w:val="21"/>
                <w:szCs w:val="21"/>
                <w:highlight w:val="none"/>
                <w:lang w:eastAsia="zh-CN"/>
              </w:rPr>
              <w:t>自合同签订日起三年。</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4"/>
        <w:spacing w:line="360" w:lineRule="auto"/>
        <w:jc w:val="left"/>
        <w:rPr>
          <w:rFonts w:ascii="宋体" w:hAnsi="宋体" w:cs="宋体"/>
          <w:b w:val="0"/>
          <w:color w:val="auto"/>
          <w:sz w:val="21"/>
          <w:szCs w:val="21"/>
          <w:highlight w:val="none"/>
        </w:rPr>
      </w:pPr>
      <w:bookmarkStart w:id="10" w:name="_Toc35393791"/>
      <w:bookmarkStart w:id="11" w:name="_Toc25198"/>
      <w:bookmarkStart w:id="12" w:name="_Toc28359003"/>
      <w:bookmarkStart w:id="13" w:name="_Toc28359080"/>
      <w:bookmarkStart w:id="14" w:name="_Toc35393622"/>
      <w:r>
        <w:rPr>
          <w:rFonts w:hint="eastAsia" w:ascii="宋体" w:hAnsi="宋体" w:cs="宋体"/>
          <w:bCs/>
          <w:color w:val="auto"/>
          <w:sz w:val="21"/>
          <w:szCs w:val="21"/>
          <w:highlight w:val="none"/>
        </w:rPr>
        <w:t>二、申请人的资格要求：</w:t>
      </w:r>
      <w:bookmarkEnd w:id="10"/>
      <w:bookmarkEnd w:id="11"/>
      <w:bookmarkEnd w:id="12"/>
      <w:bookmarkEnd w:id="13"/>
      <w:bookmarkEnd w:id="14"/>
    </w:p>
    <w:p>
      <w:pPr>
        <w:widowControl/>
        <w:spacing w:line="360" w:lineRule="auto"/>
        <w:ind w:firstLine="420" w:firstLineChars="200"/>
        <w:outlineLvl w:val="2"/>
        <w:rPr>
          <w:rFonts w:ascii="宋体" w:hAnsi="宋体"/>
          <w:color w:val="auto"/>
          <w:szCs w:val="21"/>
          <w:highlight w:val="none"/>
        </w:rPr>
      </w:pPr>
      <w:bookmarkStart w:id="15" w:name="_Toc16211"/>
      <w:bookmarkStart w:id="16" w:name="_Toc28359004"/>
      <w:bookmarkStart w:id="17" w:name="_Toc28359081"/>
      <w:r>
        <w:rPr>
          <w:rFonts w:hint="eastAsia" w:ascii="宋体" w:hAnsi="宋体"/>
          <w:color w:val="auto"/>
          <w:szCs w:val="21"/>
          <w:highlight w:val="none"/>
        </w:rPr>
        <w:t>1.投标供应商应具备《政府采购法》第二十二条规定的条件，提供下列材料：</w:t>
      </w:r>
      <w:bookmarkEnd w:id="15"/>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2021年度或2022年度</w:t>
      </w:r>
      <w:r>
        <w:rPr>
          <w:rFonts w:hint="eastAsia" w:ascii="宋体" w:hAnsi="宋体"/>
          <w:color w:val="auto"/>
          <w:szCs w:val="21"/>
          <w:highlight w:val="none"/>
        </w:rPr>
        <w:t>财务状况报告或基本开户行出具的资信证明）。</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eastAsia="宋体" w:cs="宋体"/>
          <w:color w:val="auto"/>
          <w:sz w:val="21"/>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6）信用记录：供应商未被列入“信用中国”网站(www.creditchina.gov.cn)“记录失信被执行人或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 xml:space="preserve">”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pPr>
        <w:widowControl/>
        <w:spacing w:line="360" w:lineRule="auto"/>
        <w:ind w:firstLine="420" w:firstLineChars="200"/>
        <w:outlineLvl w:val="2"/>
        <w:rPr>
          <w:rFonts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line="360" w:lineRule="auto"/>
        <w:jc w:val="left"/>
        <w:rPr>
          <w:rFonts w:ascii="宋体" w:hAnsi="宋体" w:cs="宋体"/>
          <w:bCs/>
          <w:color w:val="auto"/>
          <w:sz w:val="21"/>
          <w:szCs w:val="21"/>
          <w:highlight w:val="none"/>
        </w:rPr>
      </w:pPr>
      <w:bookmarkStart w:id="19" w:name="_Toc35393623"/>
      <w:bookmarkStart w:id="20" w:name="_Toc35393792"/>
      <w:bookmarkStart w:id="21" w:name="_Toc173"/>
      <w:r>
        <w:rPr>
          <w:rFonts w:hint="eastAsia" w:ascii="宋体" w:hAnsi="宋体" w:cs="宋体"/>
          <w:bCs/>
          <w:color w:val="auto"/>
          <w:sz w:val="21"/>
          <w:szCs w:val="21"/>
          <w:highlight w:val="none"/>
        </w:rPr>
        <w:t>三、获取招标文件</w:t>
      </w:r>
      <w:bookmarkEnd w:id="16"/>
      <w:bookmarkEnd w:id="17"/>
      <w:bookmarkEnd w:id="19"/>
      <w:bookmarkEnd w:id="20"/>
      <w:bookmarkEnd w:id="21"/>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日（节假日除外），上午9：00～12：00，下午14：30～17：30（北京时间）； </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2"/>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4"/>
        <w:spacing w:line="360" w:lineRule="auto"/>
        <w:jc w:val="left"/>
        <w:rPr>
          <w:rFonts w:ascii="宋体" w:hAnsi="宋体" w:cs="宋体"/>
          <w:bCs/>
          <w:color w:val="auto"/>
          <w:sz w:val="21"/>
          <w:szCs w:val="21"/>
          <w:highlight w:val="none"/>
        </w:rPr>
      </w:pPr>
      <w:bookmarkStart w:id="22" w:name="_Toc28359005"/>
      <w:bookmarkStart w:id="23" w:name="_Toc28359082"/>
      <w:bookmarkStart w:id="24" w:name="_Toc28585"/>
      <w:bookmarkStart w:id="25" w:name="_Toc35393793"/>
      <w:bookmarkStart w:id="26" w:name="_Toc35393624"/>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23</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bookmarkStart w:id="167" w:name="_GoBack"/>
      <w:bookmarkEnd w:id="167"/>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pPr>
        <w:pStyle w:val="4"/>
        <w:spacing w:line="360" w:lineRule="auto"/>
        <w:jc w:val="left"/>
        <w:rPr>
          <w:rFonts w:ascii="宋体" w:hAnsi="宋体" w:cs="宋体"/>
          <w:bCs/>
          <w:color w:val="auto"/>
          <w:sz w:val="21"/>
          <w:szCs w:val="21"/>
          <w:highlight w:val="none"/>
        </w:rPr>
      </w:pPr>
      <w:bookmarkStart w:id="27" w:name="_Toc25695"/>
      <w:bookmarkStart w:id="28" w:name="_Toc28359084"/>
      <w:bookmarkStart w:id="29" w:name="_Toc35393794"/>
      <w:bookmarkStart w:id="30" w:name="_Toc35393625"/>
      <w:bookmarkStart w:id="31" w:name="_Toc28359007"/>
      <w:r>
        <w:rPr>
          <w:rFonts w:hint="eastAsia" w:ascii="宋体" w:hAnsi="宋体" w:cs="宋体"/>
          <w:bCs/>
          <w:color w:val="auto"/>
          <w:sz w:val="21"/>
          <w:szCs w:val="21"/>
          <w:highlight w:val="none"/>
        </w:rPr>
        <w:t>五、公告期限</w:t>
      </w:r>
      <w:bookmarkEnd w:id="27"/>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4"/>
        <w:spacing w:line="360" w:lineRule="auto"/>
        <w:jc w:val="left"/>
        <w:rPr>
          <w:rFonts w:ascii="宋体" w:hAnsi="宋体" w:cs="宋体"/>
          <w:bCs/>
          <w:color w:val="auto"/>
          <w:sz w:val="21"/>
          <w:szCs w:val="21"/>
          <w:highlight w:val="none"/>
        </w:rPr>
      </w:pPr>
      <w:bookmarkStart w:id="32" w:name="_Toc35393626"/>
      <w:bookmarkStart w:id="33" w:name="_Toc35393795"/>
      <w:bookmarkStart w:id="34" w:name="_Toc1519"/>
      <w:r>
        <w:rPr>
          <w:rFonts w:hint="eastAsia" w:ascii="宋体" w:hAnsi="宋体" w:cs="宋体"/>
          <w:bCs/>
          <w:color w:val="auto"/>
          <w:sz w:val="21"/>
          <w:szCs w:val="21"/>
          <w:highlight w:val="none"/>
        </w:rPr>
        <w:t>六、其他补充事宜</w:t>
      </w:r>
      <w:bookmarkEnd w:id="32"/>
      <w:bookmarkEnd w:id="33"/>
      <w:bookmarkEnd w:id="34"/>
    </w:p>
    <w:p>
      <w:pPr>
        <w:widowControl/>
        <w:spacing w:line="360" w:lineRule="auto"/>
        <w:ind w:firstLine="420" w:firstLineChars="200"/>
        <w:rPr>
          <w:rFonts w:ascii="宋体" w:hAnsi="宋体"/>
          <w:color w:val="auto"/>
          <w:szCs w:val="21"/>
          <w:highlight w:val="none"/>
        </w:rPr>
      </w:pPr>
      <w:bookmarkStart w:id="35" w:name="_Toc28359085"/>
      <w:bookmarkStart w:id="36" w:name="_Toc35393796"/>
      <w:bookmarkStart w:id="37" w:name="_Toc28359008"/>
      <w:bookmarkStart w:id="38" w:name="_Toc35393627"/>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中国政府采购网(http://www.ccgp.gov.cn/)以及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 xml:space="preserve">东莞市大朗镇黄草朗小学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eastAsia="宋体"/>
          <w:bCs/>
          <w:color w:val="auto"/>
          <w:sz w:val="21"/>
          <w:szCs w:val="21"/>
          <w:highlight w:val="none"/>
        </w:rPr>
        <w:t>广东省东莞市大朗镇美景中路1443号</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eastAsia="宋体"/>
          <w:bCs/>
          <w:color w:val="auto"/>
          <w:sz w:val="21"/>
          <w:szCs w:val="21"/>
          <w:highlight w:val="none"/>
          <w:lang w:eastAsia="zh-CN"/>
        </w:rPr>
        <w:t>郑老师</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w:t>
      </w:r>
      <w:r>
        <w:rPr>
          <w:rFonts w:hint="eastAsia" w:ascii="宋体" w:hAnsi="宋体" w:eastAsia="宋体"/>
          <w:bCs/>
          <w:color w:val="auto"/>
          <w:sz w:val="21"/>
          <w:szCs w:val="21"/>
          <w:highlight w:val="none"/>
        </w:rPr>
        <w:t>0769-81231663</w:t>
      </w:r>
    </w:p>
    <w:p>
      <w:pPr>
        <w:spacing w:line="360" w:lineRule="auto"/>
        <w:ind w:left="264" w:hanging="264" w:hangingChars="125"/>
        <w:outlineLvl w:val="2"/>
        <w:rPr>
          <w:rFonts w:ascii="宋体" w:hAnsi="宋体" w:cs="宋体"/>
          <w:b/>
          <w:bCs/>
          <w:color w:val="auto"/>
          <w:szCs w:val="21"/>
          <w:highlight w:val="none"/>
        </w:rPr>
      </w:pPr>
      <w:bookmarkStart w:id="41" w:name="_Toc28359086"/>
      <w:bookmarkStart w:id="42" w:name="_Toc4580"/>
      <w:bookmarkStart w:id="43" w:name="_Toc28359009"/>
      <w:r>
        <w:rPr>
          <w:rFonts w:hint="eastAsia" w:ascii="宋体" w:hAnsi="宋体" w:cs="宋体"/>
          <w:b/>
          <w:bCs/>
          <w:color w:val="auto"/>
          <w:szCs w:val="21"/>
          <w:highlight w:val="none"/>
        </w:rPr>
        <w:t>2.招标代理机构信息</w:t>
      </w:r>
      <w:bookmarkEnd w:id="41"/>
      <w:bookmarkEnd w:id="42"/>
      <w:bookmarkEnd w:id="43"/>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pPr>
        <w:pStyle w:val="12"/>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2"/>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pPr>
        <w:pStyle w:val="4"/>
        <w:spacing w:line="360" w:lineRule="auto"/>
        <w:rPr>
          <w:color w:val="auto"/>
          <w:highlight w:val="none"/>
          <w:lang w:val="zh-CN"/>
        </w:rPr>
      </w:pPr>
      <w:bookmarkStart w:id="48" w:name="_Toc413402429"/>
      <w:bookmarkStart w:id="49" w:name="_Toc497983494"/>
      <w:bookmarkStart w:id="50" w:name="_Toc396137231"/>
      <w:bookmarkStart w:id="51" w:name="_Toc652"/>
      <w:r>
        <w:rPr>
          <w:rFonts w:hint="eastAsia"/>
          <w:color w:val="auto"/>
          <w:highlight w:val="none"/>
          <w:lang w:val="zh-CN"/>
        </w:rPr>
        <w:t>一、投标须知前附表</w:t>
      </w:r>
      <w:bookmarkEnd w:id="48"/>
      <w:bookmarkEnd w:id="49"/>
      <w:bookmarkEnd w:id="50"/>
      <w:bookmarkEnd w:id="51"/>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jc w:val="both"/>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numPr>
                <w:ilvl w:val="0"/>
                <w:numId w:val="3"/>
              </w:numPr>
              <w:kinsoku/>
              <w:wordWrap/>
              <w:overflowPunct/>
              <w:topLinePunct w:val="0"/>
              <w:autoSpaceDE/>
              <w:autoSpaceDN/>
              <w:bidi w:val="0"/>
              <w:spacing w:line="360" w:lineRule="auto"/>
              <w:jc w:val="both"/>
              <w:textAlignment w:val="auto"/>
              <w:rPr>
                <w:b/>
                <w:bCs/>
                <w:color w:val="auto"/>
                <w:highlight w:val="none"/>
              </w:rPr>
            </w:pPr>
            <w:r>
              <w:rPr>
                <w:rFonts w:hint="eastAsia"/>
                <w:color w:val="auto"/>
                <w:highlight w:val="none"/>
              </w:rPr>
              <w:t>投标保证金金额：</w:t>
            </w:r>
            <w:r>
              <w:rPr>
                <w:rFonts w:hint="eastAsia"/>
                <w:color w:val="auto"/>
                <w:highlight w:val="none"/>
                <w:lang w:val="en-US" w:eastAsia="zh-CN"/>
              </w:rPr>
              <w:t>/</w:t>
            </w:r>
          </w:p>
          <w:p>
            <w:pPr>
              <w:pageBreakBefore w:val="0"/>
              <w:kinsoku/>
              <w:wordWrap/>
              <w:overflowPunct/>
              <w:topLinePunct w:val="0"/>
              <w:autoSpaceDE/>
              <w:autoSpaceDN/>
              <w:bidi w:val="0"/>
              <w:spacing w:line="360" w:lineRule="auto"/>
              <w:jc w:val="both"/>
              <w:textAlignment w:val="auto"/>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pageBreakBefore w:val="0"/>
              <w:kinsoku/>
              <w:wordWrap/>
              <w:overflowPunct/>
              <w:topLinePunct w:val="0"/>
              <w:autoSpaceDE/>
              <w:autoSpaceDN/>
              <w:bidi w:val="0"/>
              <w:spacing w:line="360" w:lineRule="auto"/>
              <w:jc w:val="both"/>
              <w:textAlignment w:val="auto"/>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pageBreakBefore w:val="0"/>
              <w:kinsoku/>
              <w:wordWrap/>
              <w:overflowPunct/>
              <w:topLinePunct w:val="0"/>
              <w:autoSpaceDE/>
              <w:autoSpaceDN/>
              <w:bidi w:val="0"/>
              <w:spacing w:line="360" w:lineRule="auto"/>
              <w:jc w:val="both"/>
              <w:textAlignment w:val="auto"/>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pageBreakBefore w:val="0"/>
              <w:kinsoku/>
              <w:wordWrap/>
              <w:overflowPunct/>
              <w:topLinePunct w:val="0"/>
              <w:autoSpaceDE/>
              <w:autoSpaceDN/>
              <w:bidi w:val="0"/>
              <w:spacing w:line="360" w:lineRule="auto"/>
              <w:jc w:val="both"/>
              <w:textAlignment w:val="auto"/>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5"/>
              <w:pageBreakBefore w:val="0"/>
              <w:kinsoku/>
              <w:wordWrap/>
              <w:overflowPunct/>
              <w:topLinePunct w:val="0"/>
              <w:autoSpaceDE/>
              <w:autoSpaceDN/>
              <w:bidi w:val="0"/>
              <w:spacing w:line="360" w:lineRule="auto"/>
              <w:textAlignment w:val="auto"/>
              <w:rPr>
                <w:rFonts w:eastAsia="宋体" w:asciiTheme="minorHAnsi" w:hAnsiTheme="minorHAnsi" w:cstheme="minorBidi"/>
                <w:b/>
                <w:color w:val="auto"/>
                <w:kern w:val="2"/>
                <w:sz w:val="21"/>
                <w:szCs w:val="24"/>
                <w:highlight w:val="none"/>
                <w:lang w:val="en-US" w:eastAsia="zh-CN" w:bidi="ar-SA"/>
              </w:rPr>
            </w:pPr>
            <w:r>
              <w:rPr>
                <w:rFonts w:hint="eastAsia" w:ascii="宋体" w:hAnsi="宋体"/>
                <w:color w:val="auto"/>
                <w:szCs w:val="21"/>
                <w:highlight w:val="none"/>
                <w:lang w:val="zh-CN"/>
              </w:rPr>
              <w:t>（各投标人在转账或电汇时须在用途栏上写明项目编号）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right="-38" w:rightChars="-18"/>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right="-38" w:rightChars="-18"/>
              <w:jc w:val="center"/>
              <w:textAlignment w:val="auto"/>
              <w:rPr>
                <w:rFonts w:eastAsia="宋体" w:asciiTheme="minorHAnsi" w:hAnsiTheme="minorHAnsi" w:cstheme="minorBidi"/>
                <w:color w:val="auto"/>
                <w:kern w:val="2"/>
                <w:sz w:val="21"/>
                <w:szCs w:val="24"/>
                <w:highlight w:val="none"/>
                <w:lang w:val="en-US" w:eastAsia="zh-CN" w:bidi="ar-SA"/>
              </w:rPr>
            </w:pPr>
            <w:r>
              <w:rPr>
                <w:rFonts w:hint="eastAsia" w:ascii="宋体" w:hAnsi="宋体" w:cs="宋体"/>
                <w:bCs/>
                <w:color w:val="auto"/>
                <w:szCs w:val="21"/>
                <w:highlight w:val="none"/>
              </w:rPr>
              <w:t>履约保证金</w:t>
            </w:r>
          </w:p>
        </w:tc>
        <w:tc>
          <w:tcPr>
            <w:tcW w:w="7103" w:type="dxa"/>
            <w:tcBorders>
              <w:top w:val="single" w:color="auto" w:sz="4" w:space="0"/>
              <w:left w:val="single" w:color="auto" w:sz="4" w:space="0"/>
              <w:bottom w:val="single" w:color="auto" w:sz="4" w:space="0"/>
              <w:right w:val="double" w:color="auto" w:sz="4" w:space="0"/>
            </w:tcBorders>
            <w:vAlign w:val="center"/>
          </w:tcPr>
          <w:p>
            <w:pPr>
              <w:pageBreakBefore w:val="0"/>
              <w:kinsoku/>
              <w:wordWrap/>
              <w:overflowPunct/>
              <w:topLinePunct w:val="0"/>
              <w:autoSpaceDE/>
              <w:autoSpaceDN/>
              <w:bidi w:val="0"/>
              <w:spacing w:line="360" w:lineRule="auto"/>
              <w:textAlignment w:val="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pageBreakBefore w:val="0"/>
              <w:kinsoku/>
              <w:wordWrap/>
              <w:overflowPunct/>
              <w:topLinePunct w:val="0"/>
              <w:autoSpaceDE/>
              <w:autoSpaceDN/>
              <w:bidi w:val="0"/>
              <w:spacing w:line="360" w:lineRule="auto"/>
              <w:textAlignment w:val="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pageBreakBefore w:val="0"/>
              <w:kinsoku/>
              <w:wordWrap/>
              <w:overflowPunct/>
              <w:topLinePunct w:val="0"/>
              <w:autoSpaceDE/>
              <w:autoSpaceDN/>
              <w:bidi w:val="0"/>
              <w:spacing w:line="360" w:lineRule="auto"/>
              <w:textAlignment w:val="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pageBreakBefore w:val="0"/>
              <w:kinsoku/>
              <w:wordWrap/>
              <w:overflowPunct/>
              <w:topLinePunct w:val="0"/>
              <w:autoSpaceDE/>
              <w:autoSpaceDN/>
              <w:bidi w:val="0"/>
              <w:spacing w:line="360" w:lineRule="auto"/>
              <w:textAlignment w:val="auto"/>
              <w:rPr>
                <w:rFonts w:ascii="宋体" w:hAnsi="宋体" w:eastAsia="宋体" w:cs="宋体"/>
                <w:b/>
                <w:bCs/>
                <w:color w:val="auto"/>
                <w:kern w:val="2"/>
                <w:sz w:val="21"/>
                <w:szCs w:val="21"/>
                <w:highlight w:val="none"/>
                <w:lang w:val="en-US" w:eastAsia="zh-CN" w:bidi="ar-SA"/>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line="360" w:lineRule="auto"/>
              <w:ind w:left="0"/>
              <w:textAlignment w:val="auto"/>
              <w:rPr>
                <w:rFonts w:hint="default"/>
                <w:color w:val="auto"/>
                <w:highlight w:val="none"/>
                <w:lang w:val="en-US"/>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ascii="宋体" w:hAnsi="宋体" w:eastAsia="宋体"/>
                <w:color w:val="auto"/>
                <w:sz w:val="21"/>
                <w:szCs w:val="21"/>
                <w:highlight w:val="none"/>
              </w:rPr>
              <w:t>中标服务费</w:t>
            </w:r>
            <w:r>
              <w:rPr>
                <w:rFonts w:hint="eastAsia" w:ascii="宋体" w:hAnsi="宋体" w:eastAsia="宋体"/>
                <w:color w:val="auto"/>
                <w:sz w:val="21"/>
                <w:szCs w:val="21"/>
                <w:highlight w:val="none"/>
                <w:lang w:eastAsia="zh-CN"/>
              </w:rPr>
              <w:t>参照</w:t>
            </w:r>
            <w:r>
              <w:rPr>
                <w:rFonts w:hint="eastAsia" w:ascii="宋体" w:hAnsi="宋体" w:eastAsia="宋体"/>
                <w:color w:val="auto"/>
                <w:sz w:val="21"/>
                <w:szCs w:val="21"/>
                <w:highlight w:val="none"/>
              </w:rPr>
              <w:t>国家计委[计价格[2002]1980号]文和国家发改委[发改价格[2011]534号]文及相关规定向中标单位收取，按差额定率累进法计算，以</w:t>
            </w:r>
            <w:r>
              <w:rPr>
                <w:rFonts w:hint="eastAsia" w:ascii="宋体" w:hAnsi="宋体" w:eastAsia="宋体"/>
                <w:color w:val="auto"/>
                <w:sz w:val="21"/>
                <w:szCs w:val="21"/>
                <w:highlight w:val="none"/>
                <w:lang w:val="en-US" w:eastAsia="zh-CN"/>
              </w:rPr>
              <w:t>中标</w:t>
            </w:r>
            <w:r>
              <w:rPr>
                <w:rFonts w:hint="eastAsia" w:ascii="宋体" w:hAnsi="宋体" w:eastAsia="宋体"/>
                <w:color w:val="auto"/>
                <w:sz w:val="21"/>
                <w:szCs w:val="21"/>
                <w:highlight w:val="none"/>
              </w:rPr>
              <w:t>通知书中确定的成交总金额作为收费的计算参照；</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highlight w:val="none"/>
              </w:rPr>
            </w:pPr>
            <w:r>
              <w:rPr>
                <w:rFonts w:hint="eastAsia"/>
                <w:color w:val="auto"/>
                <w:highlight w:val="none"/>
              </w:rPr>
              <w:t>（2）中标服务费以转账或现金的形式支付。招标代理机构服务费汇入账号：</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highlight w:val="none"/>
              </w:rPr>
            </w:pPr>
            <w:r>
              <w:rPr>
                <w:rFonts w:hint="eastAsia"/>
                <w:color w:val="auto"/>
                <w:highlight w:val="none"/>
              </w:rPr>
              <w:t>收 款 人：国顺招标有限公司</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auto"/>
                <w:highlight w:val="none"/>
              </w:rPr>
            </w:pPr>
            <w:r>
              <w:rPr>
                <w:rFonts w:hint="eastAsia"/>
                <w:color w:val="auto"/>
                <w:highlight w:val="none"/>
              </w:rPr>
              <w:t>开户银行：广发银行股份有限公司东莞南城支行</w:t>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eastAsia="宋体" w:asciiTheme="minorHAnsi" w:hAnsiTheme="minorHAnsi" w:cstheme="minorBidi"/>
                <w:color w:val="auto"/>
                <w:kern w:val="2"/>
                <w:sz w:val="21"/>
                <w:szCs w:val="24"/>
                <w:highlight w:val="none"/>
                <w:lang w:val="en-US" w:eastAsia="zh-CN" w:bidi="ar-SA"/>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4"/>
        </w:numPr>
        <w:rPr>
          <w:color w:val="auto"/>
          <w:highlight w:val="none"/>
        </w:rPr>
      </w:pPr>
      <w:bookmarkStart w:id="52" w:name="_Toc21639"/>
      <w:r>
        <w:rPr>
          <w:rFonts w:hint="eastAsia"/>
          <w:color w:val="auto"/>
          <w:highlight w:val="none"/>
        </w:rPr>
        <w:t>投标须知</w:t>
      </w:r>
      <w:bookmarkEnd w:id="52"/>
    </w:p>
    <w:p>
      <w:pPr>
        <w:pStyle w:val="5"/>
        <w:rPr>
          <w:color w:val="auto"/>
          <w:highlight w:val="none"/>
        </w:rPr>
      </w:pPr>
      <w:bookmarkStart w:id="53" w:name="_Toc20860"/>
      <w:bookmarkStart w:id="54" w:name="_Toc2381"/>
      <w:r>
        <w:rPr>
          <w:rFonts w:hint="eastAsia"/>
          <w:color w:val="auto"/>
          <w:highlight w:val="none"/>
        </w:rPr>
        <w:t>1.适用范围</w:t>
      </w:r>
      <w:bookmarkEnd w:id="53"/>
      <w:bookmarkEnd w:id="54"/>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5"/>
        <w:rPr>
          <w:color w:val="auto"/>
          <w:highlight w:val="none"/>
        </w:rPr>
      </w:pPr>
      <w:bookmarkStart w:id="55" w:name="_Toc6621"/>
      <w:bookmarkStart w:id="56" w:name="_Toc15203"/>
      <w:r>
        <w:rPr>
          <w:rFonts w:hint="eastAsia"/>
          <w:color w:val="auto"/>
          <w:highlight w:val="none"/>
        </w:rPr>
        <w:t>2.</w:t>
      </w:r>
      <w:bookmarkStart w:id="57" w:name="_Toc1530"/>
      <w:bookmarkStart w:id="58" w:name="_Toc303084246"/>
      <w:bookmarkStart w:id="59" w:name="_Toc382049092"/>
      <w:bookmarkStart w:id="60" w:name="_Toc298847174"/>
      <w:r>
        <w:rPr>
          <w:rFonts w:hint="eastAsia"/>
          <w:color w:val="auto"/>
          <w:highlight w:val="none"/>
        </w:rPr>
        <w:t>定义</w:t>
      </w:r>
      <w:bookmarkEnd w:id="55"/>
      <w:bookmarkEnd w:id="56"/>
      <w:bookmarkEnd w:id="57"/>
      <w:bookmarkEnd w:id="58"/>
      <w:bookmarkEnd w:id="59"/>
      <w:bookmarkEnd w:id="60"/>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3" w:name="_Toc211763038"/>
      <w:r>
        <w:rPr>
          <w:rFonts w:hint="eastAsia" w:ascii="宋体" w:hAnsi="宋体" w:cs="宋体"/>
          <w:iCs/>
          <w:color w:val="auto"/>
          <w:szCs w:val="21"/>
          <w:highlight w:val="none"/>
        </w:rPr>
        <w:t>应当获得财政部门核准。依据《政府采购进口产品管理办法</w:t>
      </w:r>
      <w:bookmarkEnd w:id="63"/>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5"/>
        <w:rPr>
          <w:color w:val="auto"/>
          <w:highlight w:val="none"/>
        </w:rPr>
      </w:pPr>
      <w:bookmarkStart w:id="64" w:name="_Toc16909"/>
      <w:bookmarkStart w:id="65" w:name="_Toc32610"/>
      <w:r>
        <w:rPr>
          <w:rFonts w:hint="eastAsia"/>
          <w:color w:val="auto"/>
          <w:highlight w:val="none"/>
        </w:rPr>
        <w:t>4.投标费用</w:t>
      </w:r>
      <w:bookmarkEnd w:id="64"/>
      <w:bookmarkEnd w:id="65"/>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5"/>
        <w:rPr>
          <w:color w:val="auto"/>
          <w:highlight w:val="none"/>
        </w:rPr>
      </w:pPr>
      <w:bookmarkStart w:id="66" w:name="_Toc24409"/>
      <w:bookmarkStart w:id="67" w:name="_Toc13316"/>
      <w:r>
        <w:rPr>
          <w:rFonts w:hint="eastAsia"/>
          <w:color w:val="auto"/>
          <w:highlight w:val="none"/>
        </w:rPr>
        <w:t>5.知识产权</w:t>
      </w:r>
      <w:bookmarkEnd w:id="66"/>
      <w:bookmarkEnd w:id="67"/>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5"/>
        <w:rPr>
          <w:color w:val="auto"/>
          <w:highlight w:val="none"/>
        </w:rPr>
      </w:pPr>
      <w:bookmarkStart w:id="68" w:name="_Toc25530"/>
      <w:bookmarkStart w:id="69" w:name="_Toc25911"/>
      <w:r>
        <w:rPr>
          <w:rFonts w:hint="eastAsia"/>
          <w:color w:val="auto"/>
          <w:highlight w:val="none"/>
        </w:rPr>
        <w:t>6.关于联合体投标</w:t>
      </w:r>
      <w:bookmarkEnd w:id="68"/>
      <w:bookmarkEnd w:id="69"/>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0" w:name="_Toc24312"/>
      <w:bookmarkStart w:id="71" w:name="_Toc27528"/>
      <w:r>
        <w:rPr>
          <w:rFonts w:hint="eastAsia"/>
          <w:color w:val="auto"/>
          <w:highlight w:val="none"/>
        </w:rPr>
        <w:t>7.关于分支机构投标</w:t>
      </w:r>
      <w:bookmarkEnd w:id="70"/>
      <w:bookmarkEnd w:id="71"/>
    </w:p>
    <w:p>
      <w:pPr>
        <w:pStyle w:val="22"/>
        <w:numPr>
          <w:ilvl w:val="0"/>
          <w:numId w:val="5"/>
        </w:numPr>
        <w:spacing w:line="400" w:lineRule="exact"/>
        <w:ind w:firstLineChars="0"/>
        <w:jc w:val="both"/>
        <w:rPr>
          <w:rFonts w:ascii="宋体" w:hAnsi="宋体" w:cs="宋体"/>
          <w:vanish/>
          <w:color w:val="auto"/>
          <w:szCs w:val="21"/>
          <w:highlight w:val="none"/>
        </w:rPr>
      </w:pPr>
      <w:bookmarkStart w:id="72" w:name="EB389f116341dd4693875bc7987e7327f3"/>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2"/>
    </w:p>
    <w:p>
      <w:pPr>
        <w:spacing w:line="360" w:lineRule="auto"/>
        <w:rPr>
          <w:rFonts w:ascii="宋体" w:hAnsi="宋体" w:cs="宋体"/>
          <w:color w:val="auto"/>
          <w:szCs w:val="21"/>
          <w:highlight w:val="none"/>
        </w:rPr>
      </w:pPr>
    </w:p>
    <w:p>
      <w:pPr>
        <w:pStyle w:val="5"/>
        <w:rPr>
          <w:color w:val="auto"/>
          <w:highlight w:val="none"/>
        </w:rPr>
      </w:pPr>
      <w:bookmarkStart w:id="73" w:name="_Toc13645"/>
      <w:bookmarkStart w:id="74" w:name="_Toc15490"/>
      <w:r>
        <w:rPr>
          <w:rFonts w:hint="eastAsia"/>
          <w:color w:val="auto"/>
          <w:highlight w:val="none"/>
        </w:rPr>
        <w:t>8.招标文件的组成</w:t>
      </w:r>
      <w:bookmarkEnd w:id="73"/>
      <w:bookmarkEnd w:id="74"/>
    </w:p>
    <w:p>
      <w:pPr>
        <w:pStyle w:val="22"/>
        <w:numPr>
          <w:ilvl w:val="0"/>
          <w:numId w:val="5"/>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75" w:name="_Toc644"/>
      <w:bookmarkStart w:id="76" w:name="_Toc7789"/>
      <w:r>
        <w:rPr>
          <w:rFonts w:hint="eastAsia"/>
          <w:color w:val="auto"/>
          <w:highlight w:val="none"/>
        </w:rPr>
        <w:t>9.招标文件的澄清或修改</w:t>
      </w:r>
      <w:bookmarkEnd w:id="75"/>
      <w:bookmarkEnd w:id="76"/>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9"/>
        <w:ind w:left="0"/>
        <w:rPr>
          <w:color w:val="auto"/>
          <w:sz w:val="21"/>
          <w:szCs w:val="21"/>
          <w:highlight w:val="none"/>
        </w:rPr>
      </w:pPr>
    </w:p>
    <w:p>
      <w:pPr>
        <w:pStyle w:val="5"/>
        <w:rPr>
          <w:color w:val="auto"/>
          <w:highlight w:val="none"/>
        </w:rPr>
      </w:pPr>
      <w:bookmarkStart w:id="77" w:name="_Toc708"/>
      <w:bookmarkStart w:id="78" w:name="_Toc6458"/>
      <w:r>
        <w:rPr>
          <w:rFonts w:hint="eastAsia"/>
          <w:color w:val="auto"/>
          <w:highlight w:val="none"/>
        </w:rPr>
        <w:t>10.投标文件的语言及度量衡单位</w:t>
      </w:r>
      <w:bookmarkEnd w:id="77"/>
      <w:bookmarkEnd w:id="78"/>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5"/>
        <w:rPr>
          <w:color w:val="auto"/>
          <w:highlight w:val="none"/>
        </w:rPr>
      </w:pPr>
      <w:bookmarkStart w:id="79" w:name="_Toc28866"/>
      <w:bookmarkStart w:id="80" w:name="_Toc307934854"/>
      <w:bookmarkStart w:id="81" w:name="_Toc382049103"/>
      <w:bookmarkStart w:id="82" w:name="_Toc303084256"/>
      <w:bookmarkStart w:id="83" w:name="_Toc29420"/>
      <w:bookmarkStart w:id="84" w:name="_Toc8246"/>
      <w:r>
        <w:rPr>
          <w:rFonts w:hint="eastAsia"/>
          <w:color w:val="auto"/>
          <w:highlight w:val="none"/>
        </w:rPr>
        <w:t>11.投标文件的组成</w:t>
      </w:r>
      <w:bookmarkEnd w:id="79"/>
      <w:bookmarkEnd w:id="80"/>
      <w:bookmarkEnd w:id="81"/>
      <w:bookmarkEnd w:id="82"/>
      <w:bookmarkEnd w:id="83"/>
      <w:bookmarkEnd w:id="84"/>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5"/>
        <w:rPr>
          <w:color w:val="auto"/>
          <w:highlight w:val="none"/>
        </w:rPr>
      </w:pPr>
      <w:bookmarkStart w:id="85" w:name="_Toc5980"/>
      <w:bookmarkStart w:id="86" w:name="_Toc11356"/>
      <w:r>
        <w:rPr>
          <w:rFonts w:hint="eastAsia"/>
          <w:color w:val="auto"/>
          <w:highlight w:val="none"/>
        </w:rPr>
        <w:t>12.投标文件编制</w:t>
      </w:r>
      <w:bookmarkEnd w:id="85"/>
      <w:bookmarkEnd w:id="86"/>
    </w:p>
    <w:p>
      <w:pPr>
        <w:pStyle w:val="22"/>
        <w:numPr>
          <w:ilvl w:val="0"/>
          <w:numId w:val="5"/>
        </w:numPr>
        <w:spacing w:line="400" w:lineRule="exact"/>
        <w:ind w:firstLineChars="0"/>
        <w:jc w:val="both"/>
        <w:rPr>
          <w:rFonts w:ascii="宋体" w:hAnsi="宋体" w:cs="宋体"/>
          <w:vanish/>
          <w:color w:val="auto"/>
          <w:szCs w:val="21"/>
          <w:highlight w:val="none"/>
        </w:rPr>
      </w:pPr>
      <w:bookmarkStart w:id="87" w:name="_Toc303084258"/>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7"/>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5"/>
        <w:rPr>
          <w:color w:val="auto"/>
          <w:highlight w:val="none"/>
        </w:rPr>
      </w:pPr>
      <w:bookmarkStart w:id="88" w:name="_Toc1355"/>
      <w:bookmarkStart w:id="89" w:name="_Toc28034"/>
      <w:r>
        <w:rPr>
          <w:rFonts w:hint="eastAsia"/>
          <w:color w:val="auto"/>
          <w:highlight w:val="none"/>
        </w:rPr>
        <w:t>13.投标报价说明</w:t>
      </w:r>
      <w:bookmarkEnd w:id="88"/>
      <w:bookmarkEnd w:id="89"/>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5"/>
        <w:rPr>
          <w:color w:val="auto"/>
          <w:highlight w:val="none"/>
        </w:rPr>
      </w:pPr>
      <w:bookmarkStart w:id="90" w:name="_Toc34"/>
      <w:bookmarkStart w:id="91" w:name="_Toc6729"/>
      <w:r>
        <w:rPr>
          <w:rFonts w:hint="eastAsia"/>
          <w:color w:val="auto"/>
          <w:highlight w:val="none"/>
        </w:rPr>
        <w:t>14.投标人所提供的服务或货物的证明文件</w:t>
      </w:r>
      <w:bookmarkEnd w:id="90"/>
      <w:bookmarkEnd w:id="91"/>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bookmarkStart w:id="92" w:name="_Hlt107925668"/>
      <w:bookmarkEnd w:id="92"/>
      <w:bookmarkStart w:id="93" w:name="_Hlt107925638"/>
      <w:bookmarkEnd w:id="93"/>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2"/>
        <w:spacing w:line="400" w:lineRule="exact"/>
        <w:ind w:left="425" w:firstLine="0" w:firstLineChars="0"/>
        <w:jc w:val="both"/>
        <w:rPr>
          <w:rFonts w:ascii="宋体" w:hAnsi="宋体" w:cs="宋体"/>
          <w:color w:val="auto"/>
          <w:szCs w:val="21"/>
          <w:highlight w:val="none"/>
        </w:rPr>
      </w:pPr>
    </w:p>
    <w:p>
      <w:pPr>
        <w:pStyle w:val="5"/>
        <w:rPr>
          <w:color w:val="auto"/>
          <w:highlight w:val="none"/>
        </w:rPr>
      </w:pPr>
      <w:bookmarkStart w:id="94" w:name="_Toc10940"/>
      <w:bookmarkStart w:id="95" w:name="_Toc29725"/>
      <w:r>
        <w:rPr>
          <w:rFonts w:hint="eastAsia"/>
          <w:color w:val="auto"/>
          <w:highlight w:val="none"/>
        </w:rPr>
        <w:t>15.★投标有效期</w:t>
      </w:r>
      <w:bookmarkEnd w:id="94"/>
      <w:bookmarkEnd w:id="95"/>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5"/>
        <w:rPr>
          <w:rFonts w:hint="eastAsia" w:eastAsia="宋体"/>
          <w:color w:val="auto"/>
          <w:highlight w:val="none"/>
          <w:lang w:eastAsia="zh-CN"/>
        </w:rPr>
      </w:pPr>
      <w:bookmarkStart w:id="96" w:name="_Toc5483"/>
      <w:bookmarkStart w:id="97" w:name="_Toc15529"/>
      <w:r>
        <w:rPr>
          <w:rFonts w:hint="eastAsia"/>
          <w:color w:val="auto"/>
          <w:highlight w:val="none"/>
        </w:rPr>
        <w:t>16.★投标保证金</w:t>
      </w:r>
      <w:bookmarkEnd w:id="96"/>
      <w:bookmarkEnd w:id="97"/>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pPr>
        <w:pStyle w:val="22"/>
        <w:numPr>
          <w:ilvl w:val="0"/>
          <w:numId w:val="5"/>
        </w:numPr>
        <w:spacing w:line="400" w:lineRule="exact"/>
        <w:ind w:firstLineChars="0"/>
        <w:jc w:val="both"/>
        <w:rPr>
          <w:rFonts w:ascii="宋体" w:hAnsi="宋体" w:cs="宋体"/>
          <w:vanish/>
          <w:color w:val="auto"/>
          <w:szCs w:val="21"/>
          <w:highlight w:val="none"/>
        </w:rPr>
      </w:pPr>
      <w:bookmarkStart w:id="98" w:name="_Ref179619405"/>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8"/>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5"/>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9"/>
        <w:rPr>
          <w:color w:val="auto"/>
          <w:sz w:val="21"/>
          <w:szCs w:val="21"/>
          <w:highlight w:val="none"/>
        </w:rPr>
      </w:pPr>
    </w:p>
    <w:p>
      <w:pPr>
        <w:pStyle w:val="5"/>
        <w:rPr>
          <w:color w:val="auto"/>
          <w:highlight w:val="none"/>
        </w:rPr>
      </w:pPr>
      <w:bookmarkStart w:id="99" w:name="_Toc382049111"/>
      <w:bookmarkStart w:id="100" w:name="_Toc16724"/>
      <w:bookmarkStart w:id="101" w:name="_Toc24997"/>
      <w:bookmarkStart w:id="102" w:name="_Toc16286"/>
      <w:bookmarkStart w:id="103" w:name="_Toc303084264"/>
      <w:r>
        <w:rPr>
          <w:rFonts w:hint="eastAsia"/>
          <w:color w:val="auto"/>
          <w:highlight w:val="none"/>
        </w:rPr>
        <w:t>17.投标文件的装订，签署，密封和标记</w:t>
      </w:r>
      <w:bookmarkEnd w:id="99"/>
      <w:bookmarkEnd w:id="100"/>
      <w:bookmarkEnd w:id="101"/>
      <w:bookmarkEnd w:id="102"/>
      <w:bookmarkEnd w:id="103"/>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04" w:name="_Toc17636"/>
      <w:bookmarkStart w:id="105" w:name="_Toc30088"/>
      <w:r>
        <w:rPr>
          <w:rFonts w:hint="eastAsia"/>
          <w:color w:val="auto"/>
          <w:highlight w:val="none"/>
        </w:rPr>
        <w:t>18.迟交的投标文件</w:t>
      </w:r>
      <w:bookmarkEnd w:id="104"/>
      <w:bookmarkEnd w:id="105"/>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5"/>
        <w:rPr>
          <w:color w:val="auto"/>
          <w:highlight w:val="none"/>
        </w:rPr>
      </w:pPr>
      <w:bookmarkStart w:id="106" w:name="_Toc15912"/>
      <w:bookmarkStart w:id="107" w:name="_Toc24269"/>
      <w:r>
        <w:rPr>
          <w:rFonts w:hint="eastAsia"/>
          <w:color w:val="auto"/>
          <w:highlight w:val="none"/>
        </w:rPr>
        <w:t>19.投标样品、投标演示（如有要求）</w:t>
      </w:r>
      <w:bookmarkEnd w:id="106"/>
      <w:bookmarkEnd w:id="107"/>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5"/>
        <w:rPr>
          <w:color w:val="auto"/>
          <w:highlight w:val="none"/>
        </w:rPr>
      </w:pPr>
      <w:bookmarkStart w:id="108" w:name="_Toc382049112"/>
      <w:bookmarkStart w:id="109" w:name="_Toc9777"/>
      <w:bookmarkStart w:id="110" w:name="_Toc22355"/>
      <w:bookmarkStart w:id="111" w:name="_Toc303084265"/>
      <w:bookmarkStart w:id="112" w:name="_Toc28098"/>
      <w:r>
        <w:rPr>
          <w:rFonts w:hint="eastAsia"/>
          <w:color w:val="auto"/>
          <w:highlight w:val="none"/>
        </w:rPr>
        <w:t>20.投标截止期</w:t>
      </w:r>
      <w:bookmarkEnd w:id="108"/>
      <w:bookmarkEnd w:id="109"/>
      <w:bookmarkEnd w:id="110"/>
      <w:bookmarkEnd w:id="111"/>
      <w:bookmarkEnd w:id="112"/>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5"/>
        <w:rPr>
          <w:color w:val="auto"/>
          <w:highlight w:val="none"/>
        </w:rPr>
      </w:pPr>
      <w:bookmarkStart w:id="113" w:name="_Toc4270"/>
      <w:bookmarkStart w:id="114" w:name="_Toc22260"/>
      <w:r>
        <w:rPr>
          <w:rFonts w:hint="eastAsia"/>
          <w:color w:val="auto"/>
          <w:highlight w:val="none"/>
        </w:rPr>
        <w:t>21.投标文件的补充、修改与撤回</w:t>
      </w:r>
      <w:bookmarkEnd w:id="113"/>
      <w:bookmarkEnd w:id="114"/>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9"/>
        <w:spacing w:line="360" w:lineRule="auto"/>
        <w:rPr>
          <w:color w:val="auto"/>
          <w:sz w:val="21"/>
          <w:szCs w:val="21"/>
          <w:highlight w:val="none"/>
        </w:rPr>
      </w:pPr>
    </w:p>
    <w:p>
      <w:pPr>
        <w:pStyle w:val="6"/>
        <w:overflowPunct w:val="0"/>
        <w:spacing w:before="0" w:after="0" w:line="400" w:lineRule="exact"/>
        <w:rPr>
          <w:rFonts w:ascii="宋体" w:hAnsi="宋体" w:cs="宋体"/>
          <w:color w:val="auto"/>
          <w:sz w:val="21"/>
          <w:szCs w:val="21"/>
          <w:highlight w:val="none"/>
        </w:rPr>
      </w:pPr>
      <w:bookmarkStart w:id="115" w:name="_Toc174"/>
      <w:r>
        <w:rPr>
          <w:rFonts w:hint="eastAsia" w:ascii="宋体" w:hAnsi="宋体" w:cs="宋体"/>
          <w:color w:val="auto"/>
          <w:sz w:val="21"/>
          <w:szCs w:val="21"/>
          <w:highlight w:val="none"/>
        </w:rPr>
        <w:t>22.开标</w:t>
      </w:r>
      <w:bookmarkEnd w:id="115"/>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5"/>
        <w:rPr>
          <w:color w:val="auto"/>
          <w:highlight w:val="none"/>
        </w:rPr>
      </w:pPr>
      <w:bookmarkStart w:id="116" w:name="_Toc318"/>
      <w:bookmarkStart w:id="117" w:name="_Toc23244"/>
      <w:r>
        <w:rPr>
          <w:rFonts w:hint="eastAsia"/>
          <w:color w:val="auto"/>
          <w:highlight w:val="none"/>
        </w:rPr>
        <w:t>23.评标委员会及评标方法</w:t>
      </w:r>
      <w:bookmarkEnd w:id="116"/>
      <w:bookmarkEnd w:id="117"/>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5"/>
        <w:rPr>
          <w:color w:val="auto"/>
          <w:highlight w:val="none"/>
        </w:rPr>
      </w:pPr>
      <w:bookmarkStart w:id="118" w:name="_Toc15635"/>
      <w:bookmarkStart w:id="119" w:name="_Toc21911"/>
      <w:r>
        <w:rPr>
          <w:rFonts w:hint="eastAsia"/>
          <w:color w:val="auto"/>
          <w:highlight w:val="none"/>
        </w:rPr>
        <w:t>24.评审原则及评标过程的保密</w:t>
      </w:r>
      <w:bookmarkEnd w:id="118"/>
      <w:bookmarkEnd w:id="119"/>
    </w:p>
    <w:p>
      <w:pPr>
        <w:pStyle w:val="22"/>
        <w:numPr>
          <w:ilvl w:val="0"/>
          <w:numId w:val="5"/>
        </w:numPr>
        <w:spacing w:line="400" w:lineRule="exact"/>
        <w:ind w:firstLineChars="0"/>
        <w:jc w:val="both"/>
        <w:rPr>
          <w:rFonts w:ascii="宋体" w:hAnsi="宋体" w:cs="宋体"/>
          <w:vanish/>
          <w:color w:val="auto"/>
          <w:szCs w:val="21"/>
          <w:highlight w:val="none"/>
        </w:rPr>
      </w:pP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5"/>
        <w:rPr>
          <w:color w:val="auto"/>
          <w:highlight w:val="none"/>
        </w:rPr>
      </w:pPr>
      <w:bookmarkStart w:id="120" w:name="_Toc12318"/>
      <w:bookmarkStart w:id="121" w:name="_Toc10950"/>
      <w:r>
        <w:rPr>
          <w:rFonts w:hint="eastAsia"/>
          <w:color w:val="auto"/>
          <w:highlight w:val="none"/>
        </w:rPr>
        <w:t>25.投标文件的初审</w:t>
      </w:r>
      <w:bookmarkEnd w:id="120"/>
      <w:bookmarkEnd w:id="121"/>
    </w:p>
    <w:p>
      <w:pPr>
        <w:pStyle w:val="22"/>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5"/>
        <w:rPr>
          <w:color w:val="auto"/>
          <w:highlight w:val="none"/>
        </w:rPr>
      </w:pPr>
      <w:bookmarkStart w:id="122" w:name="_Toc19657"/>
      <w:bookmarkStart w:id="123" w:name="_Toc24775"/>
      <w:r>
        <w:rPr>
          <w:rFonts w:hint="eastAsia"/>
          <w:color w:val="auto"/>
          <w:highlight w:val="none"/>
        </w:rPr>
        <w:t>26.商务、技术、价格评审</w:t>
      </w:r>
      <w:bookmarkEnd w:id="122"/>
      <w:bookmarkEnd w:id="123"/>
    </w:p>
    <w:p>
      <w:pPr>
        <w:pStyle w:val="22"/>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5"/>
        <w:rPr>
          <w:color w:val="auto"/>
          <w:highlight w:val="none"/>
        </w:rPr>
      </w:pPr>
      <w:bookmarkStart w:id="124" w:name="_Toc316375620"/>
      <w:bookmarkStart w:id="125" w:name="_Toc19304"/>
      <w:bookmarkStart w:id="126" w:name="_Toc20328"/>
      <w:bookmarkStart w:id="127" w:name="_Toc382049120"/>
      <w:bookmarkStart w:id="128" w:name="_Toc5898"/>
      <w:r>
        <w:rPr>
          <w:rFonts w:hint="eastAsia"/>
          <w:color w:val="auto"/>
          <w:highlight w:val="none"/>
        </w:rPr>
        <w:t>27.纪律和保密</w:t>
      </w:r>
      <w:bookmarkEnd w:id="124"/>
      <w:r>
        <w:rPr>
          <w:rFonts w:hint="eastAsia"/>
          <w:color w:val="auto"/>
          <w:highlight w:val="none"/>
        </w:rPr>
        <w:t>事项</w:t>
      </w:r>
      <w:bookmarkEnd w:id="125"/>
      <w:bookmarkEnd w:id="126"/>
      <w:bookmarkEnd w:id="127"/>
      <w:bookmarkEnd w:id="128"/>
    </w:p>
    <w:p>
      <w:pPr>
        <w:pStyle w:val="22"/>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rPr>
          <w:color w:val="auto"/>
          <w:highlight w:val="none"/>
        </w:rPr>
      </w:pPr>
      <w:bookmarkStart w:id="129" w:name="_Toc1994"/>
      <w:bookmarkStart w:id="130" w:name="_Toc4954"/>
      <w:bookmarkStart w:id="131" w:name="_Toc508284011"/>
      <w:r>
        <w:rPr>
          <w:rFonts w:hint="eastAsia"/>
          <w:color w:val="auto"/>
          <w:highlight w:val="none"/>
        </w:rPr>
        <w:t>28.合同授予标准</w:t>
      </w:r>
      <w:bookmarkEnd w:id="129"/>
      <w:bookmarkEnd w:id="130"/>
      <w:bookmarkEnd w:id="131"/>
    </w:p>
    <w:p>
      <w:pPr>
        <w:pStyle w:val="22"/>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5"/>
        <w:rPr>
          <w:color w:val="auto"/>
          <w:highlight w:val="none"/>
        </w:rPr>
      </w:pPr>
      <w:bookmarkStart w:id="132" w:name="_Toc508284013"/>
      <w:bookmarkStart w:id="133" w:name="_Toc14141"/>
      <w:bookmarkStart w:id="134" w:name="_Toc22043"/>
      <w:r>
        <w:rPr>
          <w:rFonts w:hint="eastAsia"/>
          <w:color w:val="auto"/>
          <w:highlight w:val="none"/>
        </w:rPr>
        <w:t>30.发布采购结果</w:t>
      </w:r>
      <w:bookmarkEnd w:id="132"/>
      <w:bookmarkEnd w:id="133"/>
      <w:bookmarkEnd w:id="134"/>
    </w:p>
    <w:p>
      <w:pPr>
        <w:pStyle w:val="22"/>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5"/>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5"/>
        <w:rPr>
          <w:color w:val="auto"/>
          <w:highlight w:val="none"/>
        </w:rPr>
      </w:pPr>
      <w:bookmarkStart w:id="135" w:name="_Toc11977"/>
      <w:bookmarkStart w:id="136" w:name="_Toc8411"/>
      <w:r>
        <w:rPr>
          <w:rFonts w:hint="eastAsia"/>
          <w:color w:val="auto"/>
          <w:highlight w:val="none"/>
        </w:rPr>
        <w:t>30.合同的签订与履行</w:t>
      </w:r>
      <w:bookmarkEnd w:id="135"/>
      <w:bookmarkEnd w:id="136"/>
    </w:p>
    <w:p>
      <w:pPr>
        <w:pStyle w:val="22"/>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9"/>
        <w:rPr>
          <w:color w:val="auto"/>
          <w:sz w:val="21"/>
          <w:szCs w:val="21"/>
          <w:highlight w:val="none"/>
        </w:rPr>
      </w:pPr>
    </w:p>
    <w:p>
      <w:pPr>
        <w:pStyle w:val="5"/>
        <w:rPr>
          <w:color w:val="auto"/>
          <w:highlight w:val="none"/>
        </w:rPr>
      </w:pPr>
      <w:bookmarkStart w:id="137" w:name="_Toc23400"/>
      <w:bookmarkStart w:id="138" w:name="_Toc19434"/>
      <w:r>
        <w:rPr>
          <w:rFonts w:hint="eastAsia"/>
          <w:color w:val="auto"/>
          <w:highlight w:val="none"/>
        </w:rPr>
        <w:t>31.招标文件的解释权</w:t>
      </w:r>
      <w:bookmarkEnd w:id="137"/>
      <w:bookmarkEnd w:id="138"/>
    </w:p>
    <w:p>
      <w:pPr>
        <w:pStyle w:val="22"/>
        <w:numPr>
          <w:ilvl w:val="0"/>
          <w:numId w:val="5"/>
        </w:numPr>
        <w:tabs>
          <w:tab w:val="left" w:pos="907"/>
        </w:tabs>
        <w:spacing w:line="400" w:lineRule="exact"/>
        <w:ind w:firstLineChars="0"/>
        <w:jc w:val="both"/>
        <w:rPr>
          <w:rFonts w:ascii="宋体" w:hAnsi="宋体" w:cs="宋体"/>
          <w:vanish/>
          <w:color w:val="auto"/>
          <w:szCs w:val="21"/>
          <w:highlight w:val="none"/>
        </w:rPr>
      </w:pPr>
    </w:p>
    <w:p>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rPr>
          <w:color w:val="auto"/>
          <w:highlight w:val="none"/>
        </w:rPr>
      </w:pPr>
      <w:bookmarkStart w:id="139" w:name="_Toc27892"/>
      <w:r>
        <w:rPr>
          <w:rFonts w:hint="eastAsia"/>
          <w:color w:val="auto"/>
          <w:highlight w:val="none"/>
        </w:rPr>
        <w:t>用户需求书</w:t>
      </w:r>
      <w:bookmarkEnd w:id="139"/>
    </w:p>
    <w:p>
      <w:pPr>
        <w:jc w:val="center"/>
        <w:outlineLvl w:val="1"/>
        <w:rPr>
          <w:rFonts w:hint="eastAsia" w:eastAsia="宋体"/>
          <w:b/>
          <w:bCs/>
          <w:color w:val="auto"/>
          <w:sz w:val="28"/>
          <w:szCs w:val="36"/>
          <w:highlight w:val="none"/>
          <w:lang w:eastAsia="zh-CN"/>
        </w:rPr>
      </w:pPr>
      <w:r>
        <w:rPr>
          <w:rFonts w:hint="eastAsia"/>
          <w:b/>
          <w:bCs/>
          <w:color w:val="auto"/>
          <w:sz w:val="28"/>
          <w:szCs w:val="36"/>
          <w:highlight w:val="none"/>
        </w:rPr>
        <w:t>商务要求</w:t>
      </w:r>
    </w:p>
    <w:tbl>
      <w:tblPr>
        <w:tblStyle w:val="17"/>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自合同签订日起三年。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ascii="Times New Roman" w:hAnsi="Times New Roman" w:eastAsia="宋体" w:cs="Times New Roman"/>
                <w:color w:val="auto"/>
                <w:highlight w:val="none"/>
              </w:rPr>
              <w:t>采购人指定地点（如有变化另行确定）。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服务费按月支付：每月服务费=中标总价/36个月</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支付时间均为次月的30日前，每期款项支付前中标供应商应当提前7个工作日向采购人提交合法有效的发票等材料申请支付。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501" w:type="dxa"/>
            <w:vAlign w:val="center"/>
          </w:tcPr>
          <w:p>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6466" w:type="dxa"/>
            <w:vAlign w:val="center"/>
          </w:tcPr>
          <w:p>
            <w:pPr>
              <w:spacing w:line="360" w:lineRule="auto"/>
              <w:ind w:firstLine="420" w:firstLineChars="200"/>
              <w:rPr>
                <w:rFonts w:hint="eastAsia" w:ascii="宋体" w:hAnsi="宋体" w:cs="宋体"/>
                <w:bCs/>
                <w:color w:val="auto"/>
                <w:szCs w:val="21"/>
                <w:highlight w:val="none"/>
              </w:rPr>
            </w:pPr>
            <w:r>
              <w:rPr>
                <w:rFonts w:hint="eastAsia"/>
                <w:b w:val="0"/>
                <w:bCs/>
                <w:color w:val="auto"/>
                <w:highlight w:val="none"/>
                <w:lang w:eastAsia="zh-CN"/>
              </w:rPr>
              <w:t>本项目</w:t>
            </w:r>
            <w:r>
              <w:rPr>
                <w:rFonts w:hint="eastAsia"/>
                <w:b w:val="0"/>
                <w:bCs/>
                <w:color w:val="auto"/>
                <w:highlight w:val="none"/>
              </w:rPr>
              <w:t>报价方式为</w:t>
            </w:r>
            <w:r>
              <w:rPr>
                <w:rFonts w:hint="eastAsia"/>
                <w:b w:val="0"/>
                <w:bCs/>
                <w:color w:val="auto"/>
                <w:highlight w:val="none"/>
                <w:lang w:val="en-US" w:eastAsia="zh-CN"/>
              </w:rPr>
              <w:t>总价</w:t>
            </w:r>
            <w:r>
              <w:rPr>
                <w:rFonts w:hint="eastAsia"/>
                <w:b w:val="0"/>
                <w:bCs/>
                <w:color w:val="auto"/>
                <w:highlight w:val="none"/>
                <w:lang w:eastAsia="zh-CN"/>
              </w:rPr>
              <w:t>报价（</w:t>
            </w:r>
            <w:r>
              <w:rPr>
                <w:rFonts w:hint="eastAsia"/>
                <w:b w:val="0"/>
                <w:bCs/>
                <w:color w:val="auto"/>
                <w:highlight w:val="none"/>
                <w:lang w:val="en-US" w:eastAsia="zh-CN"/>
              </w:rPr>
              <w:t>含税</w:t>
            </w:r>
            <w:r>
              <w:rPr>
                <w:rFonts w:hint="eastAsia"/>
                <w:b w:val="0"/>
                <w:bCs/>
                <w:color w:val="auto"/>
                <w:highlight w:val="none"/>
                <w:lang w:eastAsia="zh-CN"/>
              </w:rPr>
              <w:t>）</w:t>
            </w:r>
            <w:r>
              <w:rPr>
                <w:rFonts w:hint="eastAsia" w:ascii="Times New Roman" w:hAnsi="Times New Roman" w:eastAsia="宋体" w:cs="Times New Roman"/>
                <w:color w:val="auto"/>
                <w:szCs w:val="21"/>
                <w:highlight w:val="none"/>
                <w:lang w:eastAsia="zh-CN"/>
              </w:rPr>
              <w:t>，</w:t>
            </w:r>
            <w:r>
              <w:rPr>
                <w:rFonts w:hint="eastAsia"/>
                <w:b w:val="0"/>
                <w:bCs/>
                <w:color w:val="auto"/>
                <w:highlight w:val="none"/>
                <w:lang w:eastAsia="zh-CN"/>
              </w:rPr>
              <w:t>投标人未按照要求报价作投标无效处理</w:t>
            </w:r>
            <w:r>
              <w:rPr>
                <w:rFonts w:hint="eastAsia"/>
                <w:color w:val="auto"/>
                <w:highlight w:val="none"/>
              </w:rPr>
              <w:t>。</w:t>
            </w:r>
            <w:r>
              <w:rPr>
                <w:rFonts w:hint="eastAsia" w:ascii="宋体" w:hAnsi="宋体" w:eastAsia="宋体" w:cs="宋体"/>
                <w:color w:val="auto"/>
                <w:sz w:val="21"/>
                <w:szCs w:val="21"/>
                <w:highlight w:val="none"/>
                <w:lang w:val="en-US" w:eastAsia="zh-CN"/>
              </w:rPr>
              <w:t>预算金额：2,95</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,000.00元</w:t>
            </w:r>
            <w:r>
              <w:rPr>
                <w:rFonts w:hint="eastAsia" w:ascii="宋体" w:hAnsi="宋体" w:cs="宋体"/>
                <w:color w:val="auto"/>
                <w:sz w:val="21"/>
                <w:szCs w:val="21"/>
                <w:highlight w:val="none"/>
                <w:lang w:val="en-US" w:eastAsia="zh-CN"/>
              </w:rPr>
              <w:t>。</w:t>
            </w:r>
          </w:p>
          <w:p>
            <w:pPr>
              <w:tabs>
                <w:tab w:val="left" w:pos="742"/>
              </w:tabs>
              <w:spacing w:line="360" w:lineRule="auto"/>
              <w:rPr>
                <w:rFonts w:ascii="宋体" w:hAnsi="宋体"/>
                <w:color w:val="auto"/>
                <w:highlight w:val="none"/>
              </w:rPr>
            </w:pPr>
            <w:r>
              <w:rPr>
                <w:rFonts w:hint="eastAsia" w:ascii="宋体" w:hAnsi="宋体" w:cs="宋体"/>
                <w:bCs/>
                <w:color w:val="auto"/>
                <w:szCs w:val="21"/>
                <w:highlight w:val="none"/>
              </w:rPr>
              <w:t>1、</w:t>
            </w:r>
            <w:r>
              <w:rPr>
                <w:rFonts w:hint="eastAsia" w:hAnsi="宋体" w:cs="宋体"/>
                <w:bCs/>
                <w:color w:val="auto"/>
                <w:szCs w:val="21"/>
                <w:highlight w:val="none"/>
                <w:lang w:val="en-US" w:eastAsia="zh-CN"/>
              </w:rPr>
              <w:t>投标总价</w:t>
            </w:r>
            <w:r>
              <w:rPr>
                <w:rFonts w:hint="eastAsia" w:ascii="宋体" w:hAnsi="宋体"/>
                <w:color w:val="auto"/>
                <w:highlight w:val="none"/>
              </w:rPr>
              <w:t>包含了提供本次服务的服务费及完成服务所须的需服务人员工资、社保、人身意外伤害保险、残疾人就业保障金、福利、税金、服务管理费、税费等本项目需求所涉及的可预见及不可预见的所有服务费用。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highlight w:val="none"/>
              </w:rPr>
              <w:t>2、</w:t>
            </w:r>
            <w:r>
              <w:rPr>
                <w:rFonts w:hint="eastAsia" w:hAnsi="宋体" w:cs="宋体"/>
                <w:bCs/>
                <w:color w:val="auto"/>
                <w:szCs w:val="21"/>
                <w:highlight w:val="none"/>
              </w:rPr>
              <w:t>供应商</w:t>
            </w:r>
            <w:r>
              <w:rPr>
                <w:rFonts w:hint="eastAsia" w:ascii="宋体" w:hAnsi="宋体"/>
                <w:color w:val="auto"/>
                <w:highlight w:val="none"/>
              </w:rPr>
              <w:t>必须对所有内容进行投标，除</w:t>
            </w:r>
            <w:r>
              <w:rPr>
                <w:rFonts w:hint="eastAsia" w:hAnsi="宋体" w:cs="宋体"/>
                <w:bCs/>
                <w:color w:val="auto"/>
                <w:szCs w:val="21"/>
                <w:highlight w:val="none"/>
              </w:rPr>
              <w:t>供应商</w:t>
            </w:r>
            <w:r>
              <w:rPr>
                <w:rFonts w:hint="eastAsia" w:ascii="宋体" w:hAnsi="宋体"/>
                <w:color w:val="auto"/>
                <w:highlight w:val="none"/>
              </w:rPr>
              <w:t>在投标文件中明确以外，</w:t>
            </w:r>
            <w:r>
              <w:rPr>
                <w:rFonts w:hint="eastAsia" w:hAnsi="宋体" w:cs="宋体"/>
                <w:bCs/>
                <w:color w:val="auto"/>
                <w:szCs w:val="21"/>
                <w:highlight w:val="none"/>
              </w:rPr>
              <w:t>供应商</w:t>
            </w:r>
            <w:r>
              <w:rPr>
                <w:rFonts w:hint="eastAsia" w:ascii="宋体" w:hAnsi="宋体"/>
                <w:color w:val="auto"/>
                <w:highlight w:val="none"/>
              </w:rPr>
              <w:t>不得</w:t>
            </w:r>
            <w:r>
              <w:rPr>
                <w:rFonts w:hint="eastAsia" w:ascii="宋体" w:hAnsi="宋体"/>
                <w:color w:val="auto"/>
                <w:szCs w:val="21"/>
                <w:highlight w:val="none"/>
              </w:rPr>
              <w:t>再以任何方式分包本项目。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501" w:type="dxa"/>
            <w:vAlign w:val="center"/>
          </w:tcPr>
          <w:p>
            <w:pPr>
              <w:spacing w:line="276" w:lineRule="auto"/>
              <w:jc w:val="center"/>
              <w:rPr>
                <w:rFonts w:hint="eastAsia" w:ascii="宋体" w:hAnsi="宋体" w:eastAsia="宋体" w:cs="宋体"/>
                <w:color w:val="auto"/>
                <w:sz w:val="21"/>
                <w:szCs w:val="21"/>
                <w:highlight w:val="none"/>
              </w:rPr>
            </w:pPr>
            <w:r>
              <w:rPr>
                <w:rFonts w:ascii="宋体" w:hAnsi="宋体" w:eastAsia="宋体"/>
                <w:color w:val="auto"/>
                <w:szCs w:val="21"/>
                <w:highlight w:val="none"/>
              </w:rPr>
              <w:t>合同条款</w:t>
            </w:r>
            <w:r>
              <w:rPr>
                <w:rFonts w:hint="eastAsia" w:ascii="宋体" w:hAnsi="宋体" w:eastAsia="宋体"/>
                <w:color w:val="auto"/>
                <w:szCs w:val="21"/>
                <w:highlight w:val="none"/>
                <w:lang w:eastAsia="zh-CN"/>
              </w:rPr>
              <w:t>及签订模式</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color w:val="auto"/>
                <w:highlight w:val="none"/>
              </w:rPr>
            </w:pPr>
            <w:r>
              <w:rPr>
                <w:rFonts w:hint="eastAsia" w:ascii="宋体" w:hAnsi="宋体" w:eastAsia="宋体"/>
                <w:color w:val="auto"/>
                <w:szCs w:val="21"/>
                <w:highlight w:val="none"/>
                <w:lang w:eastAsia="zh-CN"/>
              </w:rPr>
              <w:t>投标人</w:t>
            </w:r>
            <w:r>
              <w:rPr>
                <w:rFonts w:ascii="宋体" w:hAnsi="宋体" w:eastAsia="宋体"/>
                <w:color w:val="auto"/>
                <w:szCs w:val="21"/>
                <w:highlight w:val="none"/>
              </w:rPr>
              <w:t>实质响应合同各条款</w:t>
            </w:r>
            <w:r>
              <w:rPr>
                <w:rFonts w:hint="eastAsia" w:ascii="宋体" w:hAnsi="宋体" w:eastAsia="宋体"/>
                <w:color w:val="auto"/>
                <w:szCs w:val="21"/>
                <w:highlight w:val="none"/>
                <w:lang w:eastAsia="zh-CN"/>
              </w:rPr>
              <w:t>，</w:t>
            </w:r>
            <w:r>
              <w:rPr>
                <w:rFonts w:hint="eastAsia" w:ascii="宋体" w:hAnsi="宋体" w:eastAsia="宋体" w:cs="宋体"/>
                <w:b w:val="0"/>
                <w:bCs w:val="0"/>
                <w:color w:val="auto"/>
                <w:sz w:val="21"/>
                <w:szCs w:val="21"/>
                <w:highlight w:val="none"/>
                <w:lang w:val="en-US" w:eastAsia="zh-CN" w:bidi="zh-CN"/>
              </w:rPr>
              <w:t>合同签订采用“1+2”的形式签订，即首次签订合同为一年期，后续签订两年期的合同</w:t>
            </w:r>
            <w:r>
              <w:rPr>
                <w:rFonts w:ascii="宋体" w:hAnsi="宋体" w:eastAsia="宋体"/>
                <w:b w:val="0"/>
                <w:bCs w:val="0"/>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718"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6</w:t>
            </w:r>
          </w:p>
        </w:tc>
        <w:tc>
          <w:tcPr>
            <w:tcW w:w="1501"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其它</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color w:val="auto"/>
                <w:szCs w:val="21"/>
                <w:highlight w:val="none"/>
              </w:rPr>
            </w:pPr>
            <w:r>
              <w:rPr>
                <w:rFonts w:hint="eastAsia" w:ascii="宋体" w:hAnsi="宋体" w:cs="宋体"/>
                <w:bCs/>
                <w:color w:val="auto"/>
                <w:szCs w:val="21"/>
                <w:highlight w:val="none"/>
              </w:rPr>
              <w:t>中标供应商</w:t>
            </w:r>
            <w:r>
              <w:rPr>
                <w:rFonts w:hint="eastAsia"/>
                <w:color w:val="auto"/>
                <w:szCs w:val="21"/>
                <w:highlight w:val="none"/>
              </w:rPr>
              <w:t>不得以任何方式转包或分包本项目。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trPr>
        <w:tc>
          <w:tcPr>
            <w:tcW w:w="71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eastAsiaTheme="minorEastAsia"/>
                <w:color w:val="auto"/>
                <w:kern w:val="2"/>
                <w:sz w:val="21"/>
                <w:szCs w:val="21"/>
                <w:highlight w:val="none"/>
                <w:lang w:val="en-US" w:eastAsia="zh-CN" w:bidi="ar-SA"/>
              </w:rPr>
            </w:pPr>
          </w:p>
        </w:tc>
        <w:tc>
          <w:tcPr>
            <w:tcW w:w="1501" w:type="dxa"/>
            <w:vMerge w:val="continue"/>
            <w:vAlign w:val="center"/>
          </w:tcPr>
          <w:p>
            <w:pPr>
              <w:spacing w:line="276" w:lineRule="auto"/>
              <w:jc w:val="center"/>
              <w:rPr>
                <w:rFonts w:hint="eastAsia" w:ascii="宋体" w:hAnsi="宋体" w:eastAsia="宋体" w:cs="宋体"/>
                <w:color w:val="auto"/>
                <w:sz w:val="21"/>
                <w:szCs w:val="21"/>
                <w:highlight w:val="none"/>
              </w:rPr>
            </w:pP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Times New Roman" w:hAnsi="Times New Roman" w:eastAsia="宋体" w:cs="Times New Roman"/>
                <w:color w:val="auto"/>
                <w:szCs w:val="21"/>
                <w:highlight w:val="none"/>
                <w:lang w:eastAsia="zh-CN"/>
              </w:rPr>
            </w:pPr>
            <w:r>
              <w:rPr>
                <w:rFonts w:hint="eastAsia" w:ascii="宋体" w:hAnsi="宋体" w:cs="宋体"/>
                <w:bCs/>
                <w:color w:val="auto"/>
                <w:szCs w:val="21"/>
                <w:highlight w:val="none"/>
              </w:rPr>
              <w:t>中标供应商</w:t>
            </w:r>
            <w:r>
              <w:rPr>
                <w:rFonts w:hint="eastAsia"/>
                <w:color w:val="auto"/>
                <w:szCs w:val="21"/>
                <w:highlight w:val="none"/>
              </w:rPr>
              <w:t>必须协助采购人办理</w:t>
            </w:r>
            <w:r>
              <w:rPr>
                <w:rFonts w:hint="eastAsia"/>
                <w:color w:val="auto"/>
                <w:szCs w:val="21"/>
                <w:highlight w:val="none"/>
                <w:lang w:val="en-US" w:eastAsia="zh-CN"/>
              </w:rPr>
              <w:t>食堂</w:t>
            </w:r>
            <w:r>
              <w:rPr>
                <w:rFonts w:hint="eastAsia"/>
                <w:color w:val="auto"/>
                <w:szCs w:val="21"/>
                <w:highlight w:val="none"/>
              </w:rPr>
              <w:t>经营相关手续，否则，采购人有权取消其中标资格。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718"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cs="宋体"/>
                <w:color w:val="auto"/>
                <w:sz w:val="21"/>
                <w:szCs w:val="21"/>
                <w:highlight w:val="none"/>
                <w:lang w:val="en-US" w:eastAsia="zh-CN"/>
              </w:rPr>
            </w:pPr>
          </w:p>
        </w:tc>
        <w:tc>
          <w:tcPr>
            <w:tcW w:w="1501" w:type="dxa"/>
            <w:vMerge w:val="continue"/>
            <w:vAlign w:val="center"/>
          </w:tcPr>
          <w:p>
            <w:pPr>
              <w:spacing w:line="276" w:lineRule="auto"/>
              <w:jc w:val="center"/>
              <w:rPr>
                <w:rFonts w:hint="eastAsia" w:ascii="宋体" w:hAnsi="宋体" w:eastAsia="宋体" w:cs="宋体"/>
                <w:color w:val="auto"/>
                <w:sz w:val="21"/>
                <w:szCs w:val="21"/>
                <w:highlight w:val="none"/>
              </w:rPr>
            </w:pP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jc w:val="left"/>
              <w:textAlignment w:val="auto"/>
              <w:rPr>
                <w:rFonts w:hint="eastAsia" w:ascii="Times New Roman" w:hAnsi="Times New Roman" w:eastAsia="宋体" w:cs="Times New Roman"/>
                <w:color w:val="auto"/>
                <w:szCs w:val="21"/>
                <w:highlight w:val="none"/>
                <w:lang w:eastAsia="zh-CN"/>
              </w:rPr>
            </w:pPr>
            <w:r>
              <w:rPr>
                <w:rFonts w:hint="eastAsia" w:ascii="宋体" w:hAnsi="宋体" w:cs="宋体"/>
                <w:b/>
                <w:bCs/>
                <w:color w:val="auto"/>
                <w:szCs w:val="21"/>
                <w:highlight w:val="none"/>
              </w:rPr>
              <w:t>中标供应商配合采购人在</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年内完成申请并获得餐饮服务食品安全量化分级管理A级单位（需网络公示完成且取得证书或牌匾），同时每次考核合格。</w:t>
            </w:r>
          </w:p>
        </w:tc>
      </w:tr>
    </w:tbl>
    <w:p>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9"/>
        <w:jc w:val="center"/>
        <w:rPr>
          <w:rFonts w:hint="eastAsia"/>
          <w:b/>
          <w:bCs/>
          <w:color w:val="auto"/>
          <w:sz w:val="28"/>
          <w:szCs w:val="36"/>
          <w:highlight w:val="none"/>
        </w:rPr>
      </w:pPr>
      <w:r>
        <w:rPr>
          <w:rFonts w:hint="eastAsia"/>
          <w:b/>
          <w:bCs/>
          <w:color w:val="auto"/>
          <w:sz w:val="28"/>
          <w:szCs w:val="36"/>
          <w:highlight w:val="none"/>
        </w:rPr>
        <w:t>技术要求</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一、项目具体要求</w:t>
      </w:r>
    </w:p>
    <w:p>
      <w:pPr>
        <w:pStyle w:val="22"/>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1、服务内容：</w:t>
      </w:r>
    </w:p>
    <w:p>
      <w:pPr>
        <w:pStyle w:val="22"/>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highlight w:val="none"/>
        </w:rPr>
      </w:pPr>
      <w:r>
        <w:rPr>
          <w:rFonts w:hint="eastAsia" w:ascii="宋体" w:hAnsi="宋体" w:cs="宋体"/>
          <w:b/>
          <w:bCs w:val="0"/>
          <w:color w:val="auto"/>
          <w:szCs w:val="21"/>
          <w:highlight w:val="none"/>
        </w:rPr>
        <w:t>★</w:t>
      </w:r>
      <w:r>
        <w:rPr>
          <w:rFonts w:hint="eastAsia" w:ascii="宋体" w:hAnsi="宋体" w:eastAsia="宋体" w:cs="宋体"/>
          <w:b/>
          <w:bCs w:val="0"/>
          <w:color w:val="auto"/>
          <w:highlight w:val="none"/>
        </w:rPr>
        <w:t>本包组服务范围包含采购人</w:t>
      </w:r>
      <w:r>
        <w:rPr>
          <w:rFonts w:hint="eastAsia" w:ascii="宋体" w:hAnsi="宋体" w:cs="宋体"/>
          <w:b/>
          <w:color w:val="auto"/>
          <w:highlight w:val="none"/>
          <w:lang w:eastAsia="zh-CN"/>
        </w:rPr>
        <w:t>食堂</w:t>
      </w:r>
      <w:r>
        <w:rPr>
          <w:rFonts w:hint="eastAsia" w:ascii="宋体" w:hAnsi="宋体" w:eastAsia="宋体" w:cs="宋体"/>
          <w:b/>
          <w:bCs w:val="0"/>
          <w:color w:val="auto"/>
          <w:highlight w:val="none"/>
        </w:rPr>
        <w:t>的食材加工及相关</w:t>
      </w:r>
      <w:r>
        <w:rPr>
          <w:rFonts w:hint="eastAsia" w:ascii="宋体" w:hAnsi="宋体" w:cs="宋体"/>
          <w:b/>
          <w:bCs w:val="0"/>
          <w:color w:val="auto"/>
          <w:highlight w:val="none"/>
          <w:lang w:val="en-US" w:eastAsia="zh-CN"/>
        </w:rPr>
        <w:t>配套</w:t>
      </w:r>
      <w:r>
        <w:rPr>
          <w:rFonts w:hint="eastAsia" w:ascii="宋体" w:hAnsi="宋体" w:eastAsia="宋体" w:cs="宋体"/>
          <w:b/>
          <w:bCs w:val="0"/>
          <w:color w:val="auto"/>
          <w:highlight w:val="none"/>
        </w:rPr>
        <w:t>服务。</w:t>
      </w:r>
      <w:r>
        <w:rPr>
          <w:rFonts w:hint="eastAsia" w:ascii="宋体" w:hAnsi="宋体" w:eastAsia="宋体" w:cs="宋体"/>
          <w:b/>
          <w:bCs w:val="0"/>
          <w:color w:val="auto"/>
          <w:szCs w:val="21"/>
          <w:highlight w:val="none"/>
        </w:rPr>
        <w:t>供应商负责</w:t>
      </w:r>
      <w:r>
        <w:rPr>
          <w:rFonts w:hint="eastAsia" w:ascii="宋体" w:hAnsi="宋体" w:cs="宋体"/>
          <w:b/>
          <w:bCs w:val="0"/>
          <w:color w:val="auto"/>
          <w:szCs w:val="21"/>
          <w:highlight w:val="none"/>
          <w:lang w:val="en-US" w:eastAsia="zh-CN"/>
        </w:rPr>
        <w:t>食</w:t>
      </w:r>
      <w:r>
        <w:rPr>
          <w:rFonts w:hint="eastAsia" w:ascii="宋体" w:hAnsi="宋体" w:eastAsia="宋体" w:cs="宋体"/>
          <w:b/>
          <w:bCs w:val="0"/>
          <w:color w:val="auto"/>
          <w:szCs w:val="21"/>
          <w:highlight w:val="none"/>
        </w:rPr>
        <w:t>堂所派遣工作人员的工资、社保、食宿、福利、服装、办公费用、企业管理费、税费等本项目需求所涉及的</w:t>
      </w:r>
      <w:r>
        <w:rPr>
          <w:rFonts w:hint="eastAsia" w:ascii="宋体" w:hAnsi="宋体" w:cs="宋体"/>
          <w:b/>
          <w:bCs w:val="0"/>
          <w:color w:val="auto"/>
          <w:szCs w:val="21"/>
          <w:highlight w:val="none"/>
        </w:rPr>
        <w:t>可预见及不可预见的所有</w:t>
      </w:r>
      <w:r>
        <w:rPr>
          <w:rFonts w:hint="eastAsia" w:ascii="宋体" w:hAnsi="宋体"/>
          <w:b/>
          <w:bCs w:val="0"/>
          <w:color w:val="auto"/>
          <w:highlight w:val="none"/>
        </w:rPr>
        <w:t>服务</w:t>
      </w:r>
      <w:r>
        <w:rPr>
          <w:rFonts w:hint="eastAsia" w:ascii="宋体" w:hAnsi="宋体" w:eastAsia="宋体" w:cs="宋体"/>
          <w:b/>
          <w:bCs w:val="0"/>
          <w:color w:val="auto"/>
          <w:szCs w:val="21"/>
          <w:highlight w:val="none"/>
        </w:rPr>
        <w:t>费用。</w:t>
      </w:r>
      <w:r>
        <w:rPr>
          <w:rFonts w:hint="eastAsia" w:ascii="宋体" w:hAnsi="宋体" w:cs="宋体"/>
          <w:b/>
          <w:bCs w:val="0"/>
          <w:color w:val="auto"/>
          <w:szCs w:val="21"/>
          <w:highlight w:val="none"/>
        </w:rPr>
        <w:t>（</w:t>
      </w:r>
      <w:r>
        <w:rPr>
          <w:rFonts w:hint="eastAsia" w:ascii="宋体" w:hAnsi="宋体" w:cs="宋体"/>
          <w:b/>
          <w:bCs/>
          <w:color w:val="auto"/>
          <w:szCs w:val="21"/>
          <w:highlight w:val="none"/>
        </w:rPr>
        <w:t>须提供承诺函加盖投标人公章）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2、学校</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学校</w:t>
      </w:r>
      <w:r>
        <w:rPr>
          <w:rFonts w:hint="eastAsia" w:ascii="宋体" w:hAnsi="宋体" w:cs="宋体"/>
          <w:color w:val="auto"/>
          <w:highlight w:val="none"/>
          <w:lang w:eastAsia="zh-CN"/>
        </w:rPr>
        <w:t>食堂</w:t>
      </w:r>
      <w:r>
        <w:rPr>
          <w:rFonts w:hint="eastAsia" w:ascii="宋体" w:hAnsi="宋体" w:eastAsia="宋体" w:cs="宋体"/>
          <w:color w:val="auto"/>
          <w:highlight w:val="none"/>
        </w:rPr>
        <w:t>位于学生宿舍楼一层，学校</w:t>
      </w:r>
      <w:r>
        <w:rPr>
          <w:rFonts w:hint="eastAsia" w:ascii="宋体" w:hAnsi="宋体" w:cs="宋体"/>
          <w:color w:val="auto"/>
          <w:highlight w:val="none"/>
          <w:lang w:eastAsia="zh-CN"/>
        </w:rPr>
        <w:t>食堂</w:t>
      </w:r>
      <w:r>
        <w:rPr>
          <w:rFonts w:hint="eastAsia" w:ascii="宋体" w:hAnsi="宋体" w:eastAsia="宋体" w:cs="宋体"/>
          <w:color w:val="auto"/>
          <w:highlight w:val="none"/>
        </w:rPr>
        <w:t>就餐人数早餐约600人，午餐约1</w:t>
      </w:r>
      <w:r>
        <w:rPr>
          <w:rFonts w:hint="eastAsia" w:ascii="宋体" w:hAnsi="宋体" w:cs="宋体"/>
          <w:color w:val="auto"/>
          <w:highlight w:val="none"/>
          <w:lang w:val="en-US" w:eastAsia="zh-CN"/>
        </w:rPr>
        <w:t>3</w:t>
      </w:r>
      <w:r>
        <w:rPr>
          <w:rFonts w:hint="eastAsia" w:ascii="宋体" w:hAnsi="宋体" w:eastAsia="宋体" w:cs="宋体"/>
          <w:color w:val="auto"/>
          <w:highlight w:val="none"/>
        </w:rPr>
        <w:t>00人，晚餐约</w:t>
      </w:r>
      <w:r>
        <w:rPr>
          <w:rFonts w:hint="eastAsia" w:ascii="宋体" w:hAnsi="宋体" w:eastAsia="宋体" w:cs="宋体"/>
          <w:color w:val="auto"/>
          <w:highlight w:val="none"/>
          <w:lang w:val="en-US" w:eastAsia="zh-CN"/>
        </w:rPr>
        <w:t>80</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教师</w:t>
      </w:r>
      <w:r>
        <w:rPr>
          <w:rFonts w:hint="eastAsia" w:ascii="宋体" w:hAnsi="宋体" w:cs="宋体"/>
          <w:color w:val="auto"/>
          <w:highlight w:val="none"/>
          <w:lang w:val="en-US" w:eastAsia="zh-CN"/>
        </w:rPr>
        <w:t>食堂</w:t>
      </w:r>
      <w:r>
        <w:rPr>
          <w:rFonts w:hint="eastAsia" w:ascii="宋体" w:hAnsi="宋体" w:eastAsia="宋体" w:cs="宋体"/>
          <w:color w:val="auto"/>
          <w:szCs w:val="21"/>
          <w:highlight w:val="none"/>
        </w:rPr>
        <w:t>须提供早、中、晚三餐。</w:t>
      </w:r>
      <w:r>
        <w:rPr>
          <w:rFonts w:hint="eastAsia" w:ascii="宋体" w:hAnsi="宋体" w:eastAsia="宋体" w:cs="宋体"/>
          <w:color w:val="auto"/>
          <w:szCs w:val="21"/>
          <w:highlight w:val="none"/>
          <w:lang w:val="en-US" w:eastAsia="zh-CN"/>
        </w:rPr>
        <w:t>就餐人数以实际</w:t>
      </w:r>
      <w:r>
        <w:rPr>
          <w:rFonts w:hint="eastAsia" w:ascii="宋体" w:hAnsi="宋体" w:cs="宋体"/>
          <w:color w:val="auto"/>
          <w:szCs w:val="21"/>
          <w:highlight w:val="none"/>
        </w:rPr>
        <w:t>用餐人数</w:t>
      </w:r>
      <w:r>
        <w:rPr>
          <w:rFonts w:hint="eastAsia" w:ascii="宋体" w:hAnsi="宋体" w:eastAsia="宋体" w:cs="宋体"/>
          <w:color w:val="auto"/>
          <w:szCs w:val="21"/>
          <w:highlight w:val="none"/>
          <w:lang w:val="en-US" w:eastAsia="zh-CN"/>
        </w:rPr>
        <w:t>为准，采购方不对就餐人数</w:t>
      </w:r>
      <w:r>
        <w:rPr>
          <w:rFonts w:hint="eastAsia" w:ascii="宋体" w:hAnsi="宋体" w:cs="宋体"/>
          <w:color w:val="auto"/>
          <w:szCs w:val="21"/>
          <w:highlight w:val="none"/>
          <w:lang w:val="en-US" w:eastAsia="zh-CN"/>
        </w:rPr>
        <w:t>作</w:t>
      </w:r>
      <w:r>
        <w:rPr>
          <w:rFonts w:hint="eastAsia" w:ascii="宋体" w:hAnsi="宋体" w:eastAsia="宋体" w:cs="宋体"/>
          <w:color w:val="auto"/>
          <w:szCs w:val="21"/>
          <w:highlight w:val="none"/>
          <w:lang w:val="en-US" w:eastAsia="zh-CN"/>
        </w:rPr>
        <w:t>保证。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学校提供餐厅、厨房等相应的制作、供、就餐场地给</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管理；学校拥有该</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的所有权、监督权，</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协助采购人对</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 xml:space="preserve">进行运营。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3、设备用具要求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1）服务期间，</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设施设备的维护及维修，由</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负责。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服务过程中所必须的餐具用具、消耗用品、清洁卫生用品等由</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负责自行购买及补充添置。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4、服务机制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负责本项目</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的日常事务管理，有权自主聘用或调整工作人员，以保证师生的正常就餐服务</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负责食堂人员工资、社保、食宿、福利、服装、办公费用、企业管理费、税费等本项目需求所涉及的可预见及不可预见的所有费用。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rPr>
        <w:t>中标人</w:t>
      </w:r>
      <w:r>
        <w:rPr>
          <w:rFonts w:hint="eastAsia" w:ascii="宋体" w:hAnsi="宋体" w:eastAsia="宋体" w:cs="宋体"/>
          <w:color w:val="auto"/>
          <w:szCs w:val="21"/>
          <w:highlight w:val="none"/>
        </w:rPr>
        <w:t>不得使用学校或学校</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名义与第三方产生任何形式的交易，</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不得将项目非法分包或转包给任何单位和个人。否则，采购人有权即刻终止合同，并要求</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赔偿相应损失。</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服务过程中需在采购人的监督下完成各项操作（服务、卫生、膳食质量等），接受学校人员对食品安全和质量的监督（录像监控等）。</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w:t>
      </w:r>
      <w:r>
        <w:rPr>
          <w:rFonts w:hint="eastAsia" w:ascii="宋体" w:hAnsi="宋体" w:cs="宋体"/>
          <w:b/>
          <w:color w:val="auto"/>
          <w:sz w:val="21"/>
          <w:szCs w:val="21"/>
          <w:highlight w:val="none"/>
          <w:lang w:val="en-US" w:eastAsia="zh-CN"/>
        </w:rPr>
        <w:t>食堂</w:t>
      </w:r>
      <w:r>
        <w:rPr>
          <w:rFonts w:hint="eastAsia" w:ascii="宋体" w:hAnsi="宋体" w:eastAsia="宋体" w:cs="宋体"/>
          <w:b/>
          <w:color w:val="auto"/>
          <w:sz w:val="21"/>
          <w:szCs w:val="21"/>
          <w:highlight w:val="none"/>
          <w:lang w:val="en-US" w:eastAsia="zh-CN"/>
        </w:rPr>
        <w:t>改造及厨房设备的投入要求</w:t>
      </w:r>
    </w:p>
    <w:p>
      <w:pPr>
        <w:keepNext w:val="0"/>
        <w:keepLines w:val="0"/>
        <w:pageBreakBefore w:val="0"/>
        <w:tabs>
          <w:tab w:val="left" w:pos="42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中标供应商不得随意改动原有的建筑物结构。中标供应商如需改变房屋的使用功能布局或装修，或设置对房屋结构有影响的设备，需将所有的装修和土建工程施工图纸报学校审核并征得学校同意后才能动工，费用由中标供应商负责。</w:t>
      </w:r>
    </w:p>
    <w:p>
      <w:pPr>
        <w:keepNext w:val="0"/>
        <w:keepLines w:val="0"/>
        <w:pageBreakBefore w:val="0"/>
        <w:widowControl/>
        <w:tabs>
          <w:tab w:val="left" w:pos="420"/>
        </w:tabs>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rPr>
        <w:t>★2、中标供应商需按采购人提供的厨房设备清单配置做详细盘点记录，使用过程中对</w:t>
      </w:r>
      <w:r>
        <w:rPr>
          <w:rFonts w:hint="eastAsia" w:ascii="宋体" w:hAnsi="宋体" w:cs="宋体"/>
          <w:b/>
          <w:bCs w:val="0"/>
          <w:color w:val="auto"/>
          <w:szCs w:val="21"/>
          <w:highlight w:val="none"/>
          <w:lang w:eastAsia="zh-CN"/>
        </w:rPr>
        <w:t>食堂</w:t>
      </w:r>
      <w:r>
        <w:rPr>
          <w:rFonts w:hint="eastAsia" w:ascii="宋体" w:hAnsi="宋体" w:eastAsia="宋体" w:cs="宋体"/>
          <w:b/>
          <w:bCs w:val="0"/>
          <w:color w:val="auto"/>
          <w:szCs w:val="21"/>
          <w:highlight w:val="none"/>
        </w:rPr>
        <w:t>的设施设备进行维修、更换、增添，所有费用均由中标供应商投入。在履约过程中，根据实际需要采购人有权要求中标供应商添置必要的设备、设施，费用由中标供应商投入。使用过程增加的设备设施等均不纳入前期厨房设备清单中。</w:t>
      </w:r>
      <w:r>
        <w:rPr>
          <w:rFonts w:hint="eastAsia" w:ascii="宋体" w:hAnsi="宋体" w:eastAsia="宋体" w:cs="宋体"/>
          <w:b/>
          <w:bCs w:val="0"/>
          <w:color w:val="auto"/>
          <w:szCs w:val="21"/>
          <w:highlight w:val="none"/>
          <w:lang w:eastAsia="zh-CN"/>
        </w:rPr>
        <w:t>使用过程增设的设备中若为可拆卸或拆卸后不影响美观的厨房设备，履约完成后归中标供应商所有，其余归采购方所有。</w:t>
      </w:r>
      <w:r>
        <w:rPr>
          <w:rFonts w:hint="eastAsia" w:ascii="宋体" w:hAnsi="宋体" w:cs="宋体"/>
          <w:b/>
          <w:bCs/>
          <w:color w:val="auto"/>
          <w:szCs w:val="21"/>
          <w:highlight w:val="none"/>
        </w:rPr>
        <w:t>（须提供承诺函加盖投标人公章）</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三、人员要求</w:t>
      </w:r>
    </w:p>
    <w:p>
      <w:pPr>
        <w:pStyle w:val="9"/>
        <w:keepNext w:val="0"/>
        <w:keepLines w:val="0"/>
        <w:pageBreakBefore w:val="0"/>
        <w:widowControl w:val="0"/>
        <w:kinsoku/>
        <w:wordWrap/>
        <w:overflowPunct/>
        <w:topLinePunct w:val="0"/>
        <w:autoSpaceDE/>
        <w:autoSpaceDN/>
        <w:bidi w:val="0"/>
        <w:adjustRightInd/>
        <w:snapToGrid/>
        <w:spacing w:before="0" w:line="360" w:lineRule="auto"/>
        <w:ind w:left="0" w:firstLine="422" w:firstLineChars="200"/>
        <w:textAlignment w:val="auto"/>
        <w:rPr>
          <w:rFonts w:ascii="宋体" w:hAnsi="宋体"/>
          <w:b/>
          <w:bCs/>
          <w:color w:val="auto"/>
          <w:kern w:val="0"/>
          <w:sz w:val="21"/>
          <w:szCs w:val="21"/>
          <w:highlight w:val="none"/>
        </w:rPr>
      </w:pPr>
      <w:r>
        <w:rPr>
          <w:rFonts w:hint="eastAsia" w:ascii="宋体" w:hAnsi="宋体"/>
          <w:b/>
          <w:bCs/>
          <w:color w:val="auto"/>
          <w:kern w:val="0"/>
          <w:sz w:val="21"/>
          <w:szCs w:val="21"/>
          <w:highlight w:val="none"/>
        </w:rPr>
        <w:t>★1、</w:t>
      </w:r>
      <w:r>
        <w:rPr>
          <w:rFonts w:hint="eastAsia" w:ascii="宋体" w:hAnsi="宋体" w:cs="宋体"/>
          <w:b/>
          <w:bCs/>
          <w:color w:val="auto"/>
          <w:sz w:val="21"/>
          <w:szCs w:val="21"/>
          <w:highlight w:val="none"/>
        </w:rPr>
        <w:t>供应商</w:t>
      </w:r>
      <w:r>
        <w:rPr>
          <w:rFonts w:hint="eastAsia" w:ascii="宋体" w:hAnsi="宋体"/>
          <w:b/>
          <w:bCs/>
          <w:color w:val="auto"/>
          <w:kern w:val="0"/>
          <w:sz w:val="21"/>
          <w:szCs w:val="21"/>
          <w:highlight w:val="none"/>
        </w:rPr>
        <w:t>对食堂工作人员的配备标准是：员工总人数与就餐总人数按1：</w:t>
      </w:r>
      <w:r>
        <w:rPr>
          <w:rFonts w:ascii="宋体" w:hAnsi="宋体"/>
          <w:b/>
          <w:bCs/>
          <w:color w:val="auto"/>
          <w:kern w:val="0"/>
          <w:sz w:val="21"/>
          <w:szCs w:val="21"/>
          <w:highlight w:val="none"/>
        </w:rPr>
        <w:t>8</w:t>
      </w:r>
      <w:r>
        <w:rPr>
          <w:rFonts w:hint="eastAsia" w:ascii="宋体" w:hAnsi="宋体"/>
          <w:b/>
          <w:bCs/>
          <w:color w:val="auto"/>
          <w:kern w:val="0"/>
          <w:sz w:val="21"/>
          <w:szCs w:val="21"/>
          <w:highlight w:val="none"/>
        </w:rPr>
        <w:t>0以上进行配备。按照1</w:t>
      </w:r>
      <w:r>
        <w:rPr>
          <w:rFonts w:hint="eastAsia"/>
          <w:b/>
          <w:bCs/>
          <w:color w:val="auto"/>
          <w:kern w:val="0"/>
          <w:sz w:val="21"/>
          <w:szCs w:val="21"/>
          <w:highlight w:val="none"/>
          <w:lang w:val="en-US" w:eastAsia="zh-CN"/>
        </w:rPr>
        <w:t>3</w:t>
      </w:r>
      <w:r>
        <w:rPr>
          <w:rFonts w:hint="eastAsia" w:ascii="宋体" w:hAnsi="宋体"/>
          <w:b/>
          <w:bCs/>
          <w:color w:val="auto"/>
          <w:kern w:val="0"/>
          <w:sz w:val="21"/>
          <w:szCs w:val="21"/>
          <w:highlight w:val="none"/>
        </w:rPr>
        <w:t>00人的就餐人数计算，原则上学校食堂工作人员不得少于1</w:t>
      </w:r>
      <w:r>
        <w:rPr>
          <w:rFonts w:hint="eastAsia"/>
          <w:b/>
          <w:bCs/>
          <w:color w:val="auto"/>
          <w:kern w:val="0"/>
          <w:sz w:val="21"/>
          <w:szCs w:val="21"/>
          <w:highlight w:val="none"/>
          <w:lang w:val="en-US" w:eastAsia="zh-CN"/>
        </w:rPr>
        <w:t>7</w:t>
      </w:r>
      <w:r>
        <w:rPr>
          <w:rFonts w:hint="eastAsia" w:ascii="宋体" w:hAnsi="宋体"/>
          <w:b/>
          <w:bCs/>
          <w:color w:val="auto"/>
          <w:kern w:val="0"/>
          <w:sz w:val="21"/>
          <w:szCs w:val="21"/>
          <w:highlight w:val="none"/>
        </w:rPr>
        <w:t>人。</w:t>
      </w:r>
      <w:r>
        <w:rPr>
          <w:rFonts w:hint="eastAsia" w:ascii="宋体" w:hAnsi="宋体"/>
          <w:b/>
          <w:bCs/>
          <w:color w:val="auto"/>
          <w:kern w:val="0"/>
          <w:sz w:val="21"/>
          <w:szCs w:val="21"/>
          <w:highlight w:val="none"/>
          <w:lang w:val="en-US" w:eastAsia="zh-CN"/>
        </w:rPr>
        <w:t>含食堂主管：1名；仓管：1名；厨师4名（15个班配一个大厨，1个副厨，合计：2个大厨，2个副厨）；厨工</w:t>
      </w:r>
      <w:r>
        <w:rPr>
          <w:rFonts w:hint="eastAsia"/>
          <w:b/>
          <w:bCs/>
          <w:color w:val="auto"/>
          <w:kern w:val="0"/>
          <w:sz w:val="21"/>
          <w:szCs w:val="21"/>
          <w:highlight w:val="none"/>
          <w:lang w:val="en-US" w:eastAsia="zh-CN"/>
        </w:rPr>
        <w:t>11</w:t>
      </w:r>
      <w:r>
        <w:rPr>
          <w:rFonts w:hint="eastAsia" w:ascii="宋体" w:hAnsi="宋体"/>
          <w:b/>
          <w:bCs/>
          <w:color w:val="auto"/>
          <w:kern w:val="0"/>
          <w:sz w:val="21"/>
          <w:szCs w:val="21"/>
          <w:highlight w:val="none"/>
          <w:lang w:val="en-US" w:eastAsia="zh-CN"/>
        </w:rPr>
        <w:t>名。中标商需提供从业人员近一年无犯罪记录，并提交证明备案。其中厨房主管和仓管负责人须具有食品安全管理证。</w:t>
      </w:r>
      <w:r>
        <w:rPr>
          <w:rFonts w:hint="eastAsia" w:ascii="宋体" w:hAnsi="宋体"/>
          <w:b/>
          <w:bCs/>
          <w:color w:val="auto"/>
          <w:kern w:val="0"/>
          <w:sz w:val="21"/>
          <w:szCs w:val="21"/>
          <w:highlight w:val="none"/>
        </w:rPr>
        <w:t>若发现食堂工作人员未按上述比例配备人数，则必须在三天内补充齐备。若学校因政策及政府要求扩班等因素，导致学校教师和学生人数增加，中标人应按实际比例配备足够工作人员，相关服务费用保持不变。（须提供承诺函加盖投标人公章）</w:t>
      </w:r>
    </w:p>
    <w:p>
      <w:pPr>
        <w:pStyle w:val="9"/>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2、供应商必须向学校派驻不少于1名具备</w:t>
      </w:r>
      <w:r>
        <w:rPr>
          <w:rFonts w:hint="eastAsia" w:ascii="宋体" w:hAnsi="宋体" w:cs="宋体"/>
          <w:color w:val="auto"/>
          <w:sz w:val="21"/>
          <w:szCs w:val="21"/>
          <w:highlight w:val="none"/>
        </w:rPr>
        <w:t>高级食品安全管理员证书的食堂工作人员</w:t>
      </w:r>
      <w:r>
        <w:rPr>
          <w:rFonts w:hint="eastAsia" w:ascii="宋体" w:hAnsi="宋体"/>
          <w:color w:val="auto"/>
          <w:kern w:val="0"/>
          <w:sz w:val="21"/>
          <w:szCs w:val="21"/>
          <w:highlight w:val="none"/>
        </w:rPr>
        <w:t>。</w:t>
      </w:r>
    </w:p>
    <w:p>
      <w:pPr>
        <w:pStyle w:val="9"/>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cs="宋体"/>
          <w:bCs/>
          <w:color w:val="auto"/>
          <w:sz w:val="21"/>
          <w:szCs w:val="21"/>
          <w:highlight w:val="none"/>
        </w:rPr>
        <w:t>3、供应商</w:t>
      </w:r>
      <w:r>
        <w:rPr>
          <w:rFonts w:hint="eastAsia" w:ascii="宋体" w:hAnsi="宋体"/>
          <w:color w:val="auto"/>
          <w:kern w:val="0"/>
          <w:sz w:val="21"/>
          <w:szCs w:val="21"/>
          <w:highlight w:val="none"/>
        </w:rPr>
        <w:t>必须向学校派驻足额的符合有关规定资格的工作人员。选派的工作人员必须遵守校方的各项规章制度，经过正规培训、具有饮食行业的健康证、上岗证，并向校方提供工作人员的人事简历</w:t>
      </w:r>
      <w:r>
        <w:rPr>
          <w:rFonts w:hint="eastAsia" w:ascii="宋体" w:hAnsi="宋体" w:eastAsia="宋体" w:cs="宋体"/>
          <w:color w:val="auto"/>
          <w:kern w:val="0"/>
          <w:sz w:val="21"/>
          <w:szCs w:val="21"/>
          <w:highlight w:val="none"/>
        </w:rPr>
        <w:t>。</w:t>
      </w:r>
    </w:p>
    <w:p>
      <w:pPr>
        <w:pStyle w:val="9"/>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4、本项目所有工作人员需具有健康证。</w:t>
      </w:r>
    </w:p>
    <w:p>
      <w:pPr>
        <w:pStyle w:val="9"/>
        <w:keepNext w:val="0"/>
        <w:keepLines w:val="0"/>
        <w:pageBreakBefore w:val="0"/>
        <w:widowControl w:val="0"/>
        <w:kinsoku/>
        <w:wordWrap/>
        <w:overflowPunct/>
        <w:topLinePunct w:val="0"/>
        <w:autoSpaceDE/>
        <w:autoSpaceDN/>
        <w:bidi w:val="0"/>
        <w:adjustRightInd/>
        <w:snapToGrid/>
        <w:spacing w:before="0" w:line="360" w:lineRule="auto"/>
        <w:ind w:lef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5、在服务期间内，中标人须承担项目工作人员的意外责任险和所有服务风险。厨房服务人员与采购人不存在任何劳动关系。</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四、供餐标准要求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日常饭菜供应采用人脸识别或刷卡进餐。</w:t>
      </w:r>
      <w:r>
        <w:rPr>
          <w:rFonts w:hint="eastAsia" w:ascii="宋体" w:hAnsi="宋体" w:eastAsia="宋体" w:cs="宋体"/>
          <w:color w:val="auto"/>
          <w:szCs w:val="21"/>
          <w:highlight w:val="none"/>
          <w:lang w:val="en-US" w:eastAsia="zh-CN"/>
        </w:rPr>
        <w:t>所需设备及维护由中标商负责。</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2、供餐标准</w:t>
      </w:r>
    </w:p>
    <w:p>
      <w:pPr>
        <w:pStyle w:val="22"/>
        <w:keepNext w:val="0"/>
        <w:keepLines w:val="0"/>
        <w:pageBreakBefore w:val="0"/>
        <w:widowControl w:val="0"/>
        <w:numPr>
          <w:ilvl w:val="0"/>
          <w:numId w:val="0"/>
        </w:numPr>
        <w:tabs>
          <w:tab w:val="left" w:pos="1386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早</w:t>
      </w:r>
      <w:r>
        <w:rPr>
          <w:rFonts w:hint="eastAsia" w:ascii="宋体" w:hAnsi="宋体" w:eastAsia="宋体" w:cs="宋体"/>
          <w:color w:val="auto"/>
          <w:szCs w:val="21"/>
          <w:highlight w:val="none"/>
        </w:rPr>
        <w:t>餐：必须统筹兼顾营养和款式搭配；中西点相结合，“干”“湿”食品相结合，包括但不限于鸡蛋、面包、馒头、花卷、蛋糕、粥、粉、面、饺子、红薯、玉米等。</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午餐：</w:t>
      </w:r>
      <w:r>
        <w:rPr>
          <w:rFonts w:hint="eastAsia" w:ascii="宋体" w:hAnsi="宋体" w:eastAsia="宋体" w:cs="宋体"/>
          <w:color w:val="auto"/>
          <w:kern w:val="2"/>
          <w:sz w:val="21"/>
          <w:szCs w:val="21"/>
          <w:highlight w:val="none"/>
          <w:lang w:val="en-US" w:eastAsia="zh-CN"/>
        </w:rPr>
        <w:t xml:space="preserve"> 学生</w:t>
      </w:r>
      <w:r>
        <w:rPr>
          <w:rFonts w:hint="eastAsia" w:ascii="宋体" w:hAnsi="宋体" w:eastAsia="宋体" w:cs="宋体"/>
          <w:color w:val="auto"/>
          <w:kern w:val="2"/>
          <w:sz w:val="21"/>
          <w:szCs w:val="21"/>
          <w:highlight w:val="none"/>
        </w:rPr>
        <w:t>午餐为一大荤、一小荤、一素菜、</w:t>
      </w:r>
      <w:r>
        <w:rPr>
          <w:rFonts w:hint="eastAsia" w:ascii="宋体" w:hAnsi="宋体" w:eastAsia="宋体" w:cs="宋体"/>
          <w:color w:val="auto"/>
          <w:kern w:val="2"/>
          <w:sz w:val="21"/>
          <w:szCs w:val="21"/>
          <w:highlight w:val="none"/>
          <w:lang w:val="en-US" w:eastAsia="zh-CN"/>
        </w:rPr>
        <w:t>一份粗粮、</w:t>
      </w:r>
      <w:r>
        <w:rPr>
          <w:rFonts w:hint="eastAsia" w:ascii="宋体" w:hAnsi="宋体" w:eastAsia="宋体" w:cs="宋体"/>
          <w:color w:val="auto"/>
          <w:kern w:val="2"/>
          <w:sz w:val="21"/>
          <w:szCs w:val="21"/>
          <w:highlight w:val="none"/>
        </w:rPr>
        <w:t>一盒纯牛奶或一份水果、一份米饭、一份汤</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提供牛奶当天为</w:t>
      </w:r>
      <w:r>
        <w:rPr>
          <w:rFonts w:hint="eastAsia" w:ascii="宋体" w:hAnsi="宋体" w:eastAsia="宋体" w:cs="宋体"/>
          <w:color w:val="auto"/>
          <w:kern w:val="2"/>
          <w:sz w:val="21"/>
          <w:szCs w:val="21"/>
          <w:highlight w:val="none"/>
        </w:rPr>
        <w:t>一大荤、一小荤、一素菜</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一份粗粮、</w:t>
      </w:r>
      <w:r>
        <w:rPr>
          <w:rFonts w:hint="eastAsia" w:ascii="宋体" w:hAnsi="宋体" w:eastAsia="宋体" w:cs="宋体"/>
          <w:color w:val="auto"/>
          <w:kern w:val="2"/>
          <w:sz w:val="21"/>
          <w:szCs w:val="21"/>
          <w:highlight w:val="none"/>
        </w:rPr>
        <w:t>一份米饭、一份汤</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不提供牛奶则为</w:t>
      </w:r>
      <w:r>
        <w:rPr>
          <w:rFonts w:hint="eastAsia" w:ascii="宋体" w:hAnsi="宋体" w:eastAsia="宋体" w:cs="宋体"/>
          <w:color w:val="auto"/>
          <w:kern w:val="2"/>
          <w:sz w:val="21"/>
          <w:szCs w:val="21"/>
          <w:highlight w:val="none"/>
        </w:rPr>
        <w:t>一大荤、一小荤、一素菜</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一份粗粮、</w:t>
      </w:r>
      <w:r>
        <w:rPr>
          <w:rFonts w:hint="eastAsia" w:ascii="宋体" w:hAnsi="宋体" w:eastAsia="宋体" w:cs="宋体"/>
          <w:color w:val="auto"/>
          <w:kern w:val="2"/>
          <w:sz w:val="21"/>
          <w:szCs w:val="21"/>
          <w:highlight w:val="none"/>
        </w:rPr>
        <w:t>一份水果、一份米饭、一份汤。中标人应制定营养充足、搭配合理、菜品丰富的带量食谱。</w:t>
      </w:r>
      <w:r>
        <w:rPr>
          <w:rFonts w:hint="eastAsia" w:ascii="宋体" w:hAnsi="宋体" w:eastAsia="宋体" w:cs="宋体"/>
          <w:color w:val="auto"/>
          <w:kern w:val="2"/>
          <w:sz w:val="21"/>
          <w:szCs w:val="21"/>
          <w:highlight w:val="none"/>
          <w:lang w:val="en-US" w:eastAsia="zh-CN"/>
        </w:rPr>
        <w:t>教师用餐参考学生用餐。</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菜式品种要经常轮换。</w:t>
      </w:r>
      <w:r>
        <w:rPr>
          <w:rFonts w:hint="eastAsia" w:ascii="宋体" w:hAnsi="宋体" w:eastAsia="宋体" w:cs="宋体"/>
          <w:bCs/>
          <w:color w:val="auto"/>
          <w:szCs w:val="21"/>
          <w:highlight w:val="none"/>
        </w:rPr>
        <w:t>饭菜的质量、份量要优于市场同等价位的饭菜。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4、中标供应商制作的菜肴需多样化，菜式搭配合理，调配比例均匀，味道可口，保证营养；中标供应商必须为采购人拟定好菜谱及所需食材清单，并在每周的周五前提供下周早中晚餐的菜谱及食材清单给采购人确认，并且在周六前将下周菜谱进行公示于公示栏。</w:t>
      </w:r>
      <w:r>
        <w:rPr>
          <w:rFonts w:hint="eastAsia" w:ascii="宋体" w:hAnsi="宋体" w:eastAsia="宋体" w:cs="宋体"/>
          <w:b/>
          <w:bCs/>
          <w:color w:val="auto"/>
          <w:szCs w:val="21"/>
          <w:highlight w:val="none"/>
          <w:lang w:val="en-US" w:eastAsia="zh-CN"/>
        </w:rPr>
        <w:t>菜谱三周内不重复。</w:t>
      </w:r>
      <w:r>
        <w:rPr>
          <w:rFonts w:hint="eastAsia" w:ascii="宋体" w:hAnsi="宋体" w:cs="宋体"/>
          <w:b/>
          <w:bCs/>
          <w:color w:val="auto"/>
          <w:szCs w:val="21"/>
          <w:highlight w:val="none"/>
        </w:rPr>
        <w:t>（须提供承诺函加盖投标人公章）</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5、招待餐由学校和</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商定标准，</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则按标准做好，力求做到客户满意。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bCs/>
          <w:color w:val="auto"/>
          <w:szCs w:val="21"/>
          <w:highlight w:val="none"/>
        </w:rPr>
        <w:t>因特殊情况（如家长会、学校集体活动等）需要食堂提供师生用餐的要满足学校要求，学生放假但是教师上班期间，教师餐要继续供应。</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7、</w:t>
      </w:r>
      <w:r>
        <w:rPr>
          <w:rFonts w:hint="eastAsia" w:ascii="宋体" w:hAnsi="宋体" w:eastAsia="宋体" w:cs="宋体"/>
          <w:color w:val="auto"/>
          <w:szCs w:val="21"/>
          <w:highlight w:val="none"/>
        </w:rPr>
        <w:t>涉及需要食药监部门监餐的各类考试或大型活动备餐，必须严格履行食谱审批制度。</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b/>
          <w:bCs/>
          <w:color w:val="auto"/>
          <w:szCs w:val="21"/>
          <w:highlight w:val="none"/>
        </w:rPr>
      </w:pPr>
      <w:r>
        <w:rPr>
          <w:rFonts w:hint="eastAsia" w:ascii="宋体" w:hAnsi="宋体" w:eastAsia="宋体" w:cs="宋体"/>
          <w:b/>
          <w:bCs/>
          <w:color w:val="auto"/>
          <w:szCs w:val="21"/>
          <w:highlight w:val="none"/>
        </w:rPr>
        <w:t>★8、食堂出餐的菜品与学生用餐相隔不得长于1小时，且须做好保温及安全措施，确保学生用餐的菜品新鲜及食品安全。</w:t>
      </w:r>
      <w:r>
        <w:rPr>
          <w:rFonts w:hint="eastAsia" w:ascii="宋体" w:hAnsi="宋体" w:cs="宋体"/>
          <w:b/>
          <w:bCs/>
          <w:color w:val="auto"/>
          <w:szCs w:val="21"/>
          <w:highlight w:val="none"/>
        </w:rPr>
        <w:t>（须提供承诺函加盖投标人公章）</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w:t>
      </w:r>
      <w:r>
        <w:rPr>
          <w:rFonts w:hint="eastAsia" w:ascii="宋体" w:hAnsi="宋体" w:cs="宋体"/>
          <w:b/>
          <w:color w:val="auto"/>
          <w:sz w:val="21"/>
          <w:szCs w:val="21"/>
          <w:highlight w:val="none"/>
          <w:lang w:val="en-US" w:eastAsia="zh-CN"/>
        </w:rPr>
        <w:t>食堂</w:t>
      </w:r>
      <w:r>
        <w:rPr>
          <w:rFonts w:hint="eastAsia" w:ascii="宋体" w:hAnsi="宋体" w:eastAsia="宋体" w:cs="宋体"/>
          <w:b/>
          <w:color w:val="auto"/>
          <w:sz w:val="21"/>
          <w:szCs w:val="21"/>
          <w:highlight w:val="none"/>
          <w:lang w:val="en-US" w:eastAsia="zh-CN"/>
        </w:rPr>
        <w:t>废料处理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rPr>
        <w:t>1、餐具的回收、清洗及消毒工作：餐具必须提前回收、消毒，厨房公共用具必须每餐清洗消毒。按照《餐饮服务食品安全操作规范》要求及时清洗食品容器、餐用具，并存放在专用且结构密封的保洁设施内备用。不得使用未经清洗和消毒的餐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rPr>
        <w:t>2、做好</w:t>
      </w:r>
      <w:r>
        <w:rPr>
          <w:rFonts w:hint="eastAsia"/>
          <w:color w:val="auto"/>
          <w:highlight w:val="none"/>
          <w:lang w:eastAsia="zh-CN"/>
        </w:rPr>
        <w:t>食堂</w:t>
      </w:r>
      <w:r>
        <w:rPr>
          <w:rFonts w:hint="eastAsia"/>
          <w:color w:val="auto"/>
          <w:highlight w:val="none"/>
        </w:rPr>
        <w:t>的清洁卫生，</w:t>
      </w:r>
      <w:r>
        <w:rPr>
          <w:rFonts w:hint="eastAsia"/>
          <w:color w:val="auto"/>
          <w:highlight w:val="none"/>
          <w:lang w:eastAsia="zh-CN"/>
        </w:rPr>
        <w:t>食堂</w:t>
      </w:r>
      <w:r>
        <w:rPr>
          <w:rFonts w:hint="eastAsia"/>
          <w:color w:val="auto"/>
          <w:highlight w:val="none"/>
        </w:rPr>
        <w:t>厨具、地板、餐桌须及时清洗，每周进行大扫除。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rPr>
        <w:t>3、</w:t>
      </w:r>
      <w:r>
        <w:rPr>
          <w:rFonts w:hint="eastAsia"/>
          <w:color w:val="auto"/>
          <w:highlight w:val="none"/>
          <w:lang w:eastAsia="zh-CN"/>
        </w:rPr>
        <w:t>食堂</w:t>
      </w:r>
      <w:r>
        <w:rPr>
          <w:rFonts w:hint="eastAsia"/>
          <w:color w:val="auto"/>
          <w:highlight w:val="none"/>
        </w:rPr>
        <w:t>区域及周边的环境卫生由中标人负责。及时清扫食品袋、纸盒、塑料瓶等杂物垃圾，做好防鼠、防蝇、防蟑螂的工作。做到地面无污物、残渣，并做好地面防滑措施；保证加工场所及周边环境的整洁卫生。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highlight w:val="none"/>
        </w:rPr>
      </w:pPr>
      <w:r>
        <w:rPr>
          <w:rFonts w:hint="eastAsia"/>
          <w:color w:val="auto"/>
          <w:highlight w:val="none"/>
        </w:rPr>
        <w:t>4、</w:t>
      </w:r>
      <w:r>
        <w:rPr>
          <w:rFonts w:hint="eastAsia"/>
          <w:color w:val="auto"/>
          <w:highlight w:val="none"/>
          <w:lang w:eastAsia="zh-CN"/>
        </w:rPr>
        <w:t>食堂</w:t>
      </w:r>
      <w:r>
        <w:rPr>
          <w:rFonts w:hint="eastAsia"/>
          <w:color w:val="auto"/>
          <w:highlight w:val="none"/>
        </w:rPr>
        <w:t>的馊水、食材废料、纸皮、餐厨垃圾等由中标供应商负责处理，应由有资质的回收公司处理餐厨垃圾并承担相关费用；中标供应商应做好剩饭菜及其他生活垃圾的分类回收工作，合理设置好分类回收的地点、用具和标识，便于师生进行分类排放；中标供应商应定期做好</w:t>
      </w:r>
      <w:r>
        <w:rPr>
          <w:rFonts w:hint="eastAsia"/>
          <w:color w:val="auto"/>
          <w:highlight w:val="none"/>
          <w:lang w:eastAsia="zh-CN"/>
        </w:rPr>
        <w:t>食堂</w:t>
      </w:r>
      <w:r>
        <w:rPr>
          <w:rFonts w:hint="eastAsia"/>
          <w:color w:val="auto"/>
          <w:highlight w:val="none"/>
        </w:rPr>
        <w:t>及其周边下水道、沟渠的疏通清淤，避免堵塞；学校有权要求其在指定时间和范围内将馊水（馊水回收单位必须满足持有符合食药监管理要求的相关资质，并必须将资料交采购人备案）及废料运出规范化处理，以保障厨房、餐厅整体环境卫生。</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六、双方权利与责任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1、采购人协助</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的秩序管理。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在服务期间，必须严格按照学校规定进行管理，并随时接受教育、卫生、安全、工商、物价和技术监督等部门的监督和检查。若检查中出现违反质量标准、《中华人民共和国食品安全法》、《学校卫生工作条例》、《学校食品安全与营养健康管理规定》、《学校</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与学生集体用餐卫生管理规定》、《餐饮服务食品安全操作规范》及有关部门的要求的，学校将对中标供应商发出书面整改通知，如果连续发出三次书面整改通知，中标供应商仍不整改的或整改后仍不合格的，学校有权停止履行与中标供应商签订的服务，</w:t>
      </w:r>
      <w:r>
        <w:rPr>
          <w:rFonts w:hint="eastAsia" w:ascii="宋体" w:hAnsi="宋体" w:cs="宋体"/>
          <w:color w:val="auto"/>
          <w:szCs w:val="21"/>
          <w:highlight w:val="none"/>
          <w:lang w:eastAsia="zh-CN"/>
        </w:rPr>
        <w:t>相关损失和</w:t>
      </w:r>
      <w:r>
        <w:rPr>
          <w:rFonts w:hint="eastAsia" w:ascii="宋体" w:hAnsi="宋体" w:eastAsia="宋体" w:cs="宋体"/>
          <w:color w:val="auto"/>
          <w:szCs w:val="21"/>
          <w:highlight w:val="none"/>
        </w:rPr>
        <w:t>后果由中标供应商负责。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3、采购人负责原材料的采购、验收。</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要严格食材安全管理，服务期间建立好相关台帐，台帐记录必须专人规范填写，随时接受学校及上级部门的检查。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严格执行留样制度、留存食品必须做到早、午、晚餐标签、留足数量（每餐每个品种至少200克），留足时间（专柜冷藏48小时以上），并做好规范化记录。</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中标供应商</w:t>
      </w:r>
      <w:r>
        <w:rPr>
          <w:rFonts w:hint="eastAsia" w:ascii="宋体" w:hAnsi="宋体" w:eastAsia="宋体" w:cs="宋体"/>
          <w:color w:val="auto"/>
          <w:szCs w:val="21"/>
          <w:highlight w:val="none"/>
        </w:rPr>
        <w:t>负责厨房及餐厅设施设备用品的日常维护、更新或补充添置。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自行负责管理</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的所有服务人员的招聘、任免、薪资、住宿、福利以及工伤保险、医疗保险、人身意外保险等，同时配合做好相关监管部门组织的各项业务学习培训。费用由</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负责，并将相关资料交学校备案。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负责为该</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的就餐人员购买餐饮场所责任保险（公众责任保险）。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负责</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（包含就餐区）的水、电、燃料等费用，中标供应商应当秉承节约原则合理使用。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需严格执行《中华人民共和国食品安全法》、《学校食品安全与营养健康管理规定》，保证食品烹调卫生、质量。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员工进驻学校场所服务之前，需到学校指定的医院进行体检，并将结果反馈给学校，合格者取得健康证后方可为学校师生提供餐饮服务。所有员工每年必须进行健康检查，费用由中标供应商负责，并将相关资料交学校备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员工如患有发热、腹泻、咽部炎症等病症及皮肤有伤口或感染的从业人员，应主动向学校报告，暂停从事接触直接入口食品的工作，必要时进行临时健康检查，待查明原因并将有碍食品安全的疾病治愈后方可重新上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售饭菜人员须戴口罩、手套、头套，文明用语，热情周到服务，不得与学校师生发生吵闹及打架事件。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需遵循采购人的相关制度，并配合、服从学校管理，违反者无条件接受学校的处分和合理的经济处罚。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14、中标供应商应保持</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内的厨具整洁，负责设备的保养和日常维护、清洁工作。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中标供应商每次餐前、餐中、餐后应及时擦洗饭桌上的残渣、剩饭、油污，打扫餐厅清洁卫生，并把餐桌椅摆放整齐，每周规定二次大扫除（门窗、电扇及各个角落都要清洗干净：清除餐厅、厨房、仓库内的老鼠、蟑螂、苍蝇、蚂蚁等不洁物）。</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必须与学校清洁工配合工作，需自备垃圾桶，不乱倒垃圾、剩饭菜，不得将垃圾及杂物随意倒入学校垃圾筒或垃圾房，馊水要及时处理，保持</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周围环境清洁卫生。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配合学校或公安、消防、安监、市场监督、卫生防疫等部门做好安全宣传和查验工作。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负责承担在采购人</w:t>
      </w:r>
      <w:r>
        <w:rPr>
          <w:rFonts w:hint="eastAsia" w:ascii="宋体" w:hAnsi="宋体" w:cs="宋体"/>
          <w:color w:val="auto"/>
          <w:szCs w:val="21"/>
          <w:highlight w:val="none"/>
          <w:lang w:eastAsia="zh-CN"/>
        </w:rPr>
        <w:t>食堂</w:t>
      </w:r>
      <w:r>
        <w:rPr>
          <w:rFonts w:hint="eastAsia" w:ascii="宋体" w:hAnsi="宋体" w:eastAsia="宋体" w:cs="宋体"/>
          <w:color w:val="auto"/>
          <w:szCs w:val="21"/>
          <w:highlight w:val="none"/>
        </w:rPr>
        <w:t>服务过程中所牵涉的一切经济、法律责任。</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szCs w:val="21"/>
          <w:highlight w:val="none"/>
        </w:rPr>
        <w:t>19、</w:t>
      </w:r>
      <w:r>
        <w:rPr>
          <w:rFonts w:hint="eastAsia" w:ascii="宋体" w:hAnsi="宋体" w:eastAsia="宋体" w:cs="宋体"/>
          <w:bCs/>
          <w:color w:val="auto"/>
          <w:szCs w:val="21"/>
          <w:highlight w:val="none"/>
        </w:rPr>
        <w:t>中标供应商</w:t>
      </w:r>
      <w:r>
        <w:rPr>
          <w:rFonts w:hint="eastAsia" w:ascii="宋体" w:hAnsi="宋体" w:cs="宋体"/>
          <w:bCs/>
          <w:color w:val="auto"/>
          <w:szCs w:val="21"/>
          <w:highlight w:val="none"/>
          <w:lang w:val="en-US" w:eastAsia="zh-CN"/>
        </w:rPr>
        <w:t>派遣</w:t>
      </w:r>
      <w:r>
        <w:rPr>
          <w:rFonts w:hint="eastAsia" w:ascii="宋体" w:hAnsi="宋体" w:eastAsia="宋体" w:cs="宋体"/>
          <w:color w:val="auto"/>
          <w:szCs w:val="21"/>
          <w:highlight w:val="none"/>
        </w:rPr>
        <w:t>的工作人员在工作期间出现任何安全事故，</w:t>
      </w:r>
      <w:r>
        <w:rPr>
          <w:rFonts w:hint="eastAsia" w:ascii="宋体" w:hAnsi="宋体" w:eastAsia="宋体" w:cs="宋体"/>
          <w:color w:val="auto"/>
          <w:szCs w:val="21"/>
          <w:highlight w:val="none"/>
          <w:lang w:val="en-US" w:eastAsia="zh-CN"/>
        </w:rPr>
        <w:t>燃气安全等，</w:t>
      </w:r>
      <w:r>
        <w:rPr>
          <w:rFonts w:hint="eastAsia" w:ascii="宋体" w:hAnsi="宋体" w:eastAsia="宋体" w:cs="宋体"/>
          <w:color w:val="auto"/>
          <w:szCs w:val="21"/>
          <w:highlight w:val="none"/>
        </w:rPr>
        <w:t>无论是校内、校外，均由</w:t>
      </w:r>
      <w:r>
        <w:rPr>
          <w:rFonts w:hint="eastAsia" w:ascii="宋体" w:hAnsi="宋体" w:eastAsia="宋体" w:cs="宋体"/>
          <w:bCs/>
          <w:color w:val="auto"/>
          <w:szCs w:val="21"/>
          <w:highlight w:val="none"/>
        </w:rPr>
        <w:t>中标供应商</w:t>
      </w:r>
      <w:r>
        <w:rPr>
          <w:rFonts w:hint="eastAsia" w:ascii="宋体" w:hAnsi="宋体" w:eastAsia="宋体" w:cs="宋体"/>
          <w:color w:val="auto"/>
          <w:szCs w:val="21"/>
          <w:highlight w:val="none"/>
        </w:rPr>
        <w:t>负责处理；</w:t>
      </w:r>
      <w:r>
        <w:rPr>
          <w:rFonts w:hint="eastAsia" w:ascii="宋体" w:hAnsi="宋体" w:cs="宋体"/>
          <w:color w:val="auto"/>
          <w:szCs w:val="21"/>
          <w:highlight w:val="none"/>
        </w:rPr>
        <w:t>如因食堂工作人员操作不当造成任何安全问题，均由中标供应商负责承担相关损失赔偿和法律责任。</w:t>
      </w:r>
      <w:r>
        <w:rPr>
          <w:rFonts w:hint="eastAsia" w:ascii="宋体" w:hAnsi="宋体" w:eastAsia="宋体" w:cs="宋体"/>
          <w:color w:val="auto"/>
          <w:szCs w:val="21"/>
          <w:highlight w:val="none"/>
        </w:rPr>
        <w:t>如出现不可抗力的事故，则按国家有关条例处理。</w:t>
      </w:r>
      <w:r>
        <w:rPr>
          <w:rFonts w:hint="eastAsia" w:ascii="宋体" w:hAnsi="宋体" w:eastAsia="宋体" w:cs="宋体"/>
          <w:color w:val="auto"/>
          <w:kern w:val="2"/>
          <w:szCs w:val="21"/>
          <w:highlight w:val="none"/>
        </w:rPr>
        <w:t>在停水、停电、设备故障、食物中毒等各种紧急情况下，中标供应商必须保证正常供餐。</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七、违约责任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1、供应商违反国家相关法规，与其聘用人员发生劳资等纠纷，均由供应商负责调解与处理，采购人不承担任何责任并有权解除合同。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2、供应商必须承诺在成交合同签订后在采购人规定的时间内全部人员到岗到位；进场后当天向采购人提供作业人员名册和作业人员的资格证书、健康证明等材料。</w:t>
      </w:r>
    </w:p>
    <w:p>
      <w:pPr>
        <w:pStyle w:val="7"/>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八、考核方案</w:t>
      </w:r>
    </w:p>
    <w:p>
      <w:pPr>
        <w:spacing w:line="360" w:lineRule="auto"/>
        <w:jc w:val="center"/>
        <w:rPr>
          <w:rFonts w:hint="eastAsia" w:hAnsi="宋体"/>
          <w:b/>
          <w:color w:val="auto"/>
          <w:sz w:val="21"/>
          <w:szCs w:val="21"/>
          <w:highlight w:val="none"/>
          <w:lang w:val="zh-CN"/>
        </w:rPr>
      </w:pPr>
      <w:r>
        <w:rPr>
          <w:rFonts w:hint="eastAsia" w:ascii="宋体" w:hAnsi="宋体" w:cs="宋体"/>
          <w:b/>
          <w:bCs/>
          <w:color w:val="auto"/>
          <w:sz w:val="21"/>
          <w:szCs w:val="21"/>
          <w:highlight w:val="none"/>
          <w:lang w:eastAsia="zh-CN"/>
        </w:rPr>
        <w:t>食堂</w:t>
      </w:r>
      <w:r>
        <w:rPr>
          <w:rFonts w:hint="eastAsia" w:ascii="宋体" w:hAnsi="宋体" w:cs="宋体"/>
          <w:b/>
          <w:bCs/>
          <w:color w:val="auto"/>
          <w:sz w:val="21"/>
          <w:szCs w:val="21"/>
          <w:highlight w:val="none"/>
        </w:rPr>
        <w:t>管理考核方案</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cs="宋体"/>
          <w:color w:val="auto"/>
          <w:sz w:val="28"/>
          <w:szCs w:val="28"/>
          <w:highlight w:val="none"/>
        </w:rPr>
      </w:pPr>
      <w:r>
        <w:rPr>
          <w:rFonts w:hint="eastAsia" w:ascii="宋体" w:hAnsi="宋体" w:cs="宋体"/>
          <w:color w:val="auto"/>
          <w:szCs w:val="21"/>
          <w:highlight w:val="none"/>
        </w:rPr>
        <w:t>为进一步加强</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的监管管理，确保学校师生饮食的卫生安全，提高</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的服务质量，特制订</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管理考核方案</w:t>
      </w:r>
      <w:r>
        <w:rPr>
          <w:rFonts w:hint="eastAsia" w:ascii="宋体" w:hAnsi="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1、考核内容</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cs="宋体"/>
          <w:color w:val="auto"/>
          <w:szCs w:val="21"/>
          <w:highlight w:val="none"/>
        </w:rPr>
      </w:pPr>
      <w:r>
        <w:rPr>
          <w:rFonts w:hint="eastAsia" w:ascii="宋体" w:hAnsi="宋体" w:cs="宋体"/>
          <w:color w:val="auto"/>
          <w:szCs w:val="21"/>
          <w:highlight w:val="none"/>
        </w:rPr>
        <w:t>包括设备维护、伙食质量、服务质量、卫生安全等四个方面。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2、考核人员</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cs="宋体"/>
          <w:color w:val="auto"/>
          <w:szCs w:val="21"/>
          <w:highlight w:val="none"/>
        </w:rPr>
      </w:pPr>
      <w:r>
        <w:rPr>
          <w:rFonts w:hint="eastAsia" w:ascii="宋体" w:hAnsi="宋体" w:cs="宋体"/>
          <w:color w:val="auto"/>
          <w:szCs w:val="21"/>
          <w:highlight w:val="none"/>
        </w:rPr>
        <w:t>由学校</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监督小组、师生代表、家长代表等人员组成。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3、考核方式</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cs="宋体"/>
          <w:color w:val="auto"/>
          <w:szCs w:val="21"/>
          <w:highlight w:val="none"/>
        </w:rPr>
      </w:pPr>
      <w:r>
        <w:rPr>
          <w:rFonts w:hint="eastAsia" w:ascii="宋体" w:hAnsi="宋体" w:cs="宋体"/>
          <w:color w:val="auto"/>
          <w:szCs w:val="21"/>
          <w:highlight w:val="none"/>
        </w:rPr>
        <w:t>采购人按季度对成交单位进行综合考核：分别通过日常检查、季度考核、师生家长抽样问卷调查三种方式进行评价。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1、日常监督检查：学校及上级有关部门在日常督导检查中进行，根据发现的问题进行《日常监督检查扣分标准》考核评分。日常检查评分占综合评价总分的40%；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2、季度考核：学校根据《季度考核评分标准》对</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在每季季末进行一次全面的考核。考核占综合评价总分的30%；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3、满意度抽样问卷调查：每季度末由老师、学生、家长代表进行满意度抽样问卷调查，其中教师总人数的1</w:t>
      </w:r>
      <w:r>
        <w:rPr>
          <w:rFonts w:ascii="宋体" w:hAnsi="宋体" w:cs="宋体"/>
          <w:color w:val="auto"/>
          <w:szCs w:val="21"/>
          <w:highlight w:val="none"/>
        </w:rPr>
        <w:t>0%</w:t>
      </w:r>
      <w:r>
        <w:rPr>
          <w:rFonts w:hint="eastAsia" w:ascii="宋体" w:hAnsi="宋体" w:cs="宋体"/>
          <w:color w:val="auto"/>
          <w:szCs w:val="21"/>
          <w:highlight w:val="none"/>
        </w:rPr>
        <w:t>，学生总人数的1</w:t>
      </w:r>
      <w:r>
        <w:rPr>
          <w:rFonts w:ascii="宋体" w:hAnsi="宋体" w:cs="宋体"/>
          <w:color w:val="auto"/>
          <w:szCs w:val="21"/>
          <w:highlight w:val="none"/>
        </w:rPr>
        <w:t>0%</w:t>
      </w:r>
      <w:r>
        <w:rPr>
          <w:rFonts w:hint="eastAsia" w:ascii="宋体" w:hAnsi="宋体" w:cs="宋体"/>
          <w:color w:val="auto"/>
          <w:szCs w:val="21"/>
          <w:highlight w:val="none"/>
        </w:rPr>
        <w:t>，家长总人数的1</w:t>
      </w:r>
      <w:r>
        <w:rPr>
          <w:rFonts w:ascii="宋体" w:hAnsi="宋体" w:cs="宋体"/>
          <w:color w:val="auto"/>
          <w:szCs w:val="21"/>
          <w:highlight w:val="none"/>
        </w:rPr>
        <w:t>0%</w:t>
      </w:r>
      <w:r>
        <w:rPr>
          <w:rFonts w:hint="eastAsia" w:ascii="宋体" w:hAnsi="宋体" w:cs="宋体"/>
          <w:color w:val="auto"/>
          <w:szCs w:val="21"/>
          <w:highlight w:val="none"/>
        </w:rPr>
        <w:t>（具体人数由学校另定）。师生家长满意度得分占综合评价总分的30%。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b/>
          <w:color w:val="auto"/>
          <w:szCs w:val="21"/>
          <w:highlight w:val="none"/>
        </w:rPr>
        <w:t>4、考核结果及处理</w:t>
      </w:r>
    </w:p>
    <w:tbl>
      <w:tblPr>
        <w:tblStyle w:val="1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3100"/>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考核得分</w:t>
            </w:r>
          </w:p>
        </w:tc>
        <w:tc>
          <w:tcPr>
            <w:tcW w:w="3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考核等级</w:t>
            </w:r>
          </w:p>
        </w:tc>
        <w:tc>
          <w:tcPr>
            <w:tcW w:w="3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5-100（含）</w:t>
            </w:r>
          </w:p>
        </w:tc>
        <w:tc>
          <w:tcPr>
            <w:tcW w:w="3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优秀</w:t>
            </w:r>
          </w:p>
        </w:tc>
        <w:tc>
          <w:tcPr>
            <w:tcW w:w="31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1.每季综合考核结果为不合格或基本合格的，第一次罚款10000元；第二次罚款20000元；第三次罚款30000元。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2.一年内累计两次考核结果为不合格的或一年内累计四次考核结果为基本合格的，采购人立刻单方终止中标供应商合同，一切损失由中标供应商承担，并不视为采购人违约。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合同期内累计四次考核不合格或累计六次考核结果为基本合格，采购人立刻单方终止中标供应商合同，一切损失由中标供应商承担，并不视为采购人违约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b/>
                <w:bCs/>
                <w:color w:val="auto"/>
                <w:szCs w:val="21"/>
                <w:highlight w:val="none"/>
                <w:lang w:val="en-US" w:eastAsia="zh-CN"/>
              </w:rPr>
              <w:t>7</w:t>
            </w:r>
            <w:r>
              <w:rPr>
                <w:rFonts w:ascii="宋体" w:hAnsi="宋体" w:cs="宋体"/>
                <w:b/>
                <w:bCs/>
                <w:color w:val="auto"/>
                <w:szCs w:val="21"/>
                <w:highlight w:val="none"/>
              </w:rPr>
              <w:t>0</w:t>
            </w:r>
            <w:r>
              <w:rPr>
                <w:rFonts w:hint="eastAsia" w:ascii="宋体" w:hAnsi="宋体" w:cs="宋体"/>
                <w:b/>
                <w:bCs/>
                <w:color w:val="auto"/>
                <w:szCs w:val="21"/>
                <w:highlight w:val="none"/>
              </w:rPr>
              <w:t>（含）-</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5</w:t>
            </w:r>
          </w:p>
        </w:tc>
        <w:tc>
          <w:tcPr>
            <w:tcW w:w="3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合格</w:t>
            </w:r>
          </w:p>
        </w:tc>
        <w:tc>
          <w:tcPr>
            <w:tcW w:w="31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b/>
                <w:bCs/>
                <w:color w:val="auto"/>
                <w:szCs w:val="21"/>
                <w:highlight w:val="none"/>
                <w:lang w:val="en-US"/>
              </w:rPr>
            </w:pPr>
            <w:r>
              <w:rPr>
                <w:rFonts w:hint="eastAsia" w:ascii="宋体" w:hAnsi="宋体" w:cs="宋体"/>
                <w:b/>
                <w:bCs/>
                <w:color w:val="auto"/>
                <w:szCs w:val="21"/>
                <w:highlight w:val="none"/>
              </w:rPr>
              <w:t>6</w:t>
            </w:r>
            <w:r>
              <w:rPr>
                <w:rFonts w:ascii="宋体" w:hAnsi="宋体" w:cs="宋体"/>
                <w:b/>
                <w:bCs/>
                <w:color w:val="auto"/>
                <w:szCs w:val="21"/>
                <w:highlight w:val="none"/>
              </w:rPr>
              <w:t>0</w:t>
            </w:r>
            <w:r>
              <w:rPr>
                <w:rFonts w:hint="eastAsia" w:ascii="宋体" w:hAnsi="宋体" w:cs="宋体"/>
                <w:b/>
                <w:bCs/>
                <w:color w:val="auto"/>
                <w:szCs w:val="21"/>
                <w:highlight w:val="none"/>
              </w:rPr>
              <w:t>（含）</w:t>
            </w:r>
            <w:r>
              <w:rPr>
                <w:rFonts w:ascii="宋体" w:hAnsi="宋体" w:cs="宋体"/>
                <w:b/>
                <w:bCs/>
                <w:color w:val="auto"/>
                <w:szCs w:val="21"/>
                <w:highlight w:val="none"/>
              </w:rPr>
              <w:t>-70</w:t>
            </w:r>
          </w:p>
        </w:tc>
        <w:tc>
          <w:tcPr>
            <w:tcW w:w="3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基本合格</w:t>
            </w:r>
          </w:p>
        </w:tc>
        <w:tc>
          <w:tcPr>
            <w:tcW w:w="31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Cs w:val="21"/>
                <w:highlight w:val="none"/>
              </w:rPr>
            </w:pPr>
            <w:r>
              <w:rPr>
                <w:rFonts w:hint="eastAsia" w:ascii="宋体" w:hAnsi="宋体" w:cs="宋体"/>
                <w:b/>
                <w:bCs/>
                <w:color w:val="auto"/>
                <w:szCs w:val="21"/>
                <w:highlight w:val="none"/>
              </w:rPr>
              <w:t>6</w:t>
            </w:r>
            <w:r>
              <w:rPr>
                <w:rFonts w:ascii="宋体" w:hAnsi="宋体" w:cs="宋体"/>
                <w:b/>
                <w:bCs/>
                <w:color w:val="auto"/>
                <w:szCs w:val="21"/>
                <w:highlight w:val="none"/>
              </w:rPr>
              <w:t>0</w:t>
            </w:r>
            <w:r>
              <w:rPr>
                <w:rFonts w:hint="eastAsia" w:ascii="宋体" w:hAnsi="宋体" w:cs="宋体"/>
                <w:b/>
                <w:bCs/>
                <w:color w:val="auto"/>
                <w:szCs w:val="21"/>
                <w:highlight w:val="none"/>
              </w:rPr>
              <w:t>以下</w:t>
            </w:r>
          </w:p>
        </w:tc>
        <w:tc>
          <w:tcPr>
            <w:tcW w:w="3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不合格</w:t>
            </w:r>
          </w:p>
        </w:tc>
        <w:tc>
          <w:tcPr>
            <w:tcW w:w="31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5、方案的实施</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cs="宋体"/>
          <w:color w:val="auto"/>
          <w:szCs w:val="21"/>
          <w:highlight w:val="none"/>
        </w:rPr>
      </w:pPr>
      <w:r>
        <w:rPr>
          <w:rFonts w:hint="eastAsia" w:ascii="宋体" w:hAnsi="宋体" w:cs="宋体"/>
          <w:color w:val="auto"/>
          <w:szCs w:val="21"/>
          <w:highlight w:val="none"/>
        </w:rPr>
        <w:t>本考核方案自采购人与</w:t>
      </w:r>
      <w:r>
        <w:rPr>
          <w:rFonts w:hint="eastAsia" w:hAnsi="宋体" w:cs="宋体"/>
          <w:bCs/>
          <w:color w:val="auto"/>
          <w:szCs w:val="21"/>
          <w:highlight w:val="none"/>
        </w:rPr>
        <w:t>中标供应商</w:t>
      </w:r>
      <w:r>
        <w:rPr>
          <w:rFonts w:hint="eastAsia" w:ascii="宋体" w:hAnsi="宋体" w:cs="宋体"/>
          <w:color w:val="auto"/>
          <w:szCs w:val="21"/>
          <w:highlight w:val="none"/>
        </w:rPr>
        <w:t>签订合同生效之日起正式实施，如</w:t>
      </w:r>
      <w:r>
        <w:rPr>
          <w:rFonts w:hint="eastAsia" w:hAnsi="宋体" w:cs="宋体"/>
          <w:bCs/>
          <w:color w:val="auto"/>
          <w:szCs w:val="21"/>
          <w:highlight w:val="none"/>
        </w:rPr>
        <w:t>中标供应商</w:t>
      </w:r>
      <w:r>
        <w:rPr>
          <w:rFonts w:hint="eastAsia" w:ascii="宋体" w:hAnsi="宋体" w:cs="宋体"/>
          <w:color w:val="auto"/>
          <w:szCs w:val="21"/>
          <w:highlight w:val="none"/>
        </w:rPr>
        <w:t>不配合考核</w:t>
      </w:r>
      <w:r>
        <w:rPr>
          <w:rFonts w:hint="eastAsia" w:ascii="宋体" w:hAnsi="宋体" w:cs="宋体"/>
          <w:color w:val="auto"/>
          <w:szCs w:val="21"/>
          <w:highlight w:val="none"/>
          <w:lang w:eastAsia="zh-CN"/>
        </w:rPr>
        <w:t>，</w:t>
      </w:r>
      <w:r>
        <w:rPr>
          <w:rFonts w:hint="eastAsia" w:ascii="宋体" w:hAnsi="宋体" w:cs="宋体"/>
          <w:color w:val="auto"/>
          <w:szCs w:val="21"/>
          <w:highlight w:val="none"/>
        </w:rPr>
        <w:t>则学校有权与</w:t>
      </w:r>
      <w:r>
        <w:rPr>
          <w:rFonts w:hint="eastAsia" w:hAnsi="宋体" w:cs="宋体"/>
          <w:bCs/>
          <w:color w:val="auto"/>
          <w:szCs w:val="21"/>
          <w:highlight w:val="none"/>
        </w:rPr>
        <w:t>中标供应商</w:t>
      </w:r>
      <w:r>
        <w:rPr>
          <w:rFonts w:hint="eastAsia" w:ascii="宋体" w:hAnsi="宋体" w:cs="宋体"/>
          <w:color w:val="auto"/>
          <w:szCs w:val="21"/>
          <w:highlight w:val="none"/>
        </w:rPr>
        <w:t>解除合同，并不视为采购人违约。在日后监督管理中，采购人有权根据实际需要对考核方案进行修订。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cs="宋体"/>
          <w:color w:val="auto"/>
          <w:szCs w:val="21"/>
          <w:highlight w:val="none"/>
        </w:rPr>
      </w:pPr>
      <w:r>
        <w:rPr>
          <w:rFonts w:hint="eastAsia" w:ascii="宋体" w:hAnsi="宋体" w:cs="宋体"/>
          <w:color w:val="auto"/>
          <w:szCs w:val="21"/>
          <w:highlight w:val="none"/>
        </w:rPr>
        <w:t>附件：1、日常监督检查扣分标准</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2、季度考核评分标准</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3、满意度抽样问卷调查</w:t>
      </w:r>
    </w:p>
    <w:p>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br w:type="page"/>
      </w:r>
    </w:p>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附件1：</w:t>
      </w:r>
    </w:p>
    <w:p>
      <w:pPr>
        <w:spacing w:line="360" w:lineRule="auto"/>
        <w:ind w:firstLine="316" w:firstLineChars="15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日常监督检查扣分标准</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w:t>
      </w:r>
      <w:r>
        <w:rPr>
          <w:rFonts w:hint="eastAsia" w:ascii="宋体" w:hAnsi="宋体" w:cs="宋体"/>
          <w:b/>
          <w:bCs/>
          <w:color w:val="auto"/>
          <w:szCs w:val="21"/>
          <w:highlight w:val="none"/>
          <w:lang w:eastAsia="zh-CN"/>
        </w:rPr>
        <w:t>食堂</w:t>
      </w:r>
      <w:r>
        <w:rPr>
          <w:rFonts w:hint="eastAsia" w:ascii="宋体" w:hAnsi="宋体" w:cs="宋体"/>
          <w:b/>
          <w:bCs/>
          <w:color w:val="auto"/>
          <w:szCs w:val="21"/>
          <w:highlight w:val="none"/>
        </w:rPr>
        <w:t>服务及管理（40分，扣完为止）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hAnsi="宋体" w:cs="宋体"/>
          <w:bCs/>
          <w:color w:val="auto"/>
          <w:szCs w:val="21"/>
          <w:highlight w:val="none"/>
        </w:rPr>
        <w:t>中标供应商</w:t>
      </w:r>
      <w:r>
        <w:rPr>
          <w:rFonts w:hint="eastAsia" w:ascii="宋体" w:hAnsi="宋体" w:cs="宋体"/>
          <w:color w:val="auto"/>
          <w:szCs w:val="21"/>
          <w:highlight w:val="none"/>
        </w:rPr>
        <w:t>未经学校同意，禁止中途转包、转让或委托他人经营，禁止搞不法经营，禁止向供餐对象以外的其他单位经营，一经发现扣完该项得分；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洗洁用品必须使用安全环保商品，如发现有一项不达标则每次扣2分；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hAnsi="宋体" w:cs="宋体"/>
          <w:bCs/>
          <w:color w:val="auto"/>
          <w:szCs w:val="21"/>
          <w:highlight w:val="none"/>
        </w:rPr>
        <w:t>中标供应商</w:t>
      </w:r>
      <w:r>
        <w:rPr>
          <w:rFonts w:hint="eastAsia" w:ascii="宋体" w:hAnsi="宋体" w:cs="宋体"/>
          <w:color w:val="auto"/>
          <w:szCs w:val="21"/>
          <w:highlight w:val="none"/>
        </w:rPr>
        <w:t>必须接受学校及市镇有关部门的相关监督、全力配合有关检查活动，如出现不配合则扣完该项得分（4</w:t>
      </w:r>
      <w:r>
        <w:rPr>
          <w:rFonts w:ascii="宋体" w:hAnsi="宋体" w:cs="宋体"/>
          <w:color w:val="auto"/>
          <w:szCs w:val="21"/>
          <w:highlight w:val="none"/>
        </w:rPr>
        <w:t>0</w:t>
      </w:r>
      <w:r>
        <w:rPr>
          <w:rFonts w:hint="eastAsia" w:ascii="宋体" w:hAnsi="宋体" w:cs="宋体"/>
          <w:color w:val="auto"/>
          <w:szCs w:val="21"/>
          <w:highlight w:val="none"/>
        </w:rPr>
        <w:t>分）；或受市镇有关部门通报批评、发整改通知等情况的，一次性则扣完该项得分（4</w:t>
      </w:r>
      <w:r>
        <w:rPr>
          <w:rFonts w:ascii="宋体" w:hAnsi="宋体" w:cs="宋体"/>
          <w:color w:val="auto"/>
          <w:szCs w:val="21"/>
          <w:highlight w:val="none"/>
        </w:rPr>
        <w:t>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hAnsi="宋体" w:cs="宋体"/>
          <w:bCs/>
          <w:color w:val="auto"/>
          <w:szCs w:val="21"/>
          <w:highlight w:val="none"/>
        </w:rPr>
        <w:t>中标供应商</w:t>
      </w:r>
      <w:r>
        <w:rPr>
          <w:rFonts w:hint="eastAsia" w:ascii="宋体" w:hAnsi="宋体" w:cs="宋体"/>
          <w:color w:val="auto"/>
          <w:szCs w:val="21"/>
          <w:highlight w:val="none"/>
        </w:rPr>
        <w:t>需严格执行《中华人民共和国食品安全法》、教育部、卫生部《学校</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与学生集体用餐卫生管理规定》、各行政部门对于学校</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管理的有关规定，如出现违反其中任何一条管理办法规定则每一条扣2分；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5、市镇相关部门、学校可随时对</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的价格、卫生、服务、菜品质量进行抽样检查，如发现问题</w:t>
      </w:r>
      <w:r>
        <w:rPr>
          <w:rFonts w:hint="eastAsia" w:ascii="宋体" w:hAnsi="宋体" w:cs="宋体"/>
          <w:color w:val="auto"/>
          <w:szCs w:val="21"/>
          <w:highlight w:val="none"/>
          <w:lang w:eastAsia="zh-CN"/>
        </w:rPr>
        <w:t>，</w:t>
      </w:r>
      <w:r>
        <w:rPr>
          <w:rFonts w:hint="eastAsia" w:ascii="宋体" w:hAnsi="宋体" w:cs="宋体"/>
          <w:color w:val="auto"/>
          <w:szCs w:val="21"/>
          <w:highlight w:val="none"/>
        </w:rPr>
        <w:t>则每一项扣2分；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食堂</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、配餐、分餐、收拾餐具、餐具消毒、</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清洁、分餐点的清洁等均由中标供应商负责。中标供应商需对餐具进行定期检查，</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餐具出现数量出短缺等情况，如发现则每次扣2分；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、保证供配餐正点、足量（每份饭菜数量）、优质（质量保证体系）、制作的菜肴需多样化，菜式搭配合理，调配比例均匀，味道可口，保证营养；禁止出售变质、变味以及剩饭菜，如发现则每次扣5分；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、学校</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为师生提供的每餐、每样食品都必需由专人负责留样,并严格按照有关规定做好留样，如出现未留样，则每次扣5分；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每次餐前、餐中、餐后应及时擦洗饭桌上的残渣、剩饭、油污，打扫</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清洁卫生，并把餐桌椅摆放整齐，每周规定一次大扫除（门窗、电扇及各个角落都要清洗干净，清除</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、厨房、仓库内的老鼠、蟑螂、蚂蚁等不洁物），</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周边要保洁。如发现卫生不达标的则每次扣5分；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必须自备垃圾桶，不乱倒垃圾、剩饭菜，不得将垃圾及杂物倒入学校垃圾筒或垃圾房，馊水要及时处理，如发现以上情况每次扣2分。</w:t>
      </w:r>
    </w:p>
    <w:p>
      <w:pPr>
        <w:spacing w:line="360" w:lineRule="auto"/>
        <w:ind w:firstLine="420" w:firstLineChars="200"/>
        <w:rPr>
          <w:rFonts w:hint="eastAsia" w:ascii="宋体" w:hAnsi="宋体" w:cs="宋体"/>
          <w:color w:val="auto"/>
          <w:szCs w:val="21"/>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w:t>
      </w:r>
      <w:r>
        <w:rPr>
          <w:rFonts w:hint="eastAsia" w:ascii="宋体" w:hAnsi="宋体" w:cs="宋体"/>
          <w:color w:val="auto"/>
          <w:szCs w:val="21"/>
          <w:highlight w:val="none"/>
        </w:rPr>
        <w:t>相关设备及餐具因厨房人员操作失误或厨房人员主观行为破坏，造成设备损坏，出现一次性则扣完该项得分（4</w:t>
      </w:r>
      <w:r>
        <w:rPr>
          <w:rFonts w:ascii="宋体" w:hAnsi="宋体" w:cs="宋体"/>
          <w:color w:val="auto"/>
          <w:szCs w:val="21"/>
          <w:highlight w:val="none"/>
        </w:rPr>
        <w:t>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并由投标人负责维修，若无法维修，由投标人承担更换新设备的相关费用。</w:t>
      </w:r>
    </w:p>
    <w:p>
      <w:pPr>
        <w:spacing w:line="360" w:lineRule="auto"/>
        <w:rPr>
          <w:rFonts w:hint="eastAsia" w:ascii="宋体" w:hAnsi="宋体" w:cs="宋体"/>
          <w:b/>
          <w:bCs/>
          <w:color w:val="auto"/>
          <w:szCs w:val="21"/>
          <w:highlight w:val="none"/>
        </w:rPr>
      </w:pP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w:t>
      </w:r>
      <w:r>
        <w:rPr>
          <w:rFonts w:hint="eastAsia" w:ascii="宋体" w:hAnsi="宋体" w:cs="宋体"/>
          <w:b/>
          <w:bCs/>
          <w:color w:val="auto"/>
          <w:szCs w:val="21"/>
          <w:highlight w:val="none"/>
          <w:lang w:eastAsia="zh-CN"/>
        </w:rPr>
        <w:t>食堂</w:t>
      </w:r>
      <w:r>
        <w:rPr>
          <w:rFonts w:hint="eastAsia" w:ascii="宋体" w:hAnsi="宋体" w:cs="宋体"/>
          <w:b/>
          <w:bCs/>
          <w:color w:val="auto"/>
          <w:szCs w:val="21"/>
          <w:highlight w:val="none"/>
        </w:rPr>
        <w:t>工作人员管理（40分，扣完为止）</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hAnsi="宋体" w:cs="宋体"/>
          <w:bCs/>
          <w:color w:val="auto"/>
          <w:szCs w:val="21"/>
          <w:highlight w:val="none"/>
        </w:rPr>
        <w:t>中标供应商</w:t>
      </w:r>
      <w:r>
        <w:rPr>
          <w:rFonts w:hint="eastAsia" w:ascii="宋体" w:hAnsi="宋体" w:cs="宋体"/>
          <w:color w:val="auto"/>
          <w:szCs w:val="21"/>
          <w:highlight w:val="none"/>
        </w:rPr>
        <w:t>按照标准配齐工作人员，负责对员工开展食品卫生安全的相关培训，没有配足或者按照要求开展培训的则扣10分；</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hAnsi="宋体" w:cs="宋体"/>
          <w:bCs/>
          <w:color w:val="auto"/>
          <w:szCs w:val="21"/>
          <w:highlight w:val="none"/>
        </w:rPr>
        <w:t>中标供应商</w:t>
      </w:r>
      <w:r>
        <w:rPr>
          <w:rFonts w:hint="eastAsia" w:ascii="宋体" w:hAnsi="宋体" w:cs="宋体"/>
          <w:color w:val="auto"/>
          <w:szCs w:val="21"/>
          <w:highlight w:val="none"/>
        </w:rPr>
        <w:t>每年春季开学初必须安排</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员工到学校指定相关医院进行体检，并将结果反馈给学校，如发现有任何一个员工没有进行体检的则扣5分；</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员工如有感冒、皮肤划伤及其他传染病等，不得带病上班；在工作期间患有传染病者，应立即调离工作岗位，康复后方可上岗，如有发现违反以上情况的则每次扣5分；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员工在进行餐具洁净、消毒、饭菜制作以及给学生打饭菜过程中应该严格遵守工作卫生流程和要求，例如食材必须洗净、餐盘消毒达标、员工头发不能过长、严禁指甲过长或不戴口罩和头套等违背</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卫生工作要求的情况；对于违背卫生工作流程和要求的情形，如发现则每次扣3分；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员工应文明用语，服务热情周到，不得与学校师生有言语冲突或其它过激行为。一经发现则每次扣10分，同时尚未造成恶劣影响和后果的，</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须向校方主管人员、学生和家长赔礼道歉，造成恶劣影响和后果的，</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须解雇责任人，并依法承担相关法律责任。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员工没有持有健康证的，一次性则扣完该项得分（4</w:t>
      </w:r>
      <w:r>
        <w:rPr>
          <w:rFonts w:ascii="宋体" w:hAnsi="宋体" w:cs="宋体"/>
          <w:color w:val="auto"/>
          <w:szCs w:val="21"/>
          <w:highlight w:val="none"/>
        </w:rPr>
        <w:t>0</w:t>
      </w:r>
      <w:r>
        <w:rPr>
          <w:rFonts w:hint="eastAsia" w:ascii="宋体" w:hAnsi="宋体" w:cs="宋体"/>
          <w:color w:val="auto"/>
          <w:szCs w:val="21"/>
          <w:highlight w:val="none"/>
        </w:rPr>
        <w:t>分）。</w:t>
      </w:r>
    </w:p>
    <w:p>
      <w:pPr>
        <w:spacing w:line="360" w:lineRule="auto"/>
        <w:ind w:firstLine="420" w:firstLineChars="200"/>
        <w:rPr>
          <w:rFonts w:hint="eastAsia" w:ascii="宋体" w:hAnsi="宋体" w:cs="宋体"/>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三、其它要求（20分，扣完为止）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hAnsi="宋体" w:cs="宋体"/>
          <w:bCs/>
          <w:color w:val="auto"/>
          <w:szCs w:val="21"/>
          <w:highlight w:val="none"/>
        </w:rPr>
        <w:t>中标供应商</w:t>
      </w:r>
      <w:r>
        <w:rPr>
          <w:rFonts w:hint="eastAsia" w:ascii="宋体" w:hAnsi="宋体" w:cs="宋体"/>
          <w:color w:val="auto"/>
          <w:szCs w:val="21"/>
          <w:highlight w:val="none"/>
        </w:rPr>
        <w:t>需按照饮服务量化分级A级</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、广东省食品安全示范学校</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和中小学规范化</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有关标准和要求经营管理，无条件配合学校向上级部门争取</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相关荣誉和牌匾，如出现不配合则扣完该项得分（20分）；若因中标人原因，导致学校被取消A级</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或降低</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级别的，则一次性扣完该项得分（20分）；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2、配合食品药品监管部门开展“明厨亮灶”示范工程建设，建议明亮厨房，在就餐场所可以通过显示器查看到厨房每个区域的卫生情况和人员操作情况，如出现不配合则扣完该项得分</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20分</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w:t>
      </w: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附件2：</w:t>
      </w:r>
    </w:p>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季度考核评分标准</w:t>
      </w:r>
    </w:p>
    <w:tbl>
      <w:tblPr>
        <w:tblStyle w:val="1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4231"/>
        <w:gridCol w:w="2340"/>
        <w:gridCol w:w="676"/>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067" w:type="dxa"/>
            <w:vAlign w:val="center"/>
          </w:tcPr>
          <w:p>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w:t>
            </w:r>
          </w:p>
        </w:tc>
        <w:tc>
          <w:tcPr>
            <w:tcW w:w="4231" w:type="dxa"/>
            <w:vAlign w:val="center"/>
          </w:tcPr>
          <w:p>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检查具体内容</w:t>
            </w:r>
          </w:p>
        </w:tc>
        <w:tc>
          <w:tcPr>
            <w:tcW w:w="2340" w:type="dxa"/>
            <w:vAlign w:val="center"/>
          </w:tcPr>
          <w:p>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评分标准</w:t>
            </w:r>
          </w:p>
        </w:tc>
        <w:tc>
          <w:tcPr>
            <w:tcW w:w="676" w:type="dxa"/>
            <w:vAlign w:val="center"/>
          </w:tcPr>
          <w:p>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分</w:t>
            </w:r>
          </w:p>
          <w:p>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值</w:t>
            </w:r>
          </w:p>
        </w:tc>
        <w:tc>
          <w:tcPr>
            <w:tcW w:w="705" w:type="dxa"/>
            <w:vAlign w:val="center"/>
          </w:tcPr>
          <w:p>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得</w:t>
            </w:r>
          </w:p>
          <w:p>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67" w:type="dxa"/>
            <w:vMerge w:val="restart"/>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伙</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食</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量</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w:t>
            </w: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建有采购食品台账，蔬菜要求新鲜，洁净无污染。食品采购的不需加工食品必须达到卫生标准要求，要标有生产日期及保持期限，无霉变、异味现象</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有一项不合格</w:t>
            </w:r>
            <w:r>
              <w:rPr>
                <w:rFonts w:hint="eastAsia" w:ascii="宋体" w:hAnsi="宋体" w:cs="宋体"/>
                <w:color w:val="auto"/>
                <w:szCs w:val="21"/>
                <w:highlight w:val="none"/>
                <w:lang w:eastAsia="zh-CN"/>
              </w:rPr>
              <w:t>扣</w:t>
            </w:r>
            <w:r>
              <w:rPr>
                <w:rFonts w:hint="eastAsia" w:ascii="宋体" w:hAnsi="宋体" w:cs="宋体"/>
                <w:color w:val="auto"/>
                <w:szCs w:val="21"/>
                <w:highlight w:val="none"/>
              </w:rPr>
              <w:t>2分，如出现采购质量问题，造成损失，给予相应处罚。</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食品食物中出现杂物、不熟或口感较差现象。</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有一项</w:t>
            </w:r>
            <w:r>
              <w:rPr>
                <w:rFonts w:hint="eastAsia" w:ascii="宋体" w:hAnsi="宋体" w:cs="宋体"/>
                <w:color w:val="auto"/>
                <w:szCs w:val="21"/>
                <w:highlight w:val="none"/>
                <w:lang w:eastAsia="zh-CN"/>
              </w:rPr>
              <w:t>扣</w:t>
            </w:r>
            <w:r>
              <w:rPr>
                <w:rFonts w:hint="eastAsia" w:ascii="宋体" w:hAnsi="宋体" w:cs="宋体"/>
                <w:color w:val="auto"/>
                <w:szCs w:val="21"/>
                <w:highlight w:val="none"/>
              </w:rPr>
              <w:t>1分，有师生投诉一次</w:t>
            </w:r>
            <w:r>
              <w:rPr>
                <w:rFonts w:hint="eastAsia" w:ascii="宋体" w:hAnsi="宋体" w:cs="宋体"/>
                <w:color w:val="auto"/>
                <w:szCs w:val="21"/>
                <w:highlight w:val="none"/>
                <w:lang w:eastAsia="zh-CN"/>
              </w:rPr>
              <w:t>扣</w:t>
            </w:r>
            <w:r>
              <w:rPr>
                <w:rFonts w:hint="eastAsia" w:ascii="宋体" w:hAnsi="宋体" w:cs="宋体"/>
                <w:color w:val="auto"/>
                <w:szCs w:val="21"/>
                <w:highlight w:val="none"/>
              </w:rPr>
              <w:t>2分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每餐荤素营养搭配合理，不能在就餐时间内出现菜肴断档供应的情况。</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出现断档一次</w:t>
            </w:r>
            <w:r>
              <w:rPr>
                <w:rFonts w:hint="eastAsia" w:ascii="宋体" w:hAnsi="宋体" w:cs="宋体"/>
                <w:color w:val="auto"/>
                <w:szCs w:val="21"/>
                <w:highlight w:val="none"/>
                <w:lang w:eastAsia="zh-CN"/>
              </w:rPr>
              <w:t>扣</w:t>
            </w:r>
            <w:r>
              <w:rPr>
                <w:rFonts w:hint="eastAsia" w:ascii="宋体" w:hAnsi="宋体" w:cs="宋体"/>
                <w:color w:val="auto"/>
                <w:szCs w:val="21"/>
                <w:highlight w:val="none"/>
              </w:rPr>
              <w:t>1分，有师生投诉一次</w:t>
            </w:r>
            <w:r>
              <w:rPr>
                <w:rFonts w:hint="eastAsia" w:ascii="宋体" w:hAnsi="宋体" w:cs="宋体"/>
                <w:color w:val="auto"/>
                <w:szCs w:val="21"/>
                <w:highlight w:val="none"/>
                <w:lang w:eastAsia="zh-CN"/>
              </w:rPr>
              <w:t>扣</w:t>
            </w:r>
            <w:r>
              <w:rPr>
                <w:rFonts w:hint="eastAsia" w:ascii="宋体" w:hAnsi="宋体" w:cs="宋体"/>
                <w:color w:val="auto"/>
                <w:szCs w:val="21"/>
                <w:highlight w:val="none"/>
              </w:rPr>
              <w:t>2分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不得出售隔夜、隔餐饭菜。</w:t>
            </w:r>
          </w:p>
        </w:tc>
        <w:tc>
          <w:tcPr>
            <w:tcW w:w="2340" w:type="dxa"/>
            <w:vAlign w:val="center"/>
          </w:tcPr>
          <w:p>
            <w:pPr>
              <w:snapToGrid w:val="0"/>
              <w:spacing w:line="360" w:lineRule="auto"/>
              <w:jc w:val="both"/>
              <w:rPr>
                <w:rFonts w:hint="eastAsia"/>
                <w:color w:val="auto"/>
                <w:highlight w:val="none"/>
              </w:rPr>
            </w:pPr>
            <w:r>
              <w:rPr>
                <w:rFonts w:hint="eastAsia"/>
                <w:color w:val="auto"/>
                <w:highlight w:val="none"/>
              </w:rPr>
              <w:t>出现质量问题。每次</w:t>
            </w:r>
            <w:r>
              <w:rPr>
                <w:rFonts w:hint="eastAsia"/>
                <w:color w:val="auto"/>
                <w:highlight w:val="none"/>
                <w:lang w:eastAsia="zh-CN"/>
              </w:rPr>
              <w:t>扣</w:t>
            </w:r>
            <w:r>
              <w:rPr>
                <w:rFonts w:hint="eastAsia"/>
                <w:color w:val="auto"/>
                <w:highlight w:val="none"/>
              </w:rPr>
              <w:t>2分，并根据造成经济损失给予相应处罚</w:t>
            </w:r>
          </w:p>
          <w:p>
            <w:pPr>
              <w:pStyle w:val="9"/>
              <w:spacing w:line="360" w:lineRule="auto"/>
              <w:rPr>
                <w:rFonts w:hint="eastAsia"/>
                <w:color w:val="auto"/>
                <w:highlight w:val="none"/>
              </w:rPr>
            </w:pPr>
            <w:r>
              <w:rPr>
                <w:rFonts w:hint="eastAsia"/>
                <w:color w:val="auto"/>
                <w:sz w:val="21"/>
                <w:highlight w:val="none"/>
              </w:rPr>
              <w:t>如发现出售隔夜、隔餐饭菜，考核不合格</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饭菜及主食品价格不准擅自上调，如上调可上报学校及主管部门审批后执行。</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擅自变价格</w:t>
            </w:r>
            <w:r>
              <w:rPr>
                <w:rFonts w:hint="eastAsia" w:ascii="宋体" w:hAnsi="宋体" w:cs="宋体"/>
                <w:color w:val="auto"/>
                <w:szCs w:val="21"/>
                <w:highlight w:val="none"/>
                <w:lang w:eastAsia="zh-CN"/>
              </w:rPr>
              <w:t>扣</w:t>
            </w:r>
            <w:r>
              <w:rPr>
                <w:rFonts w:hint="eastAsia" w:ascii="宋体" w:hAnsi="宋体" w:cs="宋体"/>
                <w:color w:val="auto"/>
                <w:szCs w:val="21"/>
                <w:highlight w:val="none"/>
              </w:rPr>
              <w:t>1分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restart"/>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务</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量</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w:t>
            </w: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炊事人员必须持有效的健康证上岗，定期检查，在加工及出售食品时需穿戴整洁的工作服、工作帽并将头发置于帽内，佩戴口罩并挂牌上岗。</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无健康证并没定期检查的</w:t>
            </w:r>
            <w:r>
              <w:rPr>
                <w:rFonts w:hint="eastAsia" w:ascii="宋体" w:hAnsi="宋体" w:cs="宋体"/>
                <w:color w:val="auto"/>
                <w:szCs w:val="21"/>
                <w:highlight w:val="none"/>
                <w:lang w:eastAsia="zh-CN"/>
              </w:rPr>
              <w:t>扣</w:t>
            </w:r>
            <w:r>
              <w:rPr>
                <w:rFonts w:hint="eastAsia" w:ascii="宋体" w:hAnsi="宋体" w:cs="宋体"/>
                <w:color w:val="auto"/>
                <w:szCs w:val="21"/>
                <w:highlight w:val="none"/>
              </w:rPr>
              <w:t>2分，没穿工作服、工作帽、佩戴口罩及挂牌上岗的</w:t>
            </w:r>
            <w:r>
              <w:rPr>
                <w:rFonts w:hint="eastAsia" w:ascii="宋体" w:hAnsi="宋体" w:cs="宋体"/>
                <w:color w:val="auto"/>
                <w:szCs w:val="21"/>
                <w:highlight w:val="none"/>
                <w:lang w:eastAsia="zh-CN"/>
              </w:rPr>
              <w:t>扣</w:t>
            </w:r>
            <w:r>
              <w:rPr>
                <w:rFonts w:hint="eastAsia" w:ascii="宋体" w:hAnsi="宋体" w:cs="宋体"/>
                <w:color w:val="auto"/>
                <w:szCs w:val="21"/>
                <w:highlight w:val="none"/>
              </w:rPr>
              <w:t>1分。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食堂</w:t>
            </w:r>
            <w:r>
              <w:rPr>
                <w:rFonts w:hint="eastAsia" w:ascii="宋体" w:hAnsi="宋体" w:cs="宋体"/>
                <w:color w:val="auto"/>
                <w:szCs w:val="21"/>
                <w:highlight w:val="none"/>
              </w:rPr>
              <w:t>从业人员必须保持整洁，不准佩戴首饰，两手干净，操作食品时禁止吸烟，挖鼻孔，对食品打喷嚏等不卫生行为。</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发现一次</w:t>
            </w:r>
            <w:r>
              <w:rPr>
                <w:rFonts w:hint="eastAsia" w:ascii="宋体" w:hAnsi="宋体" w:cs="宋体"/>
                <w:color w:val="auto"/>
                <w:szCs w:val="21"/>
                <w:highlight w:val="none"/>
                <w:lang w:eastAsia="zh-CN"/>
              </w:rPr>
              <w:t>扣</w:t>
            </w:r>
            <w:r>
              <w:rPr>
                <w:rFonts w:hint="eastAsia" w:ascii="宋体" w:hAnsi="宋体" w:cs="宋体"/>
                <w:color w:val="auto"/>
                <w:szCs w:val="21"/>
                <w:highlight w:val="none"/>
              </w:rPr>
              <w:t>1分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出售食品时不能用于直接接触食品，必须使用食品夹。</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发现一次</w:t>
            </w:r>
            <w:r>
              <w:rPr>
                <w:rFonts w:hint="eastAsia" w:ascii="宋体" w:hAnsi="宋体" w:cs="宋体"/>
                <w:color w:val="auto"/>
                <w:szCs w:val="21"/>
                <w:highlight w:val="none"/>
                <w:lang w:eastAsia="zh-CN"/>
              </w:rPr>
              <w:t>扣</w:t>
            </w:r>
            <w:r>
              <w:rPr>
                <w:rFonts w:hint="eastAsia" w:ascii="宋体" w:hAnsi="宋体" w:cs="宋体"/>
                <w:color w:val="auto"/>
                <w:szCs w:val="21"/>
                <w:highlight w:val="none"/>
              </w:rPr>
              <w:t>1分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食堂</w:t>
            </w:r>
            <w:r>
              <w:rPr>
                <w:rFonts w:hint="eastAsia" w:ascii="宋体" w:hAnsi="宋体" w:cs="宋体"/>
                <w:color w:val="auto"/>
                <w:szCs w:val="21"/>
                <w:highlight w:val="none"/>
              </w:rPr>
              <w:t>服务人员要耐心解答，微笑服务，不得发生争吵，打骂师生等不文明行为。</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发现一次不文明行为</w:t>
            </w:r>
            <w:r>
              <w:rPr>
                <w:rFonts w:hint="eastAsia" w:ascii="宋体" w:hAnsi="宋体" w:cs="宋体"/>
                <w:color w:val="auto"/>
                <w:szCs w:val="21"/>
                <w:highlight w:val="none"/>
                <w:lang w:eastAsia="zh-CN"/>
              </w:rPr>
              <w:t>扣</w:t>
            </w:r>
            <w:r>
              <w:rPr>
                <w:rFonts w:hint="eastAsia" w:ascii="宋体" w:hAnsi="宋体" w:cs="宋体"/>
                <w:color w:val="auto"/>
                <w:szCs w:val="21"/>
                <w:highlight w:val="none"/>
              </w:rPr>
              <w:t>1分，有人举报一次</w:t>
            </w:r>
            <w:r>
              <w:rPr>
                <w:rFonts w:hint="eastAsia" w:ascii="宋体" w:hAnsi="宋体" w:cs="宋体"/>
                <w:color w:val="auto"/>
                <w:szCs w:val="21"/>
                <w:highlight w:val="none"/>
                <w:lang w:eastAsia="zh-CN"/>
              </w:rPr>
              <w:t>扣</w:t>
            </w:r>
            <w:r>
              <w:rPr>
                <w:rFonts w:hint="eastAsia" w:ascii="宋体" w:hAnsi="宋体" w:cs="宋体"/>
                <w:color w:val="auto"/>
                <w:szCs w:val="21"/>
                <w:highlight w:val="none"/>
              </w:rPr>
              <w:t>3分。如出现恶劣事件，考核小组将根据造成的影响对当期考核结果做出调整。</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restart"/>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食堂</w:t>
            </w:r>
            <w:r>
              <w:rPr>
                <w:rFonts w:hint="eastAsia" w:ascii="宋体" w:hAnsi="宋体" w:cs="宋体"/>
                <w:color w:val="auto"/>
                <w:szCs w:val="21"/>
                <w:highlight w:val="none"/>
              </w:rPr>
              <w:t>服务人员要耐心解答，微笑服务，不得发生争吵，打骂师生等不文明行为。</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发现一次不文明行为</w:t>
            </w:r>
            <w:r>
              <w:rPr>
                <w:rFonts w:hint="eastAsia" w:ascii="宋体" w:hAnsi="宋体" w:cs="宋体"/>
                <w:color w:val="auto"/>
                <w:szCs w:val="21"/>
                <w:highlight w:val="none"/>
                <w:lang w:eastAsia="zh-CN"/>
              </w:rPr>
              <w:t>扣</w:t>
            </w:r>
            <w:r>
              <w:rPr>
                <w:rFonts w:hint="eastAsia" w:ascii="宋体" w:hAnsi="宋体" w:cs="宋体"/>
                <w:color w:val="auto"/>
                <w:szCs w:val="21"/>
                <w:highlight w:val="none"/>
              </w:rPr>
              <w:t>1分，有人举报一次</w:t>
            </w:r>
            <w:r>
              <w:rPr>
                <w:rFonts w:hint="eastAsia" w:ascii="宋体" w:hAnsi="宋体" w:cs="宋体"/>
                <w:color w:val="auto"/>
                <w:szCs w:val="21"/>
                <w:highlight w:val="none"/>
                <w:lang w:eastAsia="zh-CN"/>
              </w:rPr>
              <w:t>扣</w:t>
            </w:r>
            <w:r>
              <w:rPr>
                <w:rFonts w:hint="eastAsia" w:ascii="宋体" w:hAnsi="宋体" w:cs="宋体"/>
                <w:color w:val="auto"/>
                <w:szCs w:val="21"/>
                <w:highlight w:val="none"/>
              </w:rPr>
              <w:t>3分。如出现恶劣事件，考核小组将根据造成的影响对当期考核结果做出调整。</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按学校规定时间开饭，按时回收餐具。</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出现一次不符合规定</w:t>
            </w:r>
            <w:r>
              <w:rPr>
                <w:rFonts w:hint="eastAsia" w:ascii="宋体" w:hAnsi="宋体" w:cs="宋体"/>
                <w:color w:val="auto"/>
                <w:szCs w:val="21"/>
                <w:highlight w:val="none"/>
                <w:lang w:eastAsia="zh-CN"/>
              </w:rPr>
              <w:t>扣</w:t>
            </w:r>
            <w:r>
              <w:rPr>
                <w:rFonts w:hint="eastAsia" w:ascii="宋体" w:hAnsi="宋体" w:cs="宋体"/>
                <w:color w:val="auto"/>
                <w:szCs w:val="21"/>
                <w:highlight w:val="none"/>
              </w:rPr>
              <w:t>1分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restart"/>
          </w:tcPr>
          <w:p>
            <w:pPr>
              <w:snapToGrid w:val="0"/>
              <w:spacing w:line="360" w:lineRule="auto"/>
              <w:jc w:val="center"/>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卫</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生</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标</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准</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量</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工作间无苍蝇、老鼠、防蝇、防鼠、防尘设备安全，有效。</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设备不到位</w:t>
            </w:r>
            <w:r>
              <w:rPr>
                <w:rFonts w:hint="eastAsia" w:ascii="宋体" w:hAnsi="宋体" w:cs="宋体"/>
                <w:color w:val="auto"/>
                <w:szCs w:val="21"/>
                <w:highlight w:val="none"/>
                <w:lang w:eastAsia="zh-CN"/>
              </w:rPr>
              <w:t>扣</w:t>
            </w:r>
            <w:r>
              <w:rPr>
                <w:rFonts w:hint="eastAsia" w:ascii="宋体" w:hAnsi="宋体" w:cs="宋体"/>
                <w:color w:val="auto"/>
                <w:szCs w:val="21"/>
                <w:highlight w:val="none"/>
              </w:rPr>
              <w:t>1分。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原料、半成品、成品的加工、存放及使用容器是否存在交叉污染并有明显的区分标志，生、熟食品分开，食品存放分类分架，无过期、变质食品。</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存在交叉污染并无明显的区分标志</w:t>
            </w:r>
            <w:r>
              <w:rPr>
                <w:rFonts w:hint="eastAsia" w:ascii="宋体" w:hAnsi="宋体" w:cs="宋体"/>
                <w:color w:val="auto"/>
                <w:szCs w:val="21"/>
                <w:highlight w:val="none"/>
                <w:lang w:eastAsia="zh-CN"/>
              </w:rPr>
              <w:t>扣</w:t>
            </w:r>
            <w:r>
              <w:rPr>
                <w:rFonts w:hint="eastAsia" w:ascii="宋体" w:hAnsi="宋体" w:cs="宋体"/>
                <w:color w:val="auto"/>
                <w:szCs w:val="21"/>
                <w:highlight w:val="none"/>
              </w:rPr>
              <w:t>2分，生、熟食品未区分并且食品存放没有分类分架</w:t>
            </w:r>
            <w:r>
              <w:rPr>
                <w:rFonts w:hint="eastAsia" w:ascii="宋体" w:hAnsi="宋体" w:cs="宋体"/>
                <w:color w:val="auto"/>
                <w:szCs w:val="21"/>
                <w:highlight w:val="none"/>
                <w:lang w:eastAsia="zh-CN"/>
              </w:rPr>
              <w:t>扣</w:t>
            </w:r>
            <w:r>
              <w:rPr>
                <w:rFonts w:hint="eastAsia" w:ascii="宋体" w:hAnsi="宋体" w:cs="宋体"/>
                <w:color w:val="auto"/>
                <w:szCs w:val="21"/>
                <w:highlight w:val="none"/>
              </w:rPr>
              <w:t>2分。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工作间卫生清洁，地面干净，无积水，无杂物，操作台及灶台及售饭台卫生整洁。</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有一项不清洁</w:t>
            </w:r>
            <w:r>
              <w:rPr>
                <w:rFonts w:hint="eastAsia" w:ascii="宋体" w:hAnsi="宋体" w:cs="宋体"/>
                <w:color w:val="auto"/>
                <w:szCs w:val="21"/>
                <w:highlight w:val="none"/>
                <w:lang w:eastAsia="zh-CN"/>
              </w:rPr>
              <w:t>扣</w:t>
            </w:r>
            <w:r>
              <w:rPr>
                <w:rFonts w:hint="eastAsia" w:ascii="宋体" w:hAnsi="宋体" w:cs="宋体"/>
                <w:color w:val="auto"/>
                <w:szCs w:val="21"/>
                <w:highlight w:val="none"/>
              </w:rPr>
              <w:t>2分。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师生就餐场所整洁清新，照明充足，桌椅无尘无油污，地面无垃圾，天花板、窗户无尘无油污，</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张贴或悬挂弘扬校园饮食文化的标语和警句。</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有一项不符合规定扣1分。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灶具餐具、熟食容器定期消毒并保持清洁，做到“一洗二清三消毒四隔离”</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无消毒作业</w:t>
            </w:r>
            <w:r>
              <w:rPr>
                <w:rFonts w:hint="eastAsia" w:ascii="宋体" w:hAnsi="宋体" w:cs="宋体"/>
                <w:color w:val="auto"/>
                <w:szCs w:val="21"/>
                <w:highlight w:val="none"/>
                <w:lang w:eastAsia="zh-CN"/>
              </w:rPr>
              <w:t>扣</w:t>
            </w:r>
            <w:r>
              <w:rPr>
                <w:rFonts w:hint="eastAsia" w:ascii="宋体" w:hAnsi="宋体" w:cs="宋体"/>
                <w:color w:val="auto"/>
                <w:szCs w:val="21"/>
                <w:highlight w:val="none"/>
              </w:rPr>
              <w:t>2分，不定期</w:t>
            </w:r>
            <w:r>
              <w:rPr>
                <w:rFonts w:hint="eastAsia" w:ascii="宋体" w:hAnsi="宋体" w:cs="宋体"/>
                <w:color w:val="auto"/>
                <w:szCs w:val="21"/>
                <w:highlight w:val="none"/>
                <w:lang w:eastAsia="zh-CN"/>
              </w:rPr>
              <w:t>扣</w:t>
            </w:r>
            <w:r>
              <w:rPr>
                <w:rFonts w:hint="eastAsia" w:ascii="宋体" w:hAnsi="宋体" w:cs="宋体"/>
                <w:color w:val="auto"/>
                <w:szCs w:val="21"/>
                <w:highlight w:val="none"/>
              </w:rPr>
              <w:t>2分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restart"/>
          </w:tcPr>
          <w:p>
            <w:pPr>
              <w:snapToGrid w:val="0"/>
              <w:spacing w:line="360" w:lineRule="auto"/>
              <w:jc w:val="center"/>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食</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堂</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管</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理</w:t>
            </w: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（22分）</w:t>
            </w: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建立健全人事用工、业务培训、优质服务、岗位职责、工作守则、成本核算、监控检查、考核奖惩、民主管理、食品卫生、安全生产等制度。岗位职责等相关制度在</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挂墙公布。</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有一项不符合规定扣2分。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p>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lang w:eastAsia="zh-CN"/>
              </w:rPr>
              <w:t>食堂</w:t>
            </w:r>
            <w:r>
              <w:rPr>
                <w:rFonts w:hint="eastAsia" w:ascii="宋体" w:hAnsi="宋体" w:cs="宋体"/>
                <w:color w:val="auto"/>
                <w:szCs w:val="21"/>
                <w:highlight w:val="none"/>
              </w:rPr>
              <w:t>应建立严格的安全保卫规定，严禁非</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人员随意进入</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加工操作间及原料仓库。</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不按食品安全工作规定执行</w:t>
            </w:r>
            <w:r>
              <w:rPr>
                <w:rFonts w:hint="eastAsia" w:ascii="宋体" w:hAnsi="宋体" w:cs="宋体"/>
                <w:color w:val="auto"/>
                <w:szCs w:val="21"/>
                <w:highlight w:val="none"/>
                <w:lang w:eastAsia="zh-CN"/>
              </w:rPr>
              <w:t>扣</w:t>
            </w:r>
            <w:r>
              <w:rPr>
                <w:rFonts w:hint="eastAsia" w:ascii="宋体" w:hAnsi="宋体" w:cs="宋体"/>
                <w:color w:val="auto"/>
                <w:szCs w:val="21"/>
                <w:highlight w:val="none"/>
              </w:rPr>
              <w:t>2分，发现非</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人员随意进入</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一次</w:t>
            </w:r>
            <w:r>
              <w:rPr>
                <w:rFonts w:hint="eastAsia" w:ascii="宋体" w:hAnsi="宋体" w:cs="宋体"/>
                <w:color w:val="auto"/>
                <w:szCs w:val="21"/>
                <w:highlight w:val="none"/>
                <w:lang w:eastAsia="zh-CN"/>
              </w:rPr>
              <w:t>扣</w:t>
            </w:r>
            <w:r>
              <w:rPr>
                <w:rFonts w:hint="eastAsia" w:ascii="宋体" w:hAnsi="宋体" w:cs="宋体"/>
                <w:color w:val="auto"/>
                <w:szCs w:val="21"/>
                <w:highlight w:val="none"/>
              </w:rPr>
              <w:t>2分。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对所有</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从业人员进行实名登记管理，并对其在业务及工作态度等方面进行管理。设置管理员、采购员、会计、出纳、从业人员具备相应技能和专业证书。</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对所</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从业人员无审核及末登记管理</w:t>
            </w:r>
            <w:r>
              <w:rPr>
                <w:rFonts w:hint="eastAsia" w:ascii="宋体" w:hAnsi="宋体" w:cs="宋体"/>
                <w:color w:val="auto"/>
                <w:szCs w:val="21"/>
                <w:highlight w:val="none"/>
                <w:lang w:eastAsia="zh-CN"/>
              </w:rPr>
              <w:t>扣</w:t>
            </w:r>
            <w:r>
              <w:rPr>
                <w:rFonts w:hint="eastAsia" w:ascii="宋体" w:hAnsi="宋体" w:cs="宋体"/>
                <w:color w:val="auto"/>
                <w:szCs w:val="21"/>
                <w:highlight w:val="none"/>
              </w:rPr>
              <w:t>1分，对</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从业人员管理不力</w:t>
            </w:r>
            <w:r>
              <w:rPr>
                <w:rFonts w:hint="eastAsia" w:ascii="宋体" w:hAnsi="宋体" w:cs="宋体"/>
                <w:color w:val="auto"/>
                <w:szCs w:val="21"/>
                <w:highlight w:val="none"/>
                <w:lang w:eastAsia="zh-CN"/>
              </w:rPr>
              <w:t>扣</w:t>
            </w:r>
            <w:r>
              <w:rPr>
                <w:rFonts w:hint="eastAsia" w:ascii="宋体" w:hAnsi="宋体" w:cs="宋体"/>
                <w:color w:val="auto"/>
                <w:szCs w:val="21"/>
                <w:highlight w:val="none"/>
              </w:rPr>
              <w:t>1分。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vMerge w:val="continue"/>
          </w:tcPr>
          <w:p>
            <w:pPr>
              <w:snapToGrid w:val="0"/>
              <w:spacing w:line="360" w:lineRule="auto"/>
              <w:rPr>
                <w:rFonts w:hint="eastAsia" w:ascii="宋体" w:hAnsi="宋体" w:cs="宋体"/>
                <w:color w:val="auto"/>
                <w:szCs w:val="21"/>
                <w:highlight w:val="none"/>
              </w:rPr>
            </w:pP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所有的台账资料必须齐全，按照要求和好食品留样和记录。</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设备实施配备齐全，有专人管理，定期进行维护和更新。</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有一项不达要求扣2分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对主管部门的工作配合度（10分）</w:t>
            </w:r>
          </w:p>
        </w:tc>
        <w:tc>
          <w:tcPr>
            <w:tcW w:w="4231"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积极配合学校创建争取</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荣誉，认真贯彻执行市、镇有关部门对</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的政策，积极配合各种检查，对在检查过程中发现的问题及时整改。</w:t>
            </w:r>
          </w:p>
        </w:tc>
        <w:tc>
          <w:tcPr>
            <w:tcW w:w="2340" w:type="dxa"/>
            <w:vAlign w:val="center"/>
          </w:tcPr>
          <w:p>
            <w:pPr>
              <w:snapToGrid w:val="0"/>
              <w:spacing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有一项不配合该项不得分</w:t>
            </w: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705" w:type="dxa"/>
          </w:tcPr>
          <w:p>
            <w:pPr>
              <w:snapToGrid w:val="0"/>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67" w:type="dxa"/>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4231" w:type="dxa"/>
          </w:tcPr>
          <w:p>
            <w:pPr>
              <w:snapToGrid w:val="0"/>
              <w:spacing w:line="360" w:lineRule="auto"/>
              <w:rPr>
                <w:rFonts w:hint="eastAsia" w:ascii="宋体" w:hAnsi="宋体" w:cs="宋体"/>
                <w:color w:val="auto"/>
                <w:szCs w:val="21"/>
                <w:highlight w:val="none"/>
              </w:rPr>
            </w:pPr>
          </w:p>
        </w:tc>
        <w:tc>
          <w:tcPr>
            <w:tcW w:w="2340" w:type="dxa"/>
          </w:tcPr>
          <w:p>
            <w:pPr>
              <w:snapToGrid w:val="0"/>
              <w:spacing w:line="360" w:lineRule="auto"/>
              <w:rPr>
                <w:rFonts w:hint="eastAsia" w:ascii="宋体" w:hAnsi="宋体" w:cs="宋体"/>
                <w:color w:val="auto"/>
                <w:szCs w:val="21"/>
                <w:highlight w:val="none"/>
              </w:rPr>
            </w:pPr>
          </w:p>
        </w:tc>
        <w:tc>
          <w:tcPr>
            <w:tcW w:w="676"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100</w:t>
            </w:r>
          </w:p>
        </w:tc>
        <w:tc>
          <w:tcPr>
            <w:tcW w:w="705" w:type="dxa"/>
          </w:tcPr>
          <w:p>
            <w:pPr>
              <w:snapToGrid w:val="0"/>
              <w:spacing w:line="360" w:lineRule="auto"/>
              <w:rPr>
                <w:rFonts w:hint="eastAsia" w:ascii="宋体" w:hAnsi="宋体" w:cs="宋体"/>
                <w:color w:val="auto"/>
                <w:szCs w:val="21"/>
                <w:highlight w:val="none"/>
              </w:rPr>
            </w:pPr>
          </w:p>
        </w:tc>
      </w:tr>
    </w:tbl>
    <w:p>
      <w:pPr>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br w:type="page"/>
      </w:r>
    </w:p>
    <w:p>
      <w:pPr>
        <w:pStyle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附件3：</w:t>
      </w:r>
    </w:p>
    <w:p>
      <w:pPr>
        <w:bidi w:val="0"/>
        <w:jc w:val="center"/>
        <w:rPr>
          <w:rFonts w:hint="default"/>
          <w:b/>
          <w:bCs/>
          <w:color w:val="auto"/>
          <w:highlight w:val="none"/>
          <w:lang w:val="en-US" w:eastAsia="zh-CN"/>
        </w:rPr>
      </w:pPr>
      <w:r>
        <w:rPr>
          <w:rFonts w:hint="eastAsia" w:ascii="宋体" w:hAnsi="宋体" w:cs="宋体"/>
          <w:b/>
          <w:bCs/>
          <w:color w:val="auto"/>
          <w:szCs w:val="21"/>
          <w:highlight w:val="none"/>
        </w:rPr>
        <w:t>满意度抽样问卷调查</w:t>
      </w:r>
    </w:p>
    <w:p>
      <w:pPr>
        <w:rPr>
          <w:rFonts w:hint="eastAsia" w:ascii="宋体" w:hAnsi="宋体" w:cs="宋体"/>
          <w:b/>
          <w:bCs/>
          <w:color w:val="auto"/>
          <w:kern w:val="0"/>
          <w:szCs w:val="21"/>
          <w:highlight w:val="none"/>
          <w:lang w:val="zh-CN" w:bidi="zh-CN"/>
        </w:rPr>
      </w:pP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2188"/>
        <w:gridCol w:w="2062"/>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072"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ascii="宋体" w:hAnsi="宋体" w:cs="宋体"/>
                <w:b w:val="0"/>
                <w:bCs w:val="0"/>
                <w:color w:val="auto"/>
                <w:kern w:val="0"/>
                <w:sz w:val="21"/>
                <w:szCs w:val="21"/>
                <w:highlight w:val="none"/>
                <w:vertAlign w:val="baseline"/>
                <w:lang w:val="en-US" w:bidi="zh-CN"/>
              </w:rPr>
            </w:pPr>
            <w:r>
              <w:rPr>
                <w:rFonts w:hint="eastAsia" w:cs="宋体"/>
                <w:b w:val="0"/>
                <w:bCs w:val="0"/>
                <w:color w:val="auto"/>
                <w:kern w:val="0"/>
                <w:sz w:val="21"/>
                <w:szCs w:val="21"/>
                <w:highlight w:val="none"/>
                <w:vertAlign w:val="baseline"/>
                <w:lang w:val="en-US" w:bidi="zh-CN"/>
              </w:rPr>
              <w:t>姓名</w:t>
            </w:r>
          </w:p>
        </w:tc>
        <w:tc>
          <w:tcPr>
            <w:tcW w:w="1284"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r>
              <w:rPr>
                <w:rFonts w:hint="eastAsia" w:cs="宋体"/>
                <w:b w:val="0"/>
                <w:bCs w:val="0"/>
                <w:color w:val="auto"/>
                <w:kern w:val="0"/>
                <w:sz w:val="21"/>
                <w:szCs w:val="21"/>
                <w:highlight w:val="none"/>
                <w:vertAlign w:val="baseline"/>
                <w:lang w:val="zh-CN" w:bidi="zh-CN"/>
              </w:rPr>
              <w:t>（</w:t>
            </w:r>
            <w:r>
              <w:rPr>
                <w:rFonts w:hint="eastAsia" w:cs="宋体"/>
                <w:b w:val="0"/>
                <w:bCs w:val="0"/>
                <w:color w:val="auto"/>
                <w:kern w:val="0"/>
                <w:sz w:val="21"/>
                <w:szCs w:val="21"/>
                <w:highlight w:val="none"/>
                <w:vertAlign w:val="baseline"/>
                <w:lang w:val="en-US" w:bidi="zh-CN"/>
              </w:rPr>
              <w:t>老师/学生/家长</w:t>
            </w:r>
            <w:r>
              <w:rPr>
                <w:rFonts w:hint="eastAsia" w:cs="宋体"/>
                <w:b w:val="0"/>
                <w:bCs w:val="0"/>
                <w:color w:val="auto"/>
                <w:kern w:val="0"/>
                <w:sz w:val="21"/>
                <w:szCs w:val="21"/>
                <w:highlight w:val="none"/>
                <w:vertAlign w:val="baseline"/>
                <w:lang w:val="zh-CN" w:bidi="zh-CN"/>
              </w:rPr>
              <w:t>）</w:t>
            </w:r>
          </w:p>
        </w:tc>
        <w:tc>
          <w:tcPr>
            <w:tcW w:w="1210"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ascii="宋体" w:hAnsi="宋体" w:cs="宋体"/>
                <w:b w:val="0"/>
                <w:bCs w:val="0"/>
                <w:color w:val="auto"/>
                <w:kern w:val="0"/>
                <w:sz w:val="21"/>
                <w:szCs w:val="21"/>
                <w:highlight w:val="none"/>
                <w:vertAlign w:val="baseline"/>
                <w:lang w:val="en-US" w:bidi="zh-CN"/>
              </w:rPr>
            </w:pPr>
            <w:r>
              <w:rPr>
                <w:rFonts w:hint="eastAsia" w:cs="宋体"/>
                <w:b w:val="0"/>
                <w:bCs w:val="0"/>
                <w:color w:val="auto"/>
                <w:kern w:val="0"/>
                <w:sz w:val="21"/>
                <w:szCs w:val="21"/>
                <w:highlight w:val="none"/>
                <w:vertAlign w:val="baseline"/>
                <w:lang w:val="en-US" w:bidi="zh-CN"/>
              </w:rPr>
              <w:t>满意度打分（1~10）</w:t>
            </w:r>
          </w:p>
        </w:tc>
        <w:tc>
          <w:tcPr>
            <w:tcW w:w="1432"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default" w:ascii="宋体" w:hAnsi="宋体" w:cs="宋体"/>
                <w:b w:val="0"/>
                <w:bCs w:val="0"/>
                <w:color w:val="auto"/>
                <w:kern w:val="0"/>
                <w:sz w:val="21"/>
                <w:szCs w:val="21"/>
                <w:highlight w:val="none"/>
                <w:vertAlign w:val="baseline"/>
                <w:lang w:val="en-US" w:bidi="zh-CN"/>
              </w:rPr>
            </w:pPr>
            <w:r>
              <w:rPr>
                <w:rFonts w:hint="eastAsia" w:cs="宋体"/>
                <w:b w:val="0"/>
                <w:bCs w:val="0"/>
                <w:color w:val="auto"/>
                <w:kern w:val="0"/>
                <w:sz w:val="21"/>
                <w:szCs w:val="21"/>
                <w:highlight w:val="none"/>
                <w:vertAlign w:val="baseline"/>
                <w:lang w:val="en-US" w:bidi="zh-CN"/>
              </w:rPr>
              <w:t>食堂建议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072"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p>
        </w:tc>
        <w:tc>
          <w:tcPr>
            <w:tcW w:w="1284"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p>
        </w:tc>
        <w:tc>
          <w:tcPr>
            <w:tcW w:w="1210"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p>
        </w:tc>
        <w:tc>
          <w:tcPr>
            <w:tcW w:w="1432"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072"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p>
        </w:tc>
        <w:tc>
          <w:tcPr>
            <w:tcW w:w="1284"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p>
        </w:tc>
        <w:tc>
          <w:tcPr>
            <w:tcW w:w="1210"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p>
        </w:tc>
        <w:tc>
          <w:tcPr>
            <w:tcW w:w="1432"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072"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p>
        </w:tc>
        <w:tc>
          <w:tcPr>
            <w:tcW w:w="1284"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p>
        </w:tc>
        <w:tc>
          <w:tcPr>
            <w:tcW w:w="1210"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p>
        </w:tc>
        <w:tc>
          <w:tcPr>
            <w:tcW w:w="1432" w:type="pct"/>
            <w:vAlign w:val="center"/>
          </w:tcPr>
          <w:p>
            <w:pPr>
              <w:pStyle w:val="9"/>
              <w:keepNext w:val="0"/>
              <w:keepLines w:val="0"/>
              <w:pageBreakBefore w:val="0"/>
              <w:widowControl w:val="0"/>
              <w:kinsoku/>
              <w:wordWrap/>
              <w:overflowPunct/>
              <w:topLinePunct w:val="0"/>
              <w:autoSpaceDE/>
              <w:autoSpaceDN/>
              <w:bidi w:val="0"/>
              <w:adjustRightInd/>
              <w:snapToGrid/>
              <w:spacing w:before="0"/>
              <w:ind w:left="0"/>
              <w:jc w:val="center"/>
              <w:textAlignment w:val="auto"/>
              <w:rPr>
                <w:rFonts w:hint="eastAsia" w:ascii="宋体" w:hAnsi="宋体" w:cs="宋体"/>
                <w:b w:val="0"/>
                <w:bCs w:val="0"/>
                <w:color w:val="auto"/>
                <w:kern w:val="0"/>
                <w:sz w:val="21"/>
                <w:szCs w:val="21"/>
                <w:highlight w:val="none"/>
                <w:vertAlign w:val="baseline"/>
                <w:lang w:val="zh-CN" w:bidi="zh-CN"/>
              </w:rPr>
            </w:pPr>
          </w:p>
        </w:tc>
      </w:tr>
    </w:tbl>
    <w:p>
      <w:pPr>
        <w:pStyle w:val="9"/>
        <w:rPr>
          <w:rFonts w:hint="eastAsia" w:ascii="宋体" w:hAnsi="宋体" w:cs="宋体"/>
          <w:b/>
          <w:bCs/>
          <w:color w:val="auto"/>
          <w:kern w:val="0"/>
          <w:szCs w:val="21"/>
          <w:highlight w:val="none"/>
          <w:lang w:val="zh-CN" w:bidi="zh-CN"/>
        </w:rPr>
      </w:pPr>
    </w:p>
    <w:p>
      <w:pPr>
        <w:rPr>
          <w:rFonts w:hint="eastAsia"/>
          <w:color w:val="auto"/>
          <w:highlight w:val="none"/>
          <w:lang w:val="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hint="eastAsia"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9"/>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0" w:name="_Toc28584"/>
      <w:r>
        <w:rPr>
          <w:rFonts w:hint="eastAsia"/>
          <w:color w:val="auto"/>
          <w:highlight w:val="none"/>
        </w:rPr>
        <w:br w:type="page"/>
      </w:r>
    </w:p>
    <w:p>
      <w:pPr>
        <w:pStyle w:val="3"/>
        <w:numPr>
          <w:ilvl w:val="0"/>
          <w:numId w:val="1"/>
        </w:numPr>
        <w:rPr>
          <w:color w:val="auto"/>
          <w:highlight w:val="none"/>
        </w:rPr>
      </w:pPr>
      <w:r>
        <w:rPr>
          <w:rFonts w:hint="eastAsia"/>
          <w:color w:val="auto"/>
          <w:highlight w:val="none"/>
        </w:rPr>
        <w:t>详细评审</w:t>
      </w:r>
      <w:bookmarkEnd w:id="140"/>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15</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pPr>
              <w:pStyle w:val="25"/>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rPr>
              <w:t>业绩情况</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投标人具有</w:t>
            </w:r>
            <w:r>
              <w:rPr>
                <w:rFonts w:hint="eastAsia" w:ascii="宋体" w:hAnsi="宋体" w:cs="宋体"/>
                <w:color w:val="auto"/>
                <w:kern w:val="2"/>
                <w:sz w:val="21"/>
                <w:szCs w:val="21"/>
                <w:highlight w:val="none"/>
                <w:lang w:val="en-US" w:eastAsia="zh-CN"/>
              </w:rPr>
              <w:t>学校食堂管理类或学校食堂承包类项目</w:t>
            </w:r>
            <w:r>
              <w:rPr>
                <w:rFonts w:hint="eastAsia" w:ascii="宋体" w:hAnsi="宋体" w:eastAsia="宋体" w:cs="宋体"/>
                <w:color w:val="auto"/>
                <w:kern w:val="2"/>
                <w:sz w:val="21"/>
                <w:szCs w:val="21"/>
                <w:highlight w:val="none"/>
              </w:rPr>
              <w:t>业绩进行评审，每提供一项业绩得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分，本项满分</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 xml:space="preserve">分。 </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注：须提供合同复印件加盖投标人公章</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否则不得分。</w:t>
            </w:r>
            <w:r>
              <w:rPr>
                <w:rFonts w:hint="eastAsia" w:ascii="宋体" w:hAnsi="宋体" w:eastAsia="宋体" w:cs="宋体"/>
                <w:color w:val="auto"/>
                <w:kern w:val="2"/>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9" w:type="dxa"/>
            <w:tcBorders>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lang w:eastAsia="zh-CN"/>
              </w:rPr>
              <w:t>服务便利性</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5461"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根据投标人提供的服务响应时间承诺进行评分。</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小时内到现场，得</w:t>
            </w:r>
            <w:r>
              <w:rPr>
                <w:rFonts w:hint="eastAsia" w:asci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eastAsia="zh-CN"/>
              </w:rPr>
              <w:t>分；</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小时内到现场，得</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分；</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小时内到现场，得</w:t>
            </w:r>
            <w:r>
              <w:rPr>
                <w:rFonts w:hint="eastAsia" w:asci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投标人承诺在接到采购人通知后超过</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小时到现场，不得分。</w:t>
            </w:r>
          </w:p>
          <w:p>
            <w:pPr>
              <w:pStyle w:val="25"/>
              <w:keepNext w:val="0"/>
              <w:keepLines w:val="0"/>
              <w:pageBreakBefore w:val="0"/>
              <w:kinsoku/>
              <w:wordWrap/>
              <w:overflowPunct/>
              <w:topLinePunct w:val="0"/>
              <w:autoSpaceDE/>
              <w:autoSpaceDN/>
              <w:bidi w:val="0"/>
              <w:adjustRightInd/>
              <w:snapToGrid/>
              <w:spacing w:after="0" w:line="288"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提供服务承诺书并加盖投标人公章。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75</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181" w:beforeLines="50" w:after="181" w:afterLines="50" w:line="240" w:lineRule="auto"/>
              <w:jc w:val="center"/>
              <w:textAlignment w:val="auto"/>
              <w:rPr>
                <w:rFonts w:ascii="宋体" w:cs="宋体"/>
                <w:color w:val="auto"/>
                <w:szCs w:val="21"/>
                <w:highlight w:val="none"/>
              </w:rPr>
            </w:pPr>
            <w:r>
              <w:rPr>
                <w:rFonts w:hint="eastAsia" w:ascii="宋体" w:hAnsi="宋体" w:eastAsia="宋体" w:cs="宋体"/>
                <w:color w:val="auto"/>
                <w:sz w:val="21"/>
                <w:szCs w:val="21"/>
                <w:highlight w:val="none"/>
              </w:rPr>
              <w:t>膳食服务管理方案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before="181" w:beforeLines="50" w:after="181" w:afterLines="50" w:line="240" w:lineRule="auto"/>
              <w:jc w:val="center"/>
              <w:textAlignment w:val="auto"/>
              <w:rPr>
                <w:rFonts w:hint="default" w:ascii="宋体" w:cs="宋体"/>
                <w:color w:val="auto"/>
                <w:szCs w:val="21"/>
                <w:highlight w:val="none"/>
                <w:lang w:val="en-US"/>
              </w:rPr>
            </w:pPr>
            <w:r>
              <w:rPr>
                <w:rFonts w:hint="eastAsia" w:ascii="宋体" w:hAnsi="宋体" w:eastAsia="宋体" w:cs="宋体"/>
                <w:color w:val="auto"/>
                <w:sz w:val="21"/>
                <w:szCs w:val="21"/>
                <w:highlight w:val="none"/>
                <w:lang w:val="en-US" w:eastAsia="zh-CN"/>
              </w:rPr>
              <w:t>15</w:t>
            </w:r>
          </w:p>
        </w:tc>
        <w:tc>
          <w:tcPr>
            <w:tcW w:w="546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根据投标人提供食堂管理制度、膳食制作流程、服务工作安排等</w:t>
            </w:r>
            <w:r>
              <w:rPr>
                <w:rFonts w:hint="eastAsia" w:ascii="宋体" w:hAnsi="宋体" w:eastAsia="宋体" w:cs="宋体"/>
                <w:bCs/>
                <w:color w:val="auto"/>
                <w:sz w:val="21"/>
                <w:szCs w:val="21"/>
                <w:highlight w:val="none"/>
              </w:rPr>
              <w:t>进行综合评价：</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1、投标人提供</w:t>
            </w:r>
            <w:r>
              <w:rPr>
                <w:rFonts w:hint="eastAsia" w:ascii="宋体" w:hAnsi="宋体" w:eastAsia="宋体" w:cs="宋体"/>
                <w:color w:val="auto"/>
                <w:sz w:val="21"/>
                <w:szCs w:val="21"/>
                <w:highlight w:val="none"/>
              </w:rPr>
              <w:t>膳食服务管理</w:t>
            </w:r>
            <w:r>
              <w:rPr>
                <w:rFonts w:hint="eastAsia" w:ascii="宋体" w:hAnsi="宋体" w:eastAsia="宋体" w:cs="宋体"/>
                <w:bCs/>
                <w:color w:val="auto"/>
                <w:sz w:val="21"/>
                <w:szCs w:val="21"/>
                <w:highlight w:val="none"/>
              </w:rPr>
              <w:t>的各方面方案完整齐全，科学合理，可行性强的，得</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2、投标人提供</w:t>
            </w:r>
            <w:r>
              <w:rPr>
                <w:rFonts w:hint="eastAsia" w:ascii="宋体" w:hAnsi="宋体" w:eastAsia="宋体" w:cs="宋体"/>
                <w:color w:val="auto"/>
                <w:sz w:val="21"/>
                <w:szCs w:val="21"/>
                <w:highlight w:val="none"/>
              </w:rPr>
              <w:t>膳食服务管理</w:t>
            </w:r>
            <w:r>
              <w:rPr>
                <w:rFonts w:hint="eastAsia" w:ascii="宋体" w:hAnsi="宋体" w:eastAsia="宋体" w:cs="宋体"/>
                <w:bCs/>
                <w:color w:val="auto"/>
                <w:sz w:val="21"/>
                <w:szCs w:val="21"/>
                <w:highlight w:val="none"/>
              </w:rPr>
              <w:t>的各方面方案完整，科学合理，可行性较强的，得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3、投标人提供</w:t>
            </w:r>
            <w:r>
              <w:rPr>
                <w:rFonts w:hint="eastAsia" w:ascii="宋体" w:hAnsi="宋体" w:eastAsia="宋体" w:cs="宋体"/>
                <w:color w:val="auto"/>
                <w:sz w:val="21"/>
                <w:szCs w:val="21"/>
                <w:highlight w:val="none"/>
              </w:rPr>
              <w:t>膳食服务管理</w:t>
            </w:r>
            <w:r>
              <w:rPr>
                <w:rFonts w:hint="eastAsia" w:ascii="宋体" w:hAnsi="宋体" w:eastAsia="宋体" w:cs="宋体"/>
                <w:bCs/>
                <w:color w:val="auto"/>
                <w:sz w:val="21"/>
                <w:szCs w:val="21"/>
                <w:highlight w:val="none"/>
              </w:rPr>
              <w:t>的各方面方案基本完整，科学合理，</w:t>
            </w:r>
            <w:r>
              <w:rPr>
                <w:rFonts w:hint="eastAsia" w:ascii="宋体" w:hAnsi="宋体" w:eastAsia="宋体" w:cs="宋体"/>
                <w:bCs/>
                <w:color w:val="auto"/>
                <w:sz w:val="21"/>
                <w:szCs w:val="21"/>
                <w:highlight w:val="none"/>
                <w:lang w:val="en-US" w:eastAsia="zh-CN"/>
              </w:rPr>
              <w:t>可行性一般的，得5分；</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4、投标人提供膳食服务管理的各方面方案不完整，不合理，可行性差的，得1分；</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pPr>
              <w:pStyle w:val="25"/>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181" w:beforeLines="50" w:after="181" w:afterLines="50" w:line="240" w:lineRule="auto"/>
              <w:jc w:val="center"/>
              <w:textAlignment w:val="auto"/>
              <w:rPr>
                <w:rFonts w:ascii="宋体" w:cs="宋体"/>
                <w:color w:val="auto"/>
                <w:szCs w:val="21"/>
                <w:highlight w:val="none"/>
              </w:rPr>
            </w:pPr>
            <w:r>
              <w:rPr>
                <w:rFonts w:hint="eastAsia" w:ascii="宋体" w:hAnsi="宋体" w:eastAsia="宋体" w:cs="宋体"/>
                <w:color w:val="auto"/>
                <w:sz w:val="21"/>
                <w:szCs w:val="21"/>
                <w:highlight w:val="none"/>
              </w:rPr>
              <w:t>食品质量及卫生管理方案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181" w:beforeLines="50" w:after="181" w:afterLines="50" w:line="240" w:lineRule="auto"/>
              <w:jc w:val="center"/>
              <w:textAlignment w:val="auto"/>
              <w:rPr>
                <w:rFonts w:hint="default" w:ascii="宋体" w:cs="宋体"/>
                <w:color w:val="auto"/>
                <w:szCs w:val="21"/>
                <w:highlight w:val="none"/>
                <w:lang w:val="en-US"/>
              </w:rPr>
            </w:pPr>
            <w:r>
              <w:rPr>
                <w:rFonts w:hint="eastAsia" w:ascii="宋体" w:hAnsi="宋体" w:eastAsia="宋体" w:cs="宋体"/>
                <w:color w:val="auto"/>
                <w:sz w:val="21"/>
                <w:szCs w:val="21"/>
                <w:highlight w:val="none"/>
                <w:lang w:val="en-US" w:eastAsia="zh-CN"/>
              </w:rPr>
              <w:t>15</w:t>
            </w:r>
          </w:p>
        </w:tc>
        <w:tc>
          <w:tcPr>
            <w:tcW w:w="546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根据投标人提供的食品的质量管理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、卫生管理</w:t>
            </w:r>
            <w:r>
              <w:rPr>
                <w:rFonts w:hint="eastAsia" w:ascii="宋体" w:hAnsi="宋体" w:eastAsia="宋体" w:cs="宋体"/>
                <w:color w:val="auto"/>
                <w:sz w:val="21"/>
                <w:szCs w:val="21"/>
                <w:highlight w:val="none"/>
                <w:lang w:val="en-US" w:eastAsia="zh-CN"/>
              </w:rPr>
              <w:t>方案等</w:t>
            </w:r>
            <w:r>
              <w:rPr>
                <w:rFonts w:hint="eastAsia" w:ascii="宋体" w:hAnsi="宋体" w:eastAsia="宋体" w:cs="宋体"/>
                <w:bCs/>
                <w:color w:val="auto"/>
                <w:sz w:val="21"/>
                <w:szCs w:val="21"/>
                <w:highlight w:val="none"/>
              </w:rPr>
              <w:t>进行综合评价</w:t>
            </w:r>
            <w:r>
              <w:rPr>
                <w:rFonts w:hint="eastAsia" w:ascii="宋体" w:hAnsi="宋体" w:eastAsia="宋体" w:cs="宋体"/>
                <w:color w:val="auto"/>
                <w:sz w:val="21"/>
                <w:szCs w:val="21"/>
                <w:highlight w:val="none"/>
              </w:rPr>
              <w:t>：</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1、投标人提供的食品质量及卫生管理方案</w:t>
            </w:r>
            <w:r>
              <w:rPr>
                <w:rFonts w:hint="eastAsia" w:ascii="宋体" w:hAnsi="宋体" w:eastAsia="宋体" w:cs="宋体"/>
                <w:bCs/>
                <w:color w:val="auto"/>
                <w:sz w:val="21"/>
                <w:szCs w:val="21"/>
                <w:highlight w:val="none"/>
              </w:rPr>
              <w:t>完整齐全，科学合理，可行性强的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得15</w:t>
            </w:r>
            <w:r>
              <w:rPr>
                <w:rFonts w:hint="eastAsia" w:ascii="宋体" w:hAnsi="宋体" w:eastAsia="宋体" w:cs="宋体"/>
                <w:color w:val="auto"/>
                <w:sz w:val="21"/>
                <w:szCs w:val="21"/>
                <w:highlight w:val="none"/>
              </w:rPr>
              <w:t>分；</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2、投标人提供的食品质量及卫生管理方案</w:t>
            </w:r>
            <w:r>
              <w:rPr>
                <w:rFonts w:hint="eastAsia" w:ascii="宋体" w:hAnsi="宋体" w:eastAsia="宋体" w:cs="宋体"/>
                <w:bCs/>
                <w:color w:val="auto"/>
                <w:sz w:val="21"/>
                <w:szCs w:val="21"/>
                <w:highlight w:val="none"/>
              </w:rPr>
              <w:t>方案完整，科学合理，可行性较强的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得10</w:t>
            </w:r>
            <w:r>
              <w:rPr>
                <w:rFonts w:hint="eastAsia" w:ascii="宋体" w:hAnsi="宋体" w:eastAsia="宋体" w:cs="宋体"/>
                <w:color w:val="auto"/>
                <w:sz w:val="21"/>
                <w:szCs w:val="21"/>
                <w:highlight w:val="none"/>
              </w:rPr>
              <w:t>分；</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3、投标人提供的食品质量及卫生管理方案</w:t>
            </w:r>
            <w:r>
              <w:rPr>
                <w:rFonts w:hint="eastAsia" w:ascii="宋体" w:hAnsi="宋体" w:eastAsia="宋体" w:cs="宋体"/>
                <w:bCs/>
                <w:color w:val="auto"/>
                <w:sz w:val="21"/>
                <w:szCs w:val="21"/>
                <w:highlight w:val="none"/>
              </w:rPr>
              <w:t>基本完整，科学合理，</w:t>
            </w:r>
            <w:r>
              <w:rPr>
                <w:rFonts w:hint="eastAsia" w:ascii="宋体" w:hAnsi="宋体" w:eastAsia="宋体" w:cs="宋体"/>
                <w:bCs/>
                <w:color w:val="auto"/>
                <w:sz w:val="21"/>
                <w:szCs w:val="21"/>
                <w:highlight w:val="none"/>
                <w:lang w:val="en-US" w:eastAsia="zh-CN"/>
              </w:rPr>
              <w:t>可行性一般的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得5</w:t>
            </w:r>
            <w:r>
              <w:rPr>
                <w:rFonts w:hint="eastAsia" w:ascii="宋体" w:hAnsi="宋体" w:eastAsia="宋体" w:cs="宋体"/>
                <w:color w:val="auto"/>
                <w:sz w:val="21"/>
                <w:szCs w:val="21"/>
                <w:highlight w:val="none"/>
              </w:rPr>
              <w:t>分；</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4、投标人提供的食品质量及卫生管理方案</w:t>
            </w:r>
            <w:r>
              <w:rPr>
                <w:rFonts w:hint="eastAsia" w:ascii="宋体" w:hAnsi="宋体" w:eastAsia="宋体" w:cs="宋体"/>
                <w:bCs/>
                <w:color w:val="auto"/>
                <w:sz w:val="21"/>
                <w:szCs w:val="21"/>
                <w:highlight w:val="none"/>
                <w:lang w:val="en-US" w:eastAsia="zh-CN"/>
              </w:rPr>
              <w:t>不完整，不合理，可行性差的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181" w:beforeLines="50" w:after="181" w:afterLines="5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食堂</w:t>
            </w:r>
            <w:r>
              <w:rPr>
                <w:rFonts w:hint="eastAsia" w:ascii="宋体" w:hAnsi="宋体" w:eastAsia="宋体" w:cs="宋体"/>
                <w:color w:val="auto"/>
                <w:sz w:val="21"/>
                <w:szCs w:val="21"/>
                <w:highlight w:val="none"/>
              </w:rPr>
              <w:t>安全管理方案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181" w:beforeLines="50" w:after="181" w:afterLines="50"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w:t>
            </w:r>
          </w:p>
        </w:tc>
        <w:tc>
          <w:tcPr>
            <w:tcW w:w="546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根据投标人提供的食品安全管理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、食物中毒事故应急措施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惊醒综合评价：</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1、标人提供的食品安全管理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、食物中毒事故应急措施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bCs/>
                <w:color w:val="auto"/>
                <w:sz w:val="21"/>
                <w:szCs w:val="21"/>
                <w:highlight w:val="none"/>
              </w:rPr>
              <w:t>完整齐全，科学合理，可行性强的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得15</w:t>
            </w:r>
            <w:r>
              <w:rPr>
                <w:rFonts w:hint="eastAsia" w:ascii="宋体" w:hAnsi="宋体" w:eastAsia="宋体" w:cs="宋体"/>
                <w:color w:val="auto"/>
                <w:sz w:val="21"/>
                <w:szCs w:val="21"/>
                <w:highlight w:val="none"/>
              </w:rPr>
              <w:t>分；</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2、标人提供的食品安全管理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、食物中毒事故应急措施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bCs/>
                <w:color w:val="auto"/>
                <w:sz w:val="21"/>
                <w:szCs w:val="21"/>
                <w:highlight w:val="none"/>
              </w:rPr>
              <w:t>完整，科学合理，可行性较强的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得10</w:t>
            </w:r>
            <w:r>
              <w:rPr>
                <w:rFonts w:hint="eastAsia" w:ascii="宋体" w:hAnsi="宋体" w:eastAsia="宋体" w:cs="宋体"/>
                <w:color w:val="auto"/>
                <w:sz w:val="21"/>
                <w:szCs w:val="21"/>
                <w:highlight w:val="none"/>
              </w:rPr>
              <w:t>分；</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3、标人提供的食品安全管理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、食物中毒事故应急措施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bCs/>
                <w:color w:val="auto"/>
                <w:sz w:val="21"/>
                <w:szCs w:val="21"/>
                <w:highlight w:val="none"/>
              </w:rPr>
              <w:t>基本完整，科学合理，</w:t>
            </w:r>
            <w:r>
              <w:rPr>
                <w:rFonts w:hint="eastAsia" w:ascii="宋体" w:hAnsi="宋体" w:eastAsia="宋体" w:cs="宋体"/>
                <w:bCs/>
                <w:color w:val="auto"/>
                <w:sz w:val="21"/>
                <w:szCs w:val="21"/>
                <w:highlight w:val="none"/>
                <w:lang w:val="en-US" w:eastAsia="zh-CN"/>
              </w:rPr>
              <w:t>可行性一般的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标人提供的食品安全管理</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、食物中毒事故应急措施</w:t>
            </w:r>
            <w:r>
              <w:rPr>
                <w:rFonts w:hint="eastAsia" w:ascii="宋体" w:hAnsi="宋体" w:eastAsia="宋体" w:cs="宋体"/>
                <w:color w:val="auto"/>
                <w:sz w:val="21"/>
                <w:szCs w:val="21"/>
                <w:highlight w:val="none"/>
                <w:lang w:val="en-US" w:eastAsia="zh-CN"/>
              </w:rPr>
              <w:t>方案</w:t>
            </w:r>
            <w:r>
              <w:rPr>
                <w:rFonts w:hint="eastAsia" w:ascii="宋体" w:hAnsi="宋体" w:eastAsia="宋体" w:cs="宋体"/>
                <w:bCs/>
                <w:color w:val="auto"/>
                <w:sz w:val="21"/>
                <w:szCs w:val="21"/>
                <w:highlight w:val="none"/>
                <w:lang w:val="en-US" w:eastAsia="zh-CN"/>
              </w:rPr>
              <w:t>不完整，不合理，可行性差的，得1分；</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181" w:beforeLines="50" w:after="181" w:afterLines="50" w:line="240" w:lineRule="auto"/>
              <w:jc w:val="center"/>
              <w:textAlignment w:val="auto"/>
              <w:rPr>
                <w:rFonts w:ascii="宋体" w:cs="宋体"/>
                <w:color w:val="auto"/>
                <w:szCs w:val="21"/>
                <w:highlight w:val="none"/>
              </w:rPr>
            </w:pPr>
            <w:r>
              <w:rPr>
                <w:rFonts w:hint="eastAsia" w:ascii="宋体" w:hAnsi="宋体" w:cs="宋体"/>
                <w:color w:val="auto"/>
                <w:sz w:val="21"/>
                <w:szCs w:val="21"/>
                <w:highlight w:val="none"/>
                <w:lang w:eastAsia="zh-CN"/>
              </w:rPr>
              <w:t>食堂</w:t>
            </w:r>
            <w:r>
              <w:rPr>
                <w:rFonts w:hint="eastAsia" w:ascii="宋体" w:hAnsi="宋体" w:eastAsia="宋体" w:cs="宋体"/>
                <w:color w:val="auto"/>
                <w:sz w:val="21"/>
                <w:szCs w:val="21"/>
                <w:highlight w:val="none"/>
              </w:rPr>
              <w:t>（厨房除外）环境卫生管理方案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181" w:beforeLines="50" w:after="181" w:afterLines="50" w:line="240" w:lineRule="auto"/>
              <w:jc w:val="center"/>
              <w:textAlignment w:val="auto"/>
              <w:rPr>
                <w:rFonts w:hint="default" w:asci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投标人提供的</w:t>
            </w:r>
            <w:r>
              <w:rPr>
                <w:rFonts w:hint="eastAsia" w:ascii="宋体" w:hAnsi="宋体" w:cs="宋体"/>
                <w:color w:val="auto"/>
                <w:sz w:val="21"/>
                <w:szCs w:val="21"/>
                <w:highlight w:val="none"/>
                <w:lang w:eastAsia="zh-CN"/>
              </w:rPr>
              <w:t>食堂</w:t>
            </w:r>
            <w:r>
              <w:rPr>
                <w:rFonts w:hint="eastAsia" w:ascii="宋体" w:hAnsi="宋体" w:eastAsia="宋体" w:cs="宋体"/>
                <w:color w:val="auto"/>
                <w:sz w:val="21"/>
                <w:szCs w:val="21"/>
                <w:highlight w:val="none"/>
              </w:rPr>
              <w:t>环境及食堂的实物出库管理等</w:t>
            </w:r>
            <w:r>
              <w:rPr>
                <w:rFonts w:hint="eastAsia" w:ascii="宋体" w:hAnsi="宋体" w:eastAsia="宋体" w:cs="宋体"/>
                <w:bCs/>
                <w:color w:val="auto"/>
                <w:sz w:val="21"/>
                <w:szCs w:val="21"/>
                <w:highlight w:val="none"/>
              </w:rPr>
              <w:t>进行综合评价</w:t>
            </w:r>
            <w:r>
              <w:rPr>
                <w:rFonts w:hint="eastAsia" w:ascii="宋体" w:hAnsi="宋体" w:eastAsia="宋体" w:cs="宋体"/>
                <w:color w:val="auto"/>
                <w:sz w:val="21"/>
                <w:szCs w:val="21"/>
                <w:highlight w:val="none"/>
              </w:rPr>
              <w:t>：</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1、投标人提供的</w:t>
            </w:r>
            <w:r>
              <w:rPr>
                <w:rFonts w:hint="eastAsia" w:ascii="宋体" w:hAnsi="宋体" w:cs="宋体"/>
                <w:color w:val="auto"/>
                <w:sz w:val="21"/>
                <w:szCs w:val="21"/>
                <w:highlight w:val="none"/>
                <w:lang w:eastAsia="zh-CN"/>
              </w:rPr>
              <w:t>食堂</w:t>
            </w:r>
            <w:r>
              <w:rPr>
                <w:rFonts w:hint="eastAsia" w:ascii="宋体" w:hAnsi="宋体" w:eastAsia="宋体" w:cs="宋体"/>
                <w:color w:val="auto"/>
                <w:sz w:val="21"/>
                <w:szCs w:val="21"/>
                <w:highlight w:val="none"/>
              </w:rPr>
              <w:t>环境及食堂的实物出库管理方案</w:t>
            </w:r>
            <w:r>
              <w:rPr>
                <w:rFonts w:hint="eastAsia" w:ascii="宋体" w:hAnsi="宋体" w:eastAsia="宋体" w:cs="宋体"/>
                <w:bCs/>
                <w:color w:val="auto"/>
                <w:sz w:val="21"/>
                <w:szCs w:val="21"/>
                <w:highlight w:val="none"/>
              </w:rPr>
              <w:t>完整齐全，科学合理，可行性强的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得10</w:t>
            </w:r>
            <w:r>
              <w:rPr>
                <w:rFonts w:hint="eastAsia" w:ascii="宋体" w:hAnsi="宋体" w:eastAsia="宋体" w:cs="宋体"/>
                <w:color w:val="auto"/>
                <w:sz w:val="21"/>
                <w:szCs w:val="21"/>
                <w:highlight w:val="none"/>
              </w:rPr>
              <w:t>分；</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2、投标人提供的</w:t>
            </w:r>
            <w:r>
              <w:rPr>
                <w:rFonts w:hint="eastAsia" w:ascii="宋体" w:hAnsi="宋体" w:cs="宋体"/>
                <w:color w:val="auto"/>
                <w:sz w:val="21"/>
                <w:szCs w:val="21"/>
                <w:highlight w:val="none"/>
                <w:lang w:eastAsia="zh-CN"/>
              </w:rPr>
              <w:t>食堂</w:t>
            </w:r>
            <w:r>
              <w:rPr>
                <w:rFonts w:hint="eastAsia" w:ascii="宋体" w:hAnsi="宋体" w:eastAsia="宋体" w:cs="宋体"/>
                <w:color w:val="auto"/>
                <w:sz w:val="21"/>
                <w:szCs w:val="21"/>
                <w:highlight w:val="none"/>
              </w:rPr>
              <w:t>环境及食堂的实物出库管理方案</w:t>
            </w:r>
            <w:r>
              <w:rPr>
                <w:rFonts w:hint="eastAsia" w:ascii="宋体" w:hAnsi="宋体" w:eastAsia="宋体" w:cs="宋体"/>
                <w:bCs/>
                <w:color w:val="auto"/>
                <w:sz w:val="21"/>
                <w:szCs w:val="21"/>
                <w:highlight w:val="none"/>
              </w:rPr>
              <w:t>完整，科学合理，可行性较强的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得6</w:t>
            </w:r>
            <w:r>
              <w:rPr>
                <w:rFonts w:hint="eastAsia" w:ascii="宋体" w:hAnsi="宋体" w:eastAsia="宋体" w:cs="宋体"/>
                <w:color w:val="auto"/>
                <w:sz w:val="21"/>
                <w:szCs w:val="21"/>
                <w:highlight w:val="none"/>
              </w:rPr>
              <w:t>分；</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3、投标人提供的</w:t>
            </w:r>
            <w:r>
              <w:rPr>
                <w:rFonts w:hint="eastAsia" w:ascii="宋体" w:hAnsi="宋体" w:cs="宋体"/>
                <w:color w:val="auto"/>
                <w:sz w:val="21"/>
                <w:szCs w:val="21"/>
                <w:highlight w:val="none"/>
                <w:lang w:eastAsia="zh-CN"/>
              </w:rPr>
              <w:t>食堂</w:t>
            </w:r>
            <w:r>
              <w:rPr>
                <w:rFonts w:hint="eastAsia" w:ascii="宋体" w:hAnsi="宋体" w:eastAsia="宋体" w:cs="宋体"/>
                <w:color w:val="auto"/>
                <w:sz w:val="21"/>
                <w:szCs w:val="21"/>
                <w:highlight w:val="none"/>
              </w:rPr>
              <w:t>环境及食堂的实物出库管理方案</w:t>
            </w:r>
            <w:r>
              <w:rPr>
                <w:rFonts w:hint="eastAsia" w:ascii="宋体" w:hAnsi="宋体" w:eastAsia="宋体" w:cs="宋体"/>
                <w:bCs/>
                <w:color w:val="auto"/>
                <w:sz w:val="21"/>
                <w:szCs w:val="21"/>
                <w:highlight w:val="none"/>
              </w:rPr>
              <w:t>基本完整，科学合理，</w:t>
            </w:r>
            <w:r>
              <w:rPr>
                <w:rFonts w:hint="eastAsia" w:ascii="宋体" w:hAnsi="宋体" w:eastAsia="宋体" w:cs="宋体"/>
                <w:bCs/>
                <w:color w:val="auto"/>
                <w:sz w:val="21"/>
                <w:szCs w:val="21"/>
                <w:highlight w:val="none"/>
                <w:lang w:val="en-US" w:eastAsia="zh-CN"/>
              </w:rPr>
              <w:t>可行性一般的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得3</w:t>
            </w:r>
            <w:r>
              <w:rPr>
                <w:rFonts w:hint="eastAsia" w:ascii="宋体" w:hAnsi="宋体" w:eastAsia="宋体" w:cs="宋体"/>
                <w:color w:val="auto"/>
                <w:sz w:val="21"/>
                <w:szCs w:val="21"/>
                <w:highlight w:val="none"/>
              </w:rPr>
              <w:t>分；</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4、投标人提供的</w:t>
            </w:r>
            <w:r>
              <w:rPr>
                <w:rFonts w:hint="eastAsia" w:ascii="宋体" w:hAnsi="宋体" w:cs="宋体"/>
                <w:color w:val="auto"/>
                <w:sz w:val="21"/>
                <w:szCs w:val="21"/>
                <w:highlight w:val="none"/>
                <w:lang w:eastAsia="zh-CN"/>
              </w:rPr>
              <w:t>食堂</w:t>
            </w:r>
            <w:r>
              <w:rPr>
                <w:rFonts w:hint="eastAsia" w:ascii="宋体" w:hAnsi="宋体" w:eastAsia="宋体" w:cs="宋体"/>
                <w:color w:val="auto"/>
                <w:sz w:val="21"/>
                <w:szCs w:val="21"/>
                <w:highlight w:val="none"/>
              </w:rPr>
              <w:t>环境及食堂的实物出库管理方案</w:t>
            </w:r>
            <w:r>
              <w:rPr>
                <w:rFonts w:hint="eastAsia" w:ascii="宋体" w:hAnsi="宋体" w:eastAsia="宋体" w:cs="宋体"/>
                <w:bCs/>
                <w:color w:val="auto"/>
                <w:sz w:val="21"/>
                <w:szCs w:val="21"/>
                <w:highlight w:val="none"/>
                <w:lang w:val="en-US" w:eastAsia="zh-CN"/>
              </w:rPr>
              <w:t>不完整，不合理，可行性差的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181" w:beforeLines="50" w:after="181" w:after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厨房环境卫生管理方案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before="181" w:beforeLines="50" w:after="181" w:after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根据投标人提供的厨房食品卫生管理制度、烹调加工的制度及厨具消毒的制度等</w:t>
            </w:r>
            <w:r>
              <w:rPr>
                <w:rFonts w:hint="eastAsia" w:ascii="宋体" w:hAnsi="宋体" w:eastAsia="宋体" w:cs="宋体"/>
                <w:bCs/>
                <w:color w:val="auto"/>
                <w:sz w:val="21"/>
                <w:szCs w:val="21"/>
                <w:highlight w:val="none"/>
              </w:rPr>
              <w:t>进行综合评价</w:t>
            </w:r>
            <w:r>
              <w:rPr>
                <w:rFonts w:hint="eastAsia" w:ascii="宋体" w:hAnsi="宋体" w:eastAsia="宋体" w:cs="宋体"/>
                <w:color w:val="auto"/>
                <w:sz w:val="21"/>
                <w:szCs w:val="21"/>
                <w:highlight w:val="none"/>
              </w:rPr>
              <w:t>：</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1、投标人提供的厨房环境卫生管理</w:t>
            </w:r>
            <w:r>
              <w:rPr>
                <w:rFonts w:hint="eastAsia" w:ascii="宋体" w:hAnsi="宋体" w:eastAsia="宋体" w:cs="宋体"/>
                <w:color w:val="auto"/>
                <w:sz w:val="21"/>
                <w:szCs w:val="21"/>
                <w:highlight w:val="none"/>
                <w:lang w:val="en-US" w:eastAsia="zh-CN"/>
              </w:rPr>
              <w:t>各方面</w:t>
            </w:r>
            <w:r>
              <w:rPr>
                <w:rFonts w:hint="eastAsia" w:ascii="宋体" w:hAnsi="宋体" w:eastAsia="宋体" w:cs="宋体"/>
                <w:color w:val="auto"/>
                <w:sz w:val="21"/>
                <w:szCs w:val="21"/>
                <w:highlight w:val="none"/>
              </w:rPr>
              <w:t>方案</w:t>
            </w:r>
            <w:r>
              <w:rPr>
                <w:rFonts w:hint="eastAsia" w:ascii="宋体" w:hAnsi="宋体" w:eastAsia="宋体" w:cs="宋体"/>
                <w:bCs/>
                <w:color w:val="auto"/>
                <w:sz w:val="21"/>
                <w:szCs w:val="21"/>
                <w:highlight w:val="none"/>
              </w:rPr>
              <w:t>完整齐全，科学合理，可行性强的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得10</w:t>
            </w:r>
            <w:r>
              <w:rPr>
                <w:rFonts w:hint="eastAsia" w:ascii="宋体" w:hAnsi="宋体" w:eastAsia="宋体" w:cs="宋体"/>
                <w:color w:val="auto"/>
                <w:sz w:val="21"/>
                <w:szCs w:val="21"/>
                <w:highlight w:val="none"/>
              </w:rPr>
              <w:t>分；</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2、投标人提供的厨房环境卫生管理</w:t>
            </w:r>
            <w:r>
              <w:rPr>
                <w:rFonts w:hint="eastAsia" w:ascii="宋体" w:hAnsi="宋体" w:eastAsia="宋体" w:cs="宋体"/>
                <w:color w:val="auto"/>
                <w:sz w:val="21"/>
                <w:szCs w:val="21"/>
                <w:highlight w:val="none"/>
                <w:lang w:val="en-US" w:eastAsia="zh-CN"/>
              </w:rPr>
              <w:t>各方面</w:t>
            </w:r>
            <w:r>
              <w:rPr>
                <w:rFonts w:hint="eastAsia" w:ascii="宋体" w:hAnsi="宋体" w:eastAsia="宋体" w:cs="宋体"/>
                <w:color w:val="auto"/>
                <w:sz w:val="21"/>
                <w:szCs w:val="21"/>
                <w:highlight w:val="none"/>
              </w:rPr>
              <w:t>方案</w:t>
            </w:r>
            <w:r>
              <w:rPr>
                <w:rFonts w:hint="eastAsia" w:ascii="宋体" w:hAnsi="宋体" w:eastAsia="宋体" w:cs="宋体"/>
                <w:bCs/>
                <w:color w:val="auto"/>
                <w:sz w:val="21"/>
                <w:szCs w:val="21"/>
                <w:highlight w:val="none"/>
              </w:rPr>
              <w:t>完整，科学合理，可行性较强的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得6</w:t>
            </w:r>
            <w:r>
              <w:rPr>
                <w:rFonts w:hint="eastAsia" w:ascii="宋体" w:hAnsi="宋体" w:eastAsia="宋体" w:cs="宋体"/>
                <w:color w:val="auto"/>
                <w:sz w:val="21"/>
                <w:szCs w:val="21"/>
                <w:highlight w:val="none"/>
              </w:rPr>
              <w:t>分；</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3、投标人提供的厨房环境卫生管理</w:t>
            </w:r>
            <w:r>
              <w:rPr>
                <w:rFonts w:hint="eastAsia" w:ascii="宋体" w:hAnsi="宋体" w:eastAsia="宋体" w:cs="宋体"/>
                <w:color w:val="auto"/>
                <w:sz w:val="21"/>
                <w:szCs w:val="21"/>
                <w:highlight w:val="none"/>
                <w:lang w:val="en-US" w:eastAsia="zh-CN"/>
              </w:rPr>
              <w:t>各方面</w:t>
            </w:r>
            <w:r>
              <w:rPr>
                <w:rFonts w:hint="eastAsia" w:ascii="宋体" w:hAnsi="宋体" w:eastAsia="宋体" w:cs="宋体"/>
                <w:color w:val="auto"/>
                <w:sz w:val="21"/>
                <w:szCs w:val="21"/>
                <w:highlight w:val="none"/>
              </w:rPr>
              <w:t>方案</w:t>
            </w:r>
            <w:r>
              <w:rPr>
                <w:rFonts w:hint="eastAsia" w:ascii="宋体" w:hAnsi="宋体" w:eastAsia="宋体" w:cs="宋体"/>
                <w:bCs/>
                <w:color w:val="auto"/>
                <w:sz w:val="21"/>
                <w:szCs w:val="21"/>
                <w:highlight w:val="none"/>
              </w:rPr>
              <w:t>基本完整，科学合理，</w:t>
            </w:r>
            <w:r>
              <w:rPr>
                <w:rFonts w:hint="eastAsia" w:ascii="宋体" w:hAnsi="宋体" w:eastAsia="宋体" w:cs="宋体"/>
                <w:bCs/>
                <w:color w:val="auto"/>
                <w:sz w:val="21"/>
                <w:szCs w:val="21"/>
                <w:highlight w:val="none"/>
                <w:lang w:val="en-US" w:eastAsia="zh-CN"/>
              </w:rPr>
              <w:t>可行性一般的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得3</w:t>
            </w:r>
            <w:r>
              <w:rPr>
                <w:rFonts w:hint="eastAsia" w:ascii="宋体" w:hAnsi="宋体" w:eastAsia="宋体" w:cs="宋体"/>
                <w:color w:val="auto"/>
                <w:sz w:val="21"/>
                <w:szCs w:val="21"/>
                <w:highlight w:val="none"/>
              </w:rPr>
              <w:t>分；</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4、投标人提供的厨房环境卫生管理</w:t>
            </w:r>
            <w:r>
              <w:rPr>
                <w:rFonts w:hint="eastAsia" w:ascii="宋体" w:hAnsi="宋体" w:eastAsia="宋体" w:cs="宋体"/>
                <w:color w:val="auto"/>
                <w:sz w:val="21"/>
                <w:szCs w:val="21"/>
                <w:highlight w:val="none"/>
                <w:lang w:val="en-US" w:eastAsia="zh-CN"/>
              </w:rPr>
              <w:t>各方面</w:t>
            </w:r>
            <w:r>
              <w:rPr>
                <w:rFonts w:hint="eastAsia" w:ascii="宋体" w:hAnsi="宋体" w:eastAsia="宋体" w:cs="宋体"/>
                <w:color w:val="auto"/>
                <w:sz w:val="21"/>
                <w:szCs w:val="21"/>
                <w:highlight w:val="none"/>
              </w:rPr>
              <w:t>方案</w:t>
            </w:r>
            <w:r>
              <w:rPr>
                <w:rFonts w:hint="eastAsia" w:ascii="宋体" w:hAnsi="宋体" w:eastAsia="宋体" w:cs="宋体"/>
                <w:bCs/>
                <w:color w:val="auto"/>
                <w:sz w:val="21"/>
                <w:szCs w:val="21"/>
                <w:highlight w:val="none"/>
                <w:lang w:val="en-US" w:eastAsia="zh-CN"/>
              </w:rPr>
              <w:t>不完整，不合理，可行性差的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得1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before="181" w:beforeLines="50" w:after="181" w:afterLines="5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36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6</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ascii="宋体" w:cs="宋体"/>
                <w:color w:val="auto"/>
                <w:szCs w:val="21"/>
                <w:highlight w:val="none"/>
              </w:rPr>
            </w:pPr>
            <w:r>
              <w:rPr>
                <w:rFonts w:hint="eastAsia" w:ascii="宋体" w:hAnsi="宋体" w:eastAsia="宋体" w:cs="宋体"/>
                <w:color w:val="auto"/>
                <w:kern w:val="2"/>
                <w:sz w:val="21"/>
                <w:szCs w:val="21"/>
                <w:highlight w:val="none"/>
              </w:rPr>
              <w:t>突发事件的应急响应方案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eastAsia="宋体" w:cs="宋体"/>
                <w:color w:val="auto"/>
                <w:szCs w:val="21"/>
                <w:highlight w:val="none"/>
                <w:lang w:val="en-US" w:eastAsia="zh-CN"/>
              </w:rPr>
            </w:pPr>
            <w:r>
              <w:rPr>
                <w:rFonts w:hint="eastAsia" w:ascii="宋体" w:hAnsi="宋体" w:cs="宋体"/>
                <w:color w:val="auto"/>
                <w:kern w:val="2"/>
                <w:sz w:val="21"/>
                <w:szCs w:val="21"/>
                <w:highlight w:val="none"/>
                <w:lang w:val="en-US" w:eastAsia="zh-CN"/>
              </w:rPr>
              <w:t>10</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提供</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项目实施应急服务预案</w:t>
            </w:r>
            <w:r>
              <w:rPr>
                <w:rFonts w:hint="eastAsia" w:ascii="宋体" w:hAnsi="宋体" w:cs="宋体"/>
                <w:color w:val="auto"/>
                <w:kern w:val="2"/>
                <w:sz w:val="21"/>
                <w:szCs w:val="21"/>
                <w:highlight w:val="none"/>
                <w:lang w:val="en-US" w:eastAsia="zh-CN"/>
              </w:rPr>
              <w:t>进行综合评审</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针对本项目拟定的突发事件的处理措施和应急预案全面、科学、合理、可行且详细的，得</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针对本项目拟定的突发事件的处理措施和应急预案不全面、</w:t>
            </w:r>
            <w:r>
              <w:rPr>
                <w:rFonts w:hint="eastAsia" w:ascii="宋体" w:hAnsi="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ascii="宋体" w:hAnsi="宋体" w:cs="宋体"/>
                <w:bCs/>
                <w:color w:val="auto"/>
                <w:szCs w:val="21"/>
                <w:highlight w:val="none"/>
                <w:lang w:val="zh-CN"/>
              </w:rPr>
            </w:pP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（2）投标人根据以上评分要求提供的投标材料因模糊不清导致评标委员会无法清晰辨认进行评审的，视为无效材料。</w:t>
            </w:r>
          </w:p>
          <w:p>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1</w:t>
            </w:r>
            <w:r>
              <w:rPr>
                <w:rFonts w:hint="eastAsia" w:asci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5"/>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rPr>
              <w:t>投标总价</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rPr>
              <w:t>10</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kern w:val="2"/>
                <w:sz w:val="21"/>
                <w:szCs w:val="21"/>
                <w:highlight w:val="none"/>
                <w:lang w:val="zh-CN"/>
              </w:rPr>
              <w:t>投标报价得分=(评标基准价／投标报价)×价格权值</w:t>
            </w:r>
          </w:p>
        </w:tc>
      </w:tr>
    </w:tbl>
    <w:p>
      <w:pPr>
        <w:rPr>
          <w:color w:val="auto"/>
          <w:highlight w:val="none"/>
        </w:rPr>
      </w:pPr>
      <w:r>
        <w:rPr>
          <w:color w:val="auto"/>
          <w:highlight w:val="none"/>
        </w:rPr>
        <w:br w:type="page"/>
      </w:r>
    </w:p>
    <w:p>
      <w:pPr>
        <w:pStyle w:val="3"/>
        <w:numPr>
          <w:ilvl w:val="0"/>
          <w:numId w:val="1"/>
        </w:numPr>
        <w:rPr>
          <w:color w:val="auto"/>
          <w:highlight w:val="none"/>
        </w:rPr>
      </w:pPr>
      <w:bookmarkStart w:id="141" w:name="_Toc32522"/>
      <w:r>
        <w:rPr>
          <w:rFonts w:hint="eastAsia"/>
          <w:color w:val="auto"/>
          <w:highlight w:val="none"/>
        </w:rPr>
        <w:t>合同文本参考格式</w:t>
      </w:r>
      <w:bookmarkEnd w:id="141"/>
    </w:p>
    <w:p>
      <w:pPr>
        <w:jc w:val="center"/>
        <w:outlineLvl w:val="1"/>
        <w:rPr>
          <w:color w:val="auto"/>
          <w:sz w:val="18"/>
          <w:szCs w:val="21"/>
          <w:highlight w:val="none"/>
        </w:rPr>
      </w:pPr>
      <w:bookmarkStart w:id="142" w:name="_Toc1541"/>
      <w:r>
        <w:rPr>
          <w:rFonts w:hint="eastAsia" w:ascii="宋体" w:hAnsi="宋体" w:cs="宋体"/>
          <w:b/>
          <w:bCs/>
          <w:color w:val="auto"/>
          <w:sz w:val="22"/>
          <w:szCs w:val="22"/>
          <w:highlight w:val="none"/>
        </w:rPr>
        <w:t>（本格式编排在招标文件中，供投标人参考，投标时不需填写</w:t>
      </w: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最终以实际签订合同为准</w:t>
      </w:r>
      <w:r>
        <w:rPr>
          <w:rFonts w:hint="eastAsia" w:ascii="宋体" w:hAnsi="宋体" w:cs="宋体"/>
          <w:b/>
          <w:bCs/>
          <w:color w:val="auto"/>
          <w:sz w:val="22"/>
          <w:szCs w:val="22"/>
          <w:highlight w:val="none"/>
        </w:rPr>
        <w:t>）</w:t>
      </w:r>
      <w:bookmarkEnd w:id="142"/>
    </w:p>
    <w:p>
      <w:pPr>
        <w:spacing w:line="360" w:lineRule="auto"/>
        <w:jc w:val="center"/>
        <w:rPr>
          <w:rFonts w:ascii="宋体" w:hAnsi="宋体"/>
          <w:b/>
          <w:bCs/>
          <w:color w:val="auto"/>
          <w:sz w:val="24"/>
          <w:highlight w:val="none"/>
        </w:rPr>
      </w:pPr>
      <w:r>
        <w:rPr>
          <w:rFonts w:hint="eastAsia" w:ascii="宋体" w:hAnsi="宋体" w:cs="宋体"/>
          <w:b/>
          <w:bCs/>
          <w:color w:val="auto"/>
          <w:sz w:val="24"/>
          <w:highlight w:val="none"/>
        </w:rPr>
        <w:t>食堂食材加工及相关配套服务合同</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甲方：</w:t>
      </w:r>
      <w:r>
        <w:rPr>
          <w:rFonts w:hint="eastAsia" w:ascii="宋体" w:hAnsi="宋体"/>
          <w:color w:val="auto"/>
          <w:szCs w:val="21"/>
          <w:highlight w:val="none"/>
        </w:rPr>
        <w:tab/>
      </w:r>
    </w:p>
    <w:p>
      <w:pPr>
        <w:spacing w:line="360" w:lineRule="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rPr>
        <w:tab/>
      </w:r>
    </w:p>
    <w:p>
      <w:pPr>
        <w:spacing w:line="360" w:lineRule="auto"/>
        <w:rPr>
          <w:rFonts w:ascii="宋体" w:hAnsi="宋体"/>
          <w:color w:val="auto"/>
          <w:szCs w:val="21"/>
          <w:highlight w:val="none"/>
        </w:rPr>
      </w:pPr>
      <w:r>
        <w:rPr>
          <w:rFonts w:hint="eastAsia" w:ascii="宋体" w:hAnsi="宋体"/>
          <w:color w:val="auto"/>
          <w:szCs w:val="21"/>
          <w:highlight w:val="none"/>
        </w:rPr>
        <w:t xml:space="preserve">地址：  </w:t>
      </w:r>
      <w:r>
        <w:rPr>
          <w:rFonts w:hint="eastAsia" w:ascii="宋体" w:hAnsi="宋体"/>
          <w:color w:val="auto"/>
          <w:szCs w:val="21"/>
          <w:highlight w:val="none"/>
        </w:rPr>
        <w:tab/>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乙方：  </w:t>
      </w:r>
      <w:r>
        <w:rPr>
          <w:rFonts w:hint="eastAsia" w:ascii="宋体" w:hAnsi="宋体"/>
          <w:color w:val="auto"/>
          <w:szCs w:val="21"/>
          <w:highlight w:val="none"/>
        </w:rPr>
        <w:tab/>
      </w:r>
    </w:p>
    <w:p>
      <w:pPr>
        <w:spacing w:line="360" w:lineRule="auto"/>
        <w:rPr>
          <w:rFonts w:ascii="宋体" w:hAnsi="宋体"/>
          <w:color w:val="auto"/>
          <w:szCs w:val="21"/>
          <w:highlight w:val="none"/>
        </w:rPr>
      </w:pPr>
      <w:r>
        <w:rPr>
          <w:rFonts w:hint="eastAsia" w:ascii="宋体" w:hAnsi="宋体"/>
          <w:color w:val="auto"/>
          <w:szCs w:val="21"/>
          <w:highlight w:val="none"/>
        </w:rPr>
        <w:t xml:space="preserve">电话： </w:t>
      </w:r>
      <w:r>
        <w:rPr>
          <w:rFonts w:hint="eastAsia" w:ascii="宋体" w:hAnsi="宋体"/>
          <w:color w:val="auto"/>
          <w:szCs w:val="21"/>
          <w:highlight w:val="none"/>
        </w:rPr>
        <w:tab/>
      </w:r>
    </w:p>
    <w:p>
      <w:pPr>
        <w:spacing w:line="360" w:lineRule="auto"/>
        <w:rPr>
          <w:rFonts w:ascii="宋体" w:hAnsi="宋体"/>
          <w:color w:val="auto"/>
          <w:szCs w:val="21"/>
          <w:highlight w:val="none"/>
        </w:rPr>
      </w:pPr>
      <w:r>
        <w:rPr>
          <w:rFonts w:hint="eastAsia" w:ascii="宋体" w:hAnsi="宋体"/>
          <w:color w:val="auto"/>
          <w:szCs w:val="21"/>
          <w:highlight w:val="none"/>
        </w:rPr>
        <w:t xml:space="preserve">地址：  </w:t>
      </w:r>
      <w:r>
        <w:rPr>
          <w:rFonts w:hint="eastAsia" w:ascii="宋体" w:hAnsi="宋体"/>
          <w:color w:val="auto"/>
          <w:szCs w:val="21"/>
          <w:highlight w:val="none"/>
        </w:rPr>
        <w:tab/>
      </w: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eastAsia="宋体" w:cs="宋体"/>
          <w:color w:val="auto"/>
          <w:sz w:val="21"/>
          <w:szCs w:val="22"/>
          <w:highlight w:val="none"/>
        </w:rPr>
        <w:t>受甲方委托，</w:t>
      </w:r>
      <w:r>
        <w:rPr>
          <w:rFonts w:hint="eastAsia" w:ascii="宋体" w:hAnsi="宋体" w:eastAsia="宋体" w:cs="宋体"/>
          <w:color w:val="auto"/>
          <w:sz w:val="21"/>
          <w:szCs w:val="22"/>
          <w:highlight w:val="none"/>
          <w:u w:val="single"/>
        </w:rPr>
        <w:t xml:space="preserve">           (采购代理机构)</w:t>
      </w:r>
      <w:r>
        <w:rPr>
          <w:rFonts w:hint="eastAsia" w:ascii="宋体" w:hAnsi="宋体" w:eastAsia="宋体" w:cs="宋体"/>
          <w:color w:val="auto"/>
          <w:sz w:val="21"/>
          <w:szCs w:val="22"/>
          <w:highlight w:val="none"/>
        </w:rPr>
        <w:t>组织对</w:t>
      </w:r>
      <w:r>
        <w:rPr>
          <w:rFonts w:hint="eastAsia" w:ascii="宋体" w:hAnsi="宋体" w:eastAsia="宋体" w:cs="宋体"/>
          <w:color w:val="auto"/>
          <w:sz w:val="21"/>
          <w:szCs w:val="22"/>
          <w:highlight w:val="none"/>
          <w:u w:val="single"/>
        </w:rPr>
        <w:t xml:space="preserve">         （项目名称）</w:t>
      </w:r>
      <w:r>
        <w:rPr>
          <w:rFonts w:hint="eastAsia" w:ascii="宋体" w:hAnsi="宋体" w:eastAsia="宋体" w:cs="宋体"/>
          <w:color w:val="auto"/>
          <w:sz w:val="21"/>
          <w:szCs w:val="22"/>
          <w:highlight w:val="none"/>
        </w:rPr>
        <w:t>采购项目（项目编号为</w:t>
      </w:r>
      <w:r>
        <w:rPr>
          <w:rFonts w:hint="eastAsia" w:ascii="宋体" w:hAnsi="宋体" w:eastAsia="宋体" w:cs="宋体"/>
          <w:color w:val="auto"/>
          <w:sz w:val="21"/>
          <w:szCs w:val="22"/>
          <w:highlight w:val="none"/>
          <w:u w:val="single"/>
        </w:rPr>
        <w:t xml:space="preserve">            </w:t>
      </w:r>
      <w:r>
        <w:rPr>
          <w:rFonts w:hint="eastAsia" w:ascii="宋体" w:hAnsi="宋体" w:eastAsia="宋体" w:cs="宋体"/>
          <w:color w:val="auto"/>
          <w:sz w:val="21"/>
          <w:szCs w:val="22"/>
          <w:highlight w:val="none"/>
        </w:rPr>
        <w:t>）进行采购，于</w:t>
      </w:r>
      <w:r>
        <w:rPr>
          <w:rFonts w:hint="eastAsia" w:ascii="宋体" w:hAnsi="宋体" w:eastAsia="宋体" w:cs="宋体"/>
          <w:color w:val="auto"/>
          <w:sz w:val="21"/>
          <w:szCs w:val="22"/>
          <w:highlight w:val="none"/>
          <w:u w:val="single"/>
        </w:rPr>
        <w:t xml:space="preserve">     </w:t>
      </w:r>
      <w:r>
        <w:rPr>
          <w:rFonts w:hint="eastAsia" w:ascii="宋体" w:hAnsi="宋体" w:eastAsia="宋体" w:cs="宋体"/>
          <w:color w:val="auto"/>
          <w:sz w:val="21"/>
          <w:szCs w:val="22"/>
          <w:highlight w:val="none"/>
        </w:rPr>
        <w:t>年</w:t>
      </w:r>
      <w:r>
        <w:rPr>
          <w:rFonts w:hint="eastAsia" w:ascii="宋体" w:hAnsi="宋体" w:eastAsia="宋体" w:cs="宋体"/>
          <w:color w:val="auto"/>
          <w:sz w:val="21"/>
          <w:szCs w:val="22"/>
          <w:highlight w:val="none"/>
          <w:u w:val="single"/>
        </w:rPr>
        <w:t xml:space="preserve">  </w:t>
      </w:r>
      <w:r>
        <w:rPr>
          <w:rFonts w:hint="eastAsia" w:ascii="宋体" w:hAnsi="宋体" w:eastAsia="宋体" w:cs="宋体"/>
          <w:color w:val="auto"/>
          <w:sz w:val="21"/>
          <w:szCs w:val="22"/>
          <w:highlight w:val="none"/>
        </w:rPr>
        <w:t>月</w:t>
      </w:r>
      <w:r>
        <w:rPr>
          <w:rFonts w:hint="eastAsia" w:ascii="宋体" w:hAnsi="宋体" w:eastAsia="宋体" w:cs="宋体"/>
          <w:color w:val="auto"/>
          <w:sz w:val="21"/>
          <w:szCs w:val="22"/>
          <w:highlight w:val="none"/>
          <w:u w:val="single"/>
        </w:rPr>
        <w:t xml:space="preserve">  </w:t>
      </w:r>
      <w:r>
        <w:rPr>
          <w:rFonts w:hint="eastAsia" w:ascii="宋体" w:hAnsi="宋体" w:eastAsia="宋体" w:cs="宋体"/>
          <w:color w:val="auto"/>
          <w:sz w:val="21"/>
          <w:szCs w:val="22"/>
          <w:highlight w:val="none"/>
        </w:rPr>
        <w:t>日通过</w:t>
      </w:r>
      <w:r>
        <w:rPr>
          <w:rFonts w:hint="eastAsia" w:ascii="宋体" w:hAnsi="宋体" w:eastAsia="宋体" w:cs="宋体"/>
          <w:color w:val="auto"/>
          <w:sz w:val="21"/>
          <w:szCs w:val="22"/>
          <w:highlight w:val="none"/>
          <w:u w:val="single"/>
        </w:rPr>
        <w:t xml:space="preserve">        （招标方式）</w:t>
      </w:r>
      <w:r>
        <w:rPr>
          <w:rFonts w:hint="eastAsia" w:ascii="宋体" w:hAnsi="宋体" w:eastAsia="宋体" w:cs="宋体"/>
          <w:color w:val="auto"/>
          <w:sz w:val="21"/>
          <w:szCs w:val="22"/>
          <w:highlight w:val="none"/>
        </w:rPr>
        <w:t>，经评标委员会评定乙方</w:t>
      </w:r>
      <w:r>
        <w:rPr>
          <w:rFonts w:hint="eastAsia" w:ascii="宋体" w:hAnsi="宋体" w:eastAsia="宋体" w:cs="宋体"/>
          <w:color w:val="auto"/>
          <w:sz w:val="21"/>
          <w:szCs w:val="22"/>
          <w:highlight w:val="none"/>
          <w:u w:val="single"/>
        </w:rPr>
        <w:t xml:space="preserve">                       </w:t>
      </w:r>
      <w:r>
        <w:rPr>
          <w:rFonts w:hint="eastAsia" w:ascii="宋体" w:hAnsi="宋体" w:eastAsia="宋体" w:cs="宋体"/>
          <w:color w:val="auto"/>
          <w:sz w:val="21"/>
          <w:szCs w:val="22"/>
          <w:highlight w:val="none"/>
        </w:rPr>
        <w:t>为成交供应商。为了保护甲、乙双方合法权益，根据《中华人民共和国政府采购法》及其实施条例、《中华人民共和国民法典》，在平等自愿的基础上，按照下面的条款和条件，签署本合同。</w:t>
      </w:r>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rPr>
        <w:t>一、合同金额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合同总金额为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元，合同期内按月支付每月款项。</w:t>
      </w:r>
    </w:p>
    <w:p>
      <w:pPr>
        <w:spacing w:line="360" w:lineRule="auto"/>
        <w:outlineLvl w:val="1"/>
        <w:rPr>
          <w:rFonts w:ascii="宋体" w:hAnsi="宋体"/>
          <w:b/>
          <w:bCs/>
          <w:color w:val="auto"/>
          <w:szCs w:val="21"/>
          <w:highlight w:val="none"/>
        </w:rPr>
      </w:pPr>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rPr>
        <w:t>二、服务范围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甲方聘请乙方提供以下服务：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s="宋体"/>
          <w:color w:val="auto"/>
          <w:szCs w:val="21"/>
          <w:highlight w:val="none"/>
        </w:rPr>
        <w:t>为在大朗黄草朗小学食堂用餐的教职工提供早餐、午餐、晚餐</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w:t>
      </w:r>
      <w:r>
        <w:rPr>
          <w:rFonts w:hint="eastAsia" w:ascii="宋体" w:hAnsi="宋体"/>
          <w:color w:val="auto"/>
          <w:szCs w:val="21"/>
          <w:highlight w:val="non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为在大朗黄草朗小学食堂用餐的学生提供</w:t>
      </w:r>
      <w:r>
        <w:rPr>
          <w:rFonts w:hint="eastAsia" w:ascii="宋体" w:hAnsi="宋体" w:cs="宋体"/>
          <w:color w:val="auto"/>
          <w:szCs w:val="21"/>
          <w:highlight w:val="none"/>
          <w:lang w:val="en-US" w:eastAsia="zh-CN"/>
        </w:rPr>
        <w:t>早餐、</w:t>
      </w:r>
      <w:r>
        <w:rPr>
          <w:rFonts w:hint="eastAsia" w:ascii="宋体" w:hAnsi="宋体" w:cs="宋体"/>
          <w:color w:val="auto"/>
          <w:szCs w:val="21"/>
          <w:highlight w:val="none"/>
        </w:rPr>
        <w:t>午餐</w:t>
      </w:r>
      <w:r>
        <w:rPr>
          <w:rFonts w:hint="eastAsia" w:ascii="宋体" w:hAnsi="宋体" w:cs="宋体"/>
          <w:color w:val="auto"/>
          <w:szCs w:val="21"/>
          <w:highlight w:val="none"/>
          <w:lang w:val="en-US" w:eastAsia="zh-CN"/>
        </w:rPr>
        <w:t>服务</w:t>
      </w:r>
      <w:r>
        <w:rPr>
          <w:rFonts w:hint="eastAsia" w:ascii="宋体" w:hAnsi="宋体"/>
          <w:color w:val="auto"/>
          <w:szCs w:val="21"/>
          <w:highlight w:val="none"/>
        </w:rPr>
        <w:t xml:space="preserve">。 </w:t>
      </w:r>
    </w:p>
    <w:p>
      <w:pPr>
        <w:pStyle w:val="22"/>
        <w:spacing w:line="360" w:lineRule="auto"/>
        <w:rPr>
          <w:rFonts w:ascii="宋体" w:hAnsi="宋体" w:cs="宋体"/>
          <w:color w:val="auto"/>
          <w:szCs w:val="21"/>
          <w:highlight w:val="none"/>
        </w:rPr>
      </w:pPr>
      <w:r>
        <w:rPr>
          <w:rFonts w:ascii="宋体" w:hAnsi="宋体"/>
          <w:color w:val="auto"/>
          <w:szCs w:val="21"/>
          <w:highlight w:val="none"/>
        </w:rPr>
        <w:t>3.</w:t>
      </w:r>
      <w:r>
        <w:rPr>
          <w:rFonts w:hint="eastAsia" w:ascii="宋体" w:hAnsi="宋体" w:cs="宋体"/>
          <w:bCs/>
          <w:color w:val="auto"/>
          <w:szCs w:val="21"/>
          <w:highlight w:val="none"/>
        </w:rPr>
        <w:t xml:space="preserve"> </w:t>
      </w:r>
      <w:r>
        <w:rPr>
          <w:rFonts w:hint="eastAsia" w:ascii="宋体" w:hAnsi="宋体" w:cs="宋体"/>
          <w:color w:val="auto"/>
          <w:szCs w:val="21"/>
          <w:highlight w:val="none"/>
        </w:rPr>
        <w:t>乙方承接甲方食堂日常管理，并负责食堂所派遣工作人员的工资、社保、食宿、福利、服装、办公费用、企业管理费、税费等本项目需求所涉及</w:t>
      </w:r>
      <w:r>
        <w:rPr>
          <w:rFonts w:hint="eastAsia" w:ascii="宋体" w:hAnsi="宋体" w:cs="宋体"/>
          <w:bCs/>
          <w:color w:val="auto"/>
          <w:szCs w:val="21"/>
          <w:highlight w:val="none"/>
        </w:rPr>
        <w:t>可预见及不可预见</w:t>
      </w:r>
      <w:r>
        <w:rPr>
          <w:rFonts w:hint="eastAsia" w:ascii="宋体" w:hAnsi="宋体" w:cs="宋体"/>
          <w:color w:val="auto"/>
          <w:szCs w:val="21"/>
          <w:highlight w:val="none"/>
        </w:rPr>
        <w:t>的所有费用。</w:t>
      </w:r>
    </w:p>
    <w:p>
      <w:pPr>
        <w:spacing w:line="360" w:lineRule="auto"/>
        <w:outlineLvl w:val="1"/>
        <w:rPr>
          <w:rFonts w:ascii="宋体" w:hAnsi="宋体"/>
          <w:b/>
          <w:bCs/>
          <w:color w:val="auto"/>
          <w:szCs w:val="21"/>
          <w:highlight w:val="none"/>
        </w:rPr>
      </w:pPr>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rPr>
        <w:t>三、甲方乙方的权利和义务</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1、甲方协助乙方对食堂的秩序进行管理，并制订</w:t>
      </w:r>
      <w:r>
        <w:rPr>
          <w:rFonts w:hint="eastAsia" w:ascii="宋体" w:hAnsi="宋体" w:cs="宋体"/>
          <w:color w:val="auto"/>
          <w:szCs w:val="21"/>
          <w:highlight w:val="none"/>
          <w:lang w:eastAsia="zh-CN"/>
        </w:rPr>
        <w:t>食堂</w:t>
      </w:r>
      <w:r>
        <w:rPr>
          <w:rFonts w:hint="eastAsia" w:ascii="宋体" w:hAnsi="宋体" w:cs="宋体"/>
          <w:color w:val="auto"/>
          <w:szCs w:val="21"/>
          <w:highlight w:val="none"/>
        </w:rPr>
        <w:t>管理考核方案，乙方需无条件配合甲方进行考核。如</w:t>
      </w:r>
      <w:r>
        <w:rPr>
          <w:rFonts w:hint="eastAsia" w:hAnsi="宋体" w:cs="宋体"/>
          <w:bCs/>
          <w:color w:val="auto"/>
          <w:szCs w:val="21"/>
          <w:highlight w:val="none"/>
        </w:rPr>
        <w:t>乙方</w:t>
      </w:r>
      <w:r>
        <w:rPr>
          <w:rFonts w:hint="eastAsia" w:ascii="宋体" w:hAnsi="宋体" w:cs="宋体"/>
          <w:color w:val="auto"/>
          <w:szCs w:val="21"/>
          <w:highlight w:val="none"/>
        </w:rPr>
        <w:t>配合考核，则甲方有权与</w:t>
      </w:r>
      <w:r>
        <w:rPr>
          <w:rFonts w:hint="eastAsia" w:hAnsi="宋体" w:cs="宋体"/>
          <w:bCs/>
          <w:color w:val="auto"/>
          <w:szCs w:val="21"/>
          <w:highlight w:val="none"/>
        </w:rPr>
        <w:t>乙方</w:t>
      </w:r>
      <w:r>
        <w:rPr>
          <w:rFonts w:hint="eastAsia" w:ascii="宋体" w:hAnsi="宋体" w:cs="宋体"/>
          <w:color w:val="auto"/>
          <w:szCs w:val="21"/>
          <w:highlight w:val="none"/>
        </w:rPr>
        <w:t>解除合同，并不视为甲方违约。在日后监督管理中，甲方有权根据实际需要对考核方案进行修订。（详见附件一）</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在服务期间，必须严格按照甲方规定进行管理，并随时接受教育、卫生、安全、工商、物价和技术监督等部门的监督和检查。若检查中出现违反质量标准、《中华人民共和国食品安全法》、《甲方卫生工作条例》、《甲方食品安全与营养健康管理规定》、《甲方食堂与学生集体用餐卫生管理规定》、《餐饮服务食品安全操作规范》及有关部门的要求的，甲方将对乙方发出书面整改通知，如果连续发出三次书面整改通知，乙方仍不整改的或整改后仍不合格的，甲方有权停止履行与乙方签订的服务，相关损失和后果由乙方负责。</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3、乙方要严格食材安全管理，服务期间建立好相关台帐，台帐记录必须专人规范填写，随时接受甲方及上级部门的检查。</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4、乙方严格执行留样制度、留存食品必须做到早、午、晚餐标签、留足数量（每餐每个品种至少200克），留足时间（专柜冷藏48小时以上），并做好规范化记录。</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5、乙方负责厨房及餐厅设施设备用品的日常维护、更新或补充添置。</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乙方自行负责管理食堂的所有服务人员的招聘、任免、薪资、住宿、福利以及工伤保险、医疗保险、人身意外保险等，同时配合做好相关监管部门组织的各项业务学习培训。费用由乙方负责，并将相关资料交甲方备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7、乙方负责为该食堂的就餐人员购买餐饮场所责任保险（公众责任保险）。</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8、乙方负责食堂（包含就餐区）的水、电、燃料等费用，乙方应当秉承节约原则合理使用。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9、乙方需严格执行《中华人民共和国食品安全法》、《甲方食品安全与营养健康管理规定》，保证食品烹调卫生、质量。</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乙方员工进驻甲方场所服务之前，需到甲方指定的医院进行体检，并将结果反馈给甲方，合格者取得健康证后方可为甲方师生提供餐饮服务。所有员工每年必须进行健康检查，费用由乙方负责，并将相关资料交甲方备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乙方员工如患有发热、腹泻、咽部炎症等病症及皮肤有伤口或感染的从业人员，应主动向甲方报告，暂停从事接触直接入口食品的工作，必要时进行临时健康检查，待查明原因并将有碍食品安全的疾病治愈后方可重新上岗。</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12、乙方售饭菜人员须戴口罩、手套、头套，文明用语，热情周到服务，不得与甲方师生发生吵闹及打架事件。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13、乙方需遵循甲方的相关制度，并配合、服从甲方管理，违反者无条件接受甲方的处分和合理的经济处罚。</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14、乙方应保持食堂内的厨具整洁，负责设备的保养和日常维护、清洁工作。</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乙方每次餐前、餐中、餐后应及时擦洗饭桌上的残渣、剩饭、油污，打扫餐厅清洁卫生，并把餐桌椅摆放整齐，每周规定二次大扫除（门窗、电扇及各个角落都要清洗干净：清除餐厅、厨房、仓库内的老鼠、蟑螂、苍蝇、蚂蚁等不洁物）。</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16、乙方必须与甲方清洁工配合工作，需自备垃圾桶，不乱倒垃圾、剩饭菜，不得将垃圾及杂物随意倒入甲方垃圾筒或垃圾房，馊水要及时处理，保持食堂周围环境清洁卫生。</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17、乙方配合甲方或公安、消防、安监、市场监督、卫生防疫等部门做好安全宣传和查验工作。</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18、乙方负责承担在甲方食堂服务过程中所牵涉的一切经济、法律责任。</w:t>
      </w:r>
    </w:p>
    <w:p>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19、乙方</w:t>
      </w:r>
      <w:r>
        <w:rPr>
          <w:rFonts w:hint="eastAsia" w:ascii="宋体" w:hAnsi="宋体" w:cs="宋体"/>
          <w:color w:val="auto"/>
          <w:szCs w:val="21"/>
          <w:highlight w:val="none"/>
          <w:lang w:val="en-US" w:eastAsia="zh-CN"/>
        </w:rPr>
        <w:t>派遣</w:t>
      </w:r>
      <w:r>
        <w:rPr>
          <w:rFonts w:hint="eastAsia" w:ascii="宋体" w:hAnsi="宋体" w:cs="宋体"/>
          <w:color w:val="auto"/>
          <w:szCs w:val="21"/>
          <w:highlight w:val="none"/>
        </w:rPr>
        <w:t>的工作人员在工作期间出现任何安全事故，燃气安全等，无论是校内、校外，均由乙方负责处理；如因工作人员操作不当造成任何安全问题，均由中标供应商负责承担相关损失赔偿和法律责任。如出现不可抗力的事故，则按国家有关条例处理。在停水、停电、设备故障、食物中毒等各种紧急情况下，乙方必须保证正常供餐。</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rPr>
        <w:t>四、服务期间（项目完成期限）</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本合同</w:t>
      </w:r>
      <w:r>
        <w:rPr>
          <w:rFonts w:hint="eastAsia" w:ascii="宋体" w:hAnsi="宋体"/>
          <w:color w:val="auto"/>
          <w:szCs w:val="21"/>
          <w:highlight w:val="none"/>
        </w:rPr>
        <w:t>委托服务期限为</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年，自 </w:t>
      </w:r>
      <w:r>
        <w:rPr>
          <w:rFonts w:ascii="宋体" w:hAnsi="宋体"/>
          <w:color w:val="auto"/>
          <w:szCs w:val="21"/>
          <w:highlight w:val="none"/>
        </w:rPr>
        <w:t>2023</w:t>
      </w:r>
      <w:r>
        <w:rPr>
          <w:rFonts w:hint="eastAsia" w:ascii="宋体" w:hAnsi="宋体"/>
          <w:color w:val="auto"/>
          <w:szCs w:val="21"/>
          <w:highlight w:val="none"/>
        </w:rPr>
        <w:t xml:space="preserve">年 </w:t>
      </w:r>
      <w:r>
        <w:rPr>
          <w:rFonts w:hint="eastAsia" w:ascii="宋体" w:hAnsi="宋体"/>
          <w:color w:val="auto"/>
          <w:szCs w:val="21"/>
          <w:highlight w:val="none"/>
        </w:rPr>
        <w:tab/>
      </w:r>
      <w:r>
        <w:rPr>
          <w:rFonts w:hint="eastAsia" w:ascii="宋体" w:hAnsi="宋体"/>
          <w:color w:val="auto"/>
          <w:szCs w:val="21"/>
          <w:highlight w:val="none"/>
        </w:rPr>
        <w:t xml:space="preserve">月至     年 </w:t>
      </w:r>
      <w:r>
        <w:rPr>
          <w:rFonts w:hint="eastAsia" w:ascii="宋体" w:hAnsi="宋体"/>
          <w:color w:val="auto"/>
          <w:szCs w:val="21"/>
          <w:highlight w:val="none"/>
        </w:rPr>
        <w:tab/>
      </w:r>
      <w:r>
        <w:rPr>
          <w:rFonts w:hint="eastAsia" w:ascii="宋体" w:hAnsi="宋体"/>
          <w:color w:val="auto"/>
          <w:szCs w:val="21"/>
          <w:highlight w:val="none"/>
        </w:rPr>
        <w:t>止。</w:t>
      </w:r>
      <w:r>
        <w:rPr>
          <w:rFonts w:hint="eastAsia" w:ascii="宋体" w:hAnsi="宋体"/>
          <w:color w:val="auto"/>
          <w:szCs w:val="21"/>
          <w:highlight w:val="none"/>
          <w:lang w:eastAsia="zh-CN"/>
        </w:rPr>
        <w:t>（</w:t>
      </w:r>
      <w:r>
        <w:rPr>
          <w:rFonts w:hint="eastAsia" w:ascii="宋体" w:hAnsi="宋体" w:eastAsia="宋体" w:cs="宋体"/>
          <w:b w:val="0"/>
          <w:bCs w:val="0"/>
          <w:color w:val="auto"/>
          <w:sz w:val="21"/>
          <w:szCs w:val="21"/>
          <w:highlight w:val="none"/>
          <w:lang w:val="en-US" w:eastAsia="zh-CN" w:bidi="zh-CN"/>
        </w:rPr>
        <w:t>合同签订采用“1+2”的形式签订，即首次签订合同为一年期，后续签订两年期的合同</w:t>
      </w:r>
      <w:r>
        <w:rPr>
          <w:rFonts w:ascii="宋体" w:hAnsi="宋体" w:eastAsia="宋体"/>
          <w:b w:val="0"/>
          <w:bCs w:val="0"/>
          <w:color w:val="auto"/>
          <w:szCs w:val="21"/>
          <w:highlight w:val="none"/>
        </w:rPr>
        <w:t>。</w:t>
      </w:r>
      <w:r>
        <w:rPr>
          <w:rFonts w:hint="eastAsia" w:ascii="宋体" w:hAnsi="宋体"/>
          <w:color w:val="auto"/>
          <w:szCs w:val="21"/>
          <w:highlight w:val="none"/>
          <w:lang w:eastAsia="zh-CN"/>
        </w:rPr>
        <w:t>）</w:t>
      </w:r>
    </w:p>
    <w:p>
      <w:pPr>
        <w:pStyle w:val="2"/>
        <w:ind w:firstLine="420" w:firstLineChars="200"/>
        <w:rPr>
          <w:rFonts w:ascii="宋体" w:hAnsi="宋体" w:cstheme="minorBidi"/>
          <w:color w:val="auto"/>
          <w:kern w:val="2"/>
          <w:sz w:val="21"/>
          <w:szCs w:val="21"/>
          <w:highlight w:val="none"/>
        </w:rPr>
      </w:pPr>
      <w:r>
        <w:rPr>
          <w:rFonts w:ascii="宋体" w:hAnsi="宋体" w:cstheme="minorBidi"/>
          <w:color w:val="auto"/>
          <w:kern w:val="2"/>
          <w:sz w:val="21"/>
          <w:szCs w:val="21"/>
          <w:highlight w:val="none"/>
        </w:rPr>
        <w:t>2.</w:t>
      </w:r>
      <w:r>
        <w:rPr>
          <w:rFonts w:hint="eastAsia" w:ascii="宋体" w:hAnsi="宋体" w:cstheme="minorBidi"/>
          <w:color w:val="auto"/>
          <w:kern w:val="2"/>
          <w:sz w:val="21"/>
          <w:szCs w:val="21"/>
          <w:highlight w:val="none"/>
        </w:rPr>
        <w:t>乙方需配合甲方在合同签生效之日起一年内完成申请并获得餐饮服务食品安全量化分级管理A级单位（需网络公示完成且取得证书或牌匾），同时每次考核合格。。</w:t>
      </w:r>
    </w:p>
    <w:p>
      <w:pPr>
        <w:spacing w:line="360" w:lineRule="auto"/>
        <w:outlineLvl w:val="1"/>
        <w:rPr>
          <w:rFonts w:ascii="宋体" w:hAnsi="宋体"/>
          <w:b/>
          <w:bCs/>
          <w:color w:val="auto"/>
          <w:szCs w:val="21"/>
          <w:highlight w:val="none"/>
        </w:rPr>
      </w:pPr>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rPr>
        <w:t>五、付款方式</w:t>
      </w:r>
    </w:p>
    <w:p>
      <w:pPr>
        <w:widowControl/>
        <w:adjustRightInd w:val="0"/>
        <w:snapToGrid w:val="0"/>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1.本合同的付款方式为：</w:t>
      </w:r>
      <w:r>
        <w:rPr>
          <w:rFonts w:hint="eastAsia" w:ascii="宋体" w:hAnsi="宋体" w:cs="宋体"/>
          <w:color w:val="auto"/>
          <w:szCs w:val="21"/>
          <w:highlight w:val="none"/>
        </w:rPr>
        <w:t>按月结算费用，每月服务费=中标总计/</w:t>
      </w:r>
      <w:r>
        <w:rPr>
          <w:rFonts w:ascii="宋体" w:hAnsi="宋体" w:cs="宋体"/>
          <w:color w:val="auto"/>
          <w:szCs w:val="21"/>
          <w:highlight w:val="none"/>
        </w:rPr>
        <w:t>36</w:t>
      </w:r>
      <w:r>
        <w:rPr>
          <w:rFonts w:hint="eastAsia" w:ascii="宋体" w:hAnsi="宋体" w:cs="宋体"/>
          <w:color w:val="auto"/>
          <w:szCs w:val="21"/>
          <w:highlight w:val="none"/>
        </w:rPr>
        <w:t>个月。次月3</w:t>
      </w:r>
      <w:r>
        <w:rPr>
          <w:rFonts w:ascii="宋体" w:hAnsi="宋体" w:cs="宋体"/>
          <w:color w:val="auto"/>
          <w:szCs w:val="21"/>
          <w:highlight w:val="none"/>
        </w:rPr>
        <w:t>0</w:t>
      </w:r>
      <w:r>
        <w:rPr>
          <w:rFonts w:hint="eastAsia" w:ascii="宋体" w:hAnsi="宋体" w:cs="宋体"/>
          <w:color w:val="auto"/>
          <w:szCs w:val="21"/>
          <w:highlight w:val="none"/>
        </w:rPr>
        <w:t>日前，支付上月服务费用。每期款项支付前乙方应当提前7个工作日向甲方提交合法有效的发票等材料申请支付，甲方以银行转账方式将款项一次性全额转入乙方书面指定的银行账户。</w:t>
      </w:r>
    </w:p>
    <w:p>
      <w:pPr>
        <w:widowControl/>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2、因特殊原因需要提早或延迟结算的，经双方协商一致后执行。</w:t>
      </w:r>
    </w:p>
    <w:p>
      <w:pPr>
        <w:widowControl/>
        <w:adjustRightInd w:val="0"/>
        <w:snapToGrid w:val="0"/>
        <w:spacing w:line="360" w:lineRule="auto"/>
        <w:ind w:firstLine="420" w:firstLineChars="200"/>
        <w:rPr>
          <w:rFonts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合同的经费由政府拨款，如因政策影响（甲方提供确切政策文件或消息），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rFonts w:ascii="宋体" w:hAnsi="宋体"/>
          <w:b/>
          <w:bCs/>
          <w:color w:val="auto"/>
          <w:szCs w:val="21"/>
          <w:highlight w:val="none"/>
        </w:rPr>
      </w:pPr>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rPr>
        <w:t>六、食堂改造及厨房设备的投入要求</w:t>
      </w:r>
    </w:p>
    <w:p>
      <w:pPr>
        <w:tabs>
          <w:tab w:val="left" w:pos="4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不得随意改动原有的建筑物结构。乙方如需改变房屋的使用功能布局或装修，或设置对房屋结构有影响的设备，需将所有的装修和土建工程施工图纸报甲方审核并征得甲方同意后才能动工，费用由乙方负责。</w:t>
      </w:r>
    </w:p>
    <w:p>
      <w:pPr>
        <w:widowControl/>
        <w:tabs>
          <w:tab w:val="left" w:pos="42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需按甲方提供的厨房设备清单配置做详细盘点记录，使用过程中对食堂的设施设备进行维修、更换、增添，所有费用均由乙方投入。在履约过程中，根据实际需要甲方有权要求乙方添置必要的设备、设施，费用由乙方投入。使用过程增加的设备设施等均不纳入前期厨房设备清单中。使用过程增设的设备中若为可拆卸或拆卸后不影响美观的厨房设备，履约完成后归乙方所有，其余归采购方所有。</w:t>
      </w:r>
    </w:p>
    <w:p>
      <w:pPr>
        <w:pStyle w:val="9"/>
        <w:spacing w:before="0" w:line="360" w:lineRule="auto"/>
        <w:ind w:left="0" w:firstLine="420" w:firstLineChars="200"/>
        <w:rPr>
          <w:rFonts w:hint="default"/>
          <w:color w:val="auto"/>
          <w:sz w:val="21"/>
          <w:szCs w:val="21"/>
          <w:highlight w:val="none"/>
          <w:lang w:val="en-US" w:bidi="ar-SA"/>
        </w:rPr>
      </w:pPr>
    </w:p>
    <w:p>
      <w:pPr>
        <w:spacing w:before="0" w:line="360" w:lineRule="auto"/>
        <w:ind w:left="0" w:firstLine="422" w:firstLineChars="200"/>
        <w:outlineLvl w:val="1"/>
        <w:rPr>
          <w:rFonts w:hint="eastAsia" w:ascii="宋体" w:hAnsi="宋体" w:eastAsia="宋体"/>
          <w:b/>
          <w:bCs/>
          <w:color w:val="auto"/>
          <w:sz w:val="21"/>
          <w:szCs w:val="21"/>
          <w:highlight w:val="none"/>
          <w:lang w:val="en-US" w:eastAsia="zh-CN" w:bidi="ar-SA"/>
        </w:rPr>
      </w:pPr>
      <w:r>
        <w:rPr>
          <w:rFonts w:hint="eastAsia" w:ascii="宋体" w:hAnsi="宋体"/>
          <w:b/>
          <w:bCs/>
          <w:color w:val="auto"/>
          <w:sz w:val="21"/>
          <w:szCs w:val="21"/>
          <w:highlight w:val="none"/>
          <w:lang w:val="en-US" w:eastAsia="zh-CN" w:bidi="ar-SA"/>
        </w:rPr>
        <w:t>七、人员要求</w:t>
      </w:r>
    </w:p>
    <w:p>
      <w:pPr>
        <w:pStyle w:val="9"/>
        <w:spacing w:before="0" w:line="360" w:lineRule="auto"/>
        <w:ind w:left="0" w:firstLine="420" w:firstLineChars="200"/>
        <w:rPr>
          <w:color w:val="auto"/>
          <w:sz w:val="21"/>
          <w:szCs w:val="21"/>
          <w:highlight w:val="none"/>
          <w:lang w:val="en-US" w:bidi="ar-SA"/>
        </w:rPr>
      </w:pPr>
      <w:r>
        <w:rPr>
          <w:rFonts w:hint="eastAsia"/>
          <w:color w:val="auto"/>
          <w:sz w:val="21"/>
          <w:szCs w:val="21"/>
          <w:highlight w:val="none"/>
          <w:lang w:val="en-US" w:eastAsia="zh-CN" w:bidi="ar-SA"/>
        </w:rPr>
        <w:t>1</w:t>
      </w:r>
      <w:r>
        <w:rPr>
          <w:rFonts w:hint="eastAsia"/>
          <w:color w:val="auto"/>
          <w:sz w:val="21"/>
          <w:szCs w:val="21"/>
          <w:highlight w:val="none"/>
          <w:lang w:val="en-US" w:bidi="ar-SA"/>
        </w:rPr>
        <w:t>、乙方对食堂工作人员的配备标准是：员工总人数与就餐总人数按1：</w:t>
      </w:r>
      <w:r>
        <w:rPr>
          <w:color w:val="auto"/>
          <w:sz w:val="21"/>
          <w:szCs w:val="21"/>
          <w:highlight w:val="none"/>
          <w:lang w:val="en-US" w:bidi="ar-SA"/>
        </w:rPr>
        <w:t>8</w:t>
      </w:r>
      <w:r>
        <w:rPr>
          <w:rFonts w:hint="eastAsia"/>
          <w:color w:val="auto"/>
          <w:sz w:val="21"/>
          <w:szCs w:val="21"/>
          <w:highlight w:val="none"/>
          <w:lang w:val="en-US" w:bidi="ar-SA"/>
        </w:rPr>
        <w:t>0以上进行配备。按照1300人的就餐人数计算，原则上甲方食堂工作人员不得少于17人。含食堂主管：1名；仓管：1名；厨师4名（15个班配一个大厨，1个副厨，合计：2个大厨，2个副厨）；厨工11名。乙方需提供从业人员近一年无犯罪记录，并提交证明备案。其中厨房主管和仓管负责人须具有食品安全管理证。若发现食堂工作人员未按上述比例配备人数，则必须在三天内补充齐备。</w:t>
      </w:r>
      <w:r>
        <w:rPr>
          <w:rFonts w:hint="eastAsia"/>
          <w:color w:val="auto"/>
          <w:kern w:val="0"/>
          <w:sz w:val="21"/>
          <w:szCs w:val="21"/>
          <w:highlight w:val="none"/>
        </w:rPr>
        <w:t>若学校因政策及政府要求扩班等因素，导致学校教师和学生人数增加，中标人应按实际比例配备足够工作人员，相关服务费用保持不变。</w:t>
      </w:r>
    </w:p>
    <w:p>
      <w:pPr>
        <w:pStyle w:val="9"/>
        <w:spacing w:before="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2、乙方必须向甲方派驻不少于1名具备高级食品安全管理员证书的食堂工作人员。</w:t>
      </w:r>
    </w:p>
    <w:p>
      <w:pPr>
        <w:pStyle w:val="9"/>
        <w:spacing w:before="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3、乙方必须向甲方派驻足额的符合有关规定资格的工作人员。选派的工作人员必须遵守校方的各项规章制度，经过正规培训、具有饮食行业的健康证、上岗证，并向校方提供工作人员的人事简历。</w:t>
      </w:r>
    </w:p>
    <w:p>
      <w:pPr>
        <w:pStyle w:val="9"/>
        <w:spacing w:before="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4、本项目所有工作人员需具有</w:t>
      </w:r>
      <w:r>
        <w:rPr>
          <w:rFonts w:hint="eastAsia"/>
          <w:color w:val="auto"/>
          <w:sz w:val="21"/>
          <w:szCs w:val="21"/>
          <w:highlight w:val="none"/>
          <w:lang w:val="en-US" w:eastAsia="zh-CN" w:bidi="ar-SA"/>
        </w:rPr>
        <w:t>有效</w:t>
      </w:r>
      <w:r>
        <w:rPr>
          <w:rFonts w:hint="eastAsia"/>
          <w:color w:val="auto"/>
          <w:sz w:val="21"/>
          <w:szCs w:val="21"/>
          <w:highlight w:val="none"/>
          <w:lang w:val="en-US" w:bidi="ar-SA"/>
        </w:rPr>
        <w:t>健康证。</w:t>
      </w:r>
    </w:p>
    <w:p>
      <w:pPr>
        <w:pStyle w:val="9"/>
        <w:spacing w:before="0" w:line="360" w:lineRule="auto"/>
        <w:ind w:left="0" w:firstLine="420" w:firstLineChars="200"/>
        <w:rPr>
          <w:color w:val="auto"/>
          <w:sz w:val="21"/>
          <w:szCs w:val="21"/>
          <w:highlight w:val="none"/>
          <w:lang w:val="en-US" w:bidi="ar-SA"/>
        </w:rPr>
      </w:pPr>
      <w:r>
        <w:rPr>
          <w:rFonts w:hint="eastAsia"/>
          <w:color w:val="auto"/>
          <w:sz w:val="21"/>
          <w:szCs w:val="21"/>
          <w:highlight w:val="none"/>
          <w:lang w:val="en-US" w:bidi="ar-SA"/>
        </w:rPr>
        <w:t>5、在服务期间内，乙方须承担项目工作人员的意外责任险和所有服务风险。厨房服务人员与甲方不存在任何劳动关系。</w:t>
      </w:r>
    </w:p>
    <w:p>
      <w:pPr>
        <w:pStyle w:val="10"/>
        <w:rPr>
          <w:rFonts w:ascii="宋体" w:hAnsi="宋体"/>
          <w:color w:val="auto"/>
          <w:szCs w:val="21"/>
          <w:highlight w:val="none"/>
        </w:rPr>
      </w:pPr>
    </w:p>
    <w:p>
      <w:pPr>
        <w:pStyle w:val="7"/>
        <w:spacing w:before="156" w:beforeLines="50" w:after="156" w:afterLines="50" w:line="36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、供餐标准要求</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1、若日常饭菜供应采用人脸识别或刷卡进餐。所需设备及维护由乙方负责。</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2、供餐标准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早餐：必须统筹兼顾营养和款式搭配；中西点相结合，“干”“湿”食品相结合，包括但不限于鸡蛋、面包、馒头、花卷、蛋糕、粥、粉、面、饺子、红薯、玉米等。</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午餐： 学生午餐为一大荤、一小荤、一素菜、一盒纯牛奶或一份水果、一份米饭、一份汤；提供牛奶当天为一大荤、一小荤、一素菜、一份米饭、一份汤，不提供牛奶则为一大荤、一小荤、一素菜、一份粗粮、一份米饭、一份汤。乙方应制定营养充足、搭配合理、菜品丰富的带量食谱。教师用餐参考学生用餐。</w:t>
      </w:r>
    </w:p>
    <w:p>
      <w:pPr>
        <w:numPr>
          <w:ilvl w:val="0"/>
          <w:numId w:val="9"/>
        </w:num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菜式品种要经常轮换。</w:t>
      </w:r>
      <w:r>
        <w:rPr>
          <w:rFonts w:hint="eastAsia" w:ascii="宋体" w:hAnsi="宋体" w:cs="宋体"/>
          <w:bCs/>
          <w:color w:val="auto"/>
          <w:szCs w:val="21"/>
          <w:highlight w:val="none"/>
        </w:rPr>
        <w:t>饭菜的质量、份量要优于市场同等价位的饭菜。乙方应</w:t>
      </w:r>
      <w:r>
        <w:rPr>
          <w:rFonts w:hint="eastAsia" w:ascii="宋体" w:hAnsi="宋体" w:cs="宋体"/>
          <w:color w:val="auto"/>
          <w:szCs w:val="21"/>
          <w:highlight w:val="none"/>
        </w:rPr>
        <w:t>当根据就餐者的基本状况，出售饭菜明码标价，不得高于公布价出售饭菜且数量充足。</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制作的菜肴需多样化，菜式搭配合理，调配比例均匀，味道可口，保证营养；乙方必须为甲方拟定好菜谱及所需食材清单，并在每周的周五前提供下周早中晚餐的菜谱及食材清单给甲方确认，并且在周六前将下周菜谱进行公示于公示栏。菜谱三周内不重复。</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5、招待餐由甲方和乙方商定标准，乙方则按标准做好，力求做到客户满意。</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6、因特殊情况（如家长会、甲方集体活动等）需要食堂提供师生用餐的要满足甲方要求，学生放假但是教师上班期间，教师餐要继续供应。</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7、涉及需要食药监部门监餐的各类考试或大型活动备餐，必须严格履行食谱审批制度。</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8、食堂出餐的菜品与学生用餐相隔不得长于1小时，且须做好保温及安全措施，确保学生用餐的菜品新鲜及食品安全。</w:t>
      </w:r>
    </w:p>
    <w:p>
      <w:pPr>
        <w:pStyle w:val="7"/>
        <w:spacing w:before="156" w:beforeLines="50" w:after="156" w:afterLines="50" w:line="360" w:lineRule="auto"/>
        <w:ind w:firstLine="0" w:firstLineChars="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九、解约条款</w:t>
      </w:r>
    </w:p>
    <w:p>
      <w:pPr>
        <w:pStyle w:val="7"/>
        <w:spacing w:before="0" w:beforeLines="0" w:after="0" w:afterLines="0" w:line="360" w:lineRule="auto"/>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乙方出现以下情况的，甲方有权单方面将终止本合同并由乙方承担一切因此而起的损失和责。</w:t>
      </w:r>
    </w:p>
    <w:p>
      <w:pPr>
        <w:pStyle w:val="7"/>
        <w:spacing w:before="0" w:beforeLines="0" w:after="0" w:afterLines="0" w:line="360" w:lineRule="auto"/>
        <w:ind w:firstLine="422"/>
        <w:rPr>
          <w:rFonts w:ascii="宋体" w:hAnsi="宋体" w:cs="宋体"/>
          <w:b w:val="0"/>
          <w:bCs w:val="0"/>
          <w:color w:val="auto"/>
          <w:szCs w:val="21"/>
          <w:highlight w:val="none"/>
        </w:rPr>
      </w:pPr>
      <w:r>
        <w:rPr>
          <w:rFonts w:ascii="宋体" w:hAnsi="宋体" w:cs="宋体"/>
          <w:b w:val="0"/>
          <w:bCs w:val="0"/>
          <w:color w:val="auto"/>
          <w:szCs w:val="21"/>
          <w:highlight w:val="none"/>
        </w:rPr>
        <w:t>1</w:t>
      </w:r>
      <w:r>
        <w:rPr>
          <w:rFonts w:hint="eastAsia" w:ascii="宋体" w:hAnsi="宋体" w:cs="宋体"/>
          <w:b w:val="0"/>
          <w:bCs w:val="0"/>
          <w:color w:val="auto"/>
          <w:szCs w:val="21"/>
          <w:highlight w:val="none"/>
        </w:rPr>
        <w:t>、乙方转包或分包本项目给第三方。</w:t>
      </w:r>
    </w:p>
    <w:p>
      <w:pPr>
        <w:pStyle w:val="7"/>
        <w:spacing w:before="0" w:beforeLines="0" w:after="0" w:afterLines="0" w:line="360" w:lineRule="auto"/>
        <w:ind w:firstLine="422"/>
        <w:rPr>
          <w:rFonts w:ascii="宋体" w:hAnsi="宋体" w:cs="宋体"/>
          <w:b w:val="0"/>
          <w:bCs w:val="0"/>
          <w:color w:val="auto"/>
          <w:szCs w:val="21"/>
          <w:highlight w:val="none"/>
        </w:rPr>
      </w:pPr>
      <w:r>
        <w:rPr>
          <w:rFonts w:ascii="宋体" w:hAnsi="宋体" w:cs="宋体"/>
          <w:b w:val="0"/>
          <w:bCs w:val="0"/>
          <w:color w:val="auto"/>
          <w:szCs w:val="21"/>
          <w:highlight w:val="none"/>
        </w:rPr>
        <w:t>2</w:t>
      </w:r>
      <w:r>
        <w:rPr>
          <w:rFonts w:hint="eastAsia" w:ascii="宋体" w:hAnsi="宋体" w:cs="宋体"/>
          <w:b w:val="0"/>
          <w:bCs w:val="0"/>
          <w:color w:val="auto"/>
          <w:szCs w:val="21"/>
          <w:highlight w:val="none"/>
        </w:rPr>
        <w:t>、乙方必须协助甲方办理</w:t>
      </w:r>
      <w:r>
        <w:rPr>
          <w:rFonts w:hint="eastAsia" w:ascii="宋体" w:hAnsi="宋体" w:cs="宋体"/>
          <w:b w:val="0"/>
          <w:bCs w:val="0"/>
          <w:color w:val="auto"/>
          <w:szCs w:val="21"/>
          <w:highlight w:val="none"/>
          <w:lang w:eastAsia="zh-CN"/>
        </w:rPr>
        <w:t>食堂</w:t>
      </w:r>
      <w:r>
        <w:rPr>
          <w:rFonts w:hint="eastAsia" w:ascii="宋体" w:hAnsi="宋体" w:cs="宋体"/>
          <w:b w:val="0"/>
          <w:bCs w:val="0"/>
          <w:color w:val="auto"/>
          <w:szCs w:val="21"/>
          <w:highlight w:val="none"/>
        </w:rPr>
        <w:t>经营相关手续，逾期超过3</w:t>
      </w:r>
      <w:r>
        <w:rPr>
          <w:rFonts w:ascii="宋体" w:hAnsi="宋体" w:cs="宋体"/>
          <w:b w:val="0"/>
          <w:bCs w:val="0"/>
          <w:color w:val="auto"/>
          <w:szCs w:val="21"/>
          <w:highlight w:val="none"/>
        </w:rPr>
        <w:t>0</w:t>
      </w:r>
      <w:r>
        <w:rPr>
          <w:rFonts w:hint="eastAsia" w:ascii="宋体" w:hAnsi="宋体" w:cs="宋体"/>
          <w:b w:val="0"/>
          <w:bCs w:val="0"/>
          <w:color w:val="auto"/>
          <w:szCs w:val="21"/>
          <w:highlight w:val="none"/>
        </w:rPr>
        <w:t>个日历天未提供相关资料协助甲方办理</w:t>
      </w:r>
      <w:r>
        <w:rPr>
          <w:rFonts w:hint="eastAsia" w:ascii="宋体" w:hAnsi="宋体" w:cs="宋体"/>
          <w:b w:val="0"/>
          <w:bCs w:val="0"/>
          <w:color w:val="auto"/>
          <w:szCs w:val="21"/>
          <w:highlight w:val="none"/>
          <w:lang w:eastAsia="zh-CN"/>
        </w:rPr>
        <w:t>食堂</w:t>
      </w:r>
      <w:r>
        <w:rPr>
          <w:rFonts w:hint="eastAsia" w:ascii="宋体" w:hAnsi="宋体" w:cs="宋体"/>
          <w:b w:val="0"/>
          <w:bCs w:val="0"/>
          <w:color w:val="auto"/>
          <w:szCs w:val="21"/>
          <w:highlight w:val="none"/>
        </w:rPr>
        <w:t>经营相关手续。</w:t>
      </w:r>
    </w:p>
    <w:p>
      <w:pPr>
        <w:pStyle w:val="7"/>
        <w:spacing w:before="0" w:beforeLines="0" w:after="0" w:afterLines="0" w:line="360" w:lineRule="auto"/>
        <w:ind w:firstLine="422"/>
        <w:rPr>
          <w:rFonts w:ascii="宋体" w:hAnsi="宋体" w:cs="宋体"/>
          <w:color w:val="auto"/>
          <w:szCs w:val="21"/>
          <w:highlight w:val="none"/>
        </w:rPr>
      </w:pPr>
      <w:r>
        <w:rPr>
          <w:rFonts w:hint="eastAsia" w:ascii="宋体" w:hAnsi="宋体" w:cs="宋体"/>
          <w:b/>
          <w:bCs/>
          <w:color w:val="auto"/>
          <w:szCs w:val="21"/>
          <w:highlight w:val="none"/>
        </w:rPr>
        <w:t>3、</w:t>
      </w:r>
      <w:r>
        <w:rPr>
          <w:rFonts w:hint="eastAsia" w:ascii="宋体" w:hAnsi="宋体" w:cs="宋体"/>
          <w:color w:val="auto"/>
          <w:szCs w:val="21"/>
          <w:highlight w:val="none"/>
        </w:rPr>
        <w:t>乙方未经甲方同意改动原有的建筑物结构，并造成不可恢复的损害或破坏，由乙方承担所有的责任及赔偿。</w:t>
      </w:r>
    </w:p>
    <w:p>
      <w:pPr>
        <w:pStyle w:val="7"/>
        <w:spacing w:before="0" w:beforeLines="0" w:after="0" w:afterLines="0" w:line="360" w:lineRule="auto"/>
        <w:ind w:firstLine="422"/>
        <w:rPr>
          <w:rFonts w:hint="eastAsia" w:ascii="宋体" w:hAnsi="宋体"/>
          <w:color w:val="auto"/>
          <w:szCs w:val="21"/>
          <w:highlight w:val="none"/>
        </w:rPr>
      </w:pPr>
      <w:r>
        <w:rPr>
          <w:rFonts w:hint="eastAsia" w:ascii="宋体" w:hAnsi="宋体"/>
          <w:color w:val="auto"/>
          <w:szCs w:val="21"/>
          <w:highlight w:val="none"/>
        </w:rPr>
        <w:t>4、乙方使用学校或学校</w:t>
      </w:r>
      <w:r>
        <w:rPr>
          <w:rFonts w:hint="eastAsia" w:ascii="宋体" w:hAnsi="宋体"/>
          <w:color w:val="auto"/>
          <w:szCs w:val="21"/>
          <w:highlight w:val="none"/>
          <w:lang w:eastAsia="zh-CN"/>
        </w:rPr>
        <w:t>食堂</w:t>
      </w:r>
      <w:r>
        <w:rPr>
          <w:rFonts w:hint="eastAsia" w:ascii="宋体" w:hAnsi="宋体"/>
          <w:color w:val="auto"/>
          <w:szCs w:val="21"/>
          <w:highlight w:val="none"/>
        </w:rPr>
        <w:t>名义与第三方产生交易。</w:t>
      </w:r>
    </w:p>
    <w:p>
      <w:pPr>
        <w:pStyle w:val="7"/>
        <w:spacing w:before="0" w:beforeLines="0" w:after="0" w:afterLines="0" w:line="360" w:lineRule="auto"/>
        <w:ind w:firstLine="422"/>
        <w:rPr>
          <w:rFonts w:hint="eastAsia" w:ascii="宋体" w:hAnsi="宋体"/>
          <w:color w:val="auto"/>
          <w:szCs w:val="21"/>
          <w:highlight w:val="none"/>
        </w:rPr>
      </w:pPr>
      <w:r>
        <w:rPr>
          <w:rFonts w:hint="eastAsia" w:ascii="宋体" w:hAnsi="宋体"/>
          <w:color w:val="auto"/>
          <w:szCs w:val="21"/>
          <w:highlight w:val="none"/>
        </w:rPr>
        <w:t>5、违反第三条第5点相关要求的。</w:t>
      </w:r>
    </w:p>
    <w:p>
      <w:pPr>
        <w:pStyle w:val="7"/>
        <w:spacing w:before="0" w:beforeLines="0" w:after="0" w:afterLines="0" w:line="360" w:lineRule="auto"/>
        <w:ind w:firstLine="420" w:firstLineChars="200"/>
        <w:rPr>
          <w:rFonts w:hint="eastAsia" w:ascii="宋体" w:hAnsi="宋体" w:cstheme="minorBidi"/>
          <w:b w:val="0"/>
          <w:bCs w:val="0"/>
          <w:color w:val="auto"/>
          <w:szCs w:val="21"/>
          <w:highlight w:val="none"/>
          <w:lang w:val="en-US"/>
        </w:rPr>
      </w:pPr>
      <w:r>
        <w:rPr>
          <w:rFonts w:hint="eastAsia" w:ascii="宋体" w:hAnsi="宋体"/>
          <w:color w:val="auto"/>
          <w:szCs w:val="21"/>
          <w:highlight w:val="none"/>
        </w:rPr>
        <w:t>6、根据</w:t>
      </w:r>
      <w:r>
        <w:rPr>
          <w:rFonts w:hint="eastAsia" w:ascii="宋体" w:hAnsi="宋体" w:cstheme="minorBidi"/>
          <w:color w:val="auto"/>
          <w:szCs w:val="21"/>
          <w:highlight w:val="none"/>
          <w:lang w:eastAsia="zh-CN"/>
        </w:rPr>
        <w:t>食堂</w:t>
      </w:r>
      <w:r>
        <w:rPr>
          <w:rFonts w:hint="eastAsia" w:ascii="宋体" w:hAnsi="宋体" w:cstheme="minorBidi"/>
          <w:color w:val="auto"/>
          <w:szCs w:val="21"/>
          <w:highlight w:val="none"/>
        </w:rPr>
        <w:t>管理考核方案（附件一），</w:t>
      </w:r>
      <w:r>
        <w:rPr>
          <w:rFonts w:hint="eastAsia" w:ascii="宋体" w:hAnsi="宋体"/>
          <w:color w:val="auto"/>
          <w:szCs w:val="21"/>
          <w:highlight w:val="none"/>
        </w:rPr>
        <w:t>乙方在一年内累计两次考核结果为不合格的或一年内累计四次考核结果为基本合格的，甲方立刻单方终止乙方合同，一切损失由乙方承担，并</w:t>
      </w:r>
      <w:r>
        <w:rPr>
          <w:rFonts w:hint="eastAsia" w:ascii="宋体" w:hAnsi="宋体" w:cstheme="minorBidi"/>
          <w:color w:val="auto"/>
          <w:sz w:val="21"/>
          <w:szCs w:val="21"/>
          <w:highlight w:val="none"/>
        </w:rPr>
        <w:t>不视为</w:t>
      </w:r>
      <w:r>
        <w:rPr>
          <w:rFonts w:hint="eastAsia" w:ascii="宋体" w:hAnsi="宋体"/>
          <w:color w:val="auto"/>
          <w:szCs w:val="21"/>
          <w:highlight w:val="none"/>
        </w:rPr>
        <w:t>甲方</w:t>
      </w:r>
      <w:r>
        <w:rPr>
          <w:rFonts w:hint="eastAsia" w:ascii="宋体" w:hAnsi="宋体" w:cstheme="minorBidi"/>
          <w:color w:val="auto"/>
          <w:sz w:val="21"/>
          <w:szCs w:val="21"/>
          <w:highlight w:val="none"/>
        </w:rPr>
        <w:t>违约</w:t>
      </w:r>
      <w:r>
        <w:rPr>
          <w:rFonts w:hint="eastAsia" w:ascii="宋体" w:hAnsi="宋体"/>
          <w:color w:val="auto"/>
          <w:szCs w:val="21"/>
          <w:highlight w:val="none"/>
        </w:rPr>
        <w:t>。合同期内累计四次考核不合格或累计六次考核结果为基本合格，甲方立刻单方终止乙方合同，一切损失由乙方承担，并</w:t>
      </w:r>
      <w:r>
        <w:rPr>
          <w:rFonts w:hint="eastAsia" w:ascii="宋体" w:hAnsi="宋体" w:cstheme="minorBidi"/>
          <w:color w:val="auto"/>
          <w:sz w:val="21"/>
          <w:szCs w:val="21"/>
          <w:highlight w:val="none"/>
        </w:rPr>
        <w:t>不视为</w:t>
      </w:r>
      <w:r>
        <w:rPr>
          <w:rFonts w:hint="eastAsia" w:ascii="宋体" w:hAnsi="宋体"/>
          <w:color w:val="auto"/>
          <w:szCs w:val="21"/>
          <w:highlight w:val="none"/>
        </w:rPr>
        <w:t>甲方</w:t>
      </w:r>
      <w:r>
        <w:rPr>
          <w:rFonts w:hint="eastAsia" w:ascii="宋体" w:hAnsi="宋体" w:cstheme="minorBidi"/>
          <w:color w:val="auto"/>
          <w:sz w:val="21"/>
          <w:szCs w:val="21"/>
          <w:highlight w:val="none"/>
        </w:rPr>
        <w:t>违约</w:t>
      </w:r>
      <w:r>
        <w:rPr>
          <w:rFonts w:hint="eastAsia" w:ascii="宋体" w:hAnsi="宋体"/>
          <w:color w:val="auto"/>
          <w:szCs w:val="21"/>
          <w:highlight w:val="none"/>
        </w:rPr>
        <w:t>。</w:t>
      </w:r>
    </w:p>
    <w:p>
      <w:pPr>
        <w:pStyle w:val="7"/>
        <w:spacing w:before="156" w:beforeLines="50" w:after="156" w:afterLines="50"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十</w:t>
      </w:r>
      <w:r>
        <w:rPr>
          <w:rFonts w:hint="eastAsia" w:ascii="宋体" w:hAnsi="宋体" w:cs="宋体"/>
          <w:b/>
          <w:bCs/>
          <w:color w:val="auto"/>
          <w:szCs w:val="21"/>
          <w:highlight w:val="none"/>
        </w:rPr>
        <w:t>、食堂废料处理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餐具的回收、清洗及消毒工作：餐具必须提前回收、消毒，厨房公共用具必须每餐清洗消毒。按照《餐饮服务食品安全操作规范》要求及时清洗食品容器、餐用具，并存放在专用且结构密封的保洁设施内备用。不得使用未经清洗和消毒的餐具。</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2、做好食堂的清洁卫生，食堂厨具、地板、餐桌须及时清洗，每周进行大扫除。</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3、食堂区域及周边的环境卫生由乙方负责。及时清扫食品袋、纸盒、塑料瓶等杂物垃圾，做好防鼠、防蝇、防蟑螂的工作。做到地面无污物、残渣，并做好地面防滑措施；保证加工场所及周边环境的整洁卫生。</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食堂的馊水、食材废料、纸皮、餐厨垃圾等由乙方负责处理，应由有资质的回收公司处理餐厨垃圾并承担相关费用；乙方应做好剩饭菜及其他生活垃圾的分类回收工作，合理设置好分类回收的地点、用具和标识，便于师生进行分类排放；乙方应定期做好食堂及其周边下水道、沟渠的疏通清淤，避免堵塞；甲方有权要求其在指定时间和范围内将馊水（馊水回收单位必须满足持有符合食药监管理要求的相关资质，并必须将资料交甲方备案）及废料运出规范化处理，以保障厨房、餐厅整体环境卫生。</w:t>
      </w:r>
    </w:p>
    <w:p>
      <w:pPr>
        <w:pStyle w:val="2"/>
        <w:rPr>
          <w:rFonts w:ascii="宋体" w:hAnsi="宋体"/>
          <w:color w:val="auto"/>
          <w:sz w:val="21"/>
          <w:szCs w:val="21"/>
          <w:highlight w:val="none"/>
        </w:rPr>
      </w:pPr>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lang w:val="en-US" w:eastAsia="zh-CN"/>
        </w:rPr>
        <w:t>十一</w:t>
      </w:r>
      <w:r>
        <w:rPr>
          <w:rFonts w:hint="eastAsia" w:ascii="宋体" w:hAnsi="宋体"/>
          <w:b/>
          <w:bCs/>
          <w:color w:val="auto"/>
          <w:szCs w:val="21"/>
          <w:highlight w:val="none"/>
        </w:rPr>
        <w:t>、违约责任与赔偿损失</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1、乙方违反国家相关法规，与其聘用人员发生劳资等纠纷，均由乙方负责调解与处理，</w:t>
      </w:r>
      <w:r>
        <w:rPr>
          <w:rFonts w:hint="eastAsia" w:ascii="宋体" w:hAnsi="宋体" w:cs="宋体"/>
          <w:bCs/>
          <w:color w:val="auto"/>
          <w:szCs w:val="21"/>
          <w:highlight w:val="none"/>
          <w:lang w:val="en-US" w:eastAsia="zh-CN"/>
        </w:rPr>
        <w:t>并承担经济及法律责任，</w:t>
      </w:r>
      <w:r>
        <w:rPr>
          <w:rFonts w:hint="eastAsia" w:ascii="宋体" w:hAnsi="宋体" w:cs="宋体"/>
          <w:bCs/>
          <w:color w:val="auto"/>
          <w:szCs w:val="21"/>
          <w:highlight w:val="none"/>
        </w:rPr>
        <w:t>甲方不承担任何责任并有权解除合同。</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2、乙方必须承诺在成交合同签订后在甲方规定的时间内全部人员到岗到位；进场后当天向甲方提供作业人员名册和作业人员的资格证书、健康证明等材料。</w:t>
      </w:r>
    </w:p>
    <w:p>
      <w:pPr>
        <w:pStyle w:val="2"/>
        <w:rPr>
          <w:rFonts w:ascii="宋体" w:hAnsi="宋体" w:cs="宋体"/>
          <w:bCs/>
          <w:color w:val="auto"/>
          <w:kern w:val="2"/>
          <w:sz w:val="21"/>
          <w:szCs w:val="21"/>
          <w:highlight w:val="none"/>
        </w:rPr>
      </w:pPr>
      <w:bookmarkStart w:id="143" w:name="_Hlk140832178"/>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ascii="宋体" w:hAnsi="宋体" w:cs="宋体"/>
          <w:bCs/>
          <w:color w:val="auto"/>
          <w:kern w:val="2"/>
          <w:sz w:val="21"/>
          <w:szCs w:val="21"/>
          <w:highlight w:val="none"/>
        </w:rPr>
        <w:t>3</w:t>
      </w:r>
      <w:r>
        <w:rPr>
          <w:rFonts w:hint="eastAsia" w:ascii="宋体" w:hAnsi="宋体" w:cs="宋体"/>
          <w:bCs/>
          <w:color w:val="auto"/>
          <w:kern w:val="2"/>
          <w:sz w:val="21"/>
          <w:szCs w:val="21"/>
          <w:highlight w:val="none"/>
        </w:rPr>
        <w:t>、甲方需严格按照本合同付款，逾期付款的按照日万分之五的标准向乙方支付违约金，逾期超过两个月的，乙方有权单方面终止合作，并由甲方承担一切因此而起的损失。甲方向镇财政提交相关申请文件视为已履行付款手续，政府财政支付部门审核时间等风险不由甲方承担</w:t>
      </w:r>
      <w:r>
        <w:rPr>
          <w:rFonts w:hint="eastAsia" w:ascii="宋体" w:hAnsi="宋体" w:cs="宋体"/>
          <w:bCs/>
          <w:color w:val="auto"/>
          <w:kern w:val="2"/>
          <w:sz w:val="21"/>
          <w:szCs w:val="21"/>
          <w:highlight w:val="none"/>
          <w:lang w:eastAsia="zh-CN"/>
        </w:rPr>
        <w:t>。</w:t>
      </w:r>
    </w:p>
    <w:bookmarkEnd w:id="143"/>
    <w:p>
      <w:pPr>
        <w:spacing w:line="360" w:lineRule="auto"/>
        <w:outlineLvl w:val="1"/>
        <w:rPr>
          <w:rFonts w:ascii="宋体" w:hAnsi="宋体"/>
          <w:b/>
          <w:bCs/>
          <w:color w:val="auto"/>
          <w:szCs w:val="21"/>
          <w:highlight w:val="none"/>
        </w:rPr>
      </w:pPr>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rPr>
        <w:t>十</w:t>
      </w:r>
      <w:r>
        <w:rPr>
          <w:rFonts w:hint="eastAsia" w:ascii="宋体" w:hAnsi="宋体"/>
          <w:b/>
          <w:bCs/>
          <w:color w:val="auto"/>
          <w:szCs w:val="21"/>
          <w:highlight w:val="none"/>
          <w:lang w:val="en-US" w:eastAsia="zh-CN"/>
        </w:rPr>
        <w:t>二</w:t>
      </w:r>
      <w:r>
        <w:rPr>
          <w:rFonts w:hint="eastAsia" w:ascii="宋体" w:hAnsi="宋体"/>
          <w:b/>
          <w:bCs/>
          <w:color w:val="auto"/>
          <w:szCs w:val="21"/>
          <w:highlight w:val="none"/>
        </w:rPr>
        <w:t>、争议的解决</w:t>
      </w:r>
    </w:p>
    <w:p>
      <w:pPr>
        <w:adjustRightInd w:val="0"/>
        <w:snapToGrid w:val="0"/>
        <w:spacing w:line="360" w:lineRule="auto"/>
        <w:ind w:firstLine="420" w:firstLineChars="200"/>
        <w:outlineLvl w:val="9"/>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凡与本合同有关而引起的一切争议，甲乙双方应首先通过友好协商解决，如经协商后仍不能达成协议时，任何一方可以向法院提出诉讼。</w:t>
      </w:r>
    </w:p>
    <w:p>
      <w:pPr>
        <w:adjustRightInd w:val="0"/>
        <w:snapToGrid w:val="0"/>
        <w:spacing w:line="360" w:lineRule="auto"/>
        <w:ind w:firstLine="420" w:firstLineChars="200"/>
        <w:outlineLvl w:val="9"/>
        <w:rPr>
          <w:rFonts w:hint="eastAsia" w:ascii="宋体" w:hAnsi="宋体" w:cs="宋体"/>
          <w:b w:val="0"/>
          <w:bCs/>
          <w:color w:val="auto"/>
          <w:szCs w:val="21"/>
          <w:highlight w:val="none"/>
        </w:rPr>
      </w:pPr>
      <w:r>
        <w:rPr>
          <w:rFonts w:hint="eastAsia" w:ascii="宋体" w:hAnsi="宋体" w:cs="宋体"/>
          <w:b w:val="0"/>
          <w:bCs/>
          <w:color w:val="auto"/>
          <w:szCs w:val="21"/>
          <w:highlight w:val="none"/>
          <w:lang w:eastAsia="zh-CN"/>
        </w:rPr>
        <w:t>2、</w:t>
      </w:r>
      <w:r>
        <w:rPr>
          <w:rFonts w:hint="eastAsia" w:ascii="宋体" w:hAnsi="宋体" w:cs="宋体"/>
          <w:b w:val="0"/>
          <w:bCs/>
          <w:color w:val="auto"/>
          <w:szCs w:val="21"/>
          <w:highlight w:val="none"/>
        </w:rPr>
        <w:t>本合同发生的诉讼管辖地为甲方所在地的法院。</w:t>
      </w:r>
    </w:p>
    <w:p>
      <w:pPr>
        <w:adjustRightInd w:val="0"/>
        <w:snapToGrid w:val="0"/>
        <w:spacing w:line="360" w:lineRule="auto"/>
        <w:ind w:firstLine="420" w:firstLineChars="200"/>
        <w:outlineLvl w:val="9"/>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在进行法院审理期间，除提交法院审理的事项外，合同其他部分仍继续履行。</w:t>
      </w:r>
    </w:p>
    <w:p>
      <w:pPr>
        <w:adjustRightInd w:val="0"/>
        <w:snapToGrid w:val="0"/>
        <w:spacing w:line="360" w:lineRule="auto"/>
        <w:ind w:firstLine="420" w:firstLineChars="200"/>
        <w:outlineLvl w:val="9"/>
        <w:rPr>
          <w:rFonts w:hint="eastAsia" w:ascii="宋体" w:hAnsi="宋体" w:cs="宋体"/>
          <w:b w:val="0"/>
          <w:bCs/>
          <w:color w:val="auto"/>
          <w:szCs w:val="21"/>
          <w:highlight w:val="none"/>
        </w:rPr>
      </w:pPr>
      <w:r>
        <w:rPr>
          <w:rFonts w:hint="eastAsia" w:ascii="宋体" w:hAnsi="宋体" w:cs="宋体"/>
          <w:b w:val="0"/>
          <w:bCs/>
          <w:color w:val="auto"/>
          <w:szCs w:val="21"/>
          <w:highlight w:val="none"/>
          <w:lang w:eastAsia="zh-CN"/>
        </w:rPr>
        <w:t>4、</w:t>
      </w:r>
      <w:r>
        <w:rPr>
          <w:rFonts w:hint="eastAsia" w:ascii="宋体" w:hAnsi="宋体" w:cs="宋体"/>
          <w:b w:val="0"/>
          <w:bCs/>
          <w:color w:val="auto"/>
          <w:szCs w:val="21"/>
          <w:highlight w:val="none"/>
        </w:rPr>
        <w:t>本合同按照中华人民共和国的法律进行解释。</w:t>
      </w:r>
    </w:p>
    <w:p>
      <w:pPr>
        <w:spacing w:line="360" w:lineRule="auto"/>
        <w:outlineLvl w:val="1"/>
        <w:rPr>
          <w:rFonts w:hint="eastAsia" w:ascii="宋体" w:hAnsi="宋体"/>
          <w:b/>
          <w:bCs/>
          <w:color w:val="auto"/>
          <w:szCs w:val="21"/>
          <w:highlight w:val="none"/>
        </w:rPr>
      </w:pPr>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rPr>
        <w:t>十</w:t>
      </w:r>
      <w:r>
        <w:rPr>
          <w:rFonts w:hint="eastAsia" w:ascii="宋体" w:hAnsi="宋体"/>
          <w:b/>
          <w:bCs/>
          <w:color w:val="auto"/>
          <w:szCs w:val="21"/>
          <w:highlight w:val="none"/>
          <w:lang w:val="en-US" w:eastAsia="zh-CN"/>
        </w:rPr>
        <w:t>三</w:t>
      </w:r>
      <w:r>
        <w:rPr>
          <w:rFonts w:hint="eastAsia" w:ascii="宋体" w:hAnsi="宋体"/>
          <w:b/>
          <w:bCs/>
          <w:color w:val="auto"/>
          <w:szCs w:val="21"/>
          <w:highlight w:val="none"/>
        </w:rPr>
        <w:t>、不可抗力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outlineLvl w:val="1"/>
        <w:rPr>
          <w:rFonts w:ascii="宋体" w:hAnsi="宋体"/>
          <w:b/>
          <w:bCs/>
          <w:color w:val="auto"/>
          <w:szCs w:val="21"/>
          <w:highlight w:val="none"/>
        </w:rPr>
      </w:pPr>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rPr>
        <w:t>十</w:t>
      </w:r>
      <w:r>
        <w:rPr>
          <w:rFonts w:hint="eastAsia" w:ascii="宋体" w:hAnsi="宋体"/>
          <w:b/>
          <w:bCs/>
          <w:color w:val="auto"/>
          <w:szCs w:val="21"/>
          <w:highlight w:val="none"/>
          <w:lang w:val="en-US" w:eastAsia="zh-CN"/>
        </w:rPr>
        <w:t>四</w:t>
      </w:r>
      <w:r>
        <w:rPr>
          <w:rFonts w:hint="eastAsia" w:ascii="宋体" w:hAnsi="宋体"/>
          <w:b/>
          <w:bCs/>
          <w:color w:val="auto"/>
          <w:szCs w:val="21"/>
          <w:highlight w:val="none"/>
        </w:rPr>
        <w:t>、其它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1.本合同所有附件、招标文件、投标文件、中标通知书均为合同的有效组成部分，与本合同具有同等法律效力。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2.在执行本合同的过程中，所有经双方签署确认的文件（包括会议纪要、补充协议、往来信函）即成为本合同的有效组成部分。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3.如一方地址、电话、传真号码有变更，应在变更当日内书面通知对方，否则，应承担相应责任。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4.除甲方事先书面同意外，乙方不得部分或全部转让其应履行的合同项下的义务。 </w:t>
      </w:r>
    </w:p>
    <w:p>
      <w:pPr>
        <w:spacing w:line="360" w:lineRule="auto"/>
        <w:outlineLvl w:val="1"/>
        <w:rPr>
          <w:rFonts w:ascii="宋体" w:hAnsi="宋体"/>
          <w:b/>
          <w:bCs/>
          <w:color w:val="auto"/>
          <w:szCs w:val="21"/>
          <w:highlight w:val="none"/>
        </w:rPr>
      </w:pPr>
    </w:p>
    <w:p>
      <w:pPr>
        <w:spacing w:line="360" w:lineRule="auto"/>
        <w:outlineLvl w:val="1"/>
        <w:rPr>
          <w:rFonts w:ascii="宋体" w:hAnsi="宋体"/>
          <w:b/>
          <w:bCs/>
          <w:color w:val="auto"/>
          <w:szCs w:val="21"/>
          <w:highlight w:val="none"/>
        </w:rPr>
      </w:pPr>
      <w:r>
        <w:rPr>
          <w:rFonts w:hint="eastAsia" w:ascii="宋体" w:hAnsi="宋体"/>
          <w:b/>
          <w:bCs/>
          <w:color w:val="auto"/>
          <w:szCs w:val="21"/>
          <w:highlight w:val="none"/>
        </w:rPr>
        <w:t>十</w:t>
      </w:r>
      <w:r>
        <w:rPr>
          <w:rFonts w:hint="eastAsia" w:ascii="宋体" w:hAnsi="宋体"/>
          <w:b/>
          <w:bCs/>
          <w:color w:val="auto"/>
          <w:szCs w:val="21"/>
          <w:highlight w:val="none"/>
          <w:lang w:val="en-US" w:eastAsia="zh-CN"/>
        </w:rPr>
        <w:t>五</w:t>
      </w:r>
      <w:r>
        <w:rPr>
          <w:rFonts w:hint="eastAsia" w:ascii="宋体" w:hAnsi="宋体"/>
          <w:b/>
          <w:bCs/>
          <w:color w:val="auto"/>
          <w:szCs w:val="21"/>
          <w:highlight w:val="none"/>
        </w:rPr>
        <w:t>、合同生效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1、本合同在甲乙双方法人代表或其授权代表签字盖章后生效。</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、合同一式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3、本合同合计   页A4纸张，缺页之合同为无效合同。</w:t>
      </w:r>
    </w:p>
    <w:p>
      <w:pPr>
        <w:spacing w:line="360" w:lineRule="auto"/>
        <w:rPr>
          <w:rFonts w:hint="eastAsia"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（以下为签署页，无正文）</w:t>
      </w:r>
    </w:p>
    <w:p>
      <w:pPr>
        <w:spacing w:line="360" w:lineRule="auto"/>
        <w:rPr>
          <w:rFonts w:ascii="宋体" w:hAnsi="宋体"/>
          <w:color w:val="auto"/>
          <w:szCs w:val="21"/>
          <w:highlight w:val="none"/>
        </w:rPr>
      </w:pPr>
      <w:r>
        <w:rPr>
          <w:rFonts w:hint="eastAsia" w:ascii="宋体" w:hAnsi="宋体"/>
          <w:color w:val="auto"/>
          <w:szCs w:val="21"/>
          <w:highlight w:val="none"/>
          <w:lang w:val="en-US" w:eastAsia="zh-CN"/>
        </w:rPr>
        <w:t>附件：</w:t>
      </w:r>
      <w:r>
        <w:rPr>
          <w:rFonts w:hint="eastAsia" w:ascii="宋体" w:hAnsi="宋体"/>
          <w:color w:val="auto"/>
          <w:szCs w:val="21"/>
          <w:highlight w:val="none"/>
        </w:rPr>
        <w:t>1、</w:t>
      </w:r>
      <w:r>
        <w:rPr>
          <w:rFonts w:hint="eastAsia" w:ascii="宋体" w:hAnsi="宋体" w:cstheme="minorBidi"/>
          <w:b w:val="0"/>
          <w:bCs w:val="0"/>
          <w:color w:val="auto"/>
          <w:sz w:val="21"/>
          <w:szCs w:val="21"/>
          <w:highlight w:val="none"/>
          <w:lang w:eastAsia="zh-CN"/>
        </w:rPr>
        <w:t>食堂</w:t>
      </w:r>
      <w:r>
        <w:rPr>
          <w:rFonts w:hint="eastAsia" w:ascii="宋体" w:hAnsi="宋体" w:cstheme="minorBidi"/>
          <w:b w:val="0"/>
          <w:bCs w:val="0"/>
          <w:color w:val="auto"/>
          <w:sz w:val="21"/>
          <w:szCs w:val="21"/>
          <w:highlight w:val="none"/>
        </w:rPr>
        <w:t>管理考核方案；2、</w:t>
      </w:r>
      <w:r>
        <w:rPr>
          <w:rFonts w:hint="eastAsia" w:ascii="宋体" w:hAnsi="宋体"/>
          <w:color w:val="auto"/>
          <w:szCs w:val="21"/>
          <w:highlight w:val="none"/>
        </w:rPr>
        <w:t>招标文件；</w:t>
      </w:r>
      <w:r>
        <w:rPr>
          <w:rFonts w:ascii="宋体" w:hAnsi="宋体"/>
          <w:color w:val="auto"/>
          <w:szCs w:val="21"/>
          <w:highlight w:val="none"/>
        </w:rPr>
        <w:t>3</w:t>
      </w:r>
      <w:r>
        <w:rPr>
          <w:rFonts w:hint="eastAsia" w:ascii="宋体" w:hAnsi="宋体"/>
          <w:color w:val="auto"/>
          <w:szCs w:val="21"/>
          <w:highlight w:val="none"/>
        </w:rPr>
        <w:t>、投标文件；</w:t>
      </w:r>
      <w:r>
        <w:rPr>
          <w:rFonts w:ascii="宋体" w:hAnsi="宋体"/>
          <w:color w:val="auto"/>
          <w:szCs w:val="21"/>
          <w:highlight w:val="none"/>
        </w:rPr>
        <w:t>4</w:t>
      </w:r>
      <w:r>
        <w:rPr>
          <w:rFonts w:hint="eastAsia" w:ascii="宋体" w:hAnsi="宋体"/>
          <w:color w:val="auto"/>
          <w:szCs w:val="21"/>
          <w:highlight w:val="none"/>
        </w:rPr>
        <w:t>、中标通知书</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甲方（盖章）：</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 xml:space="preserve">                             乙方（盖章）： </w:t>
      </w:r>
    </w:p>
    <w:p>
      <w:pPr>
        <w:spacing w:line="360" w:lineRule="auto"/>
        <w:rPr>
          <w:rFonts w:ascii="宋体" w:hAnsi="宋体"/>
          <w:color w:val="auto"/>
          <w:szCs w:val="21"/>
          <w:highlight w:val="none"/>
        </w:rPr>
      </w:pPr>
      <w:r>
        <w:rPr>
          <w:rFonts w:hint="eastAsia" w:ascii="宋体" w:hAnsi="宋体"/>
          <w:color w:val="auto"/>
          <w:szCs w:val="21"/>
          <w:highlight w:val="none"/>
        </w:rPr>
        <w:t>代表：</w:t>
      </w:r>
      <w:r>
        <w:rPr>
          <w:rFonts w:hint="eastAsia" w:ascii="宋体" w:hAnsi="宋体"/>
          <w:color w:val="auto"/>
          <w:szCs w:val="21"/>
          <w:highlight w:val="none"/>
        </w:rPr>
        <w:tab/>
      </w:r>
      <w:r>
        <w:rPr>
          <w:rFonts w:hint="eastAsia" w:ascii="宋体" w:hAnsi="宋体"/>
          <w:color w:val="auto"/>
          <w:szCs w:val="21"/>
          <w:highlight w:val="none"/>
        </w:rPr>
        <w:t xml:space="preserve">                                         代表：</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开户名称：</w:t>
      </w:r>
    </w:p>
    <w:p>
      <w:pPr>
        <w:spacing w:line="360" w:lineRule="auto"/>
        <w:ind w:firstLine="5145" w:firstLineChars="2450"/>
        <w:rPr>
          <w:rFonts w:ascii="宋体" w:hAnsi="宋体"/>
          <w:color w:val="auto"/>
          <w:szCs w:val="21"/>
          <w:highlight w:val="none"/>
        </w:rPr>
      </w:pPr>
      <w:r>
        <w:rPr>
          <w:rFonts w:hint="eastAsia" w:ascii="宋体" w:hAnsi="宋体"/>
          <w:color w:val="auto"/>
          <w:szCs w:val="21"/>
          <w:highlight w:val="none"/>
        </w:rPr>
        <w:t xml:space="preserve">银行帐号： </w:t>
      </w:r>
    </w:p>
    <w:p>
      <w:pPr>
        <w:ind w:firstLine="5145" w:firstLineChars="2450"/>
        <w:rPr>
          <w:rFonts w:ascii="宋体" w:hAnsi="宋体"/>
          <w:color w:val="auto"/>
          <w:szCs w:val="21"/>
          <w:highlight w:val="none"/>
        </w:rPr>
      </w:pPr>
      <w:r>
        <w:rPr>
          <w:rFonts w:hint="eastAsia" w:ascii="宋体" w:hAnsi="宋体"/>
          <w:color w:val="auto"/>
          <w:szCs w:val="21"/>
          <w:highlight w:val="none"/>
        </w:rPr>
        <w:t>开 户 行：</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签定地点：</w:t>
      </w:r>
    </w:p>
    <w:p>
      <w:pPr>
        <w:spacing w:line="360" w:lineRule="auto"/>
        <w:rPr>
          <w:rFonts w:ascii="宋体" w:hAnsi="宋体"/>
          <w:color w:val="auto"/>
          <w:szCs w:val="21"/>
          <w:highlight w:val="none"/>
        </w:rPr>
      </w:pPr>
      <w:r>
        <w:rPr>
          <w:rFonts w:hint="eastAsia" w:ascii="宋体" w:hAnsi="宋体"/>
          <w:color w:val="auto"/>
          <w:szCs w:val="21"/>
          <w:highlight w:val="none"/>
        </w:rPr>
        <w:t>签定日期：</w:t>
      </w:r>
    </w:p>
    <w:p>
      <w:pPr>
        <w:rPr>
          <w:rFonts w:ascii="宋体" w:hAnsi="宋体"/>
          <w:color w:val="auto"/>
          <w:szCs w:val="21"/>
          <w:highlight w:val="none"/>
        </w:rPr>
      </w:pPr>
    </w:p>
    <w:p>
      <w:pPr>
        <w:rPr>
          <w:color w:val="auto"/>
          <w:highlight w:val="none"/>
        </w:rPr>
      </w:pPr>
      <w:r>
        <w:rPr>
          <w:rFonts w:hint="eastAsia"/>
          <w:color w:val="auto"/>
          <w:highlight w:val="none"/>
        </w:rPr>
        <w:br w:type="page"/>
      </w:r>
    </w:p>
    <w:p>
      <w:pPr>
        <w:pStyle w:val="3"/>
        <w:rPr>
          <w:color w:val="auto"/>
          <w:highlight w:val="none"/>
        </w:rPr>
      </w:pPr>
      <w:bookmarkStart w:id="144" w:name="_Toc17794"/>
      <w:r>
        <w:rPr>
          <w:rFonts w:hint="eastAsia"/>
          <w:color w:val="auto"/>
          <w:highlight w:val="none"/>
        </w:rPr>
        <w:t>第六篇 投标文件格式</w:t>
      </w:r>
      <w:bookmarkEnd w:id="144"/>
    </w:p>
    <w:p>
      <w:pPr>
        <w:rPr>
          <w:b/>
          <w:bCs/>
          <w:color w:val="auto"/>
          <w:highlight w:val="none"/>
        </w:rPr>
      </w:pPr>
      <w:r>
        <w:rPr>
          <w:rFonts w:hint="eastAsia"/>
          <w:b/>
          <w:bCs/>
          <w:color w:val="auto"/>
          <w:highlight w:val="none"/>
        </w:rPr>
        <w:t>注意事项：</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9"/>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45" w:name="_Toc32213"/>
      <w:r>
        <w:rPr>
          <w:rFonts w:hint="eastAsia"/>
          <w:b/>
          <w:bCs/>
          <w:color w:val="auto"/>
          <w:highlight w:val="none"/>
        </w:rPr>
        <w:t>（封面格式仅供参考）</w:t>
      </w:r>
      <w:bookmarkEnd w:id="145"/>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46" w:name="_Toc14748"/>
      <w:r>
        <w:rPr>
          <w:rFonts w:ascii="宋体" w:hAnsi="宋体" w:cs="宋体"/>
          <w:b/>
          <w:color w:val="auto"/>
          <w:spacing w:val="10"/>
          <w:kern w:val="0"/>
          <w:sz w:val="38"/>
          <w:szCs w:val="38"/>
          <w:highlight w:val="none"/>
          <w:lang w:val="zh-CN" w:bidi="zh-CN"/>
        </w:rPr>
        <w:t>投标文件封面</w:t>
      </w:r>
      <w:bookmarkEnd w:id="146"/>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47"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47"/>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9"/>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9"/>
        <w:jc w:val="center"/>
        <w:rPr>
          <w:b/>
          <w:color w:val="auto"/>
          <w:sz w:val="12"/>
          <w:highlight w:val="none"/>
        </w:rPr>
      </w:pPr>
      <w:r>
        <w:rPr>
          <w:b/>
          <w:color w:val="auto"/>
          <w:highlight w:val="none"/>
        </w:rPr>
        <w:t>投标函</w:t>
      </w:r>
    </w:p>
    <w:p>
      <w:pPr>
        <w:pStyle w:val="9"/>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2"/>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2"/>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9"/>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6766"/>
        </w:tabs>
        <w:autoSpaceDE w:val="0"/>
        <w:autoSpaceDN w:val="0"/>
        <w:spacing w:before="0" w:line="360" w:lineRule="auto"/>
        <w:ind w:left="0" w:firstLine="420" w:firstLineChars="200"/>
        <w:jc w:val="right"/>
        <w:rPr>
          <w:color w:val="auto"/>
          <w:sz w:val="21"/>
          <w:szCs w:val="21"/>
          <w:highlight w:val="none"/>
        </w:rPr>
      </w:pPr>
    </w:p>
    <w:p>
      <w:pPr>
        <w:pStyle w:val="9"/>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9"/>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投标总价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highlight w:val="none"/>
                <w:lang w:eastAsia="zh-CN"/>
              </w:rPr>
            </w:pPr>
            <w:r>
              <w:rPr>
                <w:rFonts w:hint="eastAsia"/>
                <w:color w:val="auto"/>
                <w:highlight w:val="none"/>
              </w:rPr>
              <w:t>小写：</w:t>
            </w:r>
          </w:p>
          <w:p>
            <w:pPr>
              <w:spacing w:line="360" w:lineRule="auto"/>
              <w:rPr>
                <w:rFonts w:hint="eastAsia" w:eastAsia="宋体"/>
                <w:color w:val="auto"/>
                <w:highlight w:val="none"/>
                <w:lang w:eastAsia="zh-CN"/>
              </w:rPr>
            </w:pPr>
            <w:r>
              <w:rPr>
                <w:rFonts w:hint="eastAsia"/>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2"/>
        <w:spacing w:line="360" w:lineRule="auto"/>
        <w:ind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rPr>
        <w:t>1.投标总价栏须用文字和数字两种方式表示的投</w:t>
      </w:r>
      <w:r>
        <w:rPr>
          <w:rFonts w:hint="eastAsia" w:ascii="宋体" w:hAnsi="宋体" w:eastAsia="宋体" w:cs="宋体"/>
          <w:color w:val="auto"/>
          <w:szCs w:val="21"/>
          <w:highlight w:val="none"/>
        </w:rPr>
        <w:t>标总价。</w:t>
      </w:r>
    </w:p>
    <w:p>
      <w:pPr>
        <w:pStyle w:val="22"/>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2.开标一览表内容与投标文件中相应内容不一致的，以开标一览表为准。</w:t>
      </w:r>
    </w:p>
    <w:p>
      <w:pPr>
        <w:pStyle w:val="22"/>
        <w:spacing w:line="360" w:lineRule="auto"/>
        <w:ind w:firstLine="0" w:firstLineChars="0"/>
        <w:rPr>
          <w:rFonts w:hint="eastAsia"/>
          <w:b/>
          <w:bCs/>
          <w:color w:val="auto"/>
          <w:sz w:val="24"/>
          <w:szCs w:val="32"/>
          <w:highlight w:val="none"/>
        </w:rPr>
      </w:pPr>
      <w:r>
        <w:rPr>
          <w:rFonts w:hint="eastAsia" w:ascii="宋体" w:hAnsi="宋体" w:eastAsia="宋体" w:cs="宋体"/>
          <w:color w:val="auto"/>
          <w:szCs w:val="21"/>
          <w:highlight w:val="none"/>
        </w:rPr>
        <w:t>3.大写金额和小写金额不一致的，以大写金额为准。</w:t>
      </w:r>
      <w:r>
        <w:rPr>
          <w:rFonts w:hint="eastAsia"/>
          <w:b/>
          <w:bCs/>
          <w:color w:val="auto"/>
          <w:sz w:val="24"/>
          <w:szCs w:val="32"/>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2"/>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9"/>
        <w:rPr>
          <w:b/>
          <w:bCs/>
          <w:color w:val="auto"/>
          <w:highlight w:val="none"/>
          <w:lang w:val="en-US"/>
        </w:rPr>
      </w:pPr>
      <w:r>
        <w:rPr>
          <w:rFonts w:hint="eastAsia"/>
          <w:b/>
          <w:bCs/>
          <w:color w:val="auto"/>
          <w:highlight w:val="none"/>
          <w:lang w:val="en-US"/>
        </w:rPr>
        <w:t>格式四：</w:t>
      </w:r>
    </w:p>
    <w:p>
      <w:pPr>
        <w:pStyle w:val="4"/>
        <w:spacing w:line="360" w:lineRule="auto"/>
        <w:rPr>
          <w:color w:val="auto"/>
          <w:sz w:val="24"/>
          <w:highlight w:val="none"/>
        </w:rPr>
      </w:pPr>
      <w:bookmarkStart w:id="148" w:name="_Toc23039"/>
      <w:r>
        <w:rPr>
          <w:color w:val="auto"/>
          <w:sz w:val="24"/>
          <w:highlight w:val="none"/>
        </w:rPr>
        <w:t>法定代表人证明书</w:t>
      </w:r>
      <w:bookmarkEnd w:id="148"/>
    </w:p>
    <w:p>
      <w:pPr>
        <w:pStyle w:val="9"/>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9"/>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9"/>
        <w:tabs>
          <w:tab w:val="left" w:pos="3693"/>
        </w:tabs>
        <w:spacing w:line="242" w:lineRule="exact"/>
        <w:ind w:right="104"/>
        <w:jc w:val="right"/>
        <w:rPr>
          <w:color w:val="auto"/>
          <w:sz w:val="21"/>
          <w:szCs w:val="21"/>
          <w:highlight w:val="none"/>
        </w:rPr>
      </w:pPr>
    </w:p>
    <w:p>
      <w:pPr>
        <w:pStyle w:val="9"/>
        <w:tabs>
          <w:tab w:val="left" w:pos="3693"/>
        </w:tabs>
        <w:spacing w:line="242" w:lineRule="exact"/>
        <w:ind w:right="104"/>
        <w:jc w:val="right"/>
        <w:rPr>
          <w:color w:val="auto"/>
          <w:sz w:val="21"/>
          <w:szCs w:val="21"/>
          <w:highlight w:val="none"/>
        </w:rPr>
      </w:pPr>
    </w:p>
    <w:p>
      <w:pPr>
        <w:pStyle w:val="9"/>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9"/>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9"/>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9"/>
        <w:rPr>
          <w:color w:val="auto"/>
          <w:highlight w:val="none"/>
          <w:lang w:val="en-US"/>
        </w:rPr>
      </w:pPr>
    </w:p>
    <w:p>
      <w:pPr>
        <w:rPr>
          <w:color w:val="auto"/>
          <w:highlight w:val="none"/>
        </w:rPr>
      </w:pPr>
    </w:p>
    <w:p>
      <w:pPr>
        <w:pStyle w:val="9"/>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5"/>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5"/>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9"/>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9"/>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9"/>
        <w:tabs>
          <w:tab w:val="left" w:pos="10713"/>
        </w:tabs>
        <w:spacing w:before="0" w:line="360" w:lineRule="auto"/>
        <w:ind w:left="0"/>
        <w:jc w:val="right"/>
        <w:rPr>
          <w:color w:val="auto"/>
          <w:sz w:val="21"/>
          <w:szCs w:val="21"/>
          <w:highlight w:val="none"/>
        </w:rPr>
      </w:pPr>
    </w:p>
    <w:p>
      <w:pPr>
        <w:pStyle w:val="9"/>
        <w:tabs>
          <w:tab w:val="left" w:pos="10713"/>
        </w:tabs>
        <w:spacing w:before="0" w:line="360" w:lineRule="auto"/>
        <w:ind w:left="0"/>
        <w:jc w:val="right"/>
        <w:rPr>
          <w:color w:val="auto"/>
          <w:sz w:val="21"/>
          <w:szCs w:val="21"/>
          <w:highlight w:val="none"/>
        </w:rPr>
      </w:pP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9"/>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9"/>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9"/>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9"/>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5"/>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5"/>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9"/>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9"/>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9"/>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或提供相关承诺函）</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2、具有良好的商业信誉和健全的财务会计制度：供应商必须具有良好的商业信誉和健全的财务会计制度（提供202</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年度</w:t>
      </w:r>
      <w:r>
        <w:rPr>
          <w:rFonts w:hint="eastAsia" w:ascii="宋体" w:hAnsi="宋体" w:eastAsia="宋体"/>
          <w:color w:val="auto"/>
          <w:szCs w:val="21"/>
          <w:highlight w:val="none"/>
          <w:lang w:val="en-US" w:eastAsia="zh-CN"/>
        </w:rPr>
        <w:t>或2022年度</w:t>
      </w:r>
      <w:r>
        <w:rPr>
          <w:rFonts w:hint="eastAsia" w:ascii="宋体" w:hAnsi="宋体" w:eastAsia="宋体"/>
          <w:color w:val="auto"/>
          <w:szCs w:val="21"/>
          <w:highlight w:val="none"/>
        </w:rPr>
        <w:t>财务状况报告或基本开户行出具的资信证明）。(或提供相关承诺函）</w:t>
      </w:r>
    </w:p>
    <w:p>
      <w:pPr>
        <w:widowControl/>
        <w:spacing w:line="360" w:lineRule="auto"/>
        <w:rPr>
          <w:rFonts w:hint="eastAsia" w:ascii="宋体" w:hAnsi="宋体" w:eastAsia="宋体"/>
          <w:color w:val="auto"/>
          <w:szCs w:val="21"/>
          <w:highlight w:val="none"/>
        </w:rPr>
      </w:pPr>
      <w:r>
        <w:rPr>
          <w:rFonts w:hint="eastAsia" w:ascii="宋体" w:hAnsi="宋体" w:eastAsia="宋体"/>
          <w:color w:val="auto"/>
          <w:szCs w:val="21"/>
          <w:highlight w:val="none"/>
        </w:rPr>
        <w:t>3、</w:t>
      </w:r>
      <w:r>
        <w:rPr>
          <w:rFonts w:hint="eastAsia" w:ascii="宋体" w:hAnsi="宋体" w:eastAsia="宋体"/>
          <w:color w:val="auto"/>
          <w:szCs w:val="21"/>
          <w:highlight w:val="none"/>
          <w:lang w:eastAsia="zh-CN"/>
        </w:rPr>
        <w:t>履行合同所必需的</w:t>
      </w:r>
      <w:r>
        <w:rPr>
          <w:rFonts w:hint="eastAsia" w:ascii="宋体" w:hAnsi="宋体" w:eastAsia="宋体"/>
          <w:color w:val="auto"/>
          <w:szCs w:val="21"/>
          <w:highlight w:val="none"/>
        </w:rPr>
        <w:t>设备和专业技术能力：填报设备及专业技术能力情况，格式自拟。(或提供相关承诺函）</w:t>
      </w:r>
    </w:p>
    <w:p>
      <w:pPr>
        <w:rPr>
          <w:color w:val="auto"/>
          <w:sz w:val="20"/>
          <w:highlight w:val="none"/>
        </w:rPr>
      </w:pPr>
      <w:r>
        <w:rPr>
          <w:rFonts w:hint="eastAsia"/>
          <w:color w:val="auto"/>
          <w:sz w:val="20"/>
          <w:highlight w:val="none"/>
        </w:rPr>
        <w:br w:type="page"/>
      </w:r>
    </w:p>
    <w:p>
      <w:pPr>
        <w:pStyle w:val="9"/>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9"/>
        <w:jc w:val="center"/>
        <w:rPr>
          <w:b/>
          <w:bCs/>
          <w:color w:val="auto"/>
          <w:highlight w:val="none"/>
          <w:lang w:val="en-US"/>
        </w:rPr>
      </w:pPr>
      <w:r>
        <w:rPr>
          <w:b/>
          <w:bCs/>
          <w:color w:val="auto"/>
          <w:highlight w:val="none"/>
          <w:lang w:val="en-US"/>
        </w:rPr>
        <w:t>投标人业绩情况表</w:t>
      </w:r>
    </w:p>
    <w:p>
      <w:pPr>
        <w:pStyle w:val="9"/>
        <w:spacing w:before="2" w:after="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4"/>
              <w:spacing w:line="360" w:lineRule="auto"/>
              <w:rPr>
                <w:rFonts w:ascii="宋体" w:hAnsi="宋体" w:cs="宋体"/>
                <w:color w:val="auto"/>
                <w:szCs w:val="21"/>
                <w:highlight w:val="none"/>
              </w:rPr>
            </w:pPr>
          </w:p>
        </w:tc>
        <w:tc>
          <w:tcPr>
            <w:tcW w:w="1553" w:type="pct"/>
            <w:shd w:val="clear" w:color="auto" w:fill="FFFFFF" w:themeFill="background1"/>
          </w:tcPr>
          <w:p>
            <w:pPr>
              <w:pStyle w:val="24"/>
              <w:spacing w:line="360" w:lineRule="auto"/>
              <w:rPr>
                <w:rFonts w:ascii="宋体" w:hAnsi="宋体" w:cs="宋体"/>
                <w:color w:val="auto"/>
                <w:szCs w:val="21"/>
                <w:highlight w:val="none"/>
              </w:rPr>
            </w:pPr>
          </w:p>
        </w:tc>
        <w:tc>
          <w:tcPr>
            <w:tcW w:w="779" w:type="pct"/>
            <w:shd w:val="clear" w:color="auto" w:fill="FFFFFF" w:themeFill="background1"/>
          </w:tcPr>
          <w:p>
            <w:pPr>
              <w:pStyle w:val="24"/>
              <w:spacing w:line="360" w:lineRule="auto"/>
              <w:rPr>
                <w:rFonts w:ascii="宋体" w:hAnsi="宋体" w:cs="宋体"/>
                <w:color w:val="auto"/>
                <w:szCs w:val="21"/>
                <w:highlight w:val="none"/>
              </w:rPr>
            </w:pPr>
          </w:p>
        </w:tc>
        <w:tc>
          <w:tcPr>
            <w:tcW w:w="1001" w:type="pct"/>
            <w:shd w:val="clear" w:color="auto" w:fill="FFFFFF" w:themeFill="background1"/>
          </w:tcPr>
          <w:p>
            <w:pPr>
              <w:pStyle w:val="24"/>
              <w:spacing w:line="360" w:lineRule="auto"/>
              <w:rPr>
                <w:rFonts w:ascii="宋体" w:hAnsi="宋体" w:cs="宋体"/>
                <w:color w:val="auto"/>
                <w:szCs w:val="21"/>
                <w:highlight w:val="none"/>
              </w:rPr>
            </w:pPr>
          </w:p>
        </w:tc>
        <w:tc>
          <w:tcPr>
            <w:tcW w:w="785" w:type="pct"/>
            <w:shd w:val="clear" w:color="auto" w:fill="FFFFFF" w:themeFill="background1"/>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4"/>
              <w:spacing w:line="360" w:lineRule="auto"/>
              <w:rPr>
                <w:rFonts w:ascii="宋体" w:hAnsi="宋体" w:cs="宋体"/>
                <w:color w:val="auto"/>
                <w:szCs w:val="21"/>
                <w:highlight w:val="none"/>
              </w:rPr>
            </w:pPr>
          </w:p>
        </w:tc>
        <w:tc>
          <w:tcPr>
            <w:tcW w:w="1553" w:type="pct"/>
            <w:shd w:val="clear" w:color="auto" w:fill="FFFFFF" w:themeFill="background1"/>
          </w:tcPr>
          <w:p>
            <w:pPr>
              <w:pStyle w:val="24"/>
              <w:spacing w:line="360" w:lineRule="auto"/>
              <w:rPr>
                <w:rFonts w:ascii="宋体" w:hAnsi="宋体" w:cs="宋体"/>
                <w:color w:val="auto"/>
                <w:szCs w:val="21"/>
                <w:highlight w:val="none"/>
              </w:rPr>
            </w:pPr>
          </w:p>
        </w:tc>
        <w:tc>
          <w:tcPr>
            <w:tcW w:w="779" w:type="pct"/>
            <w:shd w:val="clear" w:color="auto" w:fill="FFFFFF" w:themeFill="background1"/>
          </w:tcPr>
          <w:p>
            <w:pPr>
              <w:pStyle w:val="24"/>
              <w:spacing w:line="360" w:lineRule="auto"/>
              <w:rPr>
                <w:rFonts w:ascii="宋体" w:hAnsi="宋体" w:cs="宋体"/>
                <w:color w:val="auto"/>
                <w:szCs w:val="21"/>
                <w:highlight w:val="none"/>
              </w:rPr>
            </w:pPr>
          </w:p>
        </w:tc>
        <w:tc>
          <w:tcPr>
            <w:tcW w:w="1001" w:type="pct"/>
            <w:shd w:val="clear" w:color="auto" w:fill="FFFFFF" w:themeFill="background1"/>
          </w:tcPr>
          <w:p>
            <w:pPr>
              <w:pStyle w:val="24"/>
              <w:spacing w:line="360" w:lineRule="auto"/>
              <w:rPr>
                <w:rFonts w:ascii="宋体" w:hAnsi="宋体" w:cs="宋体"/>
                <w:color w:val="auto"/>
                <w:szCs w:val="21"/>
                <w:highlight w:val="none"/>
              </w:rPr>
            </w:pPr>
          </w:p>
        </w:tc>
        <w:tc>
          <w:tcPr>
            <w:tcW w:w="785" w:type="pct"/>
            <w:shd w:val="clear" w:color="auto" w:fill="FFFFFF" w:themeFill="background1"/>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4"/>
              <w:spacing w:line="360" w:lineRule="auto"/>
              <w:rPr>
                <w:rFonts w:ascii="宋体" w:hAnsi="宋体" w:cs="宋体"/>
                <w:color w:val="auto"/>
                <w:szCs w:val="21"/>
                <w:highlight w:val="none"/>
              </w:rPr>
            </w:pPr>
          </w:p>
        </w:tc>
        <w:tc>
          <w:tcPr>
            <w:tcW w:w="1553" w:type="pct"/>
            <w:shd w:val="clear" w:color="auto" w:fill="FFFFFF" w:themeFill="background1"/>
          </w:tcPr>
          <w:p>
            <w:pPr>
              <w:pStyle w:val="24"/>
              <w:spacing w:line="360" w:lineRule="auto"/>
              <w:rPr>
                <w:rFonts w:ascii="宋体" w:hAnsi="宋体" w:cs="宋体"/>
                <w:color w:val="auto"/>
                <w:szCs w:val="21"/>
                <w:highlight w:val="none"/>
              </w:rPr>
            </w:pPr>
          </w:p>
        </w:tc>
        <w:tc>
          <w:tcPr>
            <w:tcW w:w="779" w:type="pct"/>
            <w:shd w:val="clear" w:color="auto" w:fill="FFFFFF" w:themeFill="background1"/>
          </w:tcPr>
          <w:p>
            <w:pPr>
              <w:pStyle w:val="24"/>
              <w:spacing w:line="360" w:lineRule="auto"/>
              <w:rPr>
                <w:rFonts w:ascii="宋体" w:hAnsi="宋体" w:cs="宋体"/>
                <w:color w:val="auto"/>
                <w:szCs w:val="21"/>
                <w:highlight w:val="none"/>
              </w:rPr>
            </w:pPr>
          </w:p>
        </w:tc>
        <w:tc>
          <w:tcPr>
            <w:tcW w:w="1001" w:type="pct"/>
            <w:shd w:val="clear" w:color="auto" w:fill="FFFFFF" w:themeFill="background1"/>
          </w:tcPr>
          <w:p>
            <w:pPr>
              <w:pStyle w:val="24"/>
              <w:spacing w:line="360" w:lineRule="auto"/>
              <w:rPr>
                <w:rFonts w:ascii="宋体" w:hAnsi="宋体" w:cs="宋体"/>
                <w:color w:val="auto"/>
                <w:szCs w:val="21"/>
                <w:highlight w:val="none"/>
              </w:rPr>
            </w:pPr>
          </w:p>
        </w:tc>
        <w:tc>
          <w:tcPr>
            <w:tcW w:w="785" w:type="pct"/>
            <w:shd w:val="clear" w:color="auto" w:fill="FFFFFF" w:themeFill="background1"/>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4"/>
              <w:spacing w:line="360" w:lineRule="auto"/>
              <w:rPr>
                <w:rFonts w:ascii="宋体" w:hAnsi="宋体" w:cs="宋体"/>
                <w:color w:val="auto"/>
                <w:szCs w:val="21"/>
                <w:highlight w:val="none"/>
              </w:rPr>
            </w:pPr>
          </w:p>
        </w:tc>
        <w:tc>
          <w:tcPr>
            <w:tcW w:w="1553" w:type="pct"/>
          </w:tcPr>
          <w:p>
            <w:pPr>
              <w:pStyle w:val="24"/>
              <w:spacing w:line="360" w:lineRule="auto"/>
              <w:rPr>
                <w:rFonts w:ascii="宋体" w:hAnsi="宋体" w:cs="宋体"/>
                <w:color w:val="auto"/>
                <w:szCs w:val="21"/>
                <w:highlight w:val="none"/>
              </w:rPr>
            </w:pPr>
          </w:p>
        </w:tc>
        <w:tc>
          <w:tcPr>
            <w:tcW w:w="779" w:type="pct"/>
          </w:tcPr>
          <w:p>
            <w:pPr>
              <w:pStyle w:val="24"/>
              <w:spacing w:line="360" w:lineRule="auto"/>
              <w:rPr>
                <w:rFonts w:ascii="宋体" w:hAnsi="宋体" w:cs="宋体"/>
                <w:color w:val="auto"/>
                <w:szCs w:val="21"/>
                <w:highlight w:val="none"/>
              </w:rPr>
            </w:pPr>
          </w:p>
        </w:tc>
        <w:tc>
          <w:tcPr>
            <w:tcW w:w="1001" w:type="pct"/>
          </w:tcPr>
          <w:p>
            <w:pPr>
              <w:pStyle w:val="24"/>
              <w:spacing w:line="360" w:lineRule="auto"/>
              <w:rPr>
                <w:rFonts w:ascii="宋体" w:hAnsi="宋体" w:cs="宋体"/>
                <w:color w:val="auto"/>
                <w:szCs w:val="21"/>
                <w:highlight w:val="none"/>
              </w:rPr>
            </w:pPr>
          </w:p>
        </w:tc>
        <w:tc>
          <w:tcPr>
            <w:tcW w:w="785" w:type="pct"/>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4"/>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4"/>
              <w:spacing w:line="360" w:lineRule="auto"/>
              <w:rPr>
                <w:rFonts w:ascii="宋体" w:hAnsi="宋体" w:cs="宋体"/>
                <w:color w:val="auto"/>
                <w:szCs w:val="21"/>
                <w:highlight w:val="none"/>
              </w:rPr>
            </w:pPr>
          </w:p>
        </w:tc>
        <w:tc>
          <w:tcPr>
            <w:tcW w:w="1553" w:type="pct"/>
          </w:tcPr>
          <w:p>
            <w:pPr>
              <w:pStyle w:val="24"/>
              <w:spacing w:line="360" w:lineRule="auto"/>
              <w:rPr>
                <w:rFonts w:ascii="宋体" w:hAnsi="宋体" w:cs="宋体"/>
                <w:color w:val="auto"/>
                <w:szCs w:val="21"/>
                <w:highlight w:val="none"/>
              </w:rPr>
            </w:pPr>
          </w:p>
        </w:tc>
        <w:tc>
          <w:tcPr>
            <w:tcW w:w="779" w:type="pct"/>
          </w:tcPr>
          <w:p>
            <w:pPr>
              <w:pStyle w:val="24"/>
              <w:spacing w:line="360" w:lineRule="auto"/>
              <w:rPr>
                <w:rFonts w:ascii="宋体" w:hAnsi="宋体" w:cs="宋体"/>
                <w:color w:val="auto"/>
                <w:szCs w:val="21"/>
                <w:highlight w:val="none"/>
              </w:rPr>
            </w:pPr>
          </w:p>
        </w:tc>
        <w:tc>
          <w:tcPr>
            <w:tcW w:w="1001" w:type="pct"/>
          </w:tcPr>
          <w:p>
            <w:pPr>
              <w:pStyle w:val="24"/>
              <w:spacing w:line="360" w:lineRule="auto"/>
              <w:rPr>
                <w:rFonts w:ascii="宋体" w:hAnsi="宋体" w:cs="宋体"/>
                <w:color w:val="auto"/>
                <w:szCs w:val="21"/>
                <w:highlight w:val="none"/>
              </w:rPr>
            </w:pPr>
          </w:p>
        </w:tc>
        <w:tc>
          <w:tcPr>
            <w:tcW w:w="785" w:type="pct"/>
          </w:tcPr>
          <w:p>
            <w:pPr>
              <w:pStyle w:val="24"/>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9"/>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9"/>
        <w:rPr>
          <w:color w:val="auto"/>
          <w:highlight w:val="none"/>
          <w:lang w:val="en-US"/>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c>
          <w:tcPr>
            <w:tcW w:w="0" w:type="auto"/>
            <w:vAlign w:val="center"/>
          </w:tcPr>
          <w:p>
            <w:pPr>
              <w:pStyle w:val="9"/>
              <w:spacing w:before="0" w:line="360" w:lineRule="auto"/>
              <w:ind w:left="0"/>
              <w:jc w:val="center"/>
              <w:rPr>
                <w:color w:val="auto"/>
                <w:sz w:val="21"/>
                <w:szCs w:val="21"/>
                <w:highlight w:val="none"/>
                <w:lang w:val="en-US"/>
              </w:rPr>
            </w:pPr>
          </w:p>
        </w:tc>
      </w:tr>
    </w:tbl>
    <w:p>
      <w:pPr>
        <w:pStyle w:val="9"/>
        <w:rPr>
          <w:color w:val="auto"/>
          <w:highlight w:val="none"/>
          <w:lang w:val="en-US"/>
        </w:rPr>
      </w:pPr>
    </w:p>
    <w:p>
      <w:pPr>
        <w:rPr>
          <w:color w:val="auto"/>
          <w:highlight w:val="none"/>
        </w:rPr>
      </w:pP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2"/>
        <w:tabs>
          <w:tab w:val="left" w:pos="731"/>
        </w:tabs>
        <w:autoSpaceDE w:val="0"/>
        <w:autoSpaceDN w:val="0"/>
        <w:spacing w:line="360" w:lineRule="auto"/>
        <w:ind w:firstLine="423"/>
        <w:rPr>
          <w:rFonts w:ascii="宋体" w:hAnsi="宋体" w:cs="宋体"/>
          <w:color w:val="auto"/>
          <w:w w:val="101"/>
          <w:szCs w:val="21"/>
          <w:highlight w:val="none"/>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9"/>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9"/>
              <w:spacing w:before="0" w:line="360" w:lineRule="auto"/>
              <w:ind w:left="0"/>
              <w:jc w:val="center"/>
              <w:rPr>
                <w:color w:val="auto"/>
                <w:sz w:val="21"/>
                <w:szCs w:val="21"/>
                <w:highlight w:val="none"/>
                <w:lang w:val="en-US"/>
              </w:rPr>
            </w:pPr>
          </w:p>
        </w:tc>
        <w:tc>
          <w:tcPr>
            <w:tcW w:w="814"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1900" w:type="dxa"/>
            <w:vAlign w:val="center"/>
          </w:tcPr>
          <w:p>
            <w:pPr>
              <w:pStyle w:val="9"/>
              <w:spacing w:before="0" w:line="360" w:lineRule="auto"/>
              <w:ind w:left="0"/>
              <w:jc w:val="center"/>
              <w:rPr>
                <w:color w:val="auto"/>
                <w:sz w:val="21"/>
                <w:szCs w:val="21"/>
                <w:highlight w:val="none"/>
                <w:lang w:val="en-US"/>
              </w:rPr>
            </w:pPr>
          </w:p>
        </w:tc>
        <w:tc>
          <w:tcPr>
            <w:tcW w:w="647" w:type="dxa"/>
            <w:vAlign w:val="center"/>
          </w:tcPr>
          <w:p>
            <w:pPr>
              <w:pStyle w:val="9"/>
              <w:spacing w:before="0" w:line="360" w:lineRule="auto"/>
              <w:ind w:left="0"/>
              <w:jc w:val="center"/>
              <w:rPr>
                <w:color w:val="auto"/>
                <w:sz w:val="21"/>
                <w:szCs w:val="21"/>
                <w:highlight w:val="none"/>
                <w:lang w:val="en-US"/>
              </w:rPr>
            </w:pPr>
          </w:p>
        </w:tc>
        <w:tc>
          <w:tcPr>
            <w:tcW w:w="1386" w:type="dxa"/>
            <w:vAlign w:val="center"/>
          </w:tcPr>
          <w:p>
            <w:pPr>
              <w:pStyle w:val="9"/>
              <w:spacing w:before="0" w:line="360" w:lineRule="auto"/>
              <w:ind w:left="0"/>
              <w:jc w:val="center"/>
              <w:rPr>
                <w:color w:val="auto"/>
                <w:sz w:val="21"/>
                <w:szCs w:val="21"/>
                <w:highlight w:val="none"/>
                <w:lang w:val="en-US"/>
              </w:rPr>
            </w:pPr>
          </w:p>
        </w:tc>
        <w:tc>
          <w:tcPr>
            <w:tcW w:w="529" w:type="dxa"/>
            <w:vAlign w:val="center"/>
          </w:tcPr>
          <w:p>
            <w:pPr>
              <w:pStyle w:val="9"/>
              <w:spacing w:before="0" w:line="360" w:lineRule="auto"/>
              <w:ind w:left="0"/>
              <w:jc w:val="center"/>
              <w:rPr>
                <w:color w:val="auto"/>
                <w:sz w:val="21"/>
                <w:szCs w:val="21"/>
                <w:highlight w:val="none"/>
                <w:lang w:val="en-US"/>
              </w:rPr>
            </w:pPr>
          </w:p>
        </w:tc>
      </w:tr>
    </w:tbl>
    <w:p>
      <w:pPr>
        <w:pStyle w:val="9"/>
        <w:rPr>
          <w:color w:val="auto"/>
          <w:sz w:val="21"/>
          <w:szCs w:val="21"/>
          <w:highlight w:val="none"/>
          <w:lang w:val="en-US"/>
        </w:rPr>
      </w:pPr>
    </w:p>
    <w:p>
      <w:pPr>
        <w:rPr>
          <w:color w:val="auto"/>
          <w:szCs w:val="21"/>
          <w:highlight w:val="none"/>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9"/>
        <w:autoSpaceDE w:val="0"/>
        <w:autoSpaceDN w:val="0"/>
        <w:spacing w:before="0" w:line="360" w:lineRule="auto"/>
        <w:ind w:left="0" w:firstLine="420" w:firstLineChars="200"/>
        <w:rPr>
          <w:color w:val="auto"/>
          <w:sz w:val="21"/>
          <w:szCs w:val="21"/>
          <w:highlight w:val="none"/>
          <w:lang w:val="en-US"/>
        </w:rPr>
      </w:pP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9"/>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9"/>
        <w:spacing w:before="8"/>
        <w:rPr>
          <w:color w:val="auto"/>
          <w:sz w:val="13"/>
          <w:highlight w:val="none"/>
        </w:rPr>
      </w:pPr>
    </w:p>
    <w:p>
      <w:pPr>
        <w:pStyle w:val="4"/>
        <w:rPr>
          <w:color w:val="auto"/>
          <w:highlight w:val="none"/>
        </w:rPr>
      </w:pPr>
      <w:bookmarkStart w:id="149" w:name="_Toc20098"/>
      <w:r>
        <w:rPr>
          <w:color w:val="auto"/>
          <w:highlight w:val="none"/>
        </w:rPr>
        <w:t>履约进度计划表</w:t>
      </w:r>
      <w:bookmarkEnd w:id="149"/>
    </w:p>
    <w:p>
      <w:pPr>
        <w:pStyle w:val="9"/>
        <w:spacing w:before="2" w:after="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4"/>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4"/>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4"/>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4"/>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4"/>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4"/>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4"/>
              <w:spacing w:line="360" w:lineRule="auto"/>
              <w:rPr>
                <w:rFonts w:ascii="宋体" w:hAnsi="宋体" w:cs="宋体"/>
                <w:color w:val="auto"/>
                <w:szCs w:val="21"/>
                <w:highlight w:val="none"/>
              </w:rPr>
            </w:pPr>
          </w:p>
        </w:tc>
        <w:tc>
          <w:tcPr>
            <w:tcW w:w="1354" w:type="pct"/>
            <w:shd w:val="clear" w:color="auto" w:fill="FFFFFF" w:themeFill="background1"/>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4"/>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4"/>
              <w:spacing w:line="360" w:lineRule="auto"/>
              <w:rPr>
                <w:rFonts w:ascii="宋体" w:hAnsi="宋体" w:cs="宋体"/>
                <w:color w:val="auto"/>
                <w:szCs w:val="21"/>
                <w:highlight w:val="none"/>
              </w:rPr>
            </w:pPr>
          </w:p>
        </w:tc>
        <w:tc>
          <w:tcPr>
            <w:tcW w:w="1354" w:type="pct"/>
            <w:shd w:val="clear" w:color="auto" w:fill="FFFFFF" w:themeFill="background1"/>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4"/>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4"/>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4"/>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50" w:name="_Toc2912"/>
      <w:r>
        <w:rPr>
          <w:rFonts w:hint="eastAsia"/>
          <w:b/>
          <w:bCs/>
          <w:color w:val="auto"/>
          <w:sz w:val="24"/>
          <w:szCs w:val="32"/>
          <w:highlight w:val="none"/>
        </w:rPr>
        <w:t>格式十四：</w:t>
      </w:r>
      <w:bookmarkEnd w:id="150"/>
    </w:p>
    <w:p>
      <w:pPr>
        <w:pStyle w:val="9"/>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9"/>
        <w:jc w:val="center"/>
        <w:rPr>
          <w:b/>
          <w:bCs/>
          <w:color w:val="auto"/>
          <w:highlight w:val="none"/>
        </w:rPr>
      </w:pPr>
      <w:r>
        <w:rPr>
          <w:b/>
          <w:bCs/>
          <w:color w:val="auto"/>
          <w:highlight w:val="none"/>
        </w:rPr>
        <w:t>各类证明材料</w:t>
      </w:r>
    </w:p>
    <w:p>
      <w:pPr>
        <w:pStyle w:val="22"/>
        <w:tabs>
          <w:tab w:val="left" w:pos="673"/>
        </w:tabs>
        <w:spacing w:line="360" w:lineRule="auto"/>
        <w:ind w:firstLine="0" w:firstLineChars="0"/>
        <w:outlineLvl w:val="1"/>
        <w:rPr>
          <w:rFonts w:ascii="宋体" w:hAnsi="宋体" w:cs="宋体"/>
          <w:color w:val="auto"/>
          <w:szCs w:val="21"/>
          <w:highlight w:val="none"/>
        </w:rPr>
      </w:pPr>
      <w:bookmarkStart w:id="151" w:name="_Toc14919"/>
      <w:r>
        <w:rPr>
          <w:rFonts w:hint="eastAsia" w:ascii="宋体" w:hAnsi="宋体" w:cs="宋体"/>
          <w:color w:val="auto"/>
          <w:szCs w:val="21"/>
          <w:highlight w:val="none"/>
        </w:rPr>
        <w:t>1、招标文件要求提供的其他资料。</w:t>
      </w:r>
      <w:bookmarkEnd w:id="151"/>
    </w:p>
    <w:p>
      <w:pPr>
        <w:pStyle w:val="22"/>
        <w:tabs>
          <w:tab w:val="left" w:pos="673"/>
        </w:tabs>
        <w:spacing w:line="360" w:lineRule="auto"/>
        <w:ind w:firstLine="0" w:firstLineChars="0"/>
        <w:outlineLvl w:val="1"/>
        <w:rPr>
          <w:rFonts w:ascii="宋体" w:hAnsi="宋体" w:cs="宋体"/>
          <w:color w:val="auto"/>
          <w:szCs w:val="21"/>
          <w:highlight w:val="none"/>
        </w:rPr>
      </w:pPr>
      <w:bookmarkStart w:id="152" w:name="_Toc7938"/>
      <w:r>
        <w:rPr>
          <w:rFonts w:hint="eastAsia" w:ascii="宋体" w:hAnsi="宋体" w:cs="宋体"/>
          <w:color w:val="auto"/>
          <w:szCs w:val="21"/>
          <w:highlight w:val="none"/>
        </w:rPr>
        <w:t>2、投标人认为需提供的其他资料。</w:t>
      </w:r>
      <w:bookmarkEnd w:id="152"/>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2"/>
        <w:tabs>
          <w:tab w:val="left" w:pos="673"/>
        </w:tabs>
        <w:spacing w:line="360" w:lineRule="auto"/>
        <w:ind w:firstLine="0" w:firstLineChars="0"/>
        <w:outlineLvl w:val="1"/>
        <w:rPr>
          <w:rFonts w:ascii="宋体" w:hAnsi="宋体" w:cs="宋体"/>
          <w:b/>
          <w:bCs/>
          <w:color w:val="auto"/>
          <w:sz w:val="24"/>
          <w:highlight w:val="none"/>
        </w:rPr>
      </w:pPr>
      <w:bookmarkStart w:id="153" w:name="_Toc30382"/>
      <w:r>
        <w:rPr>
          <w:rFonts w:hint="eastAsia" w:ascii="宋体" w:hAnsi="宋体" w:cs="宋体"/>
          <w:b/>
          <w:bCs/>
          <w:color w:val="auto"/>
          <w:sz w:val="24"/>
          <w:highlight w:val="none"/>
        </w:rPr>
        <w:t>格式十五：</w:t>
      </w:r>
      <w:bookmarkEnd w:id="153"/>
    </w:p>
    <w:p>
      <w:pPr>
        <w:pStyle w:val="22"/>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9"/>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2"/>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2"/>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2"/>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2"/>
        <w:tabs>
          <w:tab w:val="left" w:pos="673"/>
        </w:tabs>
        <w:spacing w:line="360" w:lineRule="auto"/>
        <w:ind w:firstLine="0" w:firstLineChars="0"/>
        <w:outlineLvl w:val="1"/>
        <w:rPr>
          <w:rFonts w:ascii="宋体" w:hAnsi="宋体" w:cs="宋体"/>
          <w:b/>
          <w:bCs/>
          <w:color w:val="auto"/>
          <w:sz w:val="24"/>
          <w:highlight w:val="none"/>
        </w:rPr>
      </w:pPr>
      <w:bookmarkStart w:id="154" w:name="_Toc3970"/>
      <w:r>
        <w:rPr>
          <w:rFonts w:hint="eastAsia" w:ascii="宋体" w:hAnsi="宋体" w:cs="宋体"/>
          <w:b/>
          <w:bCs/>
          <w:color w:val="auto"/>
          <w:sz w:val="24"/>
          <w:highlight w:val="none"/>
        </w:rPr>
        <w:t>格式十五：</w:t>
      </w:r>
      <w:bookmarkEnd w:id="154"/>
    </w:p>
    <w:p>
      <w:pPr>
        <w:pStyle w:val="9"/>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9"/>
        <w:spacing w:before="8"/>
        <w:rPr>
          <w:color w:val="auto"/>
          <w:sz w:val="21"/>
          <w:szCs w:val="21"/>
          <w:highlight w:val="none"/>
        </w:rPr>
      </w:pPr>
    </w:p>
    <w:p>
      <w:pPr>
        <w:jc w:val="center"/>
        <w:outlineLvl w:val="1"/>
        <w:rPr>
          <w:rFonts w:ascii="宋体" w:hAnsi="宋体" w:cs="宋体"/>
          <w:b/>
          <w:bCs/>
          <w:color w:val="auto"/>
          <w:szCs w:val="21"/>
          <w:highlight w:val="none"/>
        </w:rPr>
      </w:pPr>
      <w:bookmarkStart w:id="155" w:name="_Toc4401"/>
      <w:r>
        <w:rPr>
          <w:rFonts w:hint="eastAsia" w:ascii="宋体" w:hAnsi="宋体" w:cs="宋体"/>
          <w:b/>
          <w:bCs/>
          <w:color w:val="auto"/>
          <w:szCs w:val="21"/>
          <w:highlight w:val="none"/>
        </w:rPr>
        <w:t>需要招标人提供的附加条件</w:t>
      </w:r>
      <w:bookmarkEnd w:id="155"/>
    </w:p>
    <w:p>
      <w:pPr>
        <w:pStyle w:val="9"/>
        <w:autoSpaceDE w:val="0"/>
        <w:autoSpaceDN w:val="0"/>
        <w:spacing w:before="0" w:line="360" w:lineRule="auto"/>
        <w:ind w:left="0"/>
        <w:rPr>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4"/>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4"/>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4"/>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784" w:type="pct"/>
          </w:tcPr>
          <w:p>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4"/>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9"/>
        <w:outlineLvl w:val="1"/>
        <w:rPr>
          <w:b/>
          <w:bCs/>
          <w:color w:val="auto"/>
          <w:highlight w:val="none"/>
          <w:lang w:val="en-US"/>
        </w:rPr>
      </w:pPr>
      <w:bookmarkStart w:id="156" w:name="_Toc25747"/>
      <w:r>
        <w:rPr>
          <w:rFonts w:hint="eastAsia"/>
          <w:b/>
          <w:bCs/>
          <w:color w:val="auto"/>
          <w:highlight w:val="none"/>
          <w:lang w:val="en-US"/>
        </w:rPr>
        <w:t>格式十六：</w:t>
      </w:r>
      <w:bookmarkEnd w:id="156"/>
    </w:p>
    <w:p>
      <w:pPr>
        <w:pStyle w:val="9"/>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9"/>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57" w:name="_Toc27211"/>
      <w:r>
        <w:rPr>
          <w:rFonts w:hint="eastAsia"/>
          <w:color w:val="auto"/>
          <w:highlight w:val="none"/>
        </w:rPr>
        <w:t>第七篇 开标文件格式</w:t>
      </w:r>
      <w:bookmarkEnd w:id="157"/>
    </w:p>
    <w:p>
      <w:pPr>
        <w:jc w:val="center"/>
        <w:outlineLvl w:val="1"/>
        <w:rPr>
          <w:b/>
          <w:bCs/>
          <w:color w:val="auto"/>
          <w:highlight w:val="none"/>
        </w:rPr>
      </w:pPr>
      <w:bookmarkStart w:id="158" w:name="_Toc32249"/>
      <w:r>
        <w:rPr>
          <w:rFonts w:hint="eastAsia"/>
          <w:b/>
          <w:bCs/>
          <w:color w:val="auto"/>
          <w:highlight w:val="none"/>
        </w:rPr>
        <w:t>（封面格式仅供参考）</w:t>
      </w:r>
      <w:bookmarkEnd w:id="158"/>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59"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59"/>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0"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60"/>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9"/>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9"/>
        <w:spacing w:before="0" w:line="360" w:lineRule="auto"/>
        <w:ind w:left="0"/>
        <w:outlineLvl w:val="1"/>
        <w:rPr>
          <w:b/>
          <w:bCs/>
          <w:color w:val="auto"/>
          <w:sz w:val="21"/>
          <w:szCs w:val="21"/>
          <w:highlight w:val="none"/>
          <w:lang w:val="en-US"/>
        </w:rPr>
      </w:pPr>
      <w:bookmarkStart w:id="161" w:name="_Toc32100"/>
      <w:r>
        <w:rPr>
          <w:rFonts w:hint="eastAsia"/>
          <w:b/>
          <w:bCs/>
          <w:color w:val="auto"/>
          <w:sz w:val="21"/>
          <w:szCs w:val="21"/>
          <w:highlight w:val="none"/>
          <w:lang w:val="en-US"/>
        </w:rPr>
        <w:t>1、开标一览表</w:t>
      </w:r>
      <w:bookmarkEnd w:id="161"/>
    </w:p>
    <w:p>
      <w:pPr>
        <w:spacing w:line="360" w:lineRule="auto"/>
        <w:outlineLvl w:val="1"/>
        <w:rPr>
          <w:rFonts w:ascii="宋体" w:hAnsi="宋体" w:cs="宋体"/>
          <w:b/>
          <w:bCs/>
          <w:color w:val="auto"/>
          <w:szCs w:val="21"/>
          <w:highlight w:val="none"/>
        </w:rPr>
      </w:pPr>
      <w:bookmarkStart w:id="162" w:name="_Toc8054"/>
      <w:r>
        <w:rPr>
          <w:rFonts w:hint="eastAsia" w:ascii="宋体" w:hAnsi="宋体" w:cs="宋体"/>
          <w:b/>
          <w:bCs/>
          <w:color w:val="auto"/>
          <w:szCs w:val="21"/>
          <w:highlight w:val="none"/>
        </w:rPr>
        <w:t>2、分项报价表</w:t>
      </w:r>
      <w:bookmarkEnd w:id="162"/>
    </w:p>
    <w:p>
      <w:pPr>
        <w:pStyle w:val="9"/>
        <w:spacing w:before="0" w:line="360" w:lineRule="auto"/>
        <w:ind w:left="0"/>
        <w:outlineLvl w:val="1"/>
        <w:rPr>
          <w:b/>
          <w:bCs/>
          <w:color w:val="auto"/>
          <w:sz w:val="21"/>
          <w:szCs w:val="21"/>
          <w:highlight w:val="none"/>
          <w:lang w:val="en-US"/>
        </w:rPr>
      </w:pPr>
      <w:bookmarkStart w:id="163" w:name="_Toc5011"/>
      <w:r>
        <w:rPr>
          <w:rFonts w:hint="eastAsia"/>
          <w:b/>
          <w:bCs/>
          <w:color w:val="auto"/>
          <w:sz w:val="21"/>
          <w:szCs w:val="21"/>
          <w:highlight w:val="none"/>
          <w:lang w:val="en-US"/>
        </w:rPr>
        <w:t>3、法定代表人证明书</w:t>
      </w:r>
      <w:bookmarkEnd w:id="163"/>
    </w:p>
    <w:p>
      <w:pPr>
        <w:pStyle w:val="9"/>
        <w:spacing w:before="0" w:line="360" w:lineRule="auto"/>
        <w:ind w:left="0"/>
        <w:outlineLvl w:val="1"/>
        <w:rPr>
          <w:b/>
          <w:bCs/>
          <w:color w:val="auto"/>
          <w:sz w:val="21"/>
          <w:szCs w:val="21"/>
          <w:highlight w:val="none"/>
          <w:lang w:val="en-US"/>
        </w:rPr>
      </w:pPr>
      <w:bookmarkStart w:id="164" w:name="_Toc27439"/>
      <w:r>
        <w:rPr>
          <w:rFonts w:hint="eastAsia"/>
          <w:b/>
          <w:bCs/>
          <w:color w:val="auto"/>
          <w:sz w:val="21"/>
          <w:szCs w:val="21"/>
          <w:highlight w:val="none"/>
          <w:lang w:val="en-US"/>
        </w:rPr>
        <w:t>4、法定代表人授权书</w:t>
      </w:r>
      <w:bookmarkEnd w:id="164"/>
    </w:p>
    <w:p>
      <w:pPr>
        <w:spacing w:line="360" w:lineRule="auto"/>
        <w:outlineLvl w:val="1"/>
        <w:rPr>
          <w:rFonts w:ascii="宋体" w:hAnsi="宋体" w:cs="宋体"/>
          <w:b/>
          <w:bCs/>
          <w:color w:val="auto"/>
          <w:szCs w:val="21"/>
          <w:highlight w:val="none"/>
        </w:rPr>
      </w:pPr>
      <w:bookmarkStart w:id="165" w:name="_Toc16304"/>
      <w:r>
        <w:rPr>
          <w:rFonts w:hint="eastAsia" w:ascii="宋体" w:hAnsi="宋体" w:cs="宋体"/>
          <w:b/>
          <w:bCs/>
          <w:color w:val="auto"/>
          <w:szCs w:val="21"/>
          <w:highlight w:val="none"/>
        </w:rPr>
        <w:t>5、投标保证金</w:t>
      </w:r>
      <w:bookmarkEnd w:id="165"/>
    </w:p>
    <w:p>
      <w:pPr>
        <w:rPr>
          <w:color w:val="auto"/>
          <w:highlight w:val="none"/>
        </w:rPr>
      </w:pPr>
    </w:p>
    <w:p>
      <w:pPr>
        <w:pStyle w:val="9"/>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66" w:name="_Toc2722"/>
      <w:r>
        <w:rPr>
          <w:rFonts w:hint="eastAsia"/>
          <w:color w:val="auto"/>
          <w:highlight w:val="none"/>
        </w:rPr>
        <w:t>第八篇 其它文件格式（如有需要）</w:t>
      </w:r>
      <w:bookmarkEnd w:id="166"/>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9"/>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9"/>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2"/>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2"/>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9"/>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9"/>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9"/>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9"/>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9"/>
        <w:tabs>
          <w:tab w:val="left" w:pos="10713"/>
        </w:tabs>
        <w:autoSpaceDE w:val="0"/>
        <w:autoSpaceDN w:val="0"/>
        <w:spacing w:before="0" w:line="360" w:lineRule="auto"/>
        <w:ind w:left="0" w:firstLine="420" w:firstLineChars="200"/>
        <w:rPr>
          <w:color w:val="auto"/>
          <w:sz w:val="21"/>
          <w:szCs w:val="21"/>
          <w:highlight w:val="none"/>
        </w:rPr>
      </w:pP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9"/>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9"/>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9"/>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9"/>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9"/>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9"/>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9"/>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9"/>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9"/>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9"/>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9"/>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9"/>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9"/>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9"/>
        <w:tabs>
          <w:tab w:val="left" w:pos="3165"/>
          <w:tab w:val="left" w:pos="5818"/>
        </w:tabs>
        <w:autoSpaceDE w:val="0"/>
        <w:autoSpaceDN w:val="0"/>
        <w:spacing w:line="360" w:lineRule="auto"/>
        <w:ind w:left="0" w:firstLine="420" w:firstLineChars="200"/>
        <w:rPr>
          <w:color w:val="auto"/>
          <w:sz w:val="21"/>
          <w:szCs w:val="21"/>
          <w:highlight w:val="none"/>
        </w:rPr>
      </w:pPr>
    </w:p>
    <w:p>
      <w:pPr>
        <w:pStyle w:val="9"/>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9"/>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9"/>
        <w:autoSpaceDE w:val="0"/>
        <w:autoSpaceDN w:val="0"/>
        <w:spacing w:line="360" w:lineRule="auto"/>
        <w:ind w:left="0" w:firstLine="420" w:firstLineChars="200"/>
        <w:rPr>
          <w:color w:val="auto"/>
          <w:sz w:val="21"/>
          <w:szCs w:val="21"/>
          <w:highlight w:val="none"/>
        </w:rPr>
      </w:pPr>
    </w:p>
    <w:p>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2"/>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9"/>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9"/>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9"/>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思源黑体 CN Heavy">
    <w:altName w:val="黑体"/>
    <w:panose1 w:val="020B0A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center"/>
      <w:rPr>
        <w:rFonts w:hint="eastAsia" w:eastAsia="宋体"/>
        <w:lang w:eastAsia="zh-CN"/>
      </w:rPr>
    </w:pPr>
    <w:r>
      <w:rPr>
        <w:rFonts w:hint="eastAsia"/>
        <w:lang w:eastAsia="zh-CN"/>
      </w:rPr>
      <w:t>东莞市大朗镇黄草朗小学采购食堂食材加工及相关配套服务项目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D7C7"/>
    <w:multiLevelType w:val="singleLevel"/>
    <w:tmpl w:val="90A2D7C7"/>
    <w:lvl w:ilvl="0" w:tentative="0">
      <w:start w:val="1"/>
      <w:numFmt w:val="decimal"/>
      <w:suff w:val="nothing"/>
      <w:lvlText w:val="%1、"/>
      <w:lvlJc w:val="left"/>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E5A09327"/>
    <w:multiLevelType w:val="singleLevel"/>
    <w:tmpl w:val="E5A09327"/>
    <w:lvl w:ilvl="0" w:tentative="0">
      <w:start w:val="3"/>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num w:numId="1">
    <w:abstractNumId w:val="1"/>
  </w:num>
  <w:num w:numId="2">
    <w:abstractNumId w:val="7"/>
  </w:num>
  <w:num w:numId="3">
    <w:abstractNumId w:val="0"/>
  </w:num>
  <w:num w:numId="4">
    <w:abstractNumId w:val="3"/>
  </w:num>
  <w:num w:numId="5">
    <w:abstractNumId w:val="5"/>
  </w:num>
  <w:num w:numId="6">
    <w:abstractNumId w:val="8"/>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1AA3D28"/>
    <w:rsid w:val="03DB3CD5"/>
    <w:rsid w:val="0428632B"/>
    <w:rsid w:val="04625D1A"/>
    <w:rsid w:val="04DB103D"/>
    <w:rsid w:val="057C5CF6"/>
    <w:rsid w:val="05BE394B"/>
    <w:rsid w:val="07342FC6"/>
    <w:rsid w:val="08F278CA"/>
    <w:rsid w:val="0AAB1D08"/>
    <w:rsid w:val="0B5B7E94"/>
    <w:rsid w:val="0B696582"/>
    <w:rsid w:val="0C502C33"/>
    <w:rsid w:val="0CD41D0B"/>
    <w:rsid w:val="0CE93832"/>
    <w:rsid w:val="0F1622A5"/>
    <w:rsid w:val="0F3021AE"/>
    <w:rsid w:val="121918AE"/>
    <w:rsid w:val="126E350F"/>
    <w:rsid w:val="13743125"/>
    <w:rsid w:val="14E42122"/>
    <w:rsid w:val="15380D0C"/>
    <w:rsid w:val="161909DD"/>
    <w:rsid w:val="18062A99"/>
    <w:rsid w:val="19B755B0"/>
    <w:rsid w:val="1B1014E2"/>
    <w:rsid w:val="1BBB674D"/>
    <w:rsid w:val="1BC548EF"/>
    <w:rsid w:val="1BE705BF"/>
    <w:rsid w:val="1C8C2165"/>
    <w:rsid w:val="1DB725C0"/>
    <w:rsid w:val="1E440D57"/>
    <w:rsid w:val="20332F5E"/>
    <w:rsid w:val="209314D4"/>
    <w:rsid w:val="216A1924"/>
    <w:rsid w:val="23477A98"/>
    <w:rsid w:val="244868B3"/>
    <w:rsid w:val="25614D05"/>
    <w:rsid w:val="269A0871"/>
    <w:rsid w:val="28416767"/>
    <w:rsid w:val="28991DCC"/>
    <w:rsid w:val="2A213986"/>
    <w:rsid w:val="2A89565E"/>
    <w:rsid w:val="2B775BA3"/>
    <w:rsid w:val="2D3A4F1C"/>
    <w:rsid w:val="2DE33D62"/>
    <w:rsid w:val="2DFE1A7A"/>
    <w:rsid w:val="2E462ABD"/>
    <w:rsid w:val="2F4F681A"/>
    <w:rsid w:val="2FE55D43"/>
    <w:rsid w:val="30C474C2"/>
    <w:rsid w:val="3158095E"/>
    <w:rsid w:val="31ED0D4A"/>
    <w:rsid w:val="32243FC1"/>
    <w:rsid w:val="33582B43"/>
    <w:rsid w:val="34BE4BEB"/>
    <w:rsid w:val="35C1129C"/>
    <w:rsid w:val="36F40CDF"/>
    <w:rsid w:val="372D3A3D"/>
    <w:rsid w:val="373F6180"/>
    <w:rsid w:val="37423885"/>
    <w:rsid w:val="377F48C7"/>
    <w:rsid w:val="37A82279"/>
    <w:rsid w:val="38D064F5"/>
    <w:rsid w:val="3B2A432E"/>
    <w:rsid w:val="3C8E00EA"/>
    <w:rsid w:val="3D2710ED"/>
    <w:rsid w:val="3E0202C6"/>
    <w:rsid w:val="402E3316"/>
    <w:rsid w:val="43143B39"/>
    <w:rsid w:val="438833C2"/>
    <w:rsid w:val="468A6BFD"/>
    <w:rsid w:val="468E4CAA"/>
    <w:rsid w:val="474D06F4"/>
    <w:rsid w:val="47735BD0"/>
    <w:rsid w:val="47B26417"/>
    <w:rsid w:val="47BB609D"/>
    <w:rsid w:val="47CA196A"/>
    <w:rsid w:val="481D3236"/>
    <w:rsid w:val="48B242F3"/>
    <w:rsid w:val="498145E0"/>
    <w:rsid w:val="4B405B63"/>
    <w:rsid w:val="4B783BB4"/>
    <w:rsid w:val="4BE07E65"/>
    <w:rsid w:val="4C573AD4"/>
    <w:rsid w:val="4DAA2866"/>
    <w:rsid w:val="4F2676D5"/>
    <w:rsid w:val="5112378D"/>
    <w:rsid w:val="512813D0"/>
    <w:rsid w:val="525B07C5"/>
    <w:rsid w:val="52E14EC4"/>
    <w:rsid w:val="53F51E89"/>
    <w:rsid w:val="57EE60DD"/>
    <w:rsid w:val="59C83439"/>
    <w:rsid w:val="5A1A1C34"/>
    <w:rsid w:val="5B812734"/>
    <w:rsid w:val="5BE04967"/>
    <w:rsid w:val="5C015C21"/>
    <w:rsid w:val="5CB334B0"/>
    <w:rsid w:val="5D744988"/>
    <w:rsid w:val="5D7B6DDF"/>
    <w:rsid w:val="5E720F58"/>
    <w:rsid w:val="5F2A6F76"/>
    <w:rsid w:val="622349C8"/>
    <w:rsid w:val="64344366"/>
    <w:rsid w:val="64D3048A"/>
    <w:rsid w:val="6516700E"/>
    <w:rsid w:val="657B0E6E"/>
    <w:rsid w:val="65851F87"/>
    <w:rsid w:val="66CA48D2"/>
    <w:rsid w:val="68226450"/>
    <w:rsid w:val="687065DC"/>
    <w:rsid w:val="69FB3BA8"/>
    <w:rsid w:val="6D272436"/>
    <w:rsid w:val="6E003853"/>
    <w:rsid w:val="6ECE5FF3"/>
    <w:rsid w:val="6ED74C74"/>
    <w:rsid w:val="6F1E75D5"/>
    <w:rsid w:val="6F566CB3"/>
    <w:rsid w:val="6FE10E88"/>
    <w:rsid w:val="70323266"/>
    <w:rsid w:val="7152191D"/>
    <w:rsid w:val="717F42C4"/>
    <w:rsid w:val="71EC078C"/>
    <w:rsid w:val="7479143D"/>
    <w:rsid w:val="74951BFB"/>
    <w:rsid w:val="74F71418"/>
    <w:rsid w:val="782A6BFC"/>
    <w:rsid w:val="7B017C91"/>
    <w:rsid w:val="7D7B46C6"/>
    <w:rsid w:val="7EA32264"/>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3"/>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w:basedOn w:val="1"/>
    <w:next w:val="10"/>
    <w:qFormat/>
    <w:uiPriority w:val="1"/>
    <w:pPr>
      <w:spacing w:before="161"/>
      <w:ind w:left="120"/>
    </w:pPr>
    <w:rPr>
      <w:rFonts w:ascii="宋体" w:hAnsi="宋体" w:cs="宋体"/>
      <w:sz w:val="24"/>
      <w:lang w:val="zh-CN" w:bidi="zh-CN"/>
    </w:rPr>
  </w:style>
  <w:style w:type="paragraph" w:styleId="10">
    <w:name w:val="toc 5"/>
    <w:basedOn w:val="1"/>
    <w:next w:val="1"/>
    <w:qFormat/>
    <w:uiPriority w:val="39"/>
    <w:pPr>
      <w:widowControl w:val="0"/>
      <w:ind w:left="1680"/>
      <w:jc w:val="both"/>
    </w:pPr>
    <w:rPr>
      <w:kern w:val="2"/>
    </w:r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eastAsiaTheme="minorEastAsia"/>
      <w:szCs w:val="22"/>
    </w:rPr>
  </w:style>
  <w:style w:type="paragraph" w:styleId="13">
    <w:name w:val="Balloon Text"/>
    <w:basedOn w:val="1"/>
    <w:link w:val="30"/>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Body Text First Indent 2"/>
    <w:basedOn w:val="11"/>
    <w:qFormat/>
    <w:uiPriority w:val="0"/>
    <w:pPr>
      <w:spacing w:line="360" w:lineRule="auto"/>
      <w:ind w:firstLine="420" w:firstLineChars="200"/>
    </w:pPr>
    <w:rPr>
      <w:bCs/>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qFormat/>
    <w:uiPriority w:val="99"/>
    <w:rPr>
      <w:color w:val="0000FF"/>
      <w:u w:val="single"/>
    </w:rPr>
  </w:style>
  <w:style w:type="character" w:styleId="21">
    <w:name w:val="annotation reference"/>
    <w:basedOn w:val="19"/>
    <w:qFormat/>
    <w:uiPriority w:val="0"/>
    <w:rPr>
      <w:sz w:val="21"/>
      <w:szCs w:val="21"/>
    </w:rPr>
  </w:style>
  <w:style w:type="paragraph" w:styleId="22">
    <w:name w:val="List Paragraph"/>
    <w:basedOn w:val="1"/>
    <w:qFormat/>
    <w:uiPriority w:val="34"/>
    <w:pPr>
      <w:ind w:firstLine="420" w:firstLineChars="200"/>
    </w:pPr>
  </w:style>
  <w:style w:type="character" w:customStyle="1" w:styleId="23">
    <w:name w:val="标题 1 Char"/>
    <w:link w:val="3"/>
    <w:qFormat/>
    <w:uiPriority w:val="0"/>
    <w:rPr>
      <w:b/>
      <w:kern w:val="44"/>
      <w:sz w:val="30"/>
    </w:rPr>
  </w:style>
  <w:style w:type="paragraph" w:customStyle="1" w:styleId="24">
    <w:name w:val="Table Paragraph"/>
    <w:basedOn w:val="1"/>
    <w:qFormat/>
    <w:uiPriority w:val="1"/>
  </w:style>
  <w:style w:type="paragraph" w:customStyle="1" w:styleId="25">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9">
    <w:name w:val="列出段落1"/>
    <w:basedOn w:val="1"/>
    <w:qFormat/>
    <w:uiPriority w:val="0"/>
    <w:pPr>
      <w:ind w:firstLine="420" w:firstLineChars="200"/>
    </w:pPr>
    <w:rPr>
      <w:rFonts w:ascii="Calibri" w:hAnsi="Calibri"/>
      <w:kern w:val="0"/>
      <w:sz w:val="20"/>
      <w:szCs w:val="20"/>
    </w:rPr>
  </w:style>
  <w:style w:type="character" w:customStyle="1" w:styleId="30">
    <w:name w:val="批注框文本 Char"/>
    <w:basedOn w:val="19"/>
    <w:link w:val="13"/>
    <w:qFormat/>
    <w:uiPriority w:val="0"/>
    <w:rPr>
      <w:rFonts w:asciiTheme="minorHAnsi" w:hAnsiTheme="minorHAnsi" w:cstheme="minorBidi"/>
      <w:kern w:val="2"/>
      <w:sz w:val="18"/>
      <w:szCs w:val="18"/>
    </w:rPr>
  </w:style>
  <w:style w:type="paragraph" w:customStyle="1" w:styleId="31">
    <w:name w:val="Other|1"/>
    <w:basedOn w:val="1"/>
    <w:qFormat/>
    <w:uiPriority w:val="0"/>
    <w:pPr>
      <w:jc w:val="center"/>
    </w:pPr>
    <w:rPr>
      <w:rFonts w:ascii="宋体" w:hAnsi="宋体" w:cs="宋体"/>
      <w:sz w:val="14"/>
      <w:szCs w:val="14"/>
      <w:lang w:val="zh-TW" w:eastAsia="zh-TW" w:bidi="zh-TW"/>
    </w:rPr>
  </w:style>
  <w:style w:type="paragraph" w:customStyle="1" w:styleId="32">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3">
    <w:name w:val="List Paragraph1"/>
    <w:basedOn w:val="1"/>
    <w:qFormat/>
    <w:uiPriority w:val="0"/>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77</Pages>
  <Words>40255</Words>
  <Characters>41212</Characters>
  <Lines>343</Lines>
  <Paragraphs>96</Paragraphs>
  <TotalTime>1</TotalTime>
  <ScaleCrop>false</ScaleCrop>
  <LinksUpToDate>false</LinksUpToDate>
  <CharactersWithSpaces>42891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2023-04-10T09:08:00Z</cp:lastPrinted>
  <dcterms:modified xsi:type="dcterms:W3CDTF">2023-08-02T08:50:35Z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3A1CBBE727E34C399C9348276C2DAF89_13</vt:lpwstr>
  </property>
</Properties>
</file>