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25865"/>
      <w:bookmarkStart w:id="1" w:name="_Toc7243"/>
      <w:bookmarkStart w:id="2" w:name="_Toc16489"/>
      <w:bookmarkStart w:id="3" w:name="_Toc7942"/>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15158"/>
      <w:bookmarkStart w:id="5" w:name="_Toc8734"/>
      <w:bookmarkStart w:id="6" w:name="_Toc20638"/>
      <w:bookmarkStart w:id="7" w:name="_Toc9385"/>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中堂镇吴家涌村新村球场升级改造工程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GSDG2023-032B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东莞市中堂镇吴家涌股份经济联合社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bookmarkStart w:id="365" w:name="_GoBack"/>
      <w:bookmarkEnd w:id="365"/>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4164"/>
      <w:bookmarkStart w:id="9" w:name="_Toc18278"/>
      <w:bookmarkStart w:id="10" w:name="_Toc17050"/>
      <w:bookmarkStart w:id="11" w:name="_Toc5265"/>
      <w:r>
        <w:rPr>
          <w:rFonts w:hint="eastAsia" w:ascii="黑体" w:hAnsi="黑体" w:eastAsia="黑体" w:cs="黑体"/>
          <w:color w:val="auto"/>
          <w:sz w:val="30"/>
          <w:szCs w:val="30"/>
          <w:highlight w:val="none"/>
          <w:lang w:val="en-US" w:eastAsia="zh-CN"/>
        </w:rPr>
        <w:t>2023年10月11日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2"/>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中堂镇吴家涌村新村球场升级改造工程</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eastAsia="宋体" w:cs="宋体"/>
          <w:b/>
          <w:bCs/>
          <w:color w:val="auto"/>
          <w:sz w:val="21"/>
          <w:szCs w:val="21"/>
          <w:highlight w:val="none"/>
          <w:u w:val="single"/>
          <w:lang w:val="en-US" w:eastAsia="zh-CN"/>
        </w:rPr>
        <w:t>13A01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23</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1624"/>
      <w:bookmarkStart w:id="14" w:name="_Toc2169"/>
      <w:bookmarkStart w:id="15" w:name="_Toc28359002"/>
      <w:bookmarkStart w:id="16" w:name="_Toc35393621"/>
      <w:bookmarkStart w:id="17" w:name="_Toc13782"/>
      <w:bookmarkStart w:id="18" w:name="_Toc28359079"/>
      <w:bookmarkStart w:id="19" w:name="_Toc35393790"/>
      <w:bookmarkStart w:id="20" w:name="_Toc26796"/>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GSDG2023-032B</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中堂镇吴家涌村新村球场升级改造工程</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¥264,051.52元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5"/>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846"/>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846" w:type="dxa"/>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c>
          <w:tcPr>
            <w:tcW w:w="3156" w:type="dxa"/>
            <w:noWrap w:val="0"/>
            <w:vAlign w:val="center"/>
          </w:tcPr>
          <w:p>
            <w:pPr>
              <w:spacing w:line="360" w:lineRule="auto"/>
              <w:jc w:val="center"/>
              <w:rPr>
                <w:rFonts w:hint="eastAsia" w:hAnsi="宋体"/>
                <w:b/>
                <w:color w:val="auto"/>
                <w:sz w:val="21"/>
                <w:szCs w:val="21"/>
                <w:highlight w:val="none"/>
              </w:rPr>
            </w:pPr>
            <w:r>
              <w:rPr>
                <w:rFonts w:hint="eastAsia" w:hAnsi="宋体"/>
                <w:b/>
                <w:color w:val="auto"/>
                <w:sz w:val="21"/>
                <w:szCs w:val="21"/>
                <w:highlight w:val="none"/>
                <w:lang w:val="en-US" w:eastAsia="zh-CN"/>
              </w:rPr>
              <w:t>完工</w:t>
            </w:r>
            <w:r>
              <w:rPr>
                <w:rFonts w:hint="eastAsia" w:hAnsi="宋体"/>
                <w:b/>
                <w:color w:val="auto"/>
                <w:sz w:val="21"/>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846" w:type="dxa"/>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中堂镇吴家涌村新村球场升级改造工程采购一项</w:t>
            </w:r>
          </w:p>
        </w:tc>
        <w:tc>
          <w:tcPr>
            <w:tcW w:w="3156" w:type="dxa"/>
            <w:noWrap w:val="0"/>
            <w:vAlign w:val="center"/>
          </w:tcPr>
          <w:p>
            <w:pPr>
              <w:spacing w:line="360" w:lineRule="auto"/>
              <w:jc w:val="center"/>
              <w:rPr>
                <w:rFonts w:hint="default" w:hAnsi="宋体" w:eastAsia="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60天内完成</w:t>
            </w:r>
            <w:r>
              <w:rPr>
                <w:rFonts w:hint="eastAsia" w:ascii="宋体" w:hAnsi="宋体" w:eastAsia="宋体" w:cs="宋体"/>
                <w:b w:val="0"/>
                <w:bCs/>
                <w:color w:val="auto"/>
                <w:kern w:val="2"/>
                <w:sz w:val="21"/>
                <w:szCs w:val="21"/>
                <w:highlight w:val="none"/>
                <w:lang w:val="en-US" w:eastAsia="zh-CN" w:bidi="ar-SA"/>
              </w:rPr>
              <w:t>。</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w:t>
      </w: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60天内完成</w:t>
      </w:r>
      <w:r>
        <w:rPr>
          <w:rFonts w:hint="eastAsia" w:ascii="宋体" w:hAnsi="宋体" w:eastAsia="宋体" w:cs="宋体"/>
          <w:b w:val="0"/>
          <w:bCs/>
          <w:color w:val="auto"/>
          <w:kern w:val="2"/>
          <w:sz w:val="21"/>
          <w:szCs w:val="21"/>
          <w:highlight w:val="none"/>
          <w:lang w:val="en-US" w:eastAsia="zh-CN" w:bidi="ar-SA"/>
        </w:rPr>
        <w:t>。</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8359003"/>
      <w:bookmarkStart w:id="23" w:name="_Toc35393791"/>
      <w:bookmarkStart w:id="24" w:name="_Toc35393622"/>
      <w:bookmarkStart w:id="25" w:name="_Toc31691"/>
      <w:bookmarkStart w:id="26" w:name="_Toc13371"/>
      <w:bookmarkStart w:id="27" w:name="_Toc28625"/>
      <w:bookmarkStart w:id="28" w:name="_Toc25198"/>
      <w:bookmarkStart w:id="29" w:name="_Toc28359080"/>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8265"/>
      <w:bookmarkStart w:id="31" w:name="_Toc16211"/>
      <w:bookmarkStart w:id="32" w:name="_Toc7315"/>
      <w:bookmarkStart w:id="33" w:name="_Toc29919"/>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年度</w:t>
      </w:r>
      <w:r>
        <w:rPr>
          <w:rFonts w:hint="eastAsia" w:ascii="宋体" w:hAnsi="宋体"/>
          <w:color w:val="auto"/>
          <w:sz w:val="21"/>
          <w:szCs w:val="21"/>
          <w:highlight w:val="none"/>
          <w:lang w:val="en-US" w:eastAsia="zh-CN"/>
        </w:rPr>
        <w:t>或2022年度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18344"/>
      <w:bookmarkStart w:id="37" w:name="_Toc4071"/>
      <w:bookmarkStart w:id="38" w:name="_Toc26119"/>
      <w:bookmarkStart w:id="39" w:name="_Toc16617"/>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供应商必须具有施工综合资质【或更换资质证书前有效期内施工总承包企业特级资质】，或具有建筑工程施工总承包乙级（或以上）资质【或更换资质证书前有效期内建筑工程施工总承包三级或以上资质】，或具有建筑装修装饰工程专业承包资质乙级（或以上）资质【或更换资质证书前有效期内建筑装修装饰工程专业承包二级（或以上）资质】。</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注：上述资质要求，依据住房和城乡建设部2020年11月30日关于印发《建设工程企业资质管理制度改革方案》的通知，在更换资质证书前有效期内适用于本项目资质证书的均为有效资格条件。</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792"/>
      <w:bookmarkStart w:id="41" w:name="_Toc173"/>
      <w:bookmarkStart w:id="42" w:name="_Toc35393623"/>
      <w:bookmarkStart w:id="43" w:name="_Toc27443"/>
      <w:bookmarkStart w:id="44" w:name="_Toc2137"/>
      <w:bookmarkStart w:id="45" w:name="_Toc18578"/>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eastAsia="宋体" w:cs="宋体"/>
          <w:color w:val="auto"/>
          <w:sz w:val="21"/>
          <w:szCs w:val="21"/>
          <w:highlight w:val="none"/>
          <w:lang w:val="en-US" w:eastAsia="zh-CN"/>
        </w:rPr>
        <w:t>13A01</w:t>
      </w:r>
      <w:r>
        <w:rPr>
          <w:rFonts w:hint="eastAsia" w:ascii="宋体" w:hAnsi="宋体" w:eastAsia="宋体" w:cs="宋体"/>
          <w:color w:val="auto"/>
          <w:sz w:val="21"/>
          <w:szCs w:val="21"/>
          <w:highlight w:val="none"/>
          <w:lang w:eastAsia="zh-CN"/>
        </w:rPr>
        <w:t>室；</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s="宋体"/>
          <w:color w:val="auto"/>
          <w:szCs w:val="21"/>
          <w:highlight w:val="none"/>
          <w:lang w:val="en-US" w:eastAsia="zh-CN"/>
        </w:rPr>
        <w:t>现场领购</w:t>
      </w:r>
      <w:r>
        <w:rPr>
          <w:rFonts w:hint="eastAsia" w:ascii="宋体" w:hAnsi="宋体" w:cs="宋体"/>
          <w:color w:val="auto"/>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05"/>
      <w:bookmarkStart w:id="47" w:name="_Toc28359082"/>
      <w:bookmarkStart w:id="48" w:name="_Toc35393793"/>
      <w:bookmarkStart w:id="49" w:name="_Toc35393624"/>
      <w:bookmarkStart w:id="50" w:name="_Toc28435"/>
      <w:bookmarkStart w:id="51" w:name="_Toc10322"/>
      <w:bookmarkStart w:id="52" w:name="_Toc28585"/>
      <w:bookmarkStart w:id="53" w:name="_Toc27404"/>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2023</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23</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eastAsia="宋体" w:cs="宋体"/>
          <w:color w:val="auto"/>
          <w:sz w:val="21"/>
          <w:szCs w:val="21"/>
          <w:highlight w:val="none"/>
          <w:lang w:val="en-US" w:eastAsia="zh-CN"/>
        </w:rPr>
        <w:t>13A01</w:t>
      </w:r>
      <w:r>
        <w:rPr>
          <w:rFonts w:hint="eastAsia" w:ascii="宋体" w:hAnsi="宋体" w:eastAsia="宋体" w:cs="宋体"/>
          <w:color w:val="auto"/>
          <w:sz w:val="21"/>
          <w:szCs w:val="21"/>
          <w:highlight w:val="none"/>
          <w:lang w:eastAsia="zh-CN"/>
        </w:rPr>
        <w:t>室</w:t>
      </w:r>
      <w:r>
        <w:rPr>
          <w:rFonts w:hint="eastAsia" w:ascii="宋体" w:hAnsi="宋体" w:cs="宋体"/>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25695"/>
      <w:bookmarkStart w:id="55" w:name="_Toc1202"/>
      <w:bookmarkStart w:id="56" w:name="_Toc35393794"/>
      <w:bookmarkStart w:id="57" w:name="_Toc28359007"/>
      <w:bookmarkStart w:id="58" w:name="_Toc28359084"/>
      <w:bookmarkStart w:id="59" w:name="_Toc35393625"/>
      <w:bookmarkStart w:id="60" w:name="_Toc26299"/>
      <w:bookmarkStart w:id="61" w:name="_Toc17857"/>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25010"/>
      <w:bookmarkStart w:id="63" w:name="_Toc35393795"/>
      <w:bookmarkStart w:id="64" w:name="_Toc9116"/>
      <w:bookmarkStart w:id="65" w:name="_Toc1519"/>
      <w:bookmarkStart w:id="66" w:name="_Toc35393626"/>
      <w:bookmarkStart w:id="67" w:name="_Toc6612"/>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35393796"/>
      <w:bookmarkStart w:id="69" w:name="_Toc28359085"/>
      <w:bookmarkStart w:id="70" w:name="_Toc35393627"/>
      <w:bookmarkStart w:id="71" w:name="_Toc28359008"/>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国顺招标网（http://www.guoshunzb.com/）</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22586"/>
      <w:bookmarkStart w:id="73" w:name="_Toc5139"/>
      <w:bookmarkStart w:id="74" w:name="_Toc12281"/>
      <w:bookmarkStart w:id="75" w:name="_Toc8358"/>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1577"/>
      <w:bookmarkStart w:id="77" w:name="_Toc30615"/>
      <w:bookmarkStart w:id="78" w:name="_Toc30277"/>
      <w:bookmarkStart w:id="79"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东莞市中堂镇吴家涌股份经济联合社</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cs="宋体"/>
          <w:color w:val="auto"/>
          <w:sz w:val="21"/>
          <w:szCs w:val="21"/>
          <w:highlight w:val="none"/>
          <w:u w:val="none"/>
          <w:lang w:val="en-US" w:eastAsia="zh-CN"/>
        </w:rPr>
        <w:t>东莞市中堂镇</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default"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cs="宋体"/>
          <w:color w:val="auto"/>
          <w:szCs w:val="21"/>
          <w:highlight w:val="none"/>
          <w:shd w:val="clear" w:color="auto" w:fill="auto"/>
          <w:lang w:val="en-US" w:eastAsia="zh-CN"/>
        </w:rPr>
        <w:t>吴先生</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cs="宋体"/>
          <w:color w:val="auto"/>
          <w:sz w:val="21"/>
          <w:szCs w:val="21"/>
          <w:highlight w:val="none"/>
          <w:u w:val="none"/>
          <w:lang w:val="en-US" w:eastAsia="zh-CN"/>
        </w:rPr>
        <w:t>0769-88891119</w:t>
      </w:r>
      <w:r>
        <w:rPr>
          <w:rFonts w:hint="eastAsia" w:ascii="宋体" w:hAnsi="宋体" w:eastAsia="宋体" w:cs="宋体"/>
          <w:color w:val="auto"/>
          <w:sz w:val="21"/>
          <w:szCs w:val="21"/>
          <w:highlight w:val="none"/>
          <w:u w:val="none"/>
        </w:rPr>
        <w:t xml:space="preserve">　　　　　　　　　　　 </w:t>
      </w:r>
      <w:bookmarkStart w:id="80" w:name="_Toc28359086"/>
      <w:bookmarkStart w:id="81"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4580"/>
      <w:bookmarkStart w:id="83" w:name="_Toc25259"/>
      <w:bookmarkStart w:id="84" w:name="_Toc11561"/>
      <w:bookmarkStart w:id="85" w:name="_Toc10880"/>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eastAsia="宋体" w:cs="宋体"/>
          <w:color w:val="auto"/>
          <w:sz w:val="21"/>
          <w:szCs w:val="21"/>
          <w:highlight w:val="none"/>
          <w:lang w:val="en-US" w:eastAsia="zh-CN"/>
        </w:rPr>
        <w:t>13A01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87"/>
      <w:bookmarkStart w:id="87" w:name="_Toc28359010"/>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28659"/>
      <w:bookmarkStart w:id="89" w:name="_Toc15543"/>
      <w:bookmarkStart w:id="90" w:name="_Toc18257"/>
      <w:bookmarkStart w:id="91" w:name="_Toc9440"/>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92" w:name="_Toc26573"/>
      <w:r>
        <w:rPr>
          <w:rFonts w:hint="eastAsia"/>
          <w:color w:val="auto"/>
          <w:highlight w:val="none"/>
          <w:lang w:val="en-US" w:eastAsia="zh-CN"/>
        </w:rPr>
        <w:t>供应商须知</w:t>
      </w:r>
      <w:bookmarkEnd w:id="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0510"/>
      <w:bookmarkStart w:id="94" w:name="_Toc413402429"/>
      <w:bookmarkStart w:id="95" w:name="_Toc396137231"/>
      <w:bookmarkStart w:id="96" w:name="_Toc497983494"/>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5"/>
        <w:bidi w:val="0"/>
        <w:rPr>
          <w:color w:val="auto"/>
          <w:highlight w:val="none"/>
          <w:lang w:val="en-US" w:eastAsia="zh-CN"/>
        </w:rPr>
      </w:pPr>
      <w:bookmarkStart w:id="98" w:name="_Toc30834"/>
      <w:bookmarkStart w:id="99" w:name="_Toc8083"/>
      <w:bookmarkStart w:id="100" w:name="_Toc10658"/>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1" w:name="_Toc720"/>
      <w:bookmarkStart w:id="102" w:name="_Toc7271"/>
      <w:bookmarkStart w:id="103" w:name="_Toc25237"/>
      <w:r>
        <w:rPr>
          <w:rFonts w:hint="eastAsia" w:eastAsia="宋体"/>
          <w:color w:val="auto"/>
          <w:highlight w:val="none"/>
          <w:lang w:val="en-US" w:eastAsia="zh-CN"/>
        </w:rPr>
        <w:t>2.</w:t>
      </w:r>
      <w:bookmarkStart w:id="104" w:name="_Toc382049092"/>
      <w:bookmarkStart w:id="105" w:name="_Toc303084246"/>
      <w:bookmarkStart w:id="106" w:name="_Toc1530"/>
      <w:bookmarkStart w:id="107" w:name="_Toc298847174"/>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9030"/>
      <w:bookmarkStart w:id="109" w:name="_Toc24019"/>
      <w:bookmarkStart w:id="110" w:name="_Toc30379"/>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12" w:name="_Toc14543"/>
      <w:bookmarkStart w:id="113" w:name="_Toc8119"/>
      <w:bookmarkStart w:id="114" w:name="_Toc18277"/>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5" w:name="_Toc25254"/>
      <w:bookmarkStart w:id="116" w:name="_Toc32220"/>
      <w:bookmarkStart w:id="117" w:name="_Toc24793"/>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8" w:name="_Toc13064"/>
      <w:bookmarkStart w:id="119" w:name="_Toc30779"/>
      <w:bookmarkStart w:id="120" w:name="_Toc31725"/>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1" w:name="_Toc23688"/>
      <w:bookmarkStart w:id="122" w:name="_Toc18142"/>
      <w:bookmarkStart w:id="123" w:name="_Toc27755"/>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5" w:name="_Toc5596"/>
      <w:bookmarkStart w:id="126" w:name="_Toc19660"/>
      <w:bookmarkStart w:id="127" w:name="_Toc29774"/>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8" w:name="_Toc28076"/>
      <w:bookmarkStart w:id="129" w:name="_Toc3812"/>
      <w:bookmarkStart w:id="130" w:name="_Toc2004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1" w:name="_Toc5431"/>
      <w:bookmarkStart w:id="132" w:name="_Toc28595"/>
      <w:bookmarkStart w:id="133" w:name="_Toc17507"/>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4" w:name="_Toc307934854"/>
      <w:bookmarkStart w:id="135" w:name="_Toc303084256"/>
      <w:bookmarkStart w:id="136" w:name="_Toc382049103"/>
      <w:bookmarkStart w:id="137" w:name="_Toc21308"/>
      <w:bookmarkStart w:id="138" w:name="_Toc28866"/>
      <w:bookmarkStart w:id="139" w:name="_Toc17694"/>
      <w:bookmarkStart w:id="140" w:name="_Toc25080"/>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28835"/>
      <w:bookmarkStart w:id="142" w:name="_Toc23396"/>
      <w:bookmarkStart w:id="143" w:name="_Toc26322"/>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5" w:name="_Toc11253"/>
      <w:bookmarkStart w:id="146" w:name="_Toc29388"/>
      <w:bookmarkStart w:id="147" w:name="_Toc10449"/>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8" w:name="_Toc18749"/>
      <w:bookmarkStart w:id="149" w:name="_Toc29860"/>
      <w:bookmarkStart w:id="150" w:name="_Toc28006"/>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53" w:name="_Toc12457"/>
      <w:bookmarkStart w:id="154" w:name="_Toc4792"/>
      <w:bookmarkStart w:id="155" w:name="_Toc20435"/>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28431"/>
      <w:bookmarkStart w:id="157" w:name="_Toc20804"/>
      <w:bookmarkStart w:id="158" w:name="_Toc11339"/>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0" w:name="_Toc5055"/>
      <w:bookmarkStart w:id="161" w:name="_Toc21699"/>
      <w:bookmarkStart w:id="162" w:name="_Toc303084264"/>
      <w:bookmarkStart w:id="163" w:name="_Toc382049111"/>
      <w:bookmarkStart w:id="164" w:name="_Toc24997"/>
      <w:bookmarkStart w:id="165" w:name="_Toc17970"/>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（须含WORD版响应文件，文字采用WORD文档，计算表格采用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6" w:name="_Toc1911"/>
      <w:bookmarkStart w:id="167" w:name="_Toc3249"/>
      <w:bookmarkStart w:id="168" w:name="_Toc14913"/>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9" w:name="_Toc22059"/>
      <w:bookmarkStart w:id="170" w:name="_Toc13946"/>
      <w:bookmarkStart w:id="171" w:name="_Toc8387"/>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2" w:name="_Toc518"/>
      <w:bookmarkStart w:id="173" w:name="_Toc303084265"/>
      <w:bookmarkStart w:id="174" w:name="_Toc382049112"/>
      <w:bookmarkStart w:id="175" w:name="_Toc9777"/>
      <w:bookmarkStart w:id="176" w:name="_Toc1364"/>
      <w:bookmarkStart w:id="177" w:name="_Toc24777"/>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8" w:name="_Toc28776"/>
      <w:bookmarkStart w:id="179" w:name="_Toc4603"/>
      <w:bookmarkStart w:id="180" w:name="_Toc14390"/>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81" w:name="_Toc14512"/>
      <w:bookmarkStart w:id="182" w:name="_Toc11914"/>
      <w:bookmarkStart w:id="183" w:name="_Toc191"/>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4" w:name="_Toc19811"/>
      <w:bookmarkStart w:id="185" w:name="_Toc31198"/>
      <w:bookmarkStart w:id="186" w:name="_Toc13823"/>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7" w:name="_Toc3525"/>
      <w:bookmarkStart w:id="188" w:name="_Toc20823"/>
      <w:bookmarkStart w:id="189" w:name="_Toc9540"/>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90" w:name="_Toc18014"/>
      <w:bookmarkStart w:id="191" w:name="_Toc7072"/>
      <w:bookmarkStart w:id="192" w:name="_Toc15479"/>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93" w:name="_Toc16157"/>
      <w:bookmarkStart w:id="194" w:name="_Toc4041"/>
      <w:bookmarkStart w:id="195" w:name="_Toc9736"/>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6" w:name="_Toc316375620"/>
      <w:bookmarkStart w:id="197" w:name="_Toc25030"/>
      <w:bookmarkStart w:id="198" w:name="_Toc382049120"/>
      <w:bookmarkStart w:id="199" w:name="_Toc30865"/>
      <w:bookmarkStart w:id="200" w:name="_Toc30573"/>
      <w:bookmarkStart w:id="201" w:name="_Toc20328"/>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202" w:name="_Toc508284011"/>
      <w:bookmarkStart w:id="203" w:name="_Toc21560"/>
      <w:bookmarkStart w:id="204" w:name="_Toc27383"/>
      <w:bookmarkStart w:id="205" w:name="_Toc21265"/>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6459"/>
      <w:bookmarkStart w:id="207" w:name="_Toc2468"/>
      <w:bookmarkStart w:id="208" w:name="_Toc508284013"/>
      <w:bookmarkStart w:id="209" w:name="_Toc24851"/>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10" w:name="_Toc1555"/>
      <w:bookmarkStart w:id="211" w:name="_Toc7001"/>
      <w:bookmarkStart w:id="212" w:name="_Toc18733"/>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13" w:name="_Toc26547"/>
      <w:bookmarkStart w:id="214" w:name="_Toc9041"/>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7855"/>
      <w:bookmarkStart w:id="217" w:name="_Toc18002"/>
      <w:bookmarkStart w:id="218" w:name="_Toc27180"/>
      <w:bookmarkStart w:id="219" w:name="_Toc16006"/>
      <w:r>
        <w:rPr>
          <w:rFonts w:hint="eastAsia"/>
          <w:b/>
          <w:bCs/>
          <w:color w:val="auto"/>
          <w:sz w:val="28"/>
          <w:szCs w:val="36"/>
          <w:highlight w:val="none"/>
          <w:lang w:eastAsia="zh-CN"/>
        </w:rPr>
        <w:t>商务要求</w:t>
      </w:r>
      <w:bookmarkEnd w:id="216"/>
      <w:bookmarkEnd w:id="217"/>
      <w:bookmarkEnd w:id="218"/>
      <w:bookmarkEnd w:id="219"/>
    </w:p>
    <w:tbl>
      <w:tblPr>
        <w:tblStyle w:val="15"/>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7"/>
        <w:gridCol w:w="1210"/>
        <w:gridCol w:w="6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691"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93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691"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★完工期</w:t>
            </w:r>
          </w:p>
        </w:tc>
        <w:tc>
          <w:tcPr>
            <w:tcW w:w="3937"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eastAsia="宋体"/>
                <w:color w:val="auto"/>
                <w:szCs w:val="21"/>
                <w:highlight w:val="none"/>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60天内完成</w:t>
            </w:r>
            <w:r>
              <w:rPr>
                <w:rFonts w:hint="eastAsia" w:ascii="宋体" w:hAnsi="宋体" w:eastAsia="宋体" w:cs="宋体"/>
                <w:b w:val="0"/>
                <w:bCs/>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691"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3937"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eastAsia="宋体"/>
                <w:color w:val="auto"/>
                <w:szCs w:val="21"/>
                <w:highlight w:val="none"/>
              </w:rPr>
            </w:pPr>
            <w:r>
              <w:rPr>
                <w:rFonts w:hint="eastAsia" w:ascii="宋体" w:hAnsi="宋体" w:cs="宋体"/>
                <w:color w:val="auto"/>
                <w:sz w:val="21"/>
                <w:szCs w:val="21"/>
                <w:highlight w:val="none"/>
                <w:lang w:val="en-US" w:eastAsia="zh-CN"/>
              </w:rPr>
              <w:t>东莞市中堂镇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691"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cs="宋体"/>
                <w:color w:val="auto"/>
                <w:sz w:val="21"/>
                <w:szCs w:val="21"/>
                <w:highlight w:val="none"/>
                <w:lang w:eastAsia="zh-CN"/>
              </w:rPr>
              <w:t>响应有效期</w:t>
            </w:r>
          </w:p>
        </w:tc>
        <w:tc>
          <w:tcPr>
            <w:tcW w:w="3937"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从提交投标（响应）文件的截止之日起90日历天</w:t>
            </w:r>
            <w:r>
              <w:rPr>
                <w:rFonts w:hint="eastAsia" w:ascii="宋体" w:hAnsi="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691"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eastAsia="宋体"/>
                <w:color w:val="auto"/>
                <w:szCs w:val="21"/>
                <w:highlight w:val="none"/>
              </w:rPr>
            </w:pPr>
            <w:r>
              <w:rPr>
                <w:rFonts w:hint="eastAsia" w:ascii="宋体" w:hAnsi="宋体" w:cs="宋体"/>
                <w:color w:val="auto"/>
                <w:sz w:val="21"/>
                <w:szCs w:val="21"/>
                <w:highlight w:val="none"/>
                <w:lang w:val="en-US" w:eastAsia="zh-CN"/>
              </w:rPr>
              <w:t>质保期</w:t>
            </w:r>
          </w:p>
        </w:tc>
        <w:tc>
          <w:tcPr>
            <w:tcW w:w="3937"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rPr>
              <w:t>质保期1年，自项目验收合格之日算起。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9"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691"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rPr>
              <w:t>付款方式</w:t>
            </w:r>
          </w:p>
        </w:tc>
        <w:tc>
          <w:tcPr>
            <w:tcW w:w="3937"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合同签订后按进度款支付费用：</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lang w:eastAsia="zh-CN"/>
              </w:rPr>
              <w:t>拆除部分</w:t>
            </w:r>
            <w:r>
              <w:rPr>
                <w:rFonts w:hint="eastAsia" w:ascii="宋体" w:hAnsi="宋体" w:cs="宋体"/>
                <w:color w:val="auto"/>
                <w:sz w:val="21"/>
                <w:szCs w:val="21"/>
                <w:highlight w:val="none"/>
                <w:lang w:val="en-US" w:eastAsia="zh-CN"/>
              </w:rPr>
              <w:t>完成后</w:t>
            </w:r>
            <w:r>
              <w:rPr>
                <w:rFonts w:hint="eastAsia" w:ascii="宋体" w:hAnsi="宋体" w:eastAsia="宋体" w:cs="宋体"/>
                <w:color w:val="auto"/>
                <w:sz w:val="21"/>
                <w:szCs w:val="21"/>
                <w:highlight w:val="none"/>
              </w:rPr>
              <w:t>，采购人向中标单位支付合同总额的30%。</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项目新建部分完成后</w:t>
            </w:r>
            <w:r>
              <w:rPr>
                <w:rFonts w:hint="eastAsia" w:ascii="宋体" w:hAnsi="宋体" w:eastAsia="宋体" w:cs="宋体"/>
                <w:color w:val="auto"/>
                <w:sz w:val="21"/>
                <w:szCs w:val="21"/>
                <w:highlight w:val="none"/>
              </w:rPr>
              <w:t>，采购人向中标单位支付至合同总价的80%。</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经采购人验收合格后，采购人向中标单位支付至合同总价的9</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eastAsia="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剩余3%作为质保金，质保期满后无息支付给成交人</w:t>
            </w:r>
            <w:r>
              <w:rPr>
                <w:rFonts w:hint="eastAsia" w:ascii="宋体" w:hAnsi="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6</w:t>
            </w:r>
          </w:p>
        </w:tc>
        <w:tc>
          <w:tcPr>
            <w:tcW w:w="691"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验收要求</w:t>
            </w:r>
          </w:p>
        </w:tc>
        <w:tc>
          <w:tcPr>
            <w:tcW w:w="3937"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按国家及行业相关标准验收。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37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691"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w:t>
            </w:r>
          </w:p>
        </w:tc>
        <w:tc>
          <w:tcPr>
            <w:tcW w:w="3937" w:type="pct"/>
            <w:vAlign w:val="center"/>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1、报价采取打包报价的方式，报价包括材料、工具、人工、管理费、利润、税金、风险、招标代理费用等一切因素所有应该和可能发生的费用因素。 </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2、投标人应充分结合本招标文件上下文了解项目招标需求、采购文件未尽事宜，将在合同签订或项目执行过程中双方协商确定，供应商须无条件满足采购单位的合理要求。</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3714"/>
      <w:bookmarkStart w:id="221" w:name="_Toc4572"/>
      <w:bookmarkStart w:id="222" w:name="_Toc16983"/>
      <w:bookmarkStart w:id="223" w:name="_Toc4445"/>
      <w:r>
        <w:rPr>
          <w:rFonts w:hint="eastAsia" w:eastAsia="宋体"/>
          <w:b/>
          <w:bCs/>
          <w:color w:val="auto"/>
          <w:sz w:val="28"/>
          <w:szCs w:val="36"/>
          <w:highlight w:val="none"/>
          <w:lang w:eastAsia="zh-CN"/>
        </w:rPr>
        <w:t>技术要求</w:t>
      </w:r>
      <w:bookmarkEnd w:id="220"/>
      <w:bookmarkEnd w:id="221"/>
      <w:bookmarkEnd w:id="222"/>
      <w:bookmarkEnd w:id="223"/>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一、采购清单</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1970"/>
        <w:gridCol w:w="3459"/>
        <w:gridCol w:w="818"/>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15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203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技术要求</w:t>
            </w:r>
          </w:p>
        </w:tc>
        <w:tc>
          <w:tcPr>
            <w:tcW w:w="48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80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2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15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203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4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80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拆除部分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拆除原有石凳</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1.拆除原有石凳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2.废料外运:综合考虑</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拆除原有钢管护栏</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1.拆除原有钢管护栏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2.废料外运:综合考虑</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拆除原有灯柱4条</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1.拆除原有灯柱4条</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水泥混凝土基础</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1.混凝土强度等级:C25水泥混凝土基础,厚度150mm</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铺设2mm厚丙烯酸面层</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1.铺设2mm厚丙烯酸面层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2.丙烯酸划线漆划线</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砖地沟、明沟【排水沟】</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1.砖品种、规格、强度等级:180厚砖砌沟壁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2.垫层材料种类、厚度:100mm厚C20混凝土层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3.100mm厚6%水泥石粉垫层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4.20厚1:2.5水泥砂浆找平层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5.混凝土沟盖板</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新装灯柱</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1.新装灯柱</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新装埋地篮球架</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1.新装埋地篮球架</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金属网栏</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1.材料品种、规格:50*50喷塑铁丝网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2.边框及立柱型钢品种、规格:φ75*2.5mm厚镀锌钢管、φ60*2.5mm厚镀锌钢管、含铁门</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挖基坑土方【围栏基础】</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1.土壤类别:一、二类土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2.挖土深度:2m 内</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回填方【围栏基础】</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1.回填土 夯实机夯实 槽、坑</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余方弃置【围栏基础】</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1.运距:10km</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独立基础【围栏基础】</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1.混凝土强度等级:C20</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现浇构件钢筋【围栏基础】</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1.钢筋种类、规格:现浇构件三级钢 φ12～16</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现浇构件钢筋【围栏基础】</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1.钢筋种类、规格:现浇构件箍筋 圆钢 φ10内</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1.名称:PVC50线管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2.配置形式:暗配</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20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1.ZC-RVV-3*4电缆</w:t>
            </w:r>
          </w:p>
        </w:tc>
        <w:tc>
          <w:tcPr>
            <w:tcW w:w="4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80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二、技术标准和要求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项目的材料、施工、验收须达到现行中华人民共和国以及省、自治区、直辖市、市或行业的工程建设标准、规范的要求。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2.1.所采用的材料、设备必须满足国家有关技术操作规程的要求。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2.2施工组织方案需列明保证施工进度计划实施及保证质量、安全生产、文明施工、环境保护的措施；中标（成交）供应商应结合自身的实际情况制定合理的施工进度计划。</w:t>
      </w:r>
    </w:p>
    <w:p>
      <w:pPr>
        <w:spacing w:line="360" w:lineRule="auto"/>
        <w:ind w:left="-141" w:leftChars="-67"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2.3.结合施工现场的实际情况进行施工组织设计（如须采用较复杂的施工技术的施工方案），施工中因施工方案及施工措施所引起的费用由中标（成交）供应商负责。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三、质量保证</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1、自项目竣工验收合格之日起算，在质保期内因质量问题以及工程竣工未交付采购人之前因中标（成交）供应商保管不力而导致的返工、翻工、维修等各项相关费用均由中标（成交）供应商承担。</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施工过程中，中标（成交）供应商必须保证质量，选用的材料和施工质量要求符合合同所列标准。如中标（成交）供应商投标时承诺的技术标准高于采购人要求，则按中标（成交）供应商投标文件的要求标准提供产品及施工。</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3、中标（成交）供应商应建立并实施符合工程各项要求的质量管理体系，如因中标（成交）供应商原因，使得项目工作受到影响，相应责任由中标（成交）供应商承担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b/>
          <w:color w:val="auto"/>
          <w:sz w:val="21"/>
          <w:szCs w:val="21"/>
          <w:highlight w:val="none"/>
          <w:lang w:val="en-US" w:eastAsia="zh-CN"/>
        </w:rPr>
        <w:t>成交供应商</w:t>
      </w:r>
      <w:r>
        <w:rPr>
          <w:rFonts w:hint="eastAsia" w:ascii="宋体" w:hAnsi="宋体" w:eastAsia="宋体"/>
          <w:b/>
          <w:color w:val="auto"/>
          <w:sz w:val="21"/>
          <w:szCs w:val="21"/>
          <w:highlight w:val="none"/>
          <w:lang w:val="en-US" w:eastAsia="zh-CN"/>
        </w:rPr>
        <w:t>应当履行下列义务</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1、遵守国家法律、法规和政策，遵守社会公德，自觉维护建筑市场秩序。</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2、遵守诚实信用原则，积极与采购人建立良好合作关系，认真履行服务合同。</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3、严格服从管理要求，自觉接受履约评价。</w:t>
      </w: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2"/>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体系认证</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w:t>
            </w:r>
            <w:r>
              <w:rPr>
                <w:rFonts w:hint="eastAsia" w:ascii="宋体" w:eastAsia="宋体" w:cs="宋体"/>
                <w:bCs/>
                <w:color w:val="auto"/>
                <w:sz w:val="21"/>
                <w:szCs w:val="21"/>
                <w:highlight w:val="none"/>
                <w:lang w:val="zh-CN"/>
              </w:rPr>
              <w:t>、</w:t>
            </w:r>
            <w:r>
              <w:rPr>
                <w:rFonts w:hint="eastAsia" w:ascii="宋体" w:eastAsia="宋体" w:cs="宋体"/>
                <w:bCs/>
                <w:color w:val="auto"/>
                <w:sz w:val="21"/>
                <w:szCs w:val="21"/>
                <w:highlight w:val="none"/>
                <w:lang w:val="en-US" w:eastAsia="zh-CN"/>
              </w:rPr>
              <w:t>企业诚信</w:t>
            </w:r>
            <w:r>
              <w:rPr>
                <w:rFonts w:hint="eastAsia" w:ascii="宋体" w:hAnsi="宋体" w:eastAsia="宋体" w:cs="宋体"/>
                <w:bCs/>
                <w:color w:val="auto"/>
                <w:sz w:val="21"/>
                <w:szCs w:val="21"/>
                <w:highlight w:val="none"/>
                <w:lang w:val="zh-CN"/>
              </w:rPr>
              <w:t>管理体系认证</w:t>
            </w:r>
            <w:r>
              <w:rPr>
                <w:rFonts w:hint="eastAsia" w:ascii="宋体" w:eastAsia="宋体" w:cs="宋体"/>
                <w:bCs/>
                <w:color w:val="auto"/>
                <w:sz w:val="21"/>
                <w:szCs w:val="21"/>
                <w:highlight w:val="none"/>
                <w:lang w:val="en-US" w:eastAsia="zh-CN"/>
              </w:rPr>
              <w:t>证书的</w:t>
            </w:r>
            <w:r>
              <w:rPr>
                <w:rFonts w:hint="eastAsia" w:ascii="宋体" w:hAnsi="宋体" w:eastAsia="宋体" w:cs="宋体"/>
                <w:bCs/>
                <w:color w:val="auto"/>
                <w:sz w:val="21"/>
                <w:szCs w:val="21"/>
                <w:highlight w:val="none"/>
                <w:lang w:val="zh-CN"/>
              </w:rPr>
              <w:t>，每具有一个得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注：须提供有效证书复印件并加盖供应商公章，不符合以上要求的不得分。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12</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球场改造（或运动场改造）</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服务响应</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（1）供应商承诺在接到采购人通知后1小时内到现场，得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（2）供应商承诺在接到采购人通知后2小时内到现场，得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注：须提供服务承诺书并加盖供应商公章，否则不得分。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项目的理解</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根据供应商对本项目现场的熟悉程度、理解及项目重点和难点的分析，以及根据项目重点和难点所采取的措施等进行评价。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深入，重点和难点分析</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合理、所采取的应急计划和措施可行性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w:t>
            </w:r>
            <w:r>
              <w:rPr>
                <w:rFonts w:hint="eastAsia" w:ascii="宋体" w:hAnsi="宋体" w:eastAsia="宋体" w:cs="宋体"/>
                <w:bCs/>
                <w:color w:val="auto"/>
                <w:sz w:val="21"/>
                <w:szCs w:val="21"/>
                <w:highlight w:val="none"/>
                <w:lang w:val="en-US" w:eastAsia="zh-CN"/>
              </w:rPr>
              <w:t>基本合理</w:t>
            </w:r>
            <w:r>
              <w:rPr>
                <w:rFonts w:hint="eastAsia" w:ascii="宋体" w:hAnsi="宋体" w:eastAsia="宋体" w:cs="宋体"/>
                <w:bCs/>
                <w:color w:val="auto"/>
                <w:sz w:val="21"/>
                <w:szCs w:val="21"/>
                <w:highlight w:val="none"/>
              </w:rPr>
              <w:t>、所采取的应急计划和措施可行性一般，得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施工组织方案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施工组织方案的科学性、可行性、完善性等进行综合评价：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可行，得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施工组织方案针对性一般、合理</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施工组织方案针对性差、不够合理，得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安全文明方案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rPr>
            </w:pPr>
            <w:r>
              <w:rPr>
                <w:rFonts w:hint="eastAsia" w:ascii="宋体" w:eastAsia="宋体" w:cs="宋体"/>
                <w:bCs/>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提供的安全文明措施、配套设备设施、达到的标准及承诺等进行综合评价: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应急方案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eastAsia="宋体" w:cs="宋体"/>
                <w:bCs/>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合理完整，可操作性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验收方案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eastAsia="宋体" w:cs="宋体"/>
                <w:bCs/>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供应商提供的</w:t>
            </w:r>
            <w:r>
              <w:rPr>
                <w:rFonts w:hint="eastAsia" w:ascii="宋体" w:hAnsi="宋体" w:eastAsia="宋体" w:cs="宋体"/>
                <w:bCs/>
                <w:color w:val="auto"/>
                <w:sz w:val="21"/>
                <w:szCs w:val="21"/>
                <w:highlight w:val="none"/>
                <w:lang w:val="zh-CN"/>
              </w:rPr>
              <w:t>验收方案、承诺验收达到标准、整改方案及标准等进行综合评价: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规章制度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根据供应商的规章管理制度进行</w:t>
            </w:r>
            <w:r>
              <w:rPr>
                <w:rFonts w:hint="eastAsia" w:ascii="宋体" w:hAnsi="宋体" w:eastAsia="宋体" w:cs="宋体"/>
                <w:bCs/>
                <w:color w:val="auto"/>
                <w:sz w:val="21"/>
                <w:szCs w:val="21"/>
                <w:highlight w:val="none"/>
              </w:rPr>
              <w:t>综合评审：</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制度基本完整，可行性一般，得</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分；</w:t>
            </w:r>
          </w:p>
          <w:p>
            <w:pPr>
              <w:pStyle w:val="23"/>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制度不完整，可行性较差，得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rPr>
              <w:t>制度</w:t>
            </w:r>
            <w:r>
              <w:rPr>
                <w:rFonts w:hint="eastAsia" w:ascii="宋体" w:hAnsi="宋体" w:eastAsia="宋体" w:cs="宋体"/>
                <w:bCs/>
                <w:color w:val="auto"/>
                <w:sz w:val="21"/>
                <w:szCs w:val="21"/>
                <w:highlight w:val="none"/>
                <w:lang w:val="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pPr>
        <w:jc w:val="center"/>
        <w:outlineLvl w:val="1"/>
        <w:rPr>
          <w:rFonts w:hint="eastAsia"/>
          <w:color w:val="auto"/>
          <w:sz w:val="18"/>
          <w:szCs w:val="21"/>
          <w:highlight w:val="none"/>
          <w:lang w:val="en-US" w:eastAsia="zh-CN"/>
        </w:rPr>
      </w:pPr>
      <w:bookmarkStart w:id="226" w:name="_Toc25458"/>
      <w:bookmarkStart w:id="227" w:name="_Toc20453"/>
      <w:bookmarkStart w:id="228" w:name="_Toc27897"/>
      <w:bookmarkStart w:id="229" w:name="_Toc1541"/>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21895"/>
      <w:bookmarkStart w:id="231" w:name="_Toc864"/>
      <w:bookmarkStart w:id="232" w:name="_Toc3633"/>
      <w:bookmarkStart w:id="233" w:name="_Toc14994"/>
      <w:r>
        <w:rPr>
          <w:rFonts w:hint="eastAsia"/>
          <w:b/>
          <w:bCs/>
          <w:color w:val="auto"/>
          <w:highlight w:val="none"/>
          <w:lang w:val="en-US" w:eastAsia="zh-CN"/>
        </w:rPr>
        <w:t>一、合同金额</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8984"/>
      <w:bookmarkStart w:id="235" w:name="_Toc8673"/>
      <w:bookmarkStart w:id="236" w:name="_Toc31907"/>
      <w:bookmarkStart w:id="237" w:name="_Toc32599"/>
      <w:r>
        <w:rPr>
          <w:rFonts w:hint="eastAsia"/>
          <w:b/>
          <w:bCs/>
          <w:color w:val="auto"/>
          <w:highlight w:val="none"/>
          <w:lang w:val="en-US" w:eastAsia="zh-CN"/>
        </w:rPr>
        <w:t>二、服务范围</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9958"/>
      <w:bookmarkStart w:id="239" w:name="_Toc28304"/>
      <w:bookmarkStart w:id="240" w:name="_Toc2159"/>
      <w:bookmarkStart w:id="241" w:name="_Toc23270"/>
      <w:r>
        <w:rPr>
          <w:rFonts w:hint="eastAsia"/>
          <w:b/>
          <w:bCs/>
          <w:color w:val="auto"/>
          <w:highlight w:val="none"/>
          <w:lang w:val="en-US" w:eastAsia="zh-CN"/>
        </w:rPr>
        <w:t>三、甲方乙方的权利和义务</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31228"/>
      <w:bookmarkStart w:id="243" w:name="_Toc13843"/>
      <w:bookmarkStart w:id="244" w:name="_Toc29743"/>
      <w:bookmarkStart w:id="245" w:name="_Toc3949"/>
      <w:r>
        <w:rPr>
          <w:rFonts w:hint="eastAsia"/>
          <w:b/>
          <w:bCs/>
          <w:color w:val="auto"/>
          <w:highlight w:val="none"/>
          <w:lang w:val="en-US" w:eastAsia="zh-CN"/>
        </w:rPr>
        <w:t>四、服务期间（项目完成期限）</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26555"/>
      <w:bookmarkStart w:id="247" w:name="_Toc3509"/>
      <w:bookmarkStart w:id="248" w:name="_Toc1315"/>
      <w:bookmarkStart w:id="249" w:name="_Toc30401"/>
      <w:r>
        <w:rPr>
          <w:rFonts w:hint="eastAsia"/>
          <w:b/>
          <w:bCs/>
          <w:color w:val="auto"/>
          <w:highlight w:val="none"/>
          <w:lang w:val="en-US" w:eastAsia="zh-CN"/>
        </w:rPr>
        <w:t>五、付款方式</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8728"/>
      <w:bookmarkStart w:id="251" w:name="_Toc27026"/>
      <w:bookmarkStart w:id="252" w:name="_Toc25049"/>
      <w:bookmarkStart w:id="253" w:name="_Toc29016"/>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15194"/>
      <w:bookmarkStart w:id="255" w:name="_Toc16011"/>
      <w:bookmarkStart w:id="256" w:name="_Toc25037"/>
      <w:bookmarkStart w:id="257" w:name="_Toc491"/>
      <w:r>
        <w:rPr>
          <w:rFonts w:hint="eastAsia"/>
          <w:b/>
          <w:bCs/>
          <w:color w:val="auto"/>
          <w:highlight w:val="none"/>
          <w:lang w:val="en-US" w:eastAsia="zh-CN"/>
        </w:rPr>
        <w:t>七、保密</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8277"/>
      <w:bookmarkStart w:id="259" w:name="_Toc28189"/>
      <w:bookmarkStart w:id="260" w:name="_Toc5642"/>
      <w:bookmarkStart w:id="261" w:name="_Toc14319"/>
      <w:r>
        <w:rPr>
          <w:rFonts w:hint="eastAsia"/>
          <w:b/>
          <w:bCs/>
          <w:color w:val="auto"/>
          <w:highlight w:val="none"/>
          <w:lang w:val="en-US" w:eastAsia="zh-CN"/>
        </w:rPr>
        <w:t>八、违约责任与赔偿损失</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18504"/>
      <w:bookmarkStart w:id="263" w:name="_Toc23187"/>
      <w:bookmarkStart w:id="264" w:name="_Toc24754"/>
      <w:bookmarkStart w:id="265" w:name="_Toc30679"/>
      <w:r>
        <w:rPr>
          <w:rFonts w:hint="eastAsia"/>
          <w:b/>
          <w:bCs/>
          <w:color w:val="auto"/>
          <w:highlight w:val="none"/>
          <w:lang w:val="en-US" w:eastAsia="zh-CN"/>
        </w:rPr>
        <w:t>九、争议的解决</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6856"/>
      <w:bookmarkStart w:id="267" w:name="_Toc20074"/>
      <w:bookmarkStart w:id="268" w:name="_Toc23085"/>
      <w:bookmarkStart w:id="269" w:name="_Toc21080"/>
      <w:r>
        <w:rPr>
          <w:rFonts w:hint="eastAsia"/>
          <w:b/>
          <w:bCs/>
          <w:color w:val="auto"/>
          <w:highlight w:val="none"/>
          <w:lang w:val="en-US" w:eastAsia="zh-CN"/>
        </w:rPr>
        <w:t>十、不可抗力</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16247"/>
      <w:bookmarkStart w:id="271" w:name="_Toc12645"/>
      <w:bookmarkStart w:id="272" w:name="_Toc29236"/>
      <w:bookmarkStart w:id="273" w:name="_Toc12495"/>
      <w:r>
        <w:rPr>
          <w:rFonts w:hint="eastAsia"/>
          <w:b/>
          <w:bCs/>
          <w:color w:val="auto"/>
          <w:highlight w:val="none"/>
          <w:lang w:val="en-US" w:eastAsia="zh-CN"/>
        </w:rPr>
        <w:t>十一、税费</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974"/>
      <w:bookmarkStart w:id="275" w:name="_Toc14065"/>
      <w:bookmarkStart w:id="276" w:name="_Toc16429"/>
      <w:bookmarkStart w:id="277" w:name="_Toc7253"/>
      <w:r>
        <w:rPr>
          <w:rFonts w:hint="eastAsia"/>
          <w:b/>
          <w:bCs/>
          <w:color w:val="auto"/>
          <w:highlight w:val="none"/>
          <w:lang w:val="en-US" w:eastAsia="zh-CN"/>
        </w:rPr>
        <w:t>十二、其它</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15369"/>
      <w:bookmarkStart w:id="279" w:name="_Toc31822"/>
      <w:bookmarkStart w:id="280" w:name="_Toc22153"/>
      <w:bookmarkStart w:id="281" w:name="_Toc13763"/>
      <w:r>
        <w:rPr>
          <w:rFonts w:hint="eastAsia"/>
          <w:b/>
          <w:bCs/>
          <w:color w:val="auto"/>
          <w:highlight w:val="none"/>
          <w:lang w:val="en-US" w:eastAsia="zh-CN"/>
        </w:rPr>
        <w:t>十三、合同生效</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pPr>
        <w:rPr>
          <w:rFonts w:hint="eastAsia"/>
          <w:b/>
          <w:bCs/>
          <w:color w:val="auto"/>
          <w:highlight w:val="none"/>
          <w:lang w:val="en-US" w:eastAsia="zh-CN"/>
        </w:rPr>
      </w:pPr>
      <w:r>
        <w:rPr>
          <w:rFonts w:hint="eastAsia"/>
          <w:b/>
          <w:bCs/>
          <w:color w:val="auto"/>
          <w:highlight w:val="none"/>
          <w:lang w:val="en-US" w:eastAsia="zh-CN"/>
        </w:rPr>
        <w:t>注意事项：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83" w:name="_Toc712"/>
      <w:bookmarkStart w:id="284" w:name="_Toc7065"/>
      <w:bookmarkStart w:id="285" w:name="_Toc32213"/>
      <w:bookmarkStart w:id="286" w:name="_Toc23380"/>
      <w:r>
        <w:rPr>
          <w:rFonts w:hint="eastAsia"/>
          <w:b/>
          <w:bCs/>
          <w:color w:val="auto"/>
          <w:highlight w:val="none"/>
          <w:lang w:val="en-US" w:eastAsia="zh-CN"/>
        </w:rPr>
        <w:t>（封面格式仅供参考）</w:t>
      </w:r>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24171"/>
      <w:bookmarkStart w:id="288" w:name="_Toc26688"/>
      <w:bookmarkStart w:id="289" w:name="_Toc4650"/>
      <w:bookmarkStart w:id="290" w:name="_Toc14748"/>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302"/>
      <w:bookmarkStart w:id="292" w:name="_Toc17848"/>
      <w:bookmarkStart w:id="293" w:name="_Toc25136"/>
      <w:bookmarkStart w:id="294" w:name="_Toc6353"/>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2"/>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20"/>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0"/>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2"/>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2"/>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9"/>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19106"/>
      <w:bookmarkStart w:id="296" w:name="_Toc4452"/>
      <w:bookmarkStart w:id="297" w:name="_Toc23039"/>
      <w:bookmarkStart w:id="298" w:name="_Toc17533"/>
      <w:r>
        <w:rPr>
          <w:color w:val="auto"/>
          <w:sz w:val="24"/>
          <w:szCs w:val="24"/>
          <w:highlight w:val="none"/>
        </w:rPr>
        <w:t>法定代表人证明书</w:t>
      </w:r>
      <w:bookmarkEnd w:id="295"/>
      <w:bookmarkEnd w:id="296"/>
      <w:bookmarkEnd w:id="297"/>
      <w:bookmarkEnd w:id="298"/>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2"/>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2"/>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2"/>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年度</w:t>
      </w:r>
      <w:r>
        <w:rPr>
          <w:rFonts w:hint="eastAsia" w:ascii="宋体" w:hAnsi="宋体"/>
          <w:color w:val="auto"/>
          <w:sz w:val="21"/>
          <w:szCs w:val="21"/>
          <w:highlight w:val="none"/>
          <w:lang w:val="en-US" w:eastAsia="zh-CN"/>
        </w:rPr>
        <w:t>或2022年度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2"/>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2"/>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格式十一：</w:t>
      </w:r>
    </w:p>
    <w:p>
      <w:pPr>
        <w:jc w:val="center"/>
        <w:rPr>
          <w:rFonts w:hint="default"/>
          <w:b/>
          <w:bCs/>
          <w:color w:val="auto"/>
          <w:sz w:val="24"/>
          <w:szCs w:val="32"/>
          <w:highlight w:val="none"/>
          <w:lang w:val="en-US" w:eastAsia="zh-CN"/>
        </w:rPr>
      </w:pPr>
      <w:r>
        <w:rPr>
          <w:rFonts w:hint="default"/>
          <w:b/>
          <w:bCs/>
          <w:color w:val="auto"/>
          <w:sz w:val="24"/>
          <w:szCs w:val="32"/>
          <w:highlight w:val="none"/>
          <w:lang w:val="en-US" w:eastAsia="zh-CN"/>
        </w:rPr>
        <w:t>技术要求响应表</w:t>
      </w:r>
    </w:p>
    <w:p>
      <w:pPr>
        <w:pStyle w:val="2"/>
        <w:rPr>
          <w:rFonts w:hint="default"/>
          <w:color w:val="auto"/>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磋商文件规定的技术要求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bl>
    <w:p>
      <w:pPr>
        <w:pStyle w:val="2"/>
        <w:rPr>
          <w:rFonts w:hint="default"/>
          <w:color w:val="auto"/>
          <w:highlight w:val="none"/>
          <w:lang w:val="en-US" w:eastAsia="zh-CN"/>
        </w:rPr>
      </w:pPr>
    </w:p>
    <w:p>
      <w:pPr>
        <w:rPr>
          <w:rFonts w:hint="default"/>
          <w:color w:val="auto"/>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pStyle w:val="20"/>
        <w:keepNext w:val="0"/>
        <w:keepLines w:val="0"/>
        <w:pageBreakBefore w:val="0"/>
        <w:widowControl w:val="0"/>
        <w:numPr>
          <w:ilvl w:val="0"/>
          <w:numId w:val="0"/>
        </w:numPr>
        <w:tabs>
          <w:tab w:val="left" w:pos="731"/>
        </w:tabs>
        <w:kinsoku/>
        <w:wordWrap/>
        <w:overflowPunct/>
        <w:topLinePunct w:val="0"/>
        <w:autoSpaceDE w:val="0"/>
        <w:autoSpaceDN w:val="0"/>
        <w:bidi w:val="0"/>
        <w:adjustRightInd/>
        <w:snapToGrid/>
        <w:spacing w:line="360" w:lineRule="auto"/>
        <w:ind w:left="0" w:right="0" w:rightChars="0" w:firstLine="424" w:firstLineChars="200"/>
        <w:jc w:val="left"/>
        <w:textAlignment w:val="auto"/>
        <w:rPr>
          <w:rFonts w:hint="eastAsia" w:ascii="宋体" w:hAnsi="宋体" w:eastAsia="宋体" w:cs="宋体"/>
          <w:color w:val="auto"/>
          <w:w w:val="101"/>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规定的技术要求”项下填写的内容应与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 “技术要求”的内容保持一致。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提出的</w:t>
      </w:r>
      <w:r>
        <w:rPr>
          <w:rFonts w:hint="eastAsia"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参数性质栏目按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2"/>
        <w:jc w:val="center"/>
        <w:rPr>
          <w:b/>
          <w:bCs/>
          <w:color w:val="auto"/>
          <w:sz w:val="24"/>
          <w:szCs w:val="24"/>
          <w:highlight w:val="none"/>
        </w:rPr>
      </w:pPr>
      <w:r>
        <w:rPr>
          <w:b/>
          <w:bCs/>
          <w:color w:val="auto"/>
          <w:sz w:val="24"/>
          <w:szCs w:val="24"/>
          <w:highlight w:val="none"/>
        </w:rPr>
        <w:t>商务</w:t>
      </w:r>
      <w:r>
        <w:rPr>
          <w:rFonts w:hint="eastAsia"/>
          <w:b/>
          <w:bCs/>
          <w:color w:val="auto"/>
          <w:sz w:val="24"/>
          <w:szCs w:val="24"/>
          <w:highlight w:val="none"/>
          <w:lang w:eastAsia="zh-CN"/>
        </w:rPr>
        <w:t>要求</w:t>
      </w:r>
      <w:r>
        <w:rPr>
          <w:b/>
          <w:bCs/>
          <w:color w:val="auto"/>
          <w:sz w:val="24"/>
          <w:szCs w:val="24"/>
          <w:highlight w:val="none"/>
        </w:rPr>
        <w:t>响应表</w:t>
      </w:r>
    </w:p>
    <w:p>
      <w:pPr>
        <w:rPr>
          <w:b/>
          <w:bCs/>
          <w:color w:val="auto"/>
          <w:sz w:val="24"/>
          <w:szCs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磋商文件规定的商务要求</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bl>
    <w:p>
      <w:pPr>
        <w:pStyle w:val="2"/>
        <w:rPr>
          <w:rFonts w:hint="default"/>
          <w:b w:val="0"/>
          <w:bCs w:val="0"/>
          <w:color w:val="auto"/>
          <w:sz w:val="21"/>
          <w:szCs w:val="21"/>
          <w:highlight w:val="none"/>
          <w:lang w:val="en-US" w:eastAsia="zh-CN"/>
        </w:rPr>
      </w:pPr>
    </w:p>
    <w:p>
      <w:pPr>
        <w:rPr>
          <w:rFonts w:hint="default"/>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中用户需求书的“商务要求”的内容保持一致。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3.参数性质栏目按</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299" w:name="_Toc16713"/>
      <w:bookmarkStart w:id="300" w:name="_Toc20098"/>
      <w:bookmarkStart w:id="301" w:name="_Toc10424"/>
      <w:bookmarkStart w:id="302" w:name="_Toc27833"/>
      <w:r>
        <w:rPr>
          <w:color w:val="auto"/>
          <w:highlight w:val="none"/>
        </w:rPr>
        <w:t>履约进度计划表</w:t>
      </w:r>
      <w:bookmarkEnd w:id="299"/>
      <w:bookmarkEnd w:id="300"/>
      <w:bookmarkEnd w:id="301"/>
      <w:bookmarkEnd w:id="302"/>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2"/>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03" w:name="_Toc7867"/>
      <w:bookmarkStart w:id="304" w:name="_Toc6564"/>
      <w:bookmarkStart w:id="305" w:name="_Toc2912"/>
      <w:bookmarkStart w:id="306" w:name="_Toc26415"/>
      <w:r>
        <w:rPr>
          <w:rFonts w:hint="eastAsia"/>
          <w:b/>
          <w:bCs/>
          <w:color w:val="auto"/>
          <w:sz w:val="24"/>
          <w:szCs w:val="32"/>
          <w:highlight w:val="none"/>
          <w:lang w:val="en-US" w:eastAsia="zh-CN"/>
        </w:rPr>
        <w:t>格式十四：</w:t>
      </w:r>
      <w:bookmarkEnd w:id="303"/>
      <w:bookmarkEnd w:id="304"/>
      <w:bookmarkEnd w:id="305"/>
      <w:bookmarkEnd w:id="306"/>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14919"/>
      <w:bookmarkStart w:id="308" w:name="_Toc10497"/>
      <w:bookmarkStart w:id="309" w:name="_Toc3436"/>
      <w:bookmarkStart w:id="310" w:name="_Toc3338"/>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2429"/>
      <w:bookmarkStart w:id="312" w:name="_Toc7938"/>
      <w:bookmarkStart w:id="313" w:name="_Toc26572"/>
      <w:bookmarkStart w:id="314"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25195"/>
      <w:bookmarkStart w:id="316" w:name="_Toc30382"/>
      <w:bookmarkStart w:id="317" w:name="_Toc2436"/>
      <w:bookmarkStart w:id="318" w:name="_Toc27193"/>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3970"/>
      <w:bookmarkStart w:id="320" w:name="_Toc28801"/>
      <w:bookmarkStart w:id="321" w:name="_Toc7693"/>
      <w:bookmarkStart w:id="322" w:name="_Toc32108"/>
      <w:r>
        <w:rPr>
          <w:rFonts w:hint="eastAsia" w:ascii="宋体" w:hAnsi="宋体" w:eastAsia="宋体" w:cs="宋体"/>
          <w:b/>
          <w:bCs/>
          <w:color w:val="auto"/>
          <w:sz w:val="24"/>
          <w:szCs w:val="24"/>
          <w:highlight w:val="none"/>
          <w:lang w:eastAsia="zh-CN"/>
        </w:rPr>
        <w:t>格式十五：</w:t>
      </w:r>
      <w:bookmarkEnd w:id="319"/>
      <w:bookmarkEnd w:id="320"/>
      <w:bookmarkEnd w:id="321"/>
      <w:bookmarkEnd w:id="322"/>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2"/>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23" w:name="_Toc31849"/>
      <w:bookmarkStart w:id="324" w:name="_Toc4401"/>
      <w:bookmarkStart w:id="325" w:name="_Toc11855"/>
      <w:bookmarkStart w:id="326" w:name="_Toc17430"/>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2"/>
        <w:outlineLvl w:val="1"/>
        <w:rPr>
          <w:rFonts w:hint="eastAsia"/>
          <w:b/>
          <w:bCs/>
          <w:color w:val="auto"/>
          <w:highlight w:val="none"/>
          <w:lang w:val="en-US" w:eastAsia="zh-CN"/>
        </w:rPr>
      </w:pPr>
      <w:bookmarkStart w:id="327" w:name="_Toc25747"/>
      <w:bookmarkStart w:id="328" w:name="_Toc29916"/>
      <w:bookmarkStart w:id="329" w:name="_Toc29664"/>
      <w:bookmarkStart w:id="330" w:name="_Toc2879"/>
      <w:r>
        <w:rPr>
          <w:rFonts w:hint="eastAsia"/>
          <w:b/>
          <w:bCs/>
          <w:color w:val="auto"/>
          <w:highlight w:val="none"/>
          <w:lang w:val="en-US" w:eastAsia="zh-CN"/>
        </w:rPr>
        <w:t>格式十六：</w:t>
      </w:r>
      <w:bookmarkEnd w:id="327"/>
      <w:bookmarkEnd w:id="328"/>
      <w:bookmarkEnd w:id="329"/>
      <w:bookmarkEnd w:id="330"/>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pPr>
        <w:jc w:val="center"/>
        <w:outlineLvl w:val="1"/>
        <w:rPr>
          <w:rFonts w:hint="eastAsia"/>
          <w:b/>
          <w:bCs/>
          <w:color w:val="auto"/>
          <w:highlight w:val="none"/>
          <w:lang w:val="en-US" w:eastAsia="zh-CN"/>
        </w:rPr>
      </w:pPr>
      <w:bookmarkStart w:id="332" w:name="_Toc32249"/>
      <w:bookmarkStart w:id="333" w:name="_Toc29643"/>
      <w:bookmarkStart w:id="334" w:name="_Toc23654"/>
      <w:bookmarkStart w:id="335" w:name="_Toc11568"/>
      <w:r>
        <w:rPr>
          <w:rFonts w:hint="eastAsia"/>
          <w:b/>
          <w:bCs/>
          <w:color w:val="auto"/>
          <w:highlight w:val="none"/>
          <w:lang w:val="en-US" w:eastAsia="zh-CN"/>
        </w:rPr>
        <w:t>（封面格式仅供参考）</w:t>
      </w:r>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24898"/>
      <w:bookmarkStart w:id="337" w:name="_Toc31076"/>
      <w:bookmarkStart w:id="338" w:name="_Toc5561"/>
      <w:bookmarkStart w:id="339" w:name="_Toc10015"/>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28515"/>
      <w:bookmarkStart w:id="341" w:name="_Toc77"/>
      <w:bookmarkStart w:id="342" w:name="_Toc14351"/>
      <w:bookmarkStart w:id="34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24484"/>
      <w:bookmarkStart w:id="345" w:name="_Toc7980"/>
      <w:bookmarkStart w:id="346" w:name="_Toc32100"/>
      <w:bookmarkStart w:id="347" w:name="_Toc31505"/>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20806"/>
      <w:bookmarkStart w:id="349" w:name="_Toc29661"/>
      <w:bookmarkStart w:id="350" w:name="_Toc6563"/>
      <w:bookmarkStart w:id="351" w:name="_Toc8054"/>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13609"/>
      <w:bookmarkStart w:id="353" w:name="_Toc5011"/>
      <w:bookmarkStart w:id="354" w:name="_Toc20631"/>
      <w:bookmarkStart w:id="355" w:name="_Toc3142"/>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31054"/>
      <w:bookmarkStart w:id="357" w:name="_Toc17346"/>
      <w:bookmarkStart w:id="358" w:name="_Toc31223"/>
      <w:bookmarkStart w:id="359" w:name="_Toc27439"/>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9210"/>
      <w:bookmarkStart w:id="362" w:name="_Toc20213"/>
      <w:bookmarkStart w:id="363" w:name="_Toc23814"/>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20"/>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2"/>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2"/>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center"/>
      <w:rPr>
        <w:rFonts w:hint="default" w:eastAsia="宋体"/>
        <w:lang w:val="en-US" w:eastAsia="zh-CN"/>
      </w:rPr>
    </w:pPr>
    <w:r>
      <w:rPr>
        <w:rFonts w:hint="eastAsia"/>
        <w:lang w:val="en-US" w:eastAsia="zh-CN"/>
      </w:rPr>
      <w:t>中堂镇吴家涌村新村球场升级改造工程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548041A"/>
    <w:rsid w:val="05934631"/>
    <w:rsid w:val="08DB5114"/>
    <w:rsid w:val="0B696582"/>
    <w:rsid w:val="0BE32B7B"/>
    <w:rsid w:val="0FA75340"/>
    <w:rsid w:val="13256801"/>
    <w:rsid w:val="19C92056"/>
    <w:rsid w:val="1A582588"/>
    <w:rsid w:val="1B046FEA"/>
    <w:rsid w:val="1B7876D0"/>
    <w:rsid w:val="1D091362"/>
    <w:rsid w:val="258A3E07"/>
    <w:rsid w:val="29A20A66"/>
    <w:rsid w:val="2A213986"/>
    <w:rsid w:val="2A905947"/>
    <w:rsid w:val="2B1E24BE"/>
    <w:rsid w:val="2B831207"/>
    <w:rsid w:val="2D31229C"/>
    <w:rsid w:val="2E3F0BA1"/>
    <w:rsid w:val="2EF83FF0"/>
    <w:rsid w:val="304A47CF"/>
    <w:rsid w:val="3320692B"/>
    <w:rsid w:val="339D5B51"/>
    <w:rsid w:val="33E040A0"/>
    <w:rsid w:val="33E12E57"/>
    <w:rsid w:val="39C27E7C"/>
    <w:rsid w:val="3A123017"/>
    <w:rsid w:val="3D5B0F7D"/>
    <w:rsid w:val="404E5AAB"/>
    <w:rsid w:val="414A030F"/>
    <w:rsid w:val="428651CE"/>
    <w:rsid w:val="42F66385"/>
    <w:rsid w:val="44C86AD1"/>
    <w:rsid w:val="44E63202"/>
    <w:rsid w:val="4AD05C75"/>
    <w:rsid w:val="4C22418B"/>
    <w:rsid w:val="4CBA733E"/>
    <w:rsid w:val="4E6A7DE2"/>
    <w:rsid w:val="4E862B87"/>
    <w:rsid w:val="4E9C6EA6"/>
    <w:rsid w:val="51593AA1"/>
    <w:rsid w:val="51ED4F85"/>
    <w:rsid w:val="549178FF"/>
    <w:rsid w:val="57292A79"/>
    <w:rsid w:val="5C505C32"/>
    <w:rsid w:val="5DE26737"/>
    <w:rsid w:val="5DE85889"/>
    <w:rsid w:val="5E2A2E41"/>
    <w:rsid w:val="5E8B4316"/>
    <w:rsid w:val="5EFC4014"/>
    <w:rsid w:val="64677E69"/>
    <w:rsid w:val="648B4668"/>
    <w:rsid w:val="64D3048A"/>
    <w:rsid w:val="67520D2F"/>
    <w:rsid w:val="67880920"/>
    <w:rsid w:val="6AB832FA"/>
    <w:rsid w:val="6B665B06"/>
    <w:rsid w:val="6CE545D2"/>
    <w:rsid w:val="6DCB42B6"/>
    <w:rsid w:val="6E003853"/>
    <w:rsid w:val="735656B0"/>
    <w:rsid w:val="739B0891"/>
    <w:rsid w:val="74951BFB"/>
    <w:rsid w:val="79533EEE"/>
    <w:rsid w:val="7AEF48EE"/>
    <w:rsid w:val="7B350654"/>
    <w:rsid w:val="7BF71504"/>
    <w:rsid w:val="7CE04C07"/>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1"/>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Body Text Indent 3"/>
    <w:basedOn w:val="1"/>
    <w:qFormat/>
    <w:uiPriority w:val="0"/>
    <w:pPr>
      <w:spacing w:after="120" w:afterLines="0"/>
      <w:ind w:left="420" w:leftChars="200"/>
    </w:pPr>
    <w:rPr>
      <w:sz w:val="16"/>
      <w:szCs w:val="16"/>
    </w:rPr>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paragraph" w:customStyle="1" w:styleId="19">
    <w:name w:val="_Style 3"/>
    <w:next w:val="13"/>
    <w:qFormat/>
    <w:uiPriority w:val="0"/>
    <w:pPr>
      <w:widowControl w:val="0"/>
      <w:autoSpaceDE w:val="0"/>
      <w:autoSpaceDN w:val="0"/>
      <w:adjustRightInd w:val="0"/>
      <w:spacing w:line="480" w:lineRule="exact"/>
      <w:ind w:firstLine="560"/>
    </w:pPr>
    <w:rPr>
      <w:rFonts w:ascii="宋体" w:hAnsi="宋体" w:eastAsia="宋体" w:cs="Times New Roman"/>
      <w:color w:val="000000"/>
      <w:sz w:val="28"/>
      <w:lang w:val="en-US" w:eastAsia="zh-CN" w:bidi="ar-SA"/>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WPSOffice手动目录 3"/>
    <w:qFormat/>
    <w:uiPriority w:val="0"/>
    <w:pPr>
      <w:ind w:leftChars="400"/>
    </w:pPr>
    <w:rPr>
      <w:rFonts w:asciiTheme="minorHAnsi" w:hAnsiTheme="minorHAnsi" w:eastAsiaTheme="minorEastAsia" w:cstheme="minorBidi"/>
      <w:sz w:val="20"/>
      <w:szCs w:val="20"/>
    </w:rPr>
  </w:style>
  <w:style w:type="paragraph" w:customStyle="1" w:styleId="27">
    <w:name w:val="_Style 4"/>
    <w:basedOn w:val="1"/>
    <w:qFormat/>
    <w:uiPriority w:val="0"/>
    <w:pPr>
      <w:spacing w:line="360" w:lineRule="auto"/>
      <w:ind w:firstLine="420" w:firstLineChars="200"/>
    </w:pPr>
    <w:rPr>
      <w:rFonts w:ascii="Calibri" w:hAnsi="Calibri"/>
      <w:szCs w:val="22"/>
    </w:rPr>
  </w:style>
  <w:style w:type="character" w:customStyle="1" w:styleId="28">
    <w:name w:val="font61"/>
    <w:basedOn w:val="17"/>
    <w:qFormat/>
    <w:uiPriority w:val="0"/>
    <w:rPr>
      <w:rFonts w:hint="default" w:ascii="Times New Roman" w:hAnsi="Times New Roman" w:cs="Times New Roman"/>
      <w:color w:val="000000"/>
      <w:sz w:val="20"/>
      <w:szCs w:val="20"/>
      <w:u w:val="none"/>
    </w:rPr>
  </w:style>
  <w:style w:type="character" w:customStyle="1" w:styleId="29">
    <w:name w:val="font41"/>
    <w:basedOn w:val="17"/>
    <w:qFormat/>
    <w:uiPriority w:val="0"/>
    <w:rPr>
      <w:rFonts w:hint="eastAsia" w:ascii="宋体" w:hAnsi="宋体" w:eastAsia="宋体" w:cs="宋体"/>
      <w:color w:val="000000"/>
      <w:sz w:val="20"/>
      <w:szCs w:val="20"/>
      <w:u w:val="none"/>
    </w:rPr>
  </w:style>
  <w:style w:type="character" w:customStyle="1" w:styleId="30">
    <w:name w:val="font71"/>
    <w:basedOn w:val="17"/>
    <w:qFormat/>
    <w:uiPriority w:val="0"/>
    <w:rPr>
      <w:rFonts w:hint="eastAsia" w:ascii="宋体" w:hAnsi="宋体" w:eastAsia="宋体" w:cs="宋体"/>
      <w:color w:val="000000"/>
      <w:sz w:val="20"/>
      <w:szCs w:val="20"/>
      <w:u w:val="none"/>
      <w:vertAlign w:val="superscript"/>
    </w:rPr>
  </w:style>
  <w:style w:type="character" w:customStyle="1" w:styleId="31">
    <w:name w:val="font31"/>
    <w:basedOn w:val="17"/>
    <w:qFormat/>
    <w:uiPriority w:val="0"/>
    <w:rPr>
      <w:rFonts w:hint="eastAsia" w:ascii="宋体" w:hAnsi="宋体" w:eastAsia="宋体" w:cs="宋体"/>
      <w:color w:val="000000"/>
      <w:sz w:val="20"/>
      <w:szCs w:val="20"/>
      <w:u w:val="none"/>
    </w:rPr>
  </w:style>
  <w:style w:type="character" w:customStyle="1" w:styleId="32">
    <w:name w:val="font01"/>
    <w:basedOn w:val="17"/>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31770</Words>
  <Characters>33201</Characters>
  <Lines>0</Lines>
  <Paragraphs>0</Paragraphs>
  <TotalTime>22</TotalTime>
  <ScaleCrop>false</ScaleCrop>
  <LinksUpToDate>false</LinksUpToDate>
  <CharactersWithSpaces>34838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2022-07-22T06:56:00Z</cp:lastPrinted>
  <dcterms:modified xsi:type="dcterms:W3CDTF">2023-10-11T02:12:35Z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22ED06FD48F9437BB49ED8F14F57578E_13</vt:lpwstr>
  </property>
</Properties>
</file>