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color w:val="auto"/>
          <w:highlight w:val="none"/>
          <w:lang w:val="en-US" w:eastAsia="zh-CN"/>
        </w:rPr>
      </w:pPr>
    </w:p>
    <w:p>
      <w:pPr>
        <w:jc w:val="center"/>
        <w:rPr>
          <w:color w:val="auto"/>
          <w:highlight w:val="none"/>
        </w:rPr>
      </w:pPr>
    </w:p>
    <w:p>
      <w:pPr>
        <w:jc w:val="center"/>
        <w:rPr>
          <w:color w:val="auto"/>
          <w:highlight w:val="none"/>
        </w:rPr>
      </w:pPr>
    </w:p>
    <w:p>
      <w:pPr>
        <w:jc w:val="center"/>
        <w:rPr>
          <w:color w:val="auto"/>
          <w:highlight w:val="none"/>
        </w:rPr>
      </w:pPr>
    </w:p>
    <w:p>
      <w:pPr>
        <w:spacing w:before="156" w:beforeLines="50" w:after="156" w:afterLines="50"/>
        <w:jc w:val="center"/>
        <w:outlineLvl w:val="0"/>
        <w:rPr>
          <w:b/>
          <w:bCs/>
          <w:color w:val="auto"/>
          <w:sz w:val="52"/>
          <w:szCs w:val="72"/>
          <w:highlight w:val="none"/>
        </w:rPr>
      </w:pPr>
      <w:bookmarkStart w:id="0" w:name="_Toc25865"/>
      <w:bookmarkStart w:id="1" w:name="_Toc7243"/>
      <w:bookmarkStart w:id="2" w:name="_Toc16489"/>
      <w:bookmarkStart w:id="3" w:name="_Toc7942"/>
      <w:r>
        <w:rPr>
          <w:rFonts w:hint="eastAsia"/>
          <w:b/>
          <w:bCs/>
          <w:color w:val="auto"/>
          <w:sz w:val="52"/>
          <w:szCs w:val="72"/>
          <w:highlight w:val="none"/>
        </w:rPr>
        <w:t>国内采购</w:t>
      </w:r>
      <w:bookmarkEnd w:id="0"/>
      <w:bookmarkEnd w:id="1"/>
      <w:bookmarkEnd w:id="2"/>
      <w:bookmarkEnd w:id="3"/>
    </w:p>
    <w:p>
      <w:pPr>
        <w:spacing w:before="156" w:beforeLines="50" w:after="156" w:afterLines="50"/>
        <w:jc w:val="center"/>
        <w:outlineLvl w:val="0"/>
        <w:rPr>
          <w:b/>
          <w:bCs/>
          <w:color w:val="auto"/>
          <w:sz w:val="52"/>
          <w:szCs w:val="72"/>
          <w:highlight w:val="none"/>
        </w:rPr>
      </w:pPr>
      <w:bookmarkStart w:id="4" w:name="_Toc9385"/>
      <w:bookmarkStart w:id="5" w:name="_Toc15158"/>
      <w:bookmarkStart w:id="6" w:name="_Toc8734"/>
      <w:bookmarkStart w:id="7" w:name="_Toc20638"/>
      <w:r>
        <w:rPr>
          <w:rFonts w:hint="eastAsia"/>
          <w:b/>
          <w:bCs/>
          <w:color w:val="auto"/>
          <w:sz w:val="52"/>
          <w:szCs w:val="72"/>
          <w:highlight w:val="none"/>
        </w:rPr>
        <w:t>竞争性磋商文件</w:t>
      </w:r>
      <w:bookmarkEnd w:id="4"/>
      <w:bookmarkEnd w:id="5"/>
      <w:bookmarkEnd w:id="6"/>
      <w:bookmarkEnd w:id="7"/>
    </w:p>
    <w:p>
      <w:pPr>
        <w:spacing w:before="156" w:beforeLines="50" w:after="156"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p>
      <w:pPr>
        <w:rPr>
          <w:color w:val="auto"/>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exact"/>
        </w:trPr>
        <w:tc>
          <w:tcPr>
            <w:tcW w:w="2277" w:type="dxa"/>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6245" w:type="dxa"/>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广东省特种设备检测研究院东莞检测院网络安全服务项目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6245" w:type="dxa"/>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GSDG2023-040C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采购人：</w:t>
            </w:r>
          </w:p>
        </w:tc>
        <w:tc>
          <w:tcPr>
            <w:tcW w:w="6245" w:type="dxa"/>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广东省特种设备检测研究院东莞检测院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采购代理机构：</w:t>
            </w:r>
          </w:p>
        </w:tc>
        <w:tc>
          <w:tcPr>
            <w:tcW w:w="6245" w:type="dxa"/>
            <w:tcBorders>
              <w:top w:val="nil"/>
              <w:left w:val="nil"/>
              <w:bottom w:val="nil"/>
              <w:right w:val="nil"/>
            </w:tcBorders>
            <w:vAlign w:val="center"/>
          </w:tcPr>
          <w:p>
            <w:pPr>
              <w:jc w:val="both"/>
              <w:rPr>
                <w:rFonts w:hint="default"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pgSz w:w="11906" w:h="16838"/>
          <w:pgMar w:top="1440" w:right="1800" w:bottom="1440" w:left="1800" w:header="851" w:footer="992" w:gutter="0"/>
          <w:cols w:space="425" w:num="1"/>
          <w:titlePg/>
          <w:docGrid w:type="lines" w:linePitch="312" w:charSpace="0"/>
        </w:sectPr>
      </w:pPr>
      <w:bookmarkStart w:id="8" w:name="_Toc4164"/>
      <w:bookmarkStart w:id="9" w:name="_Toc17050"/>
      <w:bookmarkStart w:id="10" w:name="_Toc18278"/>
      <w:bookmarkStart w:id="11" w:name="_Toc5265"/>
      <w:r>
        <w:rPr>
          <w:rFonts w:hint="eastAsia" w:ascii="黑体" w:hAnsi="黑体" w:eastAsia="黑体" w:cs="黑体"/>
          <w:color w:val="auto"/>
          <w:sz w:val="30"/>
          <w:szCs w:val="30"/>
          <w:highlight w:val="none"/>
        </w:rPr>
        <w:t>2023年</w:t>
      </w:r>
      <w:r>
        <w:rPr>
          <w:rFonts w:hint="eastAsia" w:ascii="黑体" w:hAnsi="黑体" w:eastAsia="黑体" w:cs="黑体"/>
          <w:color w:val="auto"/>
          <w:sz w:val="30"/>
          <w:szCs w:val="30"/>
          <w:highlight w:val="none"/>
          <w:lang w:val="en-US" w:eastAsia="zh-CN"/>
        </w:rPr>
        <w:t>12</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5</w:t>
      </w:r>
      <w:r>
        <w:rPr>
          <w:rFonts w:hint="eastAsia" w:ascii="黑体" w:hAnsi="黑体" w:eastAsia="黑体" w:cs="黑体"/>
          <w:color w:val="auto"/>
          <w:sz w:val="30"/>
          <w:szCs w:val="30"/>
          <w:highlight w:val="none"/>
        </w:rPr>
        <w:t>日</w:t>
      </w:r>
      <w:bookmarkEnd w:id="8"/>
      <w:bookmarkEnd w:id="9"/>
      <w:bookmarkEnd w:id="10"/>
      <w:bookmarkEnd w:id="11"/>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15"/>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r>
            <w:rPr>
              <w:color w:val="auto"/>
              <w:highlight w:val="none"/>
            </w:rPr>
            <w:fldChar w:fldCharType="begin"/>
          </w:r>
          <w:r>
            <w:rPr>
              <w:color w:val="auto"/>
              <w:highlight w:val="none"/>
            </w:rPr>
            <w:instrText xml:space="preserve"> HYPERLINK \l "_Toc27497" </w:instrText>
          </w:r>
          <w:r>
            <w:rPr>
              <w:color w:val="auto"/>
              <w:highlight w:val="none"/>
            </w:rPr>
            <w:fldChar w:fldCharType="separate"/>
          </w:r>
          <w:r>
            <w:rPr>
              <w:rFonts w:hint="eastAsia"/>
              <w:color w:val="auto"/>
              <w:highlight w:val="none"/>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"_Toc26573" </w:instrText>
          </w:r>
          <w:r>
            <w:rPr>
              <w:color w:val="auto"/>
              <w:highlight w:val="none"/>
            </w:rPr>
            <w:fldChar w:fldCharType="separate"/>
          </w:r>
          <w:r>
            <w:rPr>
              <w:rFonts w:hint="eastAsia"/>
              <w:color w:val="auto"/>
              <w:highlight w:val="none"/>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7"/>
            <w:tabs>
              <w:tab w:val="right" w:leader="dot" w:pos="8306"/>
            </w:tabs>
            <w:rPr>
              <w:color w:val="auto"/>
              <w:highlight w:val="none"/>
            </w:rPr>
          </w:pPr>
          <w:r>
            <w:rPr>
              <w:color w:val="auto"/>
              <w:highlight w:val="none"/>
            </w:rPr>
            <w:fldChar w:fldCharType="begin"/>
          </w:r>
          <w:r>
            <w:rPr>
              <w:color w:val="auto"/>
              <w:highlight w:val="none"/>
            </w:rPr>
            <w:instrText xml:space="preserve"> HYPERLINK \l "_Toc30510" </w:instrText>
          </w:r>
          <w:r>
            <w:rPr>
              <w:color w:val="auto"/>
              <w:highlight w:val="none"/>
            </w:rPr>
            <w:fldChar w:fldCharType="separate"/>
          </w:r>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7"/>
            <w:tabs>
              <w:tab w:val="right" w:leader="dot" w:pos="8306"/>
            </w:tabs>
            <w:rPr>
              <w:color w:val="auto"/>
              <w:highlight w:val="none"/>
            </w:rPr>
          </w:pPr>
          <w:r>
            <w:rPr>
              <w:color w:val="auto"/>
              <w:highlight w:val="none"/>
            </w:rPr>
            <w:fldChar w:fldCharType="begin"/>
          </w:r>
          <w:r>
            <w:rPr>
              <w:color w:val="auto"/>
              <w:highlight w:val="none"/>
            </w:rPr>
            <w:instrText xml:space="preserve"> HYPERLINK \l "_Toc32123" </w:instrText>
          </w:r>
          <w:r>
            <w:rPr>
              <w:color w:val="auto"/>
              <w:highlight w:val="none"/>
            </w:rPr>
            <w:fldChar w:fldCharType="separate"/>
          </w:r>
          <w:r>
            <w:rPr>
              <w:rFonts w:hint="eastAsia"/>
              <w:color w:val="auto"/>
              <w:highlight w:val="none"/>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"_Toc30834"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"_Toc7271"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"_Toc30379"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"_Toc18277" </w:instrText>
          </w:r>
          <w:r>
            <w:rPr>
              <w:color w:val="auto"/>
              <w:highlight w:val="none"/>
            </w:rPr>
            <w:fldChar w:fldCharType="separate"/>
          </w:r>
          <w:r>
            <w:rPr>
              <w:rFonts w:hint="eastAsia"/>
              <w:color w:val="auto"/>
              <w:highlight w:val="none"/>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"_Toc24793"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"_Toc13064" </w:instrText>
          </w:r>
          <w:r>
            <w:rPr>
              <w:color w:val="auto"/>
              <w:highlight w:val="none"/>
            </w:rPr>
            <w:fldChar w:fldCharType="separate"/>
          </w:r>
          <w:r>
            <w:rPr>
              <w:rFonts w:hint="eastAsia"/>
              <w:color w:val="auto"/>
              <w:highlight w:val="none"/>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"_Toc23688" </w:instrText>
          </w:r>
          <w:r>
            <w:rPr>
              <w:color w:val="auto"/>
              <w:highlight w:val="none"/>
            </w:rPr>
            <w:fldChar w:fldCharType="separate"/>
          </w:r>
          <w:r>
            <w:rPr>
              <w:rFonts w:hint="eastAsia"/>
              <w:color w:val="auto"/>
              <w:highlight w:val="none"/>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"_Toc19660" </w:instrText>
          </w:r>
          <w:r>
            <w:rPr>
              <w:color w:val="auto"/>
              <w:highlight w:val="none"/>
            </w:rPr>
            <w:fldChar w:fldCharType="separate"/>
          </w:r>
          <w:r>
            <w:rPr>
              <w:rFonts w:hint="eastAsia"/>
              <w:color w:val="auto"/>
              <w:highlight w:val="none"/>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"_Toc3812" </w:instrText>
          </w:r>
          <w:r>
            <w:rPr>
              <w:color w:val="auto"/>
              <w:highlight w:val="none"/>
            </w:rPr>
            <w:fldChar w:fldCharType="separate"/>
          </w:r>
          <w:r>
            <w:rPr>
              <w:rFonts w:hint="eastAsia"/>
              <w:color w:val="auto"/>
              <w:highlight w:val="none"/>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"_Toc17507" </w:instrText>
          </w:r>
          <w:r>
            <w:rPr>
              <w:color w:val="auto"/>
              <w:highlight w:val="none"/>
            </w:rPr>
            <w:fldChar w:fldCharType="separate"/>
          </w:r>
          <w:r>
            <w:rPr>
              <w:rFonts w:hint="eastAsia"/>
              <w:color w:val="auto"/>
              <w:highlight w:val="none"/>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"_Toc21308" </w:instrText>
          </w:r>
          <w:r>
            <w:rPr>
              <w:color w:val="auto"/>
              <w:highlight w:val="none"/>
            </w:rPr>
            <w:fldChar w:fldCharType="separate"/>
          </w:r>
          <w:r>
            <w:rPr>
              <w:rFonts w:hint="eastAsia"/>
              <w:color w:val="auto"/>
              <w:highlight w:val="none"/>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"_Toc28835" </w:instrText>
          </w:r>
          <w:r>
            <w:rPr>
              <w:color w:val="auto"/>
              <w:highlight w:val="none"/>
            </w:rPr>
            <w:fldChar w:fldCharType="separate"/>
          </w:r>
          <w:r>
            <w:rPr>
              <w:rFonts w:hint="eastAsia"/>
              <w:color w:val="auto"/>
              <w:highlight w:val="none"/>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"_Toc29388" </w:instrText>
          </w:r>
          <w:r>
            <w:rPr>
              <w:color w:val="auto"/>
              <w:highlight w:val="none"/>
            </w:rPr>
            <w:fldChar w:fldCharType="separate"/>
          </w:r>
          <w:r>
            <w:rPr>
              <w:rFonts w:hint="eastAsia"/>
              <w:color w:val="auto"/>
              <w:highlight w:val="none"/>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"_Toc29860" </w:instrText>
          </w:r>
          <w:r>
            <w:rPr>
              <w:color w:val="auto"/>
              <w:highlight w:val="none"/>
            </w:rPr>
            <w:fldChar w:fldCharType="separate"/>
          </w:r>
          <w:r>
            <w:rPr>
              <w:rFonts w:hint="eastAsia"/>
              <w:color w:val="auto"/>
              <w:highlight w:val="none"/>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"_Toc20435" </w:instrText>
          </w:r>
          <w:r>
            <w:rPr>
              <w:color w:val="auto"/>
              <w:highlight w:val="none"/>
            </w:rPr>
            <w:fldChar w:fldCharType="separate"/>
          </w:r>
          <w:r>
            <w:rPr>
              <w:rFonts w:hint="eastAsia"/>
              <w:color w:val="auto"/>
              <w:highlight w:val="none"/>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"_Toc28431" </w:instrText>
          </w:r>
          <w:r>
            <w:rPr>
              <w:color w:val="auto"/>
              <w:highlight w:val="none"/>
            </w:rPr>
            <w:fldChar w:fldCharType="separate"/>
          </w:r>
          <w:r>
            <w:rPr>
              <w:rFonts w:hint="eastAsia"/>
              <w:color w:val="auto"/>
              <w:highlight w:val="none"/>
            </w:rPr>
            <w:t>16.响应保证金</w:t>
          </w:r>
          <w:r>
            <w:rPr>
              <w:rFonts w:hint="eastAsia" w:ascii="宋体" w:hAnsi="宋体" w:cs="宋体"/>
              <w:color w:val="auto"/>
              <w:szCs w:val="21"/>
              <w:highlight w:val="none"/>
            </w:rPr>
            <w:t>（本项目不需要）</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"_Toc17970" </w:instrText>
          </w:r>
          <w:r>
            <w:rPr>
              <w:color w:val="auto"/>
              <w:highlight w:val="none"/>
            </w:rPr>
            <w:fldChar w:fldCharType="separate"/>
          </w:r>
          <w:r>
            <w:rPr>
              <w:rFonts w:hint="eastAsia"/>
              <w:color w:val="auto"/>
              <w:highlight w:val="none"/>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"_Toc3249" </w:instrText>
          </w:r>
          <w:r>
            <w:rPr>
              <w:color w:val="auto"/>
              <w:highlight w:val="none"/>
            </w:rPr>
            <w:fldChar w:fldCharType="separate"/>
          </w:r>
          <w:r>
            <w:rPr>
              <w:rFonts w:hint="eastAsia"/>
              <w:color w:val="auto"/>
              <w:highlight w:val="none"/>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"_Toc22059" </w:instrText>
          </w:r>
          <w:r>
            <w:rPr>
              <w:color w:val="auto"/>
              <w:highlight w:val="none"/>
            </w:rPr>
            <w:fldChar w:fldCharType="separate"/>
          </w:r>
          <w:r>
            <w:rPr>
              <w:rFonts w:hint="eastAsia"/>
              <w:color w:val="auto"/>
              <w:highlight w:val="none"/>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"_Toc24777" </w:instrText>
          </w:r>
          <w:r>
            <w:rPr>
              <w:color w:val="auto"/>
              <w:highlight w:val="none"/>
            </w:rPr>
            <w:fldChar w:fldCharType="separate"/>
          </w:r>
          <w:r>
            <w:rPr>
              <w:rFonts w:hint="eastAsia"/>
              <w:color w:val="auto"/>
              <w:highlight w:val="none"/>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"_Toc4603" </w:instrText>
          </w:r>
          <w:r>
            <w:rPr>
              <w:color w:val="auto"/>
              <w:highlight w:val="none"/>
            </w:rPr>
            <w:fldChar w:fldCharType="separate"/>
          </w:r>
          <w:r>
            <w:rPr>
              <w:rFonts w:hint="eastAsia"/>
              <w:color w:val="auto"/>
              <w:highlight w:val="none"/>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"_Toc14512" </w:instrText>
          </w:r>
          <w:r>
            <w:rPr>
              <w:color w:val="auto"/>
              <w:highlight w:val="none"/>
            </w:rPr>
            <w:fldChar w:fldCharType="separate"/>
          </w:r>
          <w:r>
            <w:rPr>
              <w:rFonts w:hint="eastAsia"/>
              <w:color w:val="auto"/>
              <w:highlight w:val="none"/>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"_Toc19811" </w:instrText>
          </w:r>
          <w:r>
            <w:rPr>
              <w:color w:val="auto"/>
              <w:highlight w:val="none"/>
            </w:rPr>
            <w:fldChar w:fldCharType="separate"/>
          </w:r>
          <w:r>
            <w:rPr>
              <w:rFonts w:hint="eastAsia"/>
              <w:color w:val="auto"/>
              <w:highlight w:val="none"/>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"_Toc3525" </w:instrText>
          </w:r>
          <w:r>
            <w:rPr>
              <w:color w:val="auto"/>
              <w:highlight w:val="none"/>
            </w:rPr>
            <w:fldChar w:fldCharType="separate"/>
          </w:r>
          <w:r>
            <w:rPr>
              <w:rFonts w:hint="eastAsia"/>
              <w:color w:val="auto"/>
              <w:highlight w:val="none"/>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"_Toc18014" </w:instrText>
          </w:r>
          <w:r>
            <w:rPr>
              <w:color w:val="auto"/>
              <w:highlight w:val="none"/>
            </w:rPr>
            <w:fldChar w:fldCharType="separate"/>
          </w:r>
          <w:r>
            <w:rPr>
              <w:rFonts w:hint="eastAsia"/>
              <w:color w:val="auto"/>
              <w:highlight w:val="none"/>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"_Toc4041"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"_Toc30865"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"_Toc21265" </w:instrText>
          </w:r>
          <w:r>
            <w:rPr>
              <w:color w:val="auto"/>
              <w:highlight w:val="none"/>
            </w:rPr>
            <w:fldChar w:fldCharType="separate"/>
          </w:r>
          <w:r>
            <w:rPr>
              <w:rFonts w:hint="eastAsia"/>
              <w:color w:val="auto"/>
              <w:highlight w:val="none"/>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"_Toc6459" </w:instrText>
          </w:r>
          <w:r>
            <w:rPr>
              <w:color w:val="auto"/>
              <w:highlight w:val="none"/>
            </w:rPr>
            <w:fldChar w:fldCharType="separate"/>
          </w:r>
          <w:r>
            <w:rPr>
              <w:rFonts w:hint="eastAsia"/>
              <w:color w:val="auto"/>
              <w:highlight w:val="none"/>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"_Toc18733"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"_Toc26547" </w:instrText>
          </w:r>
          <w:r>
            <w:rPr>
              <w:color w:val="auto"/>
              <w:highlight w:val="none"/>
            </w:rPr>
            <w:fldChar w:fldCharType="separate"/>
          </w:r>
          <w:r>
            <w:rPr>
              <w:rFonts w:hint="eastAsia"/>
              <w:color w:val="auto"/>
              <w:highlight w:val="none"/>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"_Toc8191"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"_Toc29929"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"_Toc20102"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"_Toc2896" </w:instrText>
          </w:r>
          <w:r>
            <w:rPr>
              <w:color w:val="auto"/>
              <w:highlight w:val="none"/>
            </w:rPr>
            <w:fldChar w:fldCharType="separate"/>
          </w:r>
          <w:r>
            <w:rPr>
              <w:rFonts w:hint="eastAsia"/>
              <w:color w:val="auto"/>
              <w:highlight w:val="none"/>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"_Toc12503" </w:instrText>
          </w:r>
          <w:r>
            <w:rPr>
              <w:color w:val="auto"/>
              <w:highlight w:val="none"/>
            </w:rPr>
            <w:fldChar w:fldCharType="separate"/>
          </w:r>
          <w:r>
            <w:rPr>
              <w:rFonts w:hint="eastAsia"/>
              <w:color w:val="auto"/>
              <w:highlight w:val="none"/>
            </w:rPr>
            <w:t>第七篇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"_Toc30888"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1"/>
        </w:numPr>
        <w:rPr>
          <w:color w:val="auto"/>
          <w:highlight w:val="none"/>
        </w:rPr>
      </w:pPr>
      <w:bookmarkStart w:id="12" w:name="_Toc27497"/>
      <w:r>
        <w:rPr>
          <w:rFonts w:hint="eastAsia"/>
          <w:color w:val="auto"/>
          <w:highlight w:val="none"/>
        </w:rPr>
        <w:t>磋商邀请</w:t>
      </w:r>
      <w:bookmarkEnd w:id="12"/>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lang w:eastAsia="zh-CN"/>
        </w:rPr>
        <w:t>广东省特种设备检测研究院东莞检测院网络安全服务项目</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采购项目的潜在供应商应在</w:t>
      </w:r>
      <w:r>
        <w:rPr>
          <w:rFonts w:hint="eastAsia" w:ascii="宋体" w:hAnsi="宋体" w:cs="宋体"/>
          <w:b/>
          <w:bCs/>
          <w:color w:val="auto"/>
          <w:szCs w:val="21"/>
          <w:highlight w:val="none"/>
          <w:u w:val="single"/>
        </w:rPr>
        <w:t>东莞市南城街道鸿福西路81号国际商会大厦13A层01室</w:t>
      </w:r>
      <w:r>
        <w:rPr>
          <w:rFonts w:hint="eastAsia" w:ascii="宋体" w:hAnsi="宋体" w:cs="宋体"/>
          <w:color w:val="auto"/>
          <w:szCs w:val="21"/>
          <w:highlight w:val="none"/>
        </w:rPr>
        <w:t>获取磋商文件，并于</w:t>
      </w:r>
      <w:r>
        <w:rPr>
          <w:rFonts w:hint="eastAsia" w:ascii="宋体" w:hAnsi="宋体" w:cs="宋体"/>
          <w:b/>
          <w:bCs/>
          <w:color w:val="auto"/>
          <w:szCs w:val="21"/>
          <w:highlight w:val="none"/>
          <w:u w:val="single"/>
        </w:rPr>
        <w:t>2023年</w:t>
      </w:r>
      <w:r>
        <w:rPr>
          <w:rFonts w:hint="eastAsia" w:ascii="宋体" w:hAnsi="宋体" w:cs="宋体"/>
          <w:b/>
          <w:bCs/>
          <w:color w:val="auto"/>
          <w:szCs w:val="21"/>
          <w:highlight w:val="none"/>
          <w:u w:val="single"/>
          <w:lang w:val="en-US" w:eastAsia="zh-CN"/>
        </w:rPr>
        <w:t>12</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19</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09</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rPr>
        <w:t>（北京时间）前递交响应文件</w:t>
      </w:r>
      <w:r>
        <w:rPr>
          <w:rFonts w:hint="eastAsia" w:ascii="宋体" w:hAnsi="宋体" w:cs="宋体"/>
          <w:color w:val="auto"/>
          <w:szCs w:val="21"/>
          <w:highlight w:val="none"/>
        </w:rPr>
        <w:t>。</w:t>
      </w:r>
    </w:p>
    <w:p>
      <w:pPr>
        <w:pStyle w:val="4"/>
        <w:spacing w:before="0" w:after="0" w:line="360" w:lineRule="auto"/>
        <w:jc w:val="left"/>
        <w:rPr>
          <w:rFonts w:ascii="宋体" w:hAnsi="宋体" w:cs="宋体"/>
          <w:bCs/>
          <w:color w:val="auto"/>
          <w:sz w:val="21"/>
          <w:szCs w:val="21"/>
          <w:highlight w:val="none"/>
        </w:rPr>
      </w:pPr>
      <w:bookmarkStart w:id="13" w:name="_Toc31624"/>
      <w:bookmarkStart w:id="14" w:name="_Toc35393621"/>
      <w:bookmarkStart w:id="15" w:name="_Toc13782"/>
      <w:bookmarkStart w:id="16" w:name="_Toc28359002"/>
      <w:bookmarkStart w:id="17" w:name="_Toc35393790"/>
      <w:bookmarkStart w:id="18" w:name="_Toc28359079"/>
      <w:bookmarkStart w:id="19" w:name="_Toc2169"/>
      <w:bookmarkStart w:id="20" w:name="_Toc26796"/>
      <w:bookmarkStart w:id="21" w:name="_Hlk24379207"/>
      <w:r>
        <w:rPr>
          <w:rFonts w:hint="eastAsia" w:ascii="宋体" w:hAnsi="宋体" w:cs="宋体"/>
          <w:bCs/>
          <w:color w:val="auto"/>
          <w:sz w:val="21"/>
          <w:szCs w:val="21"/>
          <w:highlight w:val="none"/>
        </w:rPr>
        <w:t>一、项目基本情况</w:t>
      </w:r>
      <w:bookmarkEnd w:id="13"/>
      <w:bookmarkEnd w:id="14"/>
      <w:bookmarkEnd w:id="15"/>
      <w:bookmarkEnd w:id="16"/>
      <w:bookmarkEnd w:id="17"/>
      <w:bookmarkEnd w:id="18"/>
      <w:bookmarkEnd w:id="19"/>
      <w:bookmarkEnd w:id="20"/>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项目编号：GSDG2023-040C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广东省特种设备检测研究院东莞检测院网络安全服务项目</w:t>
      </w:r>
    </w:p>
    <w:bookmarkEnd w:id="21"/>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预算金额：</w:t>
      </w:r>
      <w:r>
        <w:rPr>
          <w:rFonts w:hint="eastAsia" w:ascii="宋体" w:hAnsi="宋体" w:cs="宋体"/>
          <w:b/>
          <w:bCs/>
          <w:color w:val="auto"/>
          <w:szCs w:val="21"/>
          <w:highlight w:val="none"/>
        </w:rPr>
        <w:t>¥</w:t>
      </w:r>
      <w:r>
        <w:rPr>
          <w:rFonts w:hint="eastAsia" w:ascii="宋体" w:hAnsi="宋体" w:cs="宋体"/>
          <w:b/>
          <w:bCs/>
          <w:color w:val="auto"/>
          <w:szCs w:val="21"/>
          <w:highlight w:val="none"/>
        </w:rPr>
        <w:t>300,000.00元</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大写人民币：叁拾万元整</w:t>
      </w:r>
      <w:r>
        <w:rPr>
          <w:rFonts w:hint="eastAsia" w:ascii="宋体" w:hAnsi="宋体" w:cs="宋体"/>
          <w:b/>
          <w:bCs/>
          <w:color w:val="auto"/>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20"/>
        <w:tblW w:w="90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3696"/>
        <w:gridCol w:w="4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4" w:type="dxa"/>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3696"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4306" w:type="dxa"/>
            <w:vAlign w:val="center"/>
          </w:tcPr>
          <w:p>
            <w:pPr>
              <w:spacing w:line="360" w:lineRule="auto"/>
              <w:jc w:val="center"/>
              <w:rPr>
                <w:rFonts w:hAnsi="宋体"/>
                <w:b/>
                <w:color w:val="auto"/>
                <w:szCs w:val="21"/>
                <w:highlight w:val="none"/>
              </w:rPr>
            </w:pPr>
            <w:r>
              <w:rPr>
                <w:rFonts w:hint="eastAsia" w:hAnsi="宋体"/>
                <w:b/>
                <w:color w:val="auto"/>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044" w:type="dxa"/>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3696" w:type="dxa"/>
            <w:vAlign w:val="center"/>
          </w:tcPr>
          <w:p>
            <w:pPr>
              <w:spacing w:line="360" w:lineRule="auto"/>
              <w:jc w:val="center"/>
              <w:rPr>
                <w:rFonts w:hAnsi="宋体"/>
                <w:color w:val="auto"/>
                <w:szCs w:val="21"/>
                <w:highlight w:val="none"/>
              </w:rPr>
            </w:pPr>
            <w:r>
              <w:rPr>
                <w:rFonts w:hint="eastAsia" w:hAnsi="宋体"/>
                <w:color w:val="auto"/>
                <w:szCs w:val="21"/>
                <w:highlight w:val="none"/>
                <w:lang w:eastAsia="zh-CN"/>
              </w:rPr>
              <w:t>广东省特种设备检测研究院东莞检测院网络安全服务项目</w:t>
            </w:r>
            <w:r>
              <w:rPr>
                <w:rFonts w:hint="eastAsia" w:hAnsi="宋体"/>
                <w:color w:val="auto"/>
                <w:szCs w:val="21"/>
                <w:highlight w:val="none"/>
              </w:rPr>
              <w:t>采购一项</w:t>
            </w:r>
          </w:p>
        </w:tc>
        <w:tc>
          <w:tcPr>
            <w:tcW w:w="4306" w:type="dxa"/>
            <w:vAlign w:val="center"/>
          </w:tcPr>
          <w:p>
            <w:pPr>
              <w:spacing w:line="360" w:lineRule="auto"/>
              <w:jc w:val="center"/>
              <w:rPr>
                <w:rFonts w:hAnsi="宋体"/>
                <w:color w:val="auto"/>
                <w:szCs w:val="21"/>
                <w:highlight w:val="none"/>
              </w:rPr>
            </w:pPr>
            <w:r>
              <w:rPr>
                <w:rFonts w:hint="eastAsia" w:ascii="宋体" w:hAnsi="宋体" w:cs="宋体"/>
                <w:bCs/>
                <w:color w:val="auto"/>
                <w:szCs w:val="21"/>
                <w:highlight w:val="none"/>
              </w:rPr>
              <w:t>项目服务期为一年。（具体以签订时间为准）</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简要技术要求或采购项目的性质：详细内容请参阅竞争性磋商文件第三篇《用户需求书》</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3、合同履行期限：</w:t>
      </w:r>
      <w:r>
        <w:rPr>
          <w:rFonts w:hint="eastAsia" w:ascii="宋体" w:hAnsi="宋体" w:cs="宋体"/>
          <w:bCs/>
          <w:color w:val="auto"/>
          <w:szCs w:val="21"/>
          <w:highlight w:val="none"/>
        </w:rPr>
        <w:t>项目服务期为一年。（具体以签订时间为准）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本项目不接受联合体响应。</w:t>
      </w:r>
    </w:p>
    <w:p>
      <w:pPr>
        <w:pStyle w:val="4"/>
        <w:spacing w:before="0" w:after="0" w:line="360" w:lineRule="auto"/>
        <w:jc w:val="left"/>
        <w:rPr>
          <w:rFonts w:ascii="宋体" w:hAnsi="宋体" w:cs="宋体"/>
          <w:b w:val="0"/>
          <w:color w:val="auto"/>
          <w:sz w:val="21"/>
          <w:szCs w:val="21"/>
          <w:highlight w:val="none"/>
        </w:rPr>
      </w:pPr>
      <w:bookmarkStart w:id="22" w:name="_Toc25198"/>
      <w:bookmarkStart w:id="23" w:name="_Toc35393791"/>
      <w:bookmarkStart w:id="24" w:name="_Toc31691"/>
      <w:bookmarkStart w:id="25" w:name="_Toc13371"/>
      <w:bookmarkStart w:id="26" w:name="_Toc28625"/>
      <w:bookmarkStart w:id="27" w:name="_Toc28359080"/>
      <w:bookmarkStart w:id="28" w:name="_Toc28359003"/>
      <w:bookmarkStart w:id="29" w:name="_Toc35393622"/>
      <w:r>
        <w:rPr>
          <w:rFonts w:hint="eastAsia" w:ascii="宋体" w:hAnsi="宋体" w:cs="宋体"/>
          <w:bCs/>
          <w:color w:val="auto"/>
          <w:sz w:val="21"/>
          <w:szCs w:val="21"/>
          <w:highlight w:val="none"/>
        </w:rPr>
        <w:t>二、申请人的资格要求：</w:t>
      </w:r>
      <w:bookmarkEnd w:id="22"/>
      <w:bookmarkEnd w:id="23"/>
      <w:bookmarkEnd w:id="24"/>
      <w:bookmarkEnd w:id="25"/>
      <w:bookmarkEnd w:id="26"/>
      <w:bookmarkEnd w:id="27"/>
      <w:bookmarkEnd w:id="28"/>
      <w:bookmarkEnd w:id="29"/>
    </w:p>
    <w:p>
      <w:pPr>
        <w:widowControl/>
        <w:spacing w:line="360" w:lineRule="auto"/>
        <w:ind w:firstLine="420" w:firstLineChars="200"/>
        <w:outlineLvl w:val="2"/>
        <w:rPr>
          <w:rFonts w:ascii="宋体" w:hAnsi="宋体"/>
          <w:color w:val="auto"/>
          <w:szCs w:val="21"/>
          <w:highlight w:val="none"/>
        </w:rPr>
      </w:pPr>
      <w:bookmarkStart w:id="30" w:name="_Toc7315"/>
      <w:bookmarkStart w:id="31" w:name="_Toc29919"/>
      <w:bookmarkStart w:id="32" w:name="_Toc16211"/>
      <w:bookmarkStart w:id="33" w:name="_Toc8265"/>
      <w:bookmarkStart w:id="34" w:name="_Toc28359004"/>
      <w:bookmarkStart w:id="35" w:name="_Toc28359081"/>
      <w:r>
        <w:rPr>
          <w:rFonts w:hint="eastAsia" w:ascii="宋体" w:hAnsi="宋体"/>
          <w:color w:val="auto"/>
          <w:szCs w:val="21"/>
          <w:highlight w:val="none"/>
        </w:rPr>
        <w:t>1.供应商应具备《政府采购法》第二十二条规定的条件，提供下列材料：</w:t>
      </w:r>
      <w:bookmarkEnd w:id="30"/>
      <w:bookmarkEnd w:id="31"/>
      <w:bookmarkEnd w:id="32"/>
      <w:bookmarkEnd w:id="33"/>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widowControl/>
        <w:spacing w:line="360" w:lineRule="auto"/>
        <w:ind w:firstLine="420" w:firstLineChars="200"/>
        <w:rPr>
          <w:color w:val="auto"/>
          <w:sz w:val="20"/>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3）具有良好的商业信誉和健全的财务会计制度：供应商必须具有良好的商业信誉和健全的财务会计制度（提供2021年度或2022年度财务状况报告或基本开户行出具的资信证明）。</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w:t>
      </w:r>
      <w:r>
        <w:rPr>
          <w:rFonts w:hint="eastAsia"/>
          <w:color w:val="auto"/>
          <w:sz w:val="20"/>
          <w:highlight w:val="none"/>
        </w:rPr>
        <w:t>（或提供相关承诺函）</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响应）。为本项目提供整体设计、规范编制或者项目管理、监理、检测等服务的供应商，不得再参与本项目投标（响应）。</w:t>
      </w:r>
    </w:p>
    <w:p>
      <w:pPr>
        <w:widowControl/>
        <w:spacing w:line="360" w:lineRule="auto"/>
        <w:ind w:firstLine="420" w:firstLineChars="200"/>
        <w:outlineLvl w:val="2"/>
        <w:rPr>
          <w:rFonts w:ascii="宋体" w:hAnsi="宋体"/>
          <w:color w:val="auto"/>
          <w:szCs w:val="21"/>
          <w:highlight w:val="none"/>
        </w:rPr>
      </w:pPr>
      <w:bookmarkStart w:id="36" w:name="_Toc4071"/>
      <w:bookmarkStart w:id="37" w:name="_Toc16617"/>
      <w:bookmarkStart w:id="38" w:name="_Toc18344"/>
      <w:bookmarkStart w:id="39" w:name="_Toc26119"/>
      <w:r>
        <w:rPr>
          <w:rFonts w:hint="eastAsia" w:ascii="宋体" w:hAnsi="宋体"/>
          <w:color w:val="auto"/>
          <w:szCs w:val="21"/>
          <w:highlight w:val="none"/>
        </w:rPr>
        <w:t>2.本项目的特定资格要求：</w:t>
      </w:r>
      <w:bookmarkEnd w:id="36"/>
      <w:bookmarkEnd w:id="37"/>
      <w:bookmarkEnd w:id="38"/>
      <w:bookmarkEnd w:id="39"/>
    </w:p>
    <w:p>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pPr>
        <w:pStyle w:val="4"/>
        <w:spacing w:before="0" w:after="0" w:line="360" w:lineRule="auto"/>
        <w:jc w:val="left"/>
        <w:rPr>
          <w:rFonts w:ascii="宋体" w:hAnsi="宋体" w:cs="宋体"/>
          <w:bCs/>
          <w:color w:val="auto"/>
          <w:sz w:val="21"/>
          <w:szCs w:val="21"/>
          <w:highlight w:val="none"/>
        </w:rPr>
      </w:pPr>
      <w:bookmarkStart w:id="40" w:name="_Toc173"/>
      <w:bookmarkStart w:id="41" w:name="_Toc35393792"/>
      <w:bookmarkStart w:id="42" w:name="_Toc35393623"/>
      <w:bookmarkStart w:id="43" w:name="_Toc27443"/>
      <w:bookmarkStart w:id="44" w:name="_Toc2137"/>
      <w:bookmarkStart w:id="45" w:name="_Toc18578"/>
      <w:r>
        <w:rPr>
          <w:rFonts w:hint="eastAsia" w:ascii="宋体" w:hAnsi="宋体" w:cs="宋体"/>
          <w:bCs/>
          <w:color w:val="auto"/>
          <w:sz w:val="21"/>
          <w:szCs w:val="21"/>
          <w:highlight w:val="none"/>
        </w:rPr>
        <w:t>三、获取</w:t>
      </w:r>
      <w:bookmarkEnd w:id="34"/>
      <w:bookmarkEnd w:id="35"/>
      <w:bookmarkEnd w:id="40"/>
      <w:bookmarkEnd w:id="41"/>
      <w:bookmarkEnd w:id="42"/>
      <w:r>
        <w:rPr>
          <w:rFonts w:hint="eastAsia" w:ascii="宋体" w:hAnsi="宋体" w:cs="宋体"/>
          <w:bCs/>
          <w:color w:val="auto"/>
          <w:sz w:val="21"/>
          <w:szCs w:val="21"/>
          <w:highlight w:val="none"/>
        </w:rPr>
        <w:t>竞争性磋商文件</w:t>
      </w:r>
      <w:bookmarkEnd w:id="43"/>
      <w:bookmarkEnd w:id="44"/>
      <w:bookmarkEnd w:id="45"/>
    </w:p>
    <w:p>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1、项目公示时间：2023年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日起至2023年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w:t>
      </w:r>
    </w:p>
    <w:p>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2、获取竞争性磋商文件时间：2023年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日起至2023年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 xml:space="preserve">日（节假日除外），上午9：00～12：00，下午14：30～17：30（北京时间）； </w:t>
      </w:r>
    </w:p>
    <w:p>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注：（1）现场支持现金支付、微信支付、支付宝支付等支付方式，现场填写“获取磋商文件登记表”并将相应表格交予我司简小姐。</w:t>
      </w:r>
    </w:p>
    <w:p>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（2）竞争性磋商文件电子版可在相关招标信息公告下自行下载。</w:t>
      </w:r>
    </w:p>
    <w:p>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3、获取竞争性磋商文件地点：东莞市南城街道鸿福西路81号国际商会大厦13A层01室；</w:t>
      </w:r>
    </w:p>
    <w:p>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6"/>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供应商在领购竞争性磋商文件时须提供如下证明材料：《营业执照》复印件（加盖公章）或《事业单位法人证书》复印件（加盖公章）或其他主体证书复印件（加盖公章），自然人参加响应须提供自然人的身份证明材料（未按上述方式获取竞争性磋商文件的供应商，其响应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售价：¥300.00元</w:t>
      </w:r>
    </w:p>
    <w:p>
      <w:pPr>
        <w:pStyle w:val="4"/>
        <w:spacing w:before="0" w:after="0" w:line="360" w:lineRule="auto"/>
        <w:jc w:val="left"/>
        <w:rPr>
          <w:rFonts w:ascii="宋体" w:hAnsi="宋体" w:cs="宋体"/>
          <w:bCs/>
          <w:color w:val="auto"/>
          <w:sz w:val="21"/>
          <w:szCs w:val="21"/>
          <w:highlight w:val="none"/>
        </w:rPr>
      </w:pPr>
      <w:bookmarkStart w:id="46" w:name="_Toc28359082"/>
      <w:bookmarkStart w:id="47" w:name="_Toc28359005"/>
      <w:bookmarkStart w:id="48" w:name="_Toc28435"/>
      <w:bookmarkStart w:id="49" w:name="_Toc35393793"/>
      <w:bookmarkStart w:id="50" w:name="_Toc10322"/>
      <w:bookmarkStart w:id="51" w:name="_Toc28585"/>
      <w:bookmarkStart w:id="52" w:name="_Toc35393624"/>
      <w:bookmarkStart w:id="53" w:name="_Toc27404"/>
      <w:r>
        <w:rPr>
          <w:rFonts w:hint="eastAsia" w:ascii="宋体" w:hAnsi="宋体" w:cs="宋体"/>
          <w:bCs/>
          <w:color w:val="auto"/>
          <w:sz w:val="21"/>
          <w:szCs w:val="21"/>
          <w:highlight w:val="none"/>
        </w:rPr>
        <w:t>四、提交</w:t>
      </w:r>
      <w:bookmarkEnd w:id="46"/>
      <w:bookmarkEnd w:id="47"/>
      <w:r>
        <w:rPr>
          <w:rFonts w:hint="eastAsia" w:ascii="宋体" w:hAnsi="宋体" w:cs="宋体"/>
          <w:bCs/>
          <w:color w:val="auto"/>
          <w:sz w:val="21"/>
          <w:szCs w:val="21"/>
          <w:highlight w:val="none"/>
        </w:rPr>
        <w:t>响应文件截止时间、开启时间和地点</w:t>
      </w:r>
      <w:bookmarkEnd w:id="48"/>
      <w:bookmarkEnd w:id="49"/>
      <w:bookmarkEnd w:id="50"/>
      <w:bookmarkEnd w:id="51"/>
      <w:bookmarkEnd w:id="52"/>
      <w:bookmarkEnd w:id="53"/>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截止时间：</w:t>
      </w:r>
      <w:r>
        <w:rPr>
          <w:rFonts w:hint="eastAsia" w:ascii="宋体" w:hAnsi="宋体" w:cs="宋体"/>
          <w:bCs/>
          <w:color w:val="auto"/>
          <w:szCs w:val="21"/>
          <w:highlight w:val="none"/>
          <w:u w:val="single"/>
        </w:rPr>
        <w:t xml:space="preserve"> 2023年</w:t>
      </w:r>
      <w:r>
        <w:rPr>
          <w:rFonts w:hint="eastAsia" w:ascii="宋体" w:hAnsi="宋体" w:cs="宋体"/>
          <w:bCs/>
          <w:color w:val="auto"/>
          <w:szCs w:val="21"/>
          <w:highlight w:val="none"/>
          <w:u w:val="single"/>
          <w:lang w:val="en-US" w:eastAsia="zh-CN"/>
        </w:rPr>
        <w:t>12</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19</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09</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地点：东莞市南城街道鸿福西路81号国际商会大厦13A层01室。</w:t>
      </w:r>
    </w:p>
    <w:p>
      <w:pPr>
        <w:pStyle w:val="4"/>
        <w:spacing w:before="0" w:after="0" w:line="360" w:lineRule="auto"/>
        <w:jc w:val="left"/>
        <w:rPr>
          <w:rFonts w:ascii="宋体" w:hAnsi="宋体" w:cs="宋体"/>
          <w:bCs/>
          <w:color w:val="auto"/>
          <w:sz w:val="21"/>
          <w:szCs w:val="21"/>
          <w:highlight w:val="none"/>
        </w:rPr>
      </w:pPr>
      <w:bookmarkStart w:id="54" w:name="_Toc25695"/>
      <w:bookmarkStart w:id="55" w:name="_Toc17857"/>
      <w:bookmarkStart w:id="56" w:name="_Toc35393794"/>
      <w:bookmarkStart w:id="57" w:name="_Toc28359007"/>
      <w:bookmarkStart w:id="58" w:name="_Toc35393625"/>
      <w:bookmarkStart w:id="59" w:name="_Toc1202"/>
      <w:bookmarkStart w:id="60" w:name="_Toc28359084"/>
      <w:bookmarkStart w:id="61" w:name="_Toc26299"/>
      <w:r>
        <w:rPr>
          <w:rFonts w:hint="eastAsia" w:ascii="宋体" w:hAnsi="宋体" w:cs="宋体"/>
          <w:bCs/>
          <w:color w:val="auto"/>
          <w:sz w:val="21"/>
          <w:szCs w:val="21"/>
          <w:highlight w:val="none"/>
        </w:rPr>
        <w:t>五、公告期限</w:t>
      </w:r>
      <w:bookmarkEnd w:id="54"/>
      <w:bookmarkEnd w:id="55"/>
      <w:bookmarkEnd w:id="56"/>
      <w:bookmarkEnd w:id="57"/>
      <w:bookmarkEnd w:id="58"/>
      <w:bookmarkEnd w:id="59"/>
      <w:bookmarkEnd w:id="60"/>
      <w:bookmarkEnd w:id="6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pStyle w:val="4"/>
        <w:spacing w:before="0" w:after="0" w:line="360" w:lineRule="auto"/>
        <w:jc w:val="left"/>
        <w:rPr>
          <w:rFonts w:ascii="宋体" w:hAnsi="宋体" w:cs="宋体"/>
          <w:bCs/>
          <w:color w:val="auto"/>
          <w:sz w:val="21"/>
          <w:szCs w:val="21"/>
          <w:highlight w:val="none"/>
        </w:rPr>
      </w:pPr>
      <w:bookmarkStart w:id="62" w:name="_Toc25010"/>
      <w:bookmarkStart w:id="63" w:name="_Toc35393626"/>
      <w:bookmarkStart w:id="64" w:name="_Toc9116"/>
      <w:bookmarkStart w:id="65" w:name="_Toc35393795"/>
      <w:bookmarkStart w:id="66" w:name="_Toc6612"/>
      <w:bookmarkStart w:id="67" w:name="_Toc1519"/>
      <w:r>
        <w:rPr>
          <w:rFonts w:hint="eastAsia" w:ascii="宋体" w:hAnsi="宋体" w:cs="宋体"/>
          <w:bCs/>
          <w:color w:val="auto"/>
          <w:sz w:val="21"/>
          <w:szCs w:val="21"/>
          <w:highlight w:val="none"/>
        </w:rPr>
        <w:t>六、其他补充事宜</w:t>
      </w:r>
      <w:bookmarkEnd w:id="62"/>
      <w:bookmarkEnd w:id="63"/>
      <w:bookmarkEnd w:id="64"/>
      <w:bookmarkEnd w:id="65"/>
      <w:bookmarkEnd w:id="66"/>
      <w:bookmarkEnd w:id="67"/>
    </w:p>
    <w:p>
      <w:pPr>
        <w:widowControl/>
        <w:spacing w:line="360" w:lineRule="auto"/>
        <w:ind w:firstLine="420" w:firstLineChars="200"/>
        <w:rPr>
          <w:rFonts w:ascii="宋体" w:hAnsi="宋体"/>
          <w:color w:val="auto"/>
          <w:szCs w:val="21"/>
          <w:highlight w:val="none"/>
        </w:rPr>
      </w:pPr>
      <w:bookmarkStart w:id="68" w:name="_Toc28359085"/>
      <w:bookmarkStart w:id="69" w:name="_Toc35393627"/>
      <w:bookmarkStart w:id="70" w:name="_Toc35393796"/>
      <w:bookmarkStart w:id="71" w:name="_Toc28359008"/>
      <w:r>
        <w:rPr>
          <w:rFonts w:hint="eastAsia" w:ascii="宋体" w:hAnsi="宋体"/>
          <w:color w:val="auto"/>
          <w:szCs w:val="21"/>
          <w:highlight w:val="none"/>
        </w:rPr>
        <w:t>1、</w:t>
      </w:r>
      <w:r>
        <w:rPr>
          <w:rFonts w:hint="eastAsia" w:ascii="宋体" w:hAnsi="宋体" w:cs="宋体"/>
          <w:color w:val="auto"/>
          <w:szCs w:val="21"/>
          <w:highlight w:val="none"/>
        </w:rPr>
        <w:t>竞争性磋商文件</w:t>
      </w:r>
      <w:r>
        <w:rPr>
          <w:rFonts w:hint="eastAsia" w:ascii="宋体" w:hAnsi="宋体"/>
          <w:color w:val="auto"/>
          <w:szCs w:val="21"/>
          <w:highlight w:val="none"/>
        </w:rPr>
        <w:t>公示/下载媒体</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中国政府采购网(http://www.ccgp.gov.cn/)以及国顺招标网（http://www.guoshunzb.com/）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供应商须在规定时间内按要求获取竞争性磋商文件后方可参与本项目的响应。获取竞争性磋商文件后而不参加投标（响应）的潜在供应商，请在提交响应文件截止日期三日前以书面形式通知采购代理机构。</w:t>
      </w:r>
    </w:p>
    <w:p>
      <w:pPr>
        <w:pStyle w:val="4"/>
        <w:spacing w:before="0" w:after="0" w:line="360" w:lineRule="auto"/>
        <w:jc w:val="left"/>
        <w:rPr>
          <w:rFonts w:ascii="宋体" w:hAnsi="宋体" w:cs="宋体"/>
          <w:bCs/>
          <w:color w:val="auto"/>
          <w:sz w:val="21"/>
          <w:szCs w:val="21"/>
          <w:highlight w:val="none"/>
        </w:rPr>
      </w:pPr>
      <w:bookmarkStart w:id="72" w:name="_Toc12281"/>
      <w:bookmarkStart w:id="73" w:name="_Toc22586"/>
      <w:bookmarkStart w:id="74" w:name="_Toc8358"/>
      <w:bookmarkStart w:id="75" w:name="_Toc5139"/>
      <w:r>
        <w:rPr>
          <w:rFonts w:hint="eastAsia" w:ascii="宋体" w:hAnsi="宋体" w:cs="宋体"/>
          <w:bCs/>
          <w:color w:val="auto"/>
          <w:sz w:val="21"/>
          <w:szCs w:val="21"/>
          <w:highlight w:val="none"/>
        </w:rPr>
        <w:t>七、对本次采购提出询问，请按以下方式联系。</w:t>
      </w:r>
      <w:bookmarkEnd w:id="68"/>
      <w:bookmarkEnd w:id="69"/>
      <w:bookmarkEnd w:id="70"/>
      <w:bookmarkEnd w:id="71"/>
      <w:bookmarkEnd w:id="72"/>
      <w:bookmarkEnd w:id="73"/>
      <w:bookmarkEnd w:id="74"/>
      <w:bookmarkEnd w:id="75"/>
    </w:p>
    <w:p>
      <w:pPr>
        <w:widowControl/>
        <w:spacing w:line="360" w:lineRule="auto"/>
        <w:outlineLvl w:val="2"/>
        <w:rPr>
          <w:rFonts w:ascii="宋体" w:hAnsi="宋体" w:cs="宋体"/>
          <w:b/>
          <w:bCs/>
          <w:color w:val="auto"/>
          <w:szCs w:val="21"/>
          <w:highlight w:val="none"/>
        </w:rPr>
      </w:pPr>
      <w:bookmarkStart w:id="76" w:name="_Toc30277"/>
      <w:bookmarkStart w:id="77" w:name="_Toc7403"/>
      <w:bookmarkStart w:id="78" w:name="_Toc31577"/>
      <w:bookmarkStart w:id="79" w:name="_Toc30615"/>
      <w:r>
        <w:rPr>
          <w:rFonts w:hint="eastAsia" w:ascii="宋体" w:hAnsi="宋体" w:cs="宋体"/>
          <w:b/>
          <w:bCs/>
          <w:color w:val="auto"/>
          <w:szCs w:val="21"/>
          <w:highlight w:val="none"/>
        </w:rPr>
        <w:t>1.采购人信息</w:t>
      </w:r>
      <w:bookmarkEnd w:id="76"/>
      <w:bookmarkEnd w:id="77"/>
      <w:bookmarkEnd w:id="78"/>
      <w:bookmarkEnd w:id="79"/>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名  称：广东省特种设备检测研究院东莞检测院　　　　　　　　　　　　</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bCs/>
          <w:color w:val="auto"/>
          <w:szCs w:val="21"/>
          <w:highlight w:val="none"/>
        </w:rPr>
        <w:t>广东省东莞市东城区主山高田坊莞温路552号市场监督管理局东城办公区4号楼</w:t>
      </w:r>
      <w:r>
        <w:rPr>
          <w:rFonts w:hint="eastAsia" w:ascii="宋体" w:hAnsi="宋体" w:cs="宋体"/>
          <w:color w:val="auto"/>
          <w:szCs w:val="21"/>
          <w:highlight w:val="none"/>
        </w:rPr>
        <w:t>　　　　　　　　　　　　</w:t>
      </w:r>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联系人：周先生</w:t>
      </w:r>
      <w:bookmarkStart w:id="380" w:name="_GoBack"/>
      <w:bookmarkEnd w:id="380"/>
    </w:p>
    <w:p>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联系方式：</w:t>
      </w:r>
      <w:bookmarkStart w:id="80" w:name="_Toc28359086"/>
      <w:bookmarkStart w:id="81" w:name="_Toc28359009"/>
      <w:r>
        <w:rPr>
          <w:rFonts w:hint="eastAsia" w:ascii="宋体" w:hAnsi="宋体" w:cs="宋体"/>
          <w:color w:val="auto"/>
          <w:szCs w:val="21"/>
          <w:highlight w:val="none"/>
        </w:rPr>
        <w:t>0769-23061866</w:t>
      </w:r>
    </w:p>
    <w:p>
      <w:pPr>
        <w:spacing w:line="360" w:lineRule="auto"/>
        <w:ind w:left="264" w:hanging="264" w:hangingChars="125"/>
        <w:outlineLvl w:val="2"/>
        <w:rPr>
          <w:rFonts w:ascii="宋体" w:hAnsi="宋体" w:cs="宋体"/>
          <w:b/>
          <w:bCs/>
          <w:color w:val="auto"/>
          <w:szCs w:val="21"/>
          <w:highlight w:val="none"/>
        </w:rPr>
      </w:pPr>
      <w:bookmarkStart w:id="82" w:name="_Toc10880"/>
      <w:bookmarkStart w:id="83" w:name="_Toc4580"/>
      <w:bookmarkStart w:id="84" w:name="_Toc25259"/>
      <w:bookmarkStart w:id="85" w:name="_Toc11561"/>
      <w:r>
        <w:rPr>
          <w:rFonts w:hint="eastAsia" w:ascii="宋体" w:hAnsi="宋体" w:cs="宋体"/>
          <w:b/>
          <w:bCs/>
          <w:color w:val="auto"/>
          <w:szCs w:val="21"/>
          <w:highlight w:val="none"/>
        </w:rPr>
        <w:t>2.采购代理机构信息</w:t>
      </w:r>
      <w:bookmarkEnd w:id="80"/>
      <w:bookmarkEnd w:id="81"/>
      <w:bookmarkEnd w:id="82"/>
      <w:bookmarkEnd w:id="83"/>
      <w:bookmarkEnd w:id="84"/>
      <w:bookmarkEnd w:id="85"/>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址：东莞市南城街道鸿福西路81号国际商会大厦13A层01室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86" w:name="_Toc28359010"/>
      <w:bookmarkStart w:id="87" w:name="_Toc28359087"/>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88" w:name="_Toc9440"/>
      <w:bookmarkStart w:id="89" w:name="_Toc28659"/>
      <w:bookmarkStart w:id="90" w:name="_Toc15543"/>
      <w:bookmarkStart w:id="91" w:name="_Toc18257"/>
      <w:r>
        <w:rPr>
          <w:rFonts w:hint="eastAsia" w:ascii="宋体" w:hAnsi="宋体" w:cs="宋体"/>
          <w:b/>
          <w:bCs/>
          <w:color w:val="auto"/>
          <w:szCs w:val="21"/>
          <w:highlight w:val="none"/>
        </w:rPr>
        <w:t>3.项目联系方式</w:t>
      </w:r>
      <w:bookmarkEnd w:id="86"/>
      <w:bookmarkEnd w:id="87"/>
      <w:bookmarkEnd w:id="88"/>
      <w:bookmarkEnd w:id="89"/>
      <w:bookmarkEnd w:id="90"/>
      <w:bookmarkEnd w:id="91"/>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1"/>
        </w:numPr>
        <w:spacing w:before="0" w:after="0" w:line="360" w:lineRule="auto"/>
        <w:rPr>
          <w:color w:val="auto"/>
          <w:highlight w:val="none"/>
        </w:rPr>
      </w:pPr>
      <w:bookmarkStart w:id="92" w:name="_Toc26573"/>
      <w:r>
        <w:rPr>
          <w:rFonts w:hint="eastAsia"/>
          <w:color w:val="auto"/>
          <w:highlight w:val="none"/>
        </w:rPr>
        <w:t>供应商须知</w:t>
      </w:r>
      <w:bookmarkEnd w:id="92"/>
    </w:p>
    <w:p>
      <w:pPr>
        <w:pStyle w:val="4"/>
        <w:spacing w:before="0" w:after="0" w:line="360" w:lineRule="auto"/>
        <w:rPr>
          <w:color w:val="auto"/>
          <w:highlight w:val="none"/>
          <w:lang w:val="zh-CN"/>
        </w:rPr>
      </w:pPr>
      <w:bookmarkStart w:id="93" w:name="_Toc413402429"/>
      <w:bookmarkStart w:id="94" w:name="_Toc497983494"/>
      <w:bookmarkStart w:id="95" w:name="_Toc396137231"/>
      <w:bookmarkStart w:id="96" w:name="_Toc30510"/>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bookmarkEnd w:id="93"/>
      <w:bookmarkEnd w:id="94"/>
      <w:bookmarkEnd w:id="95"/>
      <w:bookmarkEnd w:id="96"/>
    </w:p>
    <w:tbl>
      <w:tblPr>
        <w:tblStyle w:val="20"/>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采购人不集中组织，由供应商自行踏勘。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供应商应准备一份“报价文件”、一份“响应文件电子文件”、一份正本和三份副本“响应文件”。在每一份响应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响应报价超出本项目采购预算金额/最高限价的为无效标。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响应保证金（本项目不需要）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color w:val="auto"/>
                <w:highlight w:val="none"/>
              </w:rPr>
            </w:pPr>
            <w:r>
              <w:rPr>
                <w:rFonts w:hint="eastAsia" w:ascii="宋体" w:hAnsi="宋体" w:cs="宋体"/>
                <w:color w:val="auto"/>
                <w:szCs w:val="21"/>
                <w:highlight w:val="none"/>
              </w:rPr>
              <w:t>响应</w:t>
            </w:r>
            <w:r>
              <w:rPr>
                <w:rFonts w:hint="eastAsia"/>
                <w:color w:val="auto"/>
                <w:highlight w:val="none"/>
              </w:rPr>
              <w:t>保证金金额：</w:t>
            </w:r>
            <w:r>
              <w:rPr>
                <w:rFonts w:hint="eastAsia"/>
                <w:b/>
                <w:bCs/>
                <w:color w:val="auto"/>
                <w:highlight w:val="none"/>
              </w:rPr>
              <w:t>/</w:t>
            </w:r>
            <w:r>
              <w:rPr>
                <w:rFonts w:hint="eastAsia"/>
                <w:color w:val="auto"/>
                <w:highlight w:val="none"/>
              </w:rPr>
              <w:t>。</w:t>
            </w:r>
          </w:p>
          <w:p>
            <w:pPr>
              <w:spacing w:line="360" w:lineRule="auto"/>
              <w:jc w:val="both"/>
              <w:rPr>
                <w:color w:val="auto"/>
                <w:highlight w:val="none"/>
              </w:rPr>
            </w:pPr>
            <w:r>
              <w:rPr>
                <w:rFonts w:hint="eastAsia" w:ascii="宋体" w:hAnsi="宋体" w:cs="宋体"/>
                <w:color w:val="auto"/>
                <w:szCs w:val="21"/>
                <w:highlight w:val="none"/>
              </w:rPr>
              <w:t>响应</w:t>
            </w:r>
            <w:r>
              <w:rPr>
                <w:rFonts w:hint="eastAsia"/>
                <w:color w:val="auto"/>
                <w:highlight w:val="none"/>
              </w:rPr>
              <w:t>保证金账户：</w:t>
            </w:r>
          </w:p>
          <w:p>
            <w:pPr>
              <w:spacing w:line="360" w:lineRule="auto"/>
              <w:jc w:val="both"/>
              <w:rPr>
                <w:color w:val="auto"/>
                <w:highlight w:val="none"/>
              </w:rPr>
            </w:pPr>
            <w:r>
              <w:rPr>
                <w:rFonts w:hint="eastAsia"/>
                <w:color w:val="auto"/>
                <w:highlight w:val="none"/>
              </w:rPr>
              <w:t>开户名称：国顺招标有限公司</w:t>
            </w:r>
          </w:p>
          <w:p>
            <w:pPr>
              <w:spacing w:line="360" w:lineRule="auto"/>
              <w:jc w:val="both"/>
              <w:rPr>
                <w:color w:val="auto"/>
                <w:highlight w:val="none"/>
              </w:rPr>
            </w:pPr>
            <w:r>
              <w:rPr>
                <w:rFonts w:hint="eastAsia"/>
                <w:color w:val="auto"/>
                <w:highlight w:val="none"/>
              </w:rPr>
              <w:t>开户银行：广发银行股份有限公司东莞城区支行</w:t>
            </w:r>
          </w:p>
          <w:p>
            <w:pPr>
              <w:spacing w:line="360" w:lineRule="auto"/>
              <w:jc w:val="both"/>
              <w:rPr>
                <w:color w:val="auto"/>
                <w:highlight w:val="none"/>
              </w:rPr>
            </w:pPr>
            <w:r>
              <w:rPr>
                <w:rFonts w:hint="eastAsia"/>
                <w:color w:val="auto"/>
                <w:highlight w:val="none"/>
              </w:rPr>
              <w:t>账号</w:t>
            </w:r>
            <w:r>
              <w:rPr>
                <w:rFonts w:hint="eastAsia" w:ascii="宋体" w:hAnsi="宋体" w:cs="宋体"/>
                <w:color w:val="auto"/>
                <w:highlight w:val="none"/>
              </w:rPr>
              <w:t>：9550880226934600216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磋商小组</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磋商小组成员共</w:t>
            </w:r>
            <w:r>
              <w:rPr>
                <w:rFonts w:hint="eastAsia" w:ascii="宋体" w:hAnsi="宋体" w:cs="宋体"/>
                <w:b/>
                <w:color w:val="auto"/>
                <w:szCs w:val="21"/>
                <w:highlight w:val="none"/>
                <w:u w:val="single"/>
              </w:rPr>
              <w:t xml:space="preserve"> 3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其中采购人代表1名；技术、经济等方面的专家</w:t>
            </w:r>
            <w:r>
              <w:rPr>
                <w:rFonts w:hint="eastAsia" w:ascii="宋体" w:hAnsi="宋体" w:cs="宋体"/>
                <w:b/>
                <w:color w:val="auto"/>
                <w:szCs w:val="21"/>
                <w:highlight w:val="none"/>
                <w:u w:val="single"/>
              </w:rPr>
              <w:t>2</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olor w:val="auto"/>
                <w:szCs w:val="21"/>
                <w:highlight w:val="none"/>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履约保证金（如有需要）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color w:val="auto"/>
                <w:sz w:val="21"/>
                <w:szCs w:val="21"/>
                <w:highlight w:val="none"/>
                <w:lang w:val="en-US" w:eastAsia="zh-CN"/>
              </w:rPr>
              <w:t>成交人应在领取成交通知书之后签订合同之前递交履约保证金</w:t>
            </w:r>
            <w:r>
              <w:rPr>
                <w:rFonts w:ascii="宋体" w:hAnsi="宋体" w:eastAsia="宋体"/>
                <w:color w:val="auto"/>
                <w:sz w:val="21"/>
                <w:szCs w:val="21"/>
                <w:highlight w:val="none"/>
              </w:rPr>
              <w:t>，应按以上规定的金额，采用履约保证金保函形式向采购人提供履约保函。</w:t>
            </w:r>
          </w:p>
          <w:p>
            <w:pPr>
              <w:spacing w:line="360" w:lineRule="auto"/>
              <w:rPr>
                <w:rFonts w:ascii="宋体" w:hAnsi="宋体" w:cs="宋体"/>
                <w:b/>
                <w:bCs/>
                <w:color w:val="auto"/>
                <w:szCs w:val="21"/>
                <w:highlight w:val="none"/>
              </w:rPr>
            </w:pPr>
            <w:r>
              <w:rPr>
                <w:rFonts w:hint="eastAsia" w:ascii="宋体" w:hAnsi="宋体" w:eastAsia="宋体"/>
                <w:color w:val="auto"/>
                <w:sz w:val="21"/>
                <w:szCs w:val="21"/>
                <w:highlight w:val="none"/>
              </w:rPr>
              <w:t>注:保函可由银行或第三方有资质公司出具,相应办理可咨询代理公司报名处。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成交服务费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3"/>
              </w:numPr>
              <w:spacing w:line="360" w:lineRule="auto"/>
              <w:rPr>
                <w:rFonts w:ascii="宋体" w:hAnsi="宋体" w:cs="宋体"/>
                <w:color w:val="auto"/>
                <w:highlight w:val="none"/>
              </w:rPr>
            </w:pPr>
            <w:r>
              <w:rPr>
                <w:rFonts w:hint="eastAsia" w:ascii="宋体" w:hAnsi="宋体" w:cs="宋体"/>
                <w:color w:val="auto"/>
                <w:highlight w:val="none"/>
              </w:rPr>
              <w:t>成交服务费参照国家计委[计价格[2002]1980号]文和国家发改委[发改价格[2011]534号]文及相关规定向成交单位收取，按差额定率累进法计算，以成交通知书中确定的成交总金额作为收费的计算参照；成交服务费最低收费标准为陆仟元整。</w:t>
            </w:r>
          </w:p>
          <w:p>
            <w:pPr>
              <w:spacing w:line="360" w:lineRule="auto"/>
              <w:rPr>
                <w:color w:val="auto"/>
                <w:highlight w:val="none"/>
              </w:rPr>
            </w:pPr>
            <w:r>
              <w:rPr>
                <w:rFonts w:hint="eastAsia"/>
                <w:color w:val="auto"/>
                <w:highlight w:val="none"/>
              </w:rPr>
              <w:t>（2）成交服务费以转账或现金的形式支付。采购代理机构服务费汇入账号：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4"/>
        <w:numPr>
          <w:ilvl w:val="0"/>
          <w:numId w:val="4"/>
        </w:numPr>
        <w:rPr>
          <w:color w:val="auto"/>
          <w:highlight w:val="none"/>
        </w:rPr>
      </w:pPr>
      <w:bookmarkStart w:id="97" w:name="_Toc32123"/>
      <w:r>
        <w:rPr>
          <w:rFonts w:hint="eastAsia"/>
          <w:color w:val="auto"/>
          <w:highlight w:val="none"/>
        </w:rPr>
        <w:t>供应商须知</w:t>
      </w:r>
      <w:bookmarkEnd w:id="97"/>
    </w:p>
    <w:p>
      <w:pPr>
        <w:pStyle w:val="5"/>
        <w:rPr>
          <w:color w:val="auto"/>
          <w:highlight w:val="none"/>
        </w:rPr>
      </w:pPr>
      <w:bookmarkStart w:id="98" w:name="_Toc10658"/>
      <w:bookmarkStart w:id="99" w:name="_Toc30834"/>
      <w:bookmarkStart w:id="100" w:name="_Toc8083"/>
      <w:r>
        <w:rPr>
          <w:rFonts w:hint="eastAsia"/>
          <w:color w:val="auto"/>
          <w:highlight w:val="none"/>
        </w:rPr>
        <w:t>1.适用范围</w:t>
      </w:r>
      <w:bookmarkEnd w:id="98"/>
      <w:bookmarkEnd w:id="99"/>
      <w:bookmarkEnd w:id="100"/>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本竞争性磋商文件仅适用于本次采购邀请中所叙述的项目</w:t>
      </w:r>
    </w:p>
    <w:p>
      <w:pPr>
        <w:widowControl/>
        <w:adjustRightInd w:val="0"/>
        <w:snapToGrid w:val="0"/>
        <w:spacing w:line="400" w:lineRule="exact"/>
        <w:rPr>
          <w:rFonts w:ascii="Tahoma" w:hAnsi="Tahoma" w:eastAsia="微软雅黑"/>
          <w:color w:val="auto"/>
          <w:kern w:val="0"/>
          <w:sz w:val="22"/>
          <w:szCs w:val="22"/>
          <w:highlight w:val="none"/>
        </w:rPr>
      </w:pPr>
    </w:p>
    <w:p>
      <w:pPr>
        <w:pStyle w:val="5"/>
        <w:rPr>
          <w:color w:val="auto"/>
          <w:highlight w:val="none"/>
        </w:rPr>
      </w:pPr>
      <w:bookmarkStart w:id="101" w:name="_Toc25237"/>
      <w:bookmarkStart w:id="102" w:name="_Toc7271"/>
      <w:bookmarkStart w:id="103" w:name="_Toc720"/>
      <w:r>
        <w:rPr>
          <w:rFonts w:hint="eastAsia"/>
          <w:color w:val="auto"/>
          <w:highlight w:val="none"/>
        </w:rPr>
        <w:t>2.</w:t>
      </w:r>
      <w:bookmarkStart w:id="104" w:name="_Toc303084246"/>
      <w:bookmarkStart w:id="105" w:name="_Toc1530"/>
      <w:bookmarkStart w:id="106" w:name="_Toc298847174"/>
      <w:bookmarkStart w:id="107" w:name="_Toc382049092"/>
      <w:r>
        <w:rPr>
          <w:rFonts w:hint="eastAsia"/>
          <w:color w:val="auto"/>
          <w:highlight w:val="none"/>
        </w:rPr>
        <w:t>定义</w:t>
      </w:r>
      <w:bookmarkEnd w:id="101"/>
      <w:bookmarkEnd w:id="102"/>
      <w:bookmarkEnd w:id="103"/>
      <w:bookmarkEnd w:id="104"/>
      <w:bookmarkEnd w:id="105"/>
      <w:bookmarkEnd w:id="106"/>
      <w:bookmarkEnd w:id="107"/>
    </w:p>
    <w:p>
      <w:pPr>
        <w:numPr>
          <w:ilvl w:val="0"/>
          <w:numId w:val="5"/>
        </w:numPr>
        <w:spacing w:line="400" w:lineRule="exact"/>
        <w:ind w:firstLine="420"/>
        <w:jc w:val="both"/>
        <w:rPr>
          <w:rFonts w:ascii="宋体" w:hAnsi="宋体"/>
          <w:vanish/>
          <w:color w:val="auto"/>
          <w:szCs w:val="21"/>
          <w:highlight w:val="none"/>
        </w:rPr>
      </w:pP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采购人：</w:t>
      </w:r>
      <w:r>
        <w:rPr>
          <w:rFonts w:ascii="宋体" w:hAnsi="宋体"/>
          <w:color w:val="auto"/>
          <w:kern w:val="0"/>
          <w:szCs w:val="21"/>
          <w:highlight w:val="none"/>
        </w:rPr>
        <w:t>是指依法进行政府采购的国家机关、事业单位</w:t>
      </w:r>
      <w:r>
        <w:rPr>
          <w:rFonts w:hint="eastAsia" w:ascii="宋体" w:hAnsi="宋体"/>
          <w:color w:val="auto"/>
          <w:kern w:val="0"/>
          <w:szCs w:val="21"/>
          <w:highlight w:val="none"/>
        </w:rPr>
        <w:t>等</w:t>
      </w:r>
      <w:r>
        <w:rPr>
          <w:rFonts w:ascii="宋体" w:hAnsi="宋体"/>
          <w:color w:val="auto"/>
          <w:kern w:val="0"/>
          <w:szCs w:val="21"/>
          <w:highlight w:val="none"/>
        </w:rPr>
        <w:t>团体组织</w:t>
      </w:r>
      <w:r>
        <w:rPr>
          <w:rFonts w:hint="eastAsia" w:ascii="宋体" w:hAnsi="宋体"/>
          <w:color w:val="auto"/>
          <w:kern w:val="0"/>
          <w:szCs w:val="21"/>
          <w:highlight w:val="none"/>
        </w:rPr>
        <w:t>。</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供应商：响应磋商并且符合磋商文件规定资格条件和参加竞争的法人、其他组织或者自然人。</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法人：法人是依法在国内进行注册并具有民事权利能力和民事行为能力，依法独立享有民事权利和承担民事义务的组织。</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成交供应商：指经磋商小组评审推荐、采购人确认的获得本项目成交资格的供应商。</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采购代理机构：国顺招标有限公司。</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磋商小组：磋商小组是依据《中华人民共和国政府采购法》及其实施条例、《政府采购货物和服务招标投标管理办法》等组建的专门负责本次磋商其评审工作的临时性机构。</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合同：指由本次磋商所产生的合同或合约文件。</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公章：</w:t>
      </w:r>
      <w:r>
        <w:rPr>
          <w:rFonts w:ascii="宋体" w:hAnsi="宋体"/>
          <w:color w:val="auto"/>
          <w:kern w:val="0"/>
          <w:szCs w:val="21"/>
          <w:highlight w:val="none"/>
        </w:rPr>
        <w:t>公章是</w:t>
      </w:r>
      <w:r>
        <w:rPr>
          <w:rFonts w:ascii="宋体" w:hAnsi="宋体"/>
          <w:iCs/>
          <w:color w:val="auto"/>
          <w:kern w:val="0"/>
          <w:szCs w:val="21"/>
          <w:highlight w:val="none"/>
        </w:rPr>
        <w:t>指</w:t>
      </w:r>
      <w:r>
        <w:rPr>
          <w:rFonts w:hint="eastAsia" w:ascii="宋体" w:hAnsi="宋体"/>
          <w:iCs/>
          <w:color w:val="auto"/>
          <w:kern w:val="0"/>
          <w:szCs w:val="21"/>
          <w:highlight w:val="none"/>
        </w:rPr>
        <w:t>经过正规的法定程序并备案的法人公章与专用章。（供应商如在响应文件中使用“专用章”，应提供法定代表人签字或加盖公章说明该“专用章”与法人公章具备同等效力的证明文件，且响应当天应携带相关原件到现场，以供核查。因响应文件未提供相关手续复印件和无法核查专用章的真实性而导致的后果由供应商自行承担。</w:t>
      </w:r>
      <w:r>
        <w:rPr>
          <w:rFonts w:hint="eastAsia" w:ascii="宋体" w:hAnsi="宋体"/>
          <w:color w:val="auto"/>
          <w:kern w:val="0"/>
          <w:szCs w:val="21"/>
          <w:highlight w:val="none"/>
        </w:rPr>
        <w:t>）</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时间</w:t>
      </w:r>
      <w:r>
        <w:rPr>
          <w:rFonts w:hint="eastAsia" w:ascii="宋体" w:hAnsi="宋体"/>
          <w:iCs/>
          <w:color w:val="auto"/>
          <w:kern w:val="0"/>
          <w:szCs w:val="21"/>
          <w:highlight w:val="none"/>
        </w:rPr>
        <w:t>：本文件规定按日计算期间的，开始当天不计入，从次日开始计算。期限的最后一日是国家法定节假日的，顺延到节假日后的次日为期限的最后一日。</w:t>
      </w:r>
    </w:p>
    <w:p>
      <w:pPr>
        <w:widowControl/>
        <w:adjustRightInd w:val="0"/>
        <w:snapToGrid w:val="0"/>
        <w:spacing w:line="400" w:lineRule="exact"/>
        <w:rPr>
          <w:rFonts w:ascii="Tahoma" w:hAnsi="Tahoma" w:eastAsia="微软雅黑"/>
          <w:color w:val="auto"/>
          <w:kern w:val="0"/>
          <w:sz w:val="22"/>
          <w:szCs w:val="22"/>
          <w:highlight w:val="none"/>
        </w:rPr>
      </w:pPr>
    </w:p>
    <w:p>
      <w:pPr>
        <w:pStyle w:val="5"/>
        <w:rPr>
          <w:color w:val="auto"/>
          <w:highlight w:val="none"/>
        </w:rPr>
      </w:pPr>
      <w:bookmarkStart w:id="108" w:name="_Toc9030"/>
      <w:bookmarkStart w:id="109" w:name="_Toc24019"/>
      <w:bookmarkStart w:id="110" w:name="_Toc30379"/>
      <w:r>
        <w:rPr>
          <w:rFonts w:hint="eastAsia"/>
          <w:color w:val="auto"/>
          <w:highlight w:val="none"/>
        </w:rPr>
        <w:t>3.货物和服务</w:t>
      </w:r>
      <w:bookmarkEnd w:id="108"/>
      <w:bookmarkEnd w:id="109"/>
      <w:bookmarkEnd w:id="110"/>
    </w:p>
    <w:p>
      <w:pPr>
        <w:numPr>
          <w:ilvl w:val="0"/>
          <w:numId w:val="5"/>
        </w:numPr>
        <w:spacing w:line="400" w:lineRule="exact"/>
        <w:ind w:firstLine="420"/>
        <w:jc w:val="both"/>
        <w:rPr>
          <w:rFonts w:ascii="宋体" w:hAnsi="宋体"/>
          <w:vanish/>
          <w:color w:val="auto"/>
          <w:szCs w:val="21"/>
          <w:highlight w:val="none"/>
        </w:rPr>
      </w:pPr>
    </w:p>
    <w:p>
      <w:pPr>
        <w:numPr>
          <w:ilvl w:val="1"/>
          <w:numId w:val="5"/>
        </w:numPr>
        <w:spacing w:line="400" w:lineRule="exact"/>
        <w:jc w:val="both"/>
        <w:rPr>
          <w:rFonts w:ascii="宋体" w:hAnsi="宋体"/>
          <w:iCs/>
          <w:color w:val="auto"/>
          <w:kern w:val="0"/>
          <w:szCs w:val="21"/>
          <w:highlight w:val="none"/>
        </w:rPr>
      </w:pPr>
      <w:r>
        <w:rPr>
          <w:rFonts w:hint="eastAsia" w:ascii="宋体" w:hAnsi="宋体"/>
          <w:iCs/>
          <w:color w:val="auto"/>
          <w:kern w:val="0"/>
          <w:szCs w:val="21"/>
          <w:highlight w:val="none"/>
        </w:rPr>
        <w:t>货物是指供应商制造或组织符合竞争性磋商文件要求的货物等。响应的货物必须是其合法生产、合法来源的符合国家有关标准要求的货物，并满足竞争性磋商文件规定的规格、参数、质量、价格、有效期、售后服务等要求。</w:t>
      </w:r>
    </w:p>
    <w:p>
      <w:pPr>
        <w:numPr>
          <w:ilvl w:val="1"/>
          <w:numId w:val="5"/>
        </w:numPr>
        <w:spacing w:line="400" w:lineRule="exact"/>
        <w:jc w:val="both"/>
        <w:rPr>
          <w:rFonts w:ascii="宋体" w:hAnsi="宋体"/>
          <w:iCs/>
          <w:color w:val="auto"/>
          <w:kern w:val="0"/>
          <w:szCs w:val="21"/>
          <w:highlight w:val="none"/>
        </w:rPr>
      </w:pPr>
      <w:r>
        <w:rPr>
          <w:rFonts w:hint="eastAsia" w:ascii="宋体" w:hAnsi="宋体"/>
          <w:iCs/>
          <w:color w:val="auto"/>
          <w:kern w:val="0"/>
          <w:szCs w:val="21"/>
          <w:highlight w:val="none"/>
        </w:rPr>
        <w:t>服务是指除货物和工程以外的其他政府采购对象，且满足实质性采购需求。</w:t>
      </w:r>
    </w:p>
    <w:p>
      <w:pPr>
        <w:numPr>
          <w:ilvl w:val="1"/>
          <w:numId w:val="5"/>
        </w:numPr>
        <w:spacing w:line="400" w:lineRule="exact"/>
        <w:jc w:val="both"/>
        <w:rPr>
          <w:rFonts w:ascii="宋体" w:hAnsi="宋体"/>
          <w:iCs/>
          <w:color w:val="auto"/>
          <w:kern w:val="0"/>
          <w:szCs w:val="21"/>
          <w:highlight w:val="none"/>
        </w:rPr>
      </w:pPr>
      <w:r>
        <w:rPr>
          <w:rFonts w:hint="eastAsia" w:ascii="宋体" w:hAnsi="宋体"/>
          <w:iCs/>
          <w:color w:val="auto"/>
          <w:kern w:val="0"/>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iCs/>
          <w:color w:val="auto"/>
          <w:kern w:val="0"/>
          <w:szCs w:val="21"/>
          <w:highlight w:val="none"/>
        </w:rPr>
        <w:t>应当获得财政部门核准。依据《政府采购进口产品管理办法</w:t>
      </w:r>
      <w:bookmarkEnd w:id="111"/>
      <w:r>
        <w:rPr>
          <w:rFonts w:hint="eastAsia" w:ascii="宋体" w:hAnsi="宋体"/>
          <w:iCs/>
          <w:color w:val="auto"/>
          <w:kern w:val="0"/>
          <w:szCs w:val="21"/>
          <w:highlight w:val="none"/>
        </w:rPr>
        <w:t>》优先采购向我国企业转让技术、与我国企业签订消化吸收再创新方案的供应商的进口产品。</w:t>
      </w:r>
    </w:p>
    <w:p>
      <w:pPr>
        <w:numPr>
          <w:ilvl w:val="1"/>
          <w:numId w:val="5"/>
        </w:numPr>
        <w:spacing w:line="400" w:lineRule="exact"/>
        <w:jc w:val="both"/>
        <w:rPr>
          <w:rFonts w:ascii="宋体" w:hAnsi="宋体"/>
          <w:iCs/>
          <w:color w:val="auto"/>
          <w:kern w:val="0"/>
          <w:szCs w:val="21"/>
          <w:highlight w:val="none"/>
        </w:rPr>
      </w:pPr>
      <w:r>
        <w:rPr>
          <w:rFonts w:hint="eastAsia" w:ascii="宋体" w:hAnsi="宋体"/>
          <w:iCs/>
          <w:color w:val="auto"/>
          <w:kern w:val="0"/>
          <w:szCs w:val="21"/>
          <w:highlight w:val="none"/>
        </w:rPr>
        <w:t>若所投产品属于政府强制采购节能产品的，则供应商必须提供该产品国家强制性节能产品进行响应，并提供有效的中国节能产品认证证书，否则视为无效响应。</w:t>
      </w:r>
    </w:p>
    <w:p>
      <w:pPr>
        <w:numPr>
          <w:ilvl w:val="1"/>
          <w:numId w:val="5"/>
        </w:numPr>
        <w:spacing w:line="400" w:lineRule="exact"/>
        <w:jc w:val="both"/>
        <w:rPr>
          <w:rFonts w:ascii="宋体" w:hAnsi="宋体"/>
          <w:iCs/>
          <w:color w:val="auto"/>
          <w:kern w:val="0"/>
          <w:szCs w:val="21"/>
          <w:highlight w:val="none"/>
        </w:rPr>
      </w:pPr>
      <w:r>
        <w:rPr>
          <w:rFonts w:hint="eastAsia" w:ascii="宋体" w:hAnsi="宋体"/>
          <w:iCs/>
          <w:color w:val="auto"/>
          <w:kern w:val="0"/>
          <w:szCs w:val="21"/>
          <w:highlight w:val="none"/>
        </w:rPr>
        <w:t>供应商提供的所有服务，其质量、技术等特征必须符合国家、行业现行法律、法规的相关标准和《中华人民共和国政府采购法》的有关规定及用户需求。</w:t>
      </w:r>
    </w:p>
    <w:p>
      <w:pPr>
        <w:numPr>
          <w:ilvl w:val="1"/>
          <w:numId w:val="5"/>
        </w:numPr>
        <w:spacing w:line="400" w:lineRule="exact"/>
        <w:jc w:val="both"/>
        <w:rPr>
          <w:rFonts w:ascii="宋体" w:hAnsi="宋体"/>
          <w:iCs/>
          <w:color w:val="auto"/>
          <w:kern w:val="0"/>
          <w:szCs w:val="21"/>
          <w:highlight w:val="none"/>
        </w:rPr>
      </w:pPr>
      <w:r>
        <w:rPr>
          <w:rFonts w:hint="eastAsia" w:ascii="宋体" w:hAnsi="宋体"/>
          <w:iCs/>
          <w:color w:val="auto"/>
          <w:kern w:val="0"/>
          <w:szCs w:val="21"/>
          <w:highlight w:val="none"/>
        </w:rPr>
        <w:t>采购人有权拒绝接受任何不合格的服务，由此产生的费用及相关后果均由成交单位自行承担；</w:t>
      </w:r>
    </w:p>
    <w:p>
      <w:pPr>
        <w:numPr>
          <w:ilvl w:val="1"/>
          <w:numId w:val="5"/>
        </w:numPr>
        <w:spacing w:line="400" w:lineRule="exact"/>
        <w:jc w:val="both"/>
        <w:rPr>
          <w:rFonts w:ascii="宋体" w:hAnsi="宋体"/>
          <w:iCs/>
          <w:color w:val="auto"/>
          <w:kern w:val="0"/>
          <w:szCs w:val="21"/>
          <w:highlight w:val="none"/>
        </w:rPr>
      </w:pPr>
      <w:r>
        <w:rPr>
          <w:rFonts w:hint="eastAsia" w:ascii="宋体" w:hAnsi="宋体"/>
          <w:iCs/>
          <w:color w:val="auto"/>
          <w:kern w:val="0"/>
          <w:szCs w:val="21"/>
          <w:highlight w:val="none"/>
        </w:rPr>
        <w:t>供应商应保证本项目的响应技术、服务或其任何一部分不会产生因第三方提出侵犯其专利权、商标权或其他知识产权而引起的法律和经济纠纷；如果供应商不拥有相应的知识产权，则须在报价中包括合法获取该知识产权的相关费用，并在响应文件中附有相关证明文件。如因第三方提出其专利权、商标权或其他知识产权的侵权之诉，则一切法律责任由供应商承担。</w:t>
      </w:r>
    </w:p>
    <w:p>
      <w:pPr>
        <w:widowControl/>
        <w:adjustRightInd w:val="0"/>
        <w:snapToGrid w:val="0"/>
        <w:spacing w:line="400" w:lineRule="exact"/>
        <w:rPr>
          <w:rFonts w:ascii="Tahoma" w:hAnsi="Tahoma" w:eastAsia="微软雅黑"/>
          <w:color w:val="auto"/>
          <w:kern w:val="0"/>
          <w:sz w:val="22"/>
          <w:szCs w:val="22"/>
          <w:highlight w:val="none"/>
        </w:rPr>
      </w:pPr>
    </w:p>
    <w:p>
      <w:pPr>
        <w:pStyle w:val="5"/>
        <w:rPr>
          <w:color w:val="auto"/>
          <w:highlight w:val="none"/>
        </w:rPr>
      </w:pPr>
      <w:bookmarkStart w:id="112" w:name="_Toc18277"/>
      <w:bookmarkStart w:id="113" w:name="_Toc14543"/>
      <w:bookmarkStart w:id="114" w:name="_Toc8119"/>
      <w:r>
        <w:rPr>
          <w:rFonts w:hint="eastAsia"/>
          <w:color w:val="auto"/>
          <w:highlight w:val="none"/>
        </w:rPr>
        <w:t>4.响应费用</w:t>
      </w:r>
      <w:bookmarkEnd w:id="112"/>
      <w:bookmarkEnd w:id="113"/>
      <w:bookmarkEnd w:id="114"/>
    </w:p>
    <w:p>
      <w:pPr>
        <w:numPr>
          <w:ilvl w:val="0"/>
          <w:numId w:val="5"/>
        </w:numPr>
        <w:spacing w:line="400" w:lineRule="exact"/>
        <w:ind w:firstLine="420"/>
        <w:jc w:val="both"/>
        <w:rPr>
          <w:rFonts w:ascii="宋体" w:hAnsi="宋体"/>
          <w:vanish/>
          <w:color w:val="auto"/>
          <w:szCs w:val="21"/>
          <w:highlight w:val="none"/>
        </w:rPr>
      </w:pP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供应商应承担所有与编写响应文件和参加磋商有关的自身的所有费用，不论磋商的结果如何，采购代理机构和采购人在任何情况下均无义务和责任承担这些费用。</w:t>
      </w:r>
    </w:p>
    <w:p>
      <w:pPr>
        <w:spacing w:line="400" w:lineRule="exact"/>
        <w:jc w:val="both"/>
        <w:rPr>
          <w:rFonts w:ascii="宋体" w:hAnsi="宋体"/>
          <w:color w:val="auto"/>
          <w:kern w:val="0"/>
          <w:szCs w:val="21"/>
          <w:highlight w:val="none"/>
        </w:rPr>
      </w:pPr>
    </w:p>
    <w:p>
      <w:pPr>
        <w:pStyle w:val="5"/>
        <w:rPr>
          <w:color w:val="auto"/>
          <w:highlight w:val="none"/>
        </w:rPr>
      </w:pPr>
      <w:bookmarkStart w:id="115" w:name="_Toc25254"/>
      <w:bookmarkStart w:id="116" w:name="_Toc32220"/>
      <w:bookmarkStart w:id="117" w:name="_Toc24793"/>
      <w:r>
        <w:rPr>
          <w:rFonts w:hint="eastAsia"/>
          <w:color w:val="auto"/>
          <w:highlight w:val="none"/>
        </w:rPr>
        <w:t>5.知识产权</w:t>
      </w:r>
      <w:bookmarkEnd w:id="115"/>
      <w:bookmarkEnd w:id="116"/>
      <w:bookmarkEnd w:id="117"/>
    </w:p>
    <w:p>
      <w:pPr>
        <w:numPr>
          <w:ilvl w:val="0"/>
          <w:numId w:val="5"/>
        </w:numPr>
        <w:spacing w:line="400" w:lineRule="exact"/>
        <w:ind w:firstLine="420"/>
        <w:jc w:val="both"/>
        <w:rPr>
          <w:rFonts w:ascii="宋体" w:hAnsi="宋体"/>
          <w:vanish/>
          <w:color w:val="auto"/>
          <w:szCs w:val="21"/>
          <w:highlight w:val="none"/>
        </w:rPr>
      </w:pP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并赔偿采购人因此的直接损失以及间接损失（包括但不限于诉讼费、律师费、鉴定费、差旅费等）</w:t>
      </w:r>
      <w:r>
        <w:rPr>
          <w:rFonts w:hint="eastAsia" w:ascii="宋体" w:hAnsi="宋体"/>
          <w:color w:val="auto"/>
          <w:kern w:val="0"/>
          <w:szCs w:val="21"/>
          <w:highlight w:val="none"/>
        </w:rPr>
        <w:t>。</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采购人享有本项目实施过程中产生的知识成果及知识产权。</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供应商如欲在项目实施过程中采用自有知识成果，需在响应文件中声明，并提供相关知识产权证明文件。使用该知识成果后，供应商需提供开发接口和开发手册等技术文档。</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采购货物为计算机办公设备时，供应商提供的产品必须是预装正版操作系统软件的计算机产品。</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供应商提供的服务、货物经认定存在侵权行为的，其响应无效，并上报相关监管部门。</w:t>
      </w:r>
    </w:p>
    <w:p>
      <w:pPr>
        <w:spacing w:line="400" w:lineRule="exact"/>
        <w:ind w:left="567"/>
        <w:jc w:val="both"/>
        <w:rPr>
          <w:rFonts w:ascii="宋体" w:hAnsi="宋体"/>
          <w:color w:val="auto"/>
          <w:kern w:val="0"/>
          <w:szCs w:val="21"/>
          <w:highlight w:val="none"/>
        </w:rPr>
      </w:pPr>
    </w:p>
    <w:p>
      <w:pPr>
        <w:pStyle w:val="5"/>
        <w:rPr>
          <w:color w:val="auto"/>
          <w:highlight w:val="none"/>
        </w:rPr>
      </w:pPr>
      <w:bookmarkStart w:id="118" w:name="_Toc13064"/>
      <w:bookmarkStart w:id="119" w:name="_Toc31725"/>
      <w:bookmarkStart w:id="120" w:name="_Toc30779"/>
      <w:r>
        <w:rPr>
          <w:rFonts w:hint="eastAsia"/>
          <w:color w:val="auto"/>
          <w:highlight w:val="none"/>
        </w:rPr>
        <w:t>6.关于联合体</w:t>
      </w:r>
      <w:bookmarkEnd w:id="118"/>
      <w:bookmarkEnd w:id="119"/>
      <w:bookmarkEnd w:id="120"/>
    </w:p>
    <w:p>
      <w:pPr>
        <w:numPr>
          <w:ilvl w:val="0"/>
          <w:numId w:val="5"/>
        </w:numPr>
        <w:spacing w:line="400" w:lineRule="exact"/>
        <w:ind w:firstLine="420"/>
        <w:jc w:val="both"/>
        <w:rPr>
          <w:rFonts w:ascii="宋体" w:hAnsi="宋体"/>
          <w:vanish/>
          <w:color w:val="auto"/>
          <w:szCs w:val="21"/>
          <w:highlight w:val="none"/>
        </w:rPr>
      </w:pP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联合体必须满足以下条款。（除非磋商邀请中另有规定不接受联合体）</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对接受联合体的项目：两个以上的自然人、法人或者其他组织可以组成一个联合体，以一个供应商的身份共同参加政府采购。</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以联合体形式参与项目的供应商在领购竞争性磋商文件时，应提供所有联合体组成成员的营业执照复印件，并加盖各联合体组成成员的公章。</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联合体各方均应当符合《政府采购法》第二十二条规定的条件。</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采购人根据采购项目的特殊要求规定供应商特定条件的，联合体各方中至少应当有一方符合采购人规定的特定条件。</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联合体各方之间应当签订协议书并</w:t>
      </w:r>
      <w:r>
        <w:rPr>
          <w:rFonts w:ascii="宋体" w:hAnsi="宋体"/>
          <w:color w:val="auto"/>
          <w:kern w:val="0"/>
          <w:szCs w:val="21"/>
          <w:highlight w:val="none"/>
        </w:rPr>
        <w:t>在</w:t>
      </w:r>
      <w:r>
        <w:rPr>
          <w:rFonts w:hint="eastAsia" w:ascii="宋体" w:hAnsi="宋体"/>
          <w:color w:val="auto"/>
          <w:kern w:val="0"/>
          <w:szCs w:val="21"/>
          <w:highlight w:val="none"/>
        </w:rPr>
        <w:t>响应文件</w:t>
      </w:r>
      <w:r>
        <w:rPr>
          <w:rFonts w:ascii="宋体" w:hAnsi="宋体"/>
          <w:color w:val="auto"/>
          <w:kern w:val="0"/>
          <w:szCs w:val="21"/>
          <w:highlight w:val="none"/>
        </w:rPr>
        <w:t>内提交</w:t>
      </w:r>
      <w:r>
        <w:rPr>
          <w:rFonts w:hint="eastAsia" w:ascii="宋体" w:hAnsi="宋体"/>
          <w:color w:val="auto"/>
          <w:kern w:val="0"/>
          <w:szCs w:val="21"/>
          <w:highlight w:val="none"/>
        </w:rPr>
        <w:t>，明确约定联合体各方承担的工作和相应的责任。联合体各方签订协议书后，不得再以自己名义单独在同一项目中响应，也不得组成新的联合体参加同一项目响应。</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供应商为联合体的，可以由联合体中的任意一方交纳响应保证金，其交纳的响应保证金对联合体各方均具有约束力。</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联合体中有同类资质的供应商按照联合体分工承担相同工作的，应当按照资质等级较低的供应商确定资质等级。</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以联合体形式参加政府采购活动，联合体各方均为中小企业的，联合体视同中小企业。其中，联合体各方均为小微企业的，联合体视同小微企业。双方均应提供《中小企业声明函》。</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除联合体协议书明确授权盖章单位外，联合体响应磋商时响应文件中所有要求盖章的地方均须加盖联合体所有组成成员的公章，否则该处盖章无效。</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联合体进行评分时，业绩、奖项等的认定和评分根据协议书约定的各方承担的工作和相应责任，确定一方打分，不累加打分；评审标准不明确或难以明确以哪一方计算评分情况时，则按主体方情况评分。</w:t>
      </w:r>
    </w:p>
    <w:p>
      <w:pPr>
        <w:spacing w:line="400" w:lineRule="exact"/>
        <w:ind w:left="567"/>
        <w:jc w:val="both"/>
        <w:rPr>
          <w:rFonts w:ascii="宋体" w:hAnsi="宋体"/>
          <w:color w:val="auto"/>
          <w:kern w:val="0"/>
          <w:szCs w:val="21"/>
          <w:highlight w:val="none"/>
        </w:rPr>
      </w:pPr>
    </w:p>
    <w:p>
      <w:pPr>
        <w:pStyle w:val="5"/>
        <w:rPr>
          <w:color w:val="auto"/>
          <w:highlight w:val="none"/>
        </w:rPr>
      </w:pPr>
      <w:bookmarkStart w:id="121" w:name="_Toc18142"/>
      <w:bookmarkStart w:id="122" w:name="_Toc27755"/>
      <w:bookmarkStart w:id="123" w:name="_Toc23688"/>
      <w:r>
        <w:rPr>
          <w:rFonts w:hint="eastAsia"/>
          <w:color w:val="auto"/>
          <w:highlight w:val="none"/>
        </w:rPr>
        <w:t>7.关于分支机构响应</w:t>
      </w:r>
      <w:bookmarkEnd w:id="121"/>
      <w:bookmarkEnd w:id="122"/>
      <w:bookmarkEnd w:id="123"/>
    </w:p>
    <w:p>
      <w:pPr>
        <w:numPr>
          <w:ilvl w:val="0"/>
          <w:numId w:val="5"/>
        </w:numPr>
        <w:spacing w:line="400" w:lineRule="exact"/>
        <w:ind w:firstLine="420"/>
        <w:jc w:val="both"/>
        <w:rPr>
          <w:rFonts w:ascii="宋体" w:hAnsi="宋体"/>
          <w:vanish/>
          <w:color w:val="auto"/>
          <w:szCs w:val="21"/>
          <w:highlight w:val="none"/>
        </w:rPr>
      </w:pPr>
      <w:bookmarkStart w:id="124" w:name="EB389f116341dd4693875bc7987e7327f3"/>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分支机构响应</w:t>
      </w:r>
      <w:r>
        <w:rPr>
          <w:rFonts w:ascii="宋体" w:hAnsi="宋体"/>
          <w:color w:val="auto"/>
          <w:kern w:val="0"/>
          <w:szCs w:val="21"/>
          <w:highlight w:val="none"/>
        </w:rPr>
        <w:t>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pPr>
        <w:widowControl/>
        <w:adjustRightInd w:val="0"/>
        <w:snapToGrid w:val="0"/>
        <w:spacing w:after="200" w:line="400" w:lineRule="exact"/>
        <w:rPr>
          <w:rFonts w:ascii="Tahoma" w:hAnsi="Tahoma" w:eastAsia="微软雅黑"/>
          <w:color w:val="auto"/>
          <w:kern w:val="0"/>
          <w:sz w:val="22"/>
          <w:szCs w:val="22"/>
          <w:highlight w:val="none"/>
        </w:rPr>
      </w:pPr>
    </w:p>
    <w:p>
      <w:pPr>
        <w:pStyle w:val="5"/>
        <w:rPr>
          <w:color w:val="auto"/>
          <w:highlight w:val="none"/>
        </w:rPr>
      </w:pPr>
      <w:bookmarkStart w:id="125" w:name="_Toc19660"/>
      <w:bookmarkStart w:id="126" w:name="_Toc29774"/>
      <w:bookmarkStart w:id="127" w:name="_Toc5596"/>
      <w:r>
        <w:rPr>
          <w:rFonts w:hint="eastAsia"/>
          <w:color w:val="auto"/>
          <w:highlight w:val="none"/>
        </w:rPr>
        <w:t>8.磋商文件的组成</w:t>
      </w:r>
      <w:bookmarkEnd w:id="125"/>
      <w:bookmarkEnd w:id="126"/>
      <w:bookmarkEnd w:id="127"/>
    </w:p>
    <w:p>
      <w:pPr>
        <w:numPr>
          <w:ilvl w:val="0"/>
          <w:numId w:val="5"/>
        </w:numPr>
        <w:spacing w:line="400" w:lineRule="exact"/>
        <w:ind w:firstLine="420"/>
        <w:jc w:val="both"/>
        <w:rPr>
          <w:rFonts w:ascii="宋体" w:hAnsi="宋体"/>
          <w:vanish/>
          <w:color w:val="auto"/>
          <w:szCs w:val="21"/>
          <w:highlight w:val="none"/>
        </w:rPr>
      </w:pP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（1）磋商邀请；</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（2）供应商须知；</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（3）用户需求书；</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（4）详细评审；</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（5）合同文本参考格式；</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（6）响应文件格式；</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（7）报价文件格式；</w:t>
      </w:r>
    </w:p>
    <w:p>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（8）其它文件格式（如有需要）。</w:t>
      </w:r>
    </w:p>
    <w:p>
      <w:pPr>
        <w:widowControl/>
        <w:adjustRightInd w:val="0"/>
        <w:snapToGrid w:val="0"/>
        <w:spacing w:line="400" w:lineRule="exact"/>
        <w:rPr>
          <w:rFonts w:ascii="Tahoma" w:hAnsi="Tahoma" w:eastAsia="微软雅黑"/>
          <w:color w:val="auto"/>
          <w:kern w:val="0"/>
          <w:sz w:val="22"/>
          <w:szCs w:val="22"/>
          <w:highlight w:val="none"/>
        </w:rPr>
      </w:pPr>
    </w:p>
    <w:p>
      <w:pPr>
        <w:pStyle w:val="5"/>
        <w:rPr>
          <w:color w:val="auto"/>
          <w:highlight w:val="none"/>
        </w:rPr>
      </w:pPr>
      <w:bookmarkStart w:id="128" w:name="_Toc28076"/>
      <w:bookmarkStart w:id="129" w:name="_Toc3812"/>
      <w:bookmarkStart w:id="130" w:name="_Toc20046"/>
      <w:r>
        <w:rPr>
          <w:rFonts w:hint="eastAsia"/>
          <w:color w:val="auto"/>
          <w:highlight w:val="none"/>
        </w:rPr>
        <w:t>9.磋商文件的澄清或修改</w:t>
      </w:r>
      <w:bookmarkEnd w:id="128"/>
      <w:bookmarkEnd w:id="129"/>
      <w:bookmarkEnd w:id="130"/>
    </w:p>
    <w:p>
      <w:pPr>
        <w:numPr>
          <w:ilvl w:val="0"/>
          <w:numId w:val="5"/>
        </w:numPr>
        <w:spacing w:line="400" w:lineRule="exact"/>
        <w:ind w:firstLine="420"/>
        <w:jc w:val="both"/>
        <w:rPr>
          <w:rFonts w:ascii="宋体" w:hAnsi="宋体"/>
          <w:vanish/>
          <w:color w:val="auto"/>
          <w:szCs w:val="21"/>
          <w:highlight w:val="none"/>
        </w:rPr>
      </w:pP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采购人或者采购代理机构可以对已发出的竞争性磋商文件、资格预审文件、磋商邀请进行必要的澄清或者修改。澄清或者修改的内容为竞争性磋商文件、资格预审文件、磋商邀请的组成部分，</w:t>
      </w:r>
      <w:r>
        <w:rPr>
          <w:rFonts w:ascii="宋体" w:hAnsi="宋体"/>
          <w:color w:val="auto"/>
          <w:kern w:val="0"/>
          <w:szCs w:val="21"/>
          <w:highlight w:val="none"/>
        </w:rPr>
        <w:t>具有约束作用</w:t>
      </w:r>
      <w:r>
        <w:rPr>
          <w:rFonts w:hint="eastAsia" w:ascii="宋体" w:hAnsi="宋体"/>
          <w:color w:val="auto"/>
          <w:kern w:val="0"/>
          <w:szCs w:val="21"/>
          <w:highlight w:val="none"/>
        </w:rPr>
        <w:t>。</w:t>
      </w:r>
      <w:r>
        <w:rPr>
          <w:rFonts w:ascii="宋体" w:hAnsi="宋体"/>
          <w:color w:val="auto"/>
          <w:kern w:val="0"/>
          <w:szCs w:val="21"/>
          <w:highlight w:val="none"/>
        </w:rPr>
        <w:t>当</w:t>
      </w:r>
      <w:r>
        <w:rPr>
          <w:rFonts w:hint="eastAsia" w:ascii="宋体" w:hAnsi="宋体"/>
          <w:color w:val="auto"/>
          <w:kern w:val="0"/>
          <w:szCs w:val="21"/>
          <w:highlight w:val="none"/>
        </w:rPr>
        <w:t>竞争性磋商文件</w:t>
      </w:r>
      <w:r>
        <w:rPr>
          <w:rFonts w:ascii="宋体" w:hAnsi="宋体"/>
          <w:color w:val="auto"/>
          <w:kern w:val="0"/>
          <w:szCs w:val="21"/>
          <w:highlight w:val="none"/>
        </w:rPr>
        <w:t>的澄清</w:t>
      </w:r>
      <w:r>
        <w:rPr>
          <w:rFonts w:hint="eastAsia" w:ascii="宋体" w:hAnsi="宋体"/>
          <w:color w:val="auto"/>
          <w:kern w:val="0"/>
          <w:szCs w:val="21"/>
          <w:highlight w:val="none"/>
        </w:rPr>
        <w:t>或</w:t>
      </w:r>
      <w:r>
        <w:rPr>
          <w:rFonts w:ascii="宋体" w:hAnsi="宋体"/>
          <w:color w:val="auto"/>
          <w:kern w:val="0"/>
          <w:szCs w:val="21"/>
          <w:highlight w:val="none"/>
        </w:rPr>
        <w:t>修改等在同一内容的表述上不一致时，以最后发出的书面文件</w:t>
      </w:r>
      <w:r>
        <w:rPr>
          <w:rFonts w:hint="eastAsia" w:ascii="宋体" w:hAnsi="宋体"/>
          <w:color w:val="auto"/>
          <w:kern w:val="0"/>
          <w:szCs w:val="21"/>
          <w:highlight w:val="none"/>
        </w:rPr>
        <w:t>及公告</w:t>
      </w:r>
      <w:r>
        <w:rPr>
          <w:rFonts w:ascii="宋体" w:hAnsi="宋体"/>
          <w:color w:val="auto"/>
          <w:kern w:val="0"/>
          <w:szCs w:val="21"/>
          <w:highlight w:val="none"/>
        </w:rPr>
        <w:t>为准。</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进行必要的澄清或者修改。澄清或者修改的内容可能影响响应文件编制的，采购人或者采购代理机构应当在响应截止时间至少5日或3个工作日前，以书面形式通知所有获取竞争性磋商文件的潜在供应商；不足5日或3个工作日的，采购人或者采购代理机构应当顺延提交响应文件的截止时间。</w:t>
      </w:r>
    </w:p>
    <w:p>
      <w:pPr>
        <w:spacing w:line="360" w:lineRule="exact"/>
        <w:ind w:left="567"/>
        <w:jc w:val="both"/>
        <w:rPr>
          <w:rFonts w:ascii="宋体" w:hAnsi="宋体"/>
          <w:color w:val="auto"/>
          <w:kern w:val="0"/>
          <w:szCs w:val="21"/>
          <w:highlight w:val="none"/>
        </w:rPr>
      </w:pPr>
    </w:p>
    <w:p>
      <w:pPr>
        <w:pStyle w:val="5"/>
        <w:rPr>
          <w:color w:val="auto"/>
          <w:highlight w:val="none"/>
        </w:rPr>
      </w:pPr>
      <w:bookmarkStart w:id="131" w:name="_Toc28595"/>
      <w:bookmarkStart w:id="132" w:name="_Toc17507"/>
      <w:bookmarkStart w:id="133" w:name="_Toc5431"/>
      <w:r>
        <w:rPr>
          <w:rFonts w:hint="eastAsia"/>
          <w:color w:val="auto"/>
          <w:highlight w:val="none"/>
        </w:rPr>
        <w:t>10.响应文件的语言及度量衡单位</w:t>
      </w:r>
      <w:bookmarkEnd w:id="131"/>
      <w:bookmarkEnd w:id="132"/>
      <w:bookmarkEnd w:id="133"/>
    </w:p>
    <w:p>
      <w:pPr>
        <w:numPr>
          <w:ilvl w:val="0"/>
          <w:numId w:val="5"/>
        </w:numPr>
        <w:spacing w:line="400" w:lineRule="exact"/>
        <w:ind w:firstLine="420"/>
        <w:jc w:val="both"/>
        <w:rPr>
          <w:rFonts w:ascii="宋体" w:hAnsi="宋体"/>
          <w:vanish/>
          <w:color w:val="auto"/>
          <w:szCs w:val="21"/>
          <w:highlight w:val="none"/>
        </w:rPr>
      </w:pP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提交的响应文件以及供应商与采购代理机构就有关磋商的所有来往函件均应使用简体中文书写。供应商提交的支持资料和已印刷的文献可以用另一种语言，但相应内容应附有中文翻译本（中文译本应由翻译机构盖章或者翻译人员签名确认，否则按无效处理），在解释响应文件的修改内容时以中文翻译本为准。</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除非磋商文件在技术规格中另有规定，供应商在响应文件中及其与采购代理机构和采购人所有往来文件中的所有</w:t>
      </w:r>
      <w:r>
        <w:rPr>
          <w:rFonts w:ascii="宋体" w:hAnsi="宋体"/>
          <w:color w:val="auto"/>
          <w:kern w:val="0"/>
          <w:szCs w:val="21"/>
          <w:highlight w:val="none"/>
        </w:rPr>
        <w:t>计量单位</w:t>
      </w:r>
      <w:r>
        <w:rPr>
          <w:rFonts w:hint="eastAsia" w:ascii="宋体" w:hAnsi="宋体"/>
          <w:color w:val="auto"/>
          <w:kern w:val="0"/>
          <w:szCs w:val="21"/>
          <w:highlight w:val="none"/>
        </w:rPr>
        <w:t>均应采用中华人民共和国法定计量单位</w:t>
      </w:r>
      <w:r>
        <w:rPr>
          <w:rFonts w:ascii="宋体" w:hAnsi="宋体"/>
          <w:color w:val="auto"/>
          <w:kern w:val="0"/>
          <w:szCs w:val="21"/>
          <w:highlight w:val="none"/>
        </w:rPr>
        <w:t>。</w:t>
      </w:r>
    </w:p>
    <w:p>
      <w:pPr>
        <w:spacing w:line="400" w:lineRule="exact"/>
        <w:ind w:left="567"/>
        <w:jc w:val="both"/>
        <w:rPr>
          <w:rFonts w:ascii="宋体" w:hAnsi="宋体"/>
          <w:color w:val="auto"/>
          <w:kern w:val="0"/>
          <w:szCs w:val="21"/>
          <w:highlight w:val="none"/>
        </w:rPr>
      </w:pPr>
    </w:p>
    <w:p>
      <w:pPr>
        <w:pStyle w:val="5"/>
        <w:rPr>
          <w:color w:val="auto"/>
          <w:highlight w:val="none"/>
        </w:rPr>
      </w:pPr>
      <w:bookmarkStart w:id="134" w:name="_Toc17694"/>
      <w:bookmarkStart w:id="135" w:name="_Toc303084256"/>
      <w:bookmarkStart w:id="136" w:name="_Toc25080"/>
      <w:bookmarkStart w:id="137" w:name="_Toc21308"/>
      <w:bookmarkStart w:id="138" w:name="_Toc382049103"/>
      <w:bookmarkStart w:id="139" w:name="_Toc28866"/>
      <w:bookmarkStart w:id="140" w:name="_Toc307934854"/>
      <w:r>
        <w:rPr>
          <w:rFonts w:hint="eastAsia"/>
          <w:color w:val="auto"/>
          <w:highlight w:val="none"/>
        </w:rPr>
        <w:t>11.响应文件的组成</w:t>
      </w:r>
      <w:bookmarkEnd w:id="134"/>
      <w:bookmarkEnd w:id="135"/>
      <w:bookmarkEnd w:id="136"/>
      <w:bookmarkEnd w:id="137"/>
      <w:bookmarkEnd w:id="138"/>
      <w:bookmarkEnd w:id="139"/>
      <w:bookmarkEnd w:id="140"/>
    </w:p>
    <w:p>
      <w:pPr>
        <w:numPr>
          <w:ilvl w:val="0"/>
          <w:numId w:val="5"/>
        </w:numPr>
        <w:spacing w:line="400" w:lineRule="exact"/>
        <w:ind w:firstLine="420"/>
        <w:jc w:val="both"/>
        <w:rPr>
          <w:rFonts w:ascii="宋体" w:hAnsi="宋体"/>
          <w:vanish/>
          <w:color w:val="auto"/>
          <w:szCs w:val="21"/>
          <w:highlight w:val="none"/>
        </w:rPr>
      </w:pP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包括但不限于磋商文件附件格式中要求提供的表格。</w:t>
      </w:r>
    </w:p>
    <w:p>
      <w:pPr>
        <w:numPr>
          <w:ilvl w:val="1"/>
          <w:numId w:val="5"/>
        </w:numPr>
        <w:spacing w:line="400" w:lineRule="exact"/>
        <w:jc w:val="both"/>
        <w:rPr>
          <w:rFonts w:ascii="Tahoma" w:hAnsi="Tahoma" w:eastAsia="微软雅黑"/>
          <w:color w:val="auto"/>
          <w:kern w:val="0"/>
          <w:szCs w:val="21"/>
          <w:highlight w:val="none"/>
        </w:rPr>
      </w:pPr>
      <w:r>
        <w:rPr>
          <w:rFonts w:hint="eastAsia" w:ascii="宋体" w:hAnsi="宋体"/>
          <w:color w:val="auto"/>
          <w:kern w:val="0"/>
          <w:szCs w:val="21"/>
          <w:highlight w:val="none"/>
        </w:rPr>
        <w:t>上述文件须按顺序装订成册，并编制响应文件目录。除上述文件资料外供应商还须按供应商须知的要求制作“报价文件”。“报价文件”作为响应文件的一部分，但须单独密封。</w:t>
      </w:r>
    </w:p>
    <w:p>
      <w:pPr>
        <w:widowControl/>
        <w:adjustRightInd w:val="0"/>
        <w:snapToGrid w:val="0"/>
        <w:spacing w:after="200" w:line="400" w:lineRule="exact"/>
        <w:rPr>
          <w:rFonts w:ascii="Tahoma" w:hAnsi="Tahoma" w:eastAsia="微软雅黑"/>
          <w:color w:val="auto"/>
          <w:kern w:val="0"/>
          <w:sz w:val="22"/>
          <w:szCs w:val="22"/>
          <w:highlight w:val="none"/>
        </w:rPr>
      </w:pPr>
    </w:p>
    <w:p>
      <w:pPr>
        <w:pStyle w:val="5"/>
        <w:rPr>
          <w:color w:val="auto"/>
          <w:highlight w:val="none"/>
        </w:rPr>
      </w:pPr>
      <w:bookmarkStart w:id="141" w:name="_Toc28835"/>
      <w:bookmarkStart w:id="142" w:name="_Toc23396"/>
      <w:bookmarkStart w:id="143" w:name="_Toc26322"/>
      <w:r>
        <w:rPr>
          <w:rFonts w:hint="eastAsia"/>
          <w:color w:val="auto"/>
          <w:highlight w:val="none"/>
        </w:rPr>
        <w:t>12.响应文件编制</w:t>
      </w:r>
      <w:bookmarkEnd w:id="141"/>
      <w:bookmarkEnd w:id="142"/>
      <w:bookmarkEnd w:id="143"/>
    </w:p>
    <w:p>
      <w:pPr>
        <w:numPr>
          <w:ilvl w:val="0"/>
          <w:numId w:val="5"/>
        </w:numPr>
        <w:spacing w:line="400" w:lineRule="exact"/>
        <w:ind w:firstLine="420"/>
        <w:jc w:val="both"/>
        <w:rPr>
          <w:rFonts w:ascii="宋体" w:hAnsi="宋体"/>
          <w:vanish/>
          <w:color w:val="auto"/>
          <w:szCs w:val="21"/>
          <w:highlight w:val="none"/>
        </w:rPr>
      </w:pPr>
      <w:bookmarkStart w:id="144" w:name="_Toc303084258"/>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供应商应按磋商文件的规定以及附件要求的内容和格式完整地填写</w:t>
      </w:r>
      <w:r>
        <w:rPr>
          <w:rFonts w:ascii="宋体" w:hAnsi="宋体"/>
          <w:color w:val="auto"/>
          <w:kern w:val="0"/>
          <w:szCs w:val="21"/>
          <w:highlight w:val="none"/>
        </w:rPr>
        <w:t>（表格可以按同样格式扩展）</w:t>
      </w:r>
      <w:r>
        <w:rPr>
          <w:rFonts w:hint="eastAsia" w:ascii="宋体" w:hAnsi="宋体"/>
          <w:color w:val="auto"/>
          <w:kern w:val="0"/>
          <w:szCs w:val="21"/>
          <w:highlight w:val="none"/>
        </w:rPr>
        <w:t>和提供资料，供应商必须对响应文件所提供的全部材料的真实性承担法律责任，并无条件接受采购人或采购代理机构及政府采购监督管理部门等对其中任何资料进行核实的要求。</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因响应文件编制存在歧义对供应商产生负面影响的，供应商自行承担后果。</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响应单位名称与供应商公章不一致，若响应单位名称已进行变更，应在响应文件中提供相应的证明材料并加盖公章，否则响应文件无效。</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响应文件若出现以下内容，经磋商小组认定有可能间接影响评审秩序，其响应无效：</w:t>
      </w:r>
    </w:p>
    <w:p>
      <w:pPr>
        <w:spacing w:line="400" w:lineRule="exact"/>
        <w:ind w:left="399" w:leftChars="190"/>
        <w:jc w:val="both"/>
        <w:rPr>
          <w:rFonts w:ascii="宋体" w:hAnsi="宋体"/>
          <w:color w:val="auto"/>
          <w:szCs w:val="21"/>
          <w:highlight w:val="none"/>
        </w:rPr>
      </w:pPr>
      <w:r>
        <w:rPr>
          <w:rFonts w:hint="eastAsia" w:ascii="宋体" w:hAnsi="宋体"/>
          <w:color w:val="auto"/>
          <w:szCs w:val="21"/>
          <w:highlight w:val="none"/>
        </w:rPr>
        <w:t>（1）响应文件内出现无官方证明文件的行业地域排名或</w:t>
      </w:r>
      <w:r>
        <w:rPr>
          <w:rFonts w:ascii="宋体" w:hAnsi="宋体"/>
          <w:color w:val="auto"/>
          <w:szCs w:val="21"/>
          <w:highlight w:val="none"/>
        </w:rPr>
        <w:t>使用“国家级”、“最高级”、“最佳”等用语</w:t>
      </w:r>
      <w:r>
        <w:rPr>
          <w:rFonts w:hint="eastAsia" w:ascii="宋体" w:hAnsi="宋体"/>
          <w:color w:val="auto"/>
          <w:szCs w:val="21"/>
          <w:highlight w:val="none"/>
        </w:rPr>
        <w:t>字眼的。</w:t>
      </w:r>
    </w:p>
    <w:p>
      <w:pPr>
        <w:spacing w:line="400" w:lineRule="exact"/>
        <w:ind w:firstLine="420" w:firstLineChars="200"/>
        <w:jc w:val="both"/>
        <w:rPr>
          <w:rFonts w:ascii="宋体" w:hAnsi="宋体"/>
          <w:color w:val="auto"/>
          <w:szCs w:val="21"/>
          <w:highlight w:val="none"/>
        </w:rPr>
      </w:pPr>
      <w:r>
        <w:rPr>
          <w:rFonts w:hint="eastAsia" w:ascii="宋体" w:hAnsi="宋体"/>
          <w:color w:val="auto"/>
          <w:szCs w:val="21"/>
          <w:highlight w:val="none"/>
        </w:rPr>
        <w:t>（2）响应文件内出现恶意诋毁、</w:t>
      </w:r>
      <w:r>
        <w:rPr>
          <w:rFonts w:ascii="宋体" w:hAnsi="宋体"/>
          <w:color w:val="auto"/>
          <w:szCs w:val="21"/>
          <w:highlight w:val="none"/>
        </w:rPr>
        <w:t>贬低其他生产经营者的商品或者服务</w:t>
      </w:r>
      <w:r>
        <w:rPr>
          <w:rFonts w:hint="eastAsia" w:ascii="宋体" w:hAnsi="宋体"/>
          <w:color w:val="auto"/>
          <w:szCs w:val="21"/>
          <w:highlight w:val="none"/>
        </w:rPr>
        <w:t>的内容。</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有下列情形之一的，视为供应商串通磋商，其响应无效：</w:t>
      </w:r>
    </w:p>
    <w:bookmarkEnd w:id="144"/>
    <w:p>
      <w:pPr>
        <w:spacing w:line="400" w:lineRule="exact"/>
        <w:ind w:left="420" w:leftChars="200"/>
        <w:jc w:val="both"/>
        <w:rPr>
          <w:rFonts w:ascii="宋体" w:hAnsi="宋体"/>
          <w:color w:val="auto"/>
          <w:kern w:val="0"/>
          <w:szCs w:val="21"/>
          <w:highlight w:val="none"/>
        </w:rPr>
      </w:pPr>
      <w:r>
        <w:rPr>
          <w:rFonts w:hint="eastAsia" w:ascii="宋体" w:hAnsi="宋体"/>
          <w:color w:val="auto"/>
          <w:kern w:val="0"/>
          <w:szCs w:val="21"/>
          <w:highlight w:val="none"/>
        </w:rPr>
        <w:t>（一）不同供应商的响应文件由同一单位或者个人编制；</w:t>
      </w:r>
    </w:p>
    <w:p>
      <w:pPr>
        <w:spacing w:line="400" w:lineRule="exact"/>
        <w:ind w:left="420" w:leftChars="200"/>
        <w:jc w:val="both"/>
        <w:rPr>
          <w:rFonts w:ascii="宋体" w:hAnsi="宋体"/>
          <w:color w:val="auto"/>
          <w:kern w:val="0"/>
          <w:szCs w:val="21"/>
          <w:highlight w:val="none"/>
        </w:rPr>
      </w:pPr>
      <w:r>
        <w:rPr>
          <w:rFonts w:hint="eastAsia" w:ascii="宋体" w:hAnsi="宋体"/>
          <w:color w:val="auto"/>
          <w:kern w:val="0"/>
          <w:szCs w:val="21"/>
          <w:highlight w:val="none"/>
        </w:rPr>
        <w:t>（二）不同供应商委托同一单位或者个人办理磋商事宜；</w:t>
      </w:r>
    </w:p>
    <w:p>
      <w:pPr>
        <w:spacing w:line="400" w:lineRule="exact"/>
        <w:ind w:left="420" w:leftChars="200"/>
        <w:jc w:val="both"/>
        <w:rPr>
          <w:rFonts w:ascii="宋体" w:hAnsi="宋体"/>
          <w:color w:val="auto"/>
          <w:kern w:val="0"/>
          <w:szCs w:val="21"/>
          <w:highlight w:val="none"/>
        </w:rPr>
      </w:pPr>
      <w:r>
        <w:rPr>
          <w:rFonts w:hint="eastAsia" w:ascii="宋体" w:hAnsi="宋体"/>
          <w:color w:val="auto"/>
          <w:kern w:val="0"/>
          <w:szCs w:val="21"/>
          <w:highlight w:val="none"/>
        </w:rPr>
        <w:t>（三）不同供应商的响应文件载明的项目管理成员或者联系人员为同一人；</w:t>
      </w:r>
    </w:p>
    <w:p>
      <w:pPr>
        <w:spacing w:line="400" w:lineRule="exact"/>
        <w:ind w:left="420" w:leftChars="200"/>
        <w:jc w:val="both"/>
        <w:rPr>
          <w:rFonts w:ascii="宋体" w:hAnsi="宋体"/>
          <w:color w:val="auto"/>
          <w:kern w:val="0"/>
          <w:szCs w:val="21"/>
          <w:highlight w:val="none"/>
        </w:rPr>
      </w:pPr>
      <w:r>
        <w:rPr>
          <w:rFonts w:hint="eastAsia" w:ascii="宋体" w:hAnsi="宋体"/>
          <w:color w:val="auto"/>
          <w:kern w:val="0"/>
          <w:szCs w:val="21"/>
          <w:highlight w:val="none"/>
        </w:rPr>
        <w:t>（四）不同供应商的响应文件异常一致或者响应报价呈规律性差异；</w:t>
      </w:r>
    </w:p>
    <w:p>
      <w:pPr>
        <w:spacing w:line="400" w:lineRule="exact"/>
        <w:ind w:left="420" w:leftChars="200"/>
        <w:jc w:val="both"/>
        <w:rPr>
          <w:rFonts w:ascii="宋体" w:hAnsi="宋体"/>
          <w:color w:val="auto"/>
          <w:kern w:val="0"/>
          <w:szCs w:val="21"/>
          <w:highlight w:val="none"/>
        </w:rPr>
      </w:pPr>
      <w:r>
        <w:rPr>
          <w:rFonts w:hint="eastAsia" w:ascii="宋体" w:hAnsi="宋体"/>
          <w:color w:val="auto"/>
          <w:kern w:val="0"/>
          <w:szCs w:val="21"/>
          <w:highlight w:val="none"/>
        </w:rPr>
        <w:t>（五）不同供应商的响应文件相互混装；</w:t>
      </w:r>
    </w:p>
    <w:p>
      <w:pPr>
        <w:spacing w:line="400" w:lineRule="exact"/>
        <w:ind w:left="420" w:leftChars="200"/>
        <w:jc w:val="both"/>
        <w:rPr>
          <w:rFonts w:ascii="宋体" w:hAnsi="宋体"/>
          <w:color w:val="auto"/>
          <w:kern w:val="0"/>
          <w:szCs w:val="21"/>
          <w:highlight w:val="none"/>
        </w:rPr>
      </w:pPr>
      <w:r>
        <w:rPr>
          <w:rFonts w:hint="eastAsia" w:ascii="宋体" w:hAnsi="宋体"/>
          <w:color w:val="auto"/>
          <w:kern w:val="0"/>
          <w:szCs w:val="21"/>
          <w:highlight w:val="none"/>
        </w:rPr>
        <w:t>（六）不同供应商的响应保证金从同一单位或者个人的账户转出。</w:t>
      </w:r>
    </w:p>
    <w:p>
      <w:pPr>
        <w:spacing w:line="400" w:lineRule="exact"/>
        <w:jc w:val="both"/>
        <w:rPr>
          <w:rFonts w:ascii="Tahoma" w:hAnsi="Tahoma" w:eastAsia="微软雅黑"/>
          <w:color w:val="auto"/>
          <w:kern w:val="0"/>
          <w:sz w:val="22"/>
          <w:szCs w:val="22"/>
          <w:highlight w:val="none"/>
        </w:rPr>
      </w:pPr>
    </w:p>
    <w:p>
      <w:pPr>
        <w:pStyle w:val="5"/>
        <w:rPr>
          <w:color w:val="auto"/>
          <w:highlight w:val="none"/>
        </w:rPr>
      </w:pPr>
      <w:bookmarkStart w:id="145" w:name="_Toc29388"/>
      <w:bookmarkStart w:id="146" w:name="_Toc11253"/>
      <w:bookmarkStart w:id="147" w:name="_Toc10449"/>
      <w:r>
        <w:rPr>
          <w:rFonts w:hint="eastAsia"/>
          <w:color w:val="auto"/>
          <w:highlight w:val="none"/>
        </w:rPr>
        <w:t>13.响应报价说明</w:t>
      </w:r>
      <w:bookmarkEnd w:id="145"/>
      <w:bookmarkEnd w:id="146"/>
      <w:bookmarkEnd w:id="147"/>
    </w:p>
    <w:p>
      <w:pPr>
        <w:numPr>
          <w:ilvl w:val="0"/>
          <w:numId w:val="5"/>
        </w:numPr>
        <w:spacing w:line="400" w:lineRule="exact"/>
        <w:ind w:firstLine="420"/>
        <w:jc w:val="both"/>
        <w:rPr>
          <w:rFonts w:ascii="宋体" w:hAnsi="宋体"/>
          <w:vanish/>
          <w:color w:val="auto"/>
          <w:szCs w:val="21"/>
          <w:highlight w:val="none"/>
        </w:rPr>
      </w:pP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本次磋商，供应商应按用户需求中的要求进行响应报价，少报无效。</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供应商所提供的货物或服务均以人民币（或相关费率）报价。</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响应报价应包含完成本次磋商所有服务内容的费用，包含各种税务费及合同实施过程中的全部费用和售后服务费等。</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成交后开出的所有发票必须与成交供应商的名称一致。</w:t>
      </w:r>
    </w:p>
    <w:p>
      <w:pPr>
        <w:widowControl/>
        <w:adjustRightInd w:val="0"/>
        <w:snapToGrid w:val="0"/>
        <w:spacing w:after="200" w:line="400" w:lineRule="exact"/>
        <w:rPr>
          <w:rFonts w:ascii="Tahoma" w:hAnsi="Tahoma" w:eastAsia="微软雅黑"/>
          <w:color w:val="auto"/>
          <w:kern w:val="0"/>
          <w:sz w:val="22"/>
          <w:szCs w:val="22"/>
          <w:highlight w:val="none"/>
        </w:rPr>
      </w:pPr>
    </w:p>
    <w:p>
      <w:pPr>
        <w:pStyle w:val="5"/>
        <w:rPr>
          <w:color w:val="auto"/>
          <w:highlight w:val="none"/>
        </w:rPr>
      </w:pPr>
      <w:bookmarkStart w:id="148" w:name="_Toc28006"/>
      <w:bookmarkStart w:id="149" w:name="_Toc18749"/>
      <w:bookmarkStart w:id="150" w:name="_Toc29860"/>
      <w:r>
        <w:rPr>
          <w:rFonts w:hint="eastAsia"/>
          <w:color w:val="auto"/>
          <w:highlight w:val="none"/>
        </w:rPr>
        <w:t>14.供应商所提供的服务或货物的证明文件</w:t>
      </w:r>
      <w:bookmarkEnd w:id="148"/>
      <w:bookmarkEnd w:id="149"/>
      <w:bookmarkEnd w:id="150"/>
    </w:p>
    <w:p>
      <w:pPr>
        <w:numPr>
          <w:ilvl w:val="0"/>
          <w:numId w:val="5"/>
        </w:numPr>
        <w:spacing w:line="400" w:lineRule="exact"/>
        <w:ind w:firstLine="420"/>
        <w:jc w:val="both"/>
        <w:rPr>
          <w:rFonts w:ascii="宋体" w:hAnsi="宋体"/>
          <w:vanish/>
          <w:color w:val="auto"/>
          <w:szCs w:val="21"/>
          <w:highlight w:val="none"/>
        </w:rPr>
      </w:pPr>
    </w:p>
    <w:p>
      <w:pPr>
        <w:numPr>
          <w:ilvl w:val="1"/>
          <w:numId w:val="5"/>
        </w:numPr>
        <w:spacing w:line="400" w:lineRule="exact"/>
        <w:jc w:val="both"/>
        <w:rPr>
          <w:rFonts w:ascii="宋体" w:hAnsi="宋体"/>
          <w:color w:val="auto"/>
          <w:kern w:val="0"/>
          <w:szCs w:val="21"/>
          <w:highlight w:val="none"/>
        </w:rPr>
      </w:pPr>
      <w:bookmarkStart w:id="151" w:name="_Hlt107925638"/>
      <w:bookmarkEnd w:id="151"/>
      <w:bookmarkStart w:id="152" w:name="_Hlt107925668"/>
      <w:bookmarkEnd w:id="152"/>
      <w:r>
        <w:rPr>
          <w:rFonts w:hint="eastAsia" w:ascii="宋体" w:hAnsi="宋体"/>
          <w:color w:val="auto"/>
          <w:kern w:val="0"/>
          <w:szCs w:val="21"/>
          <w:highlight w:val="none"/>
        </w:rPr>
        <w:t>证明服务或货物的文件，它可以是文字资料、图纸和数据包括但不限于：服务主要内容、标准、质量、人员资质、计划安排、报告审核等的详细说明；对磋商文件第三篇《用户需求书》中规定的要求进行详细应答和说明。</w:t>
      </w:r>
    </w:p>
    <w:p>
      <w:pPr>
        <w:spacing w:line="400" w:lineRule="exact"/>
        <w:ind w:left="425"/>
        <w:jc w:val="both"/>
        <w:rPr>
          <w:rFonts w:ascii="Tahoma" w:hAnsi="Tahoma" w:eastAsia="微软雅黑"/>
          <w:color w:val="auto"/>
          <w:sz w:val="22"/>
          <w:szCs w:val="22"/>
          <w:highlight w:val="none"/>
        </w:rPr>
      </w:pPr>
    </w:p>
    <w:p>
      <w:pPr>
        <w:pStyle w:val="5"/>
        <w:rPr>
          <w:color w:val="auto"/>
          <w:highlight w:val="none"/>
        </w:rPr>
      </w:pPr>
      <w:bookmarkStart w:id="153" w:name="_Toc12457"/>
      <w:bookmarkStart w:id="154" w:name="_Toc4792"/>
      <w:bookmarkStart w:id="155" w:name="_Toc20435"/>
      <w:r>
        <w:rPr>
          <w:rFonts w:hint="eastAsia"/>
          <w:color w:val="auto"/>
          <w:highlight w:val="none"/>
        </w:rPr>
        <w:t>15.★响应有效期</w:t>
      </w:r>
      <w:bookmarkEnd w:id="153"/>
      <w:bookmarkEnd w:id="154"/>
      <w:bookmarkEnd w:id="155"/>
    </w:p>
    <w:p>
      <w:pPr>
        <w:numPr>
          <w:ilvl w:val="0"/>
          <w:numId w:val="5"/>
        </w:numPr>
        <w:spacing w:line="400" w:lineRule="exact"/>
        <w:ind w:firstLine="420"/>
        <w:jc w:val="both"/>
        <w:rPr>
          <w:rFonts w:ascii="宋体" w:hAnsi="宋体"/>
          <w:vanish/>
          <w:color w:val="auto"/>
          <w:szCs w:val="21"/>
          <w:highlight w:val="none"/>
        </w:rPr>
      </w:pP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响应文件应根据供应商须知的规定在响应截止日后的90天内保持有效。</w:t>
      </w:r>
    </w:p>
    <w:p>
      <w:pPr>
        <w:spacing w:line="400" w:lineRule="exact"/>
        <w:ind w:left="567"/>
        <w:jc w:val="both"/>
        <w:rPr>
          <w:rFonts w:ascii="Tahoma" w:hAnsi="Tahoma" w:eastAsia="微软雅黑"/>
          <w:color w:val="auto"/>
          <w:kern w:val="0"/>
          <w:sz w:val="22"/>
          <w:szCs w:val="22"/>
          <w:highlight w:val="none"/>
        </w:rPr>
      </w:pPr>
    </w:p>
    <w:p>
      <w:pPr>
        <w:pStyle w:val="5"/>
        <w:rPr>
          <w:color w:val="auto"/>
          <w:highlight w:val="none"/>
        </w:rPr>
      </w:pPr>
      <w:bookmarkStart w:id="156" w:name="_Toc28431"/>
      <w:bookmarkStart w:id="157" w:name="_Toc11339"/>
      <w:bookmarkStart w:id="158" w:name="_Toc20804"/>
      <w:r>
        <w:rPr>
          <w:rFonts w:hint="eastAsia"/>
          <w:color w:val="auto"/>
          <w:highlight w:val="none"/>
        </w:rPr>
        <w:t>16.</w:t>
      </w:r>
      <w:bookmarkEnd w:id="156"/>
      <w:bookmarkEnd w:id="157"/>
      <w:bookmarkEnd w:id="158"/>
      <w:r>
        <w:rPr>
          <w:rFonts w:hint="eastAsia"/>
          <w:color w:val="auto"/>
          <w:highlight w:val="none"/>
        </w:rPr>
        <w:t>响应保证金</w:t>
      </w:r>
      <w:r>
        <w:rPr>
          <w:rFonts w:hint="eastAsia" w:ascii="宋体" w:hAnsi="宋体" w:cs="宋体"/>
          <w:color w:val="auto"/>
          <w:szCs w:val="21"/>
          <w:highlight w:val="none"/>
        </w:rPr>
        <w:t>（本项目不需要）</w:t>
      </w:r>
    </w:p>
    <w:p>
      <w:pPr>
        <w:numPr>
          <w:ilvl w:val="0"/>
          <w:numId w:val="5"/>
        </w:numPr>
        <w:spacing w:line="400" w:lineRule="exact"/>
        <w:ind w:firstLine="420"/>
        <w:jc w:val="both"/>
        <w:rPr>
          <w:rFonts w:ascii="宋体" w:hAnsi="宋体"/>
          <w:vanish/>
          <w:color w:val="auto"/>
          <w:szCs w:val="21"/>
          <w:highlight w:val="none"/>
        </w:rPr>
      </w:pPr>
      <w:bookmarkStart w:id="159" w:name="_Ref179619405"/>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供应商应按磋商文件中规定数额及法律规定的时间按相应包号保证金金额要求一次性提交响应保证金，以多次汇入达到磋商文件要求金额的响应保证金无效。</w:t>
      </w:r>
      <w:bookmarkEnd w:id="159"/>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响应保证金金额与磋商文件要求金额保持一致。</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响应保证金有效期与响应有效期保持一致。</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供应商应一次性缴交磋商文件规定数额的响应保证金，供应商与交款人名称必须一致（分公司响应的，其保证金可由上级公司缴纳并提供加盖公章的相关证明），非供应商缴纳的响应保证金无效。</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采用银行转账、电汇方式提交的,付至采购代理机构指定账户上。</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响应担保。是指由担保机构为供应商交纳响应保证金向采购人或者采购代理机构提供的保证担保。供应商在响应有效期内撤回响应文件或成交后不签订采购合同的，由担保机构按照担保函的约定履行支付响应保证金的责任。（担保函格式详见附件）</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采用《响应担保函》提交的，应符合下列规定：</w:t>
      </w:r>
    </w:p>
    <w:p>
      <w:pPr>
        <w:widowControl/>
        <w:adjustRightInd w:val="0"/>
        <w:snapToGrid w:val="0"/>
        <w:spacing w:line="400" w:lineRule="exact"/>
        <w:ind w:firstLine="422" w:firstLineChars="200"/>
        <w:rPr>
          <w:rFonts w:ascii="宋体" w:hAnsi="宋体"/>
          <w:b/>
          <w:color w:val="auto"/>
          <w:kern w:val="0"/>
          <w:szCs w:val="21"/>
          <w:highlight w:val="none"/>
        </w:rPr>
      </w:pPr>
      <w:r>
        <w:rPr>
          <w:rFonts w:hint="eastAsia" w:ascii="宋体" w:hAnsi="宋体"/>
          <w:b/>
          <w:color w:val="auto"/>
          <w:kern w:val="0"/>
          <w:szCs w:val="21"/>
          <w:highlight w:val="none"/>
        </w:rPr>
        <w:t>①担保函有效期应与响应有效期一致；</w:t>
      </w:r>
    </w:p>
    <w:p>
      <w:pPr>
        <w:widowControl/>
        <w:adjustRightInd w:val="0"/>
        <w:snapToGrid w:val="0"/>
        <w:spacing w:line="400" w:lineRule="exact"/>
        <w:ind w:firstLine="422" w:firstLineChars="200"/>
        <w:rPr>
          <w:rFonts w:ascii="宋体" w:hAnsi="宋体"/>
          <w:b/>
          <w:color w:val="auto"/>
          <w:kern w:val="0"/>
          <w:szCs w:val="21"/>
          <w:highlight w:val="none"/>
        </w:rPr>
      </w:pPr>
      <w:r>
        <w:rPr>
          <w:rFonts w:hint="eastAsia" w:ascii="宋体" w:hAnsi="宋体"/>
          <w:b/>
          <w:color w:val="auto"/>
          <w:kern w:val="0"/>
          <w:szCs w:val="21"/>
          <w:highlight w:val="none"/>
        </w:rPr>
        <w:t>②担保金额应与本项目的响应保证金金额一致；</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保证金不接受现金方式（包括以存现方式）提交，未按要求提交响应保证金的将导致废标。</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未成交的供应商的保证金在采购结果公示发出后5个工作日内退还，成交供应商的保证金在采购合同签订后5个工作日内退还。</w:t>
      </w:r>
    </w:p>
    <w:p>
      <w:pPr>
        <w:numPr>
          <w:ilvl w:val="1"/>
          <w:numId w:val="5"/>
        </w:numPr>
        <w:tabs>
          <w:tab w:val="left" w:pos="440"/>
          <w:tab w:val="left" w:pos="660"/>
          <w:tab w:val="clear" w:pos="56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为方便退还未成交的投保人的保证金，供应商应制作《响应保证金》随报价文件一并递交。</w:t>
      </w:r>
    </w:p>
    <w:p>
      <w:pPr>
        <w:numPr>
          <w:ilvl w:val="1"/>
          <w:numId w:val="5"/>
        </w:numPr>
        <w:spacing w:line="400" w:lineRule="exact"/>
        <w:jc w:val="both"/>
        <w:rPr>
          <w:rFonts w:ascii="宋体" w:hAnsi="宋体"/>
          <w:b/>
          <w:bCs/>
          <w:color w:val="auto"/>
          <w:kern w:val="0"/>
          <w:szCs w:val="21"/>
          <w:highlight w:val="none"/>
        </w:rPr>
      </w:pPr>
      <w:r>
        <w:rPr>
          <w:rFonts w:hint="eastAsia" w:ascii="宋体" w:hAnsi="宋体"/>
          <w:b/>
          <w:bCs/>
          <w:color w:val="auto"/>
          <w:kern w:val="0"/>
          <w:szCs w:val="21"/>
          <w:highlight w:val="none"/>
        </w:rPr>
        <w:t>有下列情形之一的，响应保证金将不予退还：</w:t>
      </w:r>
    </w:p>
    <w:p>
      <w:pPr>
        <w:widowControl/>
        <w:adjustRightInd w:val="0"/>
        <w:snapToGrid w:val="0"/>
        <w:spacing w:line="400" w:lineRule="exact"/>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①供应商在招磋商文件中规定的响应有效期内撤销其响应。</w:t>
      </w:r>
    </w:p>
    <w:p>
      <w:pPr>
        <w:widowControl/>
        <w:adjustRightInd w:val="0"/>
        <w:snapToGrid w:val="0"/>
        <w:spacing w:line="400" w:lineRule="exact"/>
        <w:ind w:firstLine="422" w:firstLineChars="200"/>
        <w:rPr>
          <w:rFonts w:ascii="宋体" w:hAnsi="宋体"/>
          <w:b/>
          <w:bCs/>
          <w:color w:val="auto"/>
          <w:kern w:val="0"/>
          <w:szCs w:val="21"/>
          <w:highlight w:val="none"/>
        </w:rPr>
      </w:pPr>
      <w:r>
        <w:rPr>
          <w:rFonts w:hint="eastAsia" w:ascii="宋体" w:hAnsi="宋体"/>
          <w:b/>
          <w:bCs/>
          <w:color w:val="auto"/>
          <w:kern w:val="0"/>
          <w:szCs w:val="21"/>
          <w:highlight w:val="none"/>
        </w:rPr>
        <w:t>②法律法规规定不予退还响应保证金的其它情形。</w:t>
      </w:r>
    </w:p>
    <w:p>
      <w:pPr>
        <w:widowControl/>
        <w:adjustRightInd w:val="0"/>
        <w:snapToGrid w:val="0"/>
        <w:spacing w:after="200"/>
        <w:rPr>
          <w:rFonts w:ascii="Tahoma" w:hAnsi="Tahoma" w:eastAsia="微软雅黑"/>
          <w:color w:val="auto"/>
          <w:kern w:val="0"/>
          <w:sz w:val="22"/>
          <w:szCs w:val="22"/>
          <w:highlight w:val="none"/>
        </w:rPr>
      </w:pPr>
    </w:p>
    <w:p>
      <w:pPr>
        <w:pStyle w:val="5"/>
        <w:rPr>
          <w:color w:val="auto"/>
          <w:highlight w:val="none"/>
        </w:rPr>
      </w:pPr>
      <w:bookmarkStart w:id="160" w:name="_Toc5055"/>
      <w:bookmarkStart w:id="161" w:name="_Toc21699"/>
      <w:bookmarkStart w:id="162" w:name="_Toc24997"/>
      <w:bookmarkStart w:id="163" w:name="_Toc17970"/>
      <w:bookmarkStart w:id="164" w:name="_Toc303084264"/>
      <w:bookmarkStart w:id="165" w:name="_Toc382049111"/>
      <w:r>
        <w:rPr>
          <w:rFonts w:hint="eastAsia"/>
          <w:color w:val="auto"/>
          <w:highlight w:val="none"/>
        </w:rPr>
        <w:t>17.响应文件的装订，签署，密封和标记</w:t>
      </w:r>
      <w:bookmarkEnd w:id="160"/>
      <w:bookmarkEnd w:id="161"/>
      <w:bookmarkEnd w:id="162"/>
      <w:bookmarkEnd w:id="163"/>
      <w:bookmarkEnd w:id="164"/>
      <w:bookmarkEnd w:id="165"/>
    </w:p>
    <w:p>
      <w:pPr>
        <w:numPr>
          <w:ilvl w:val="0"/>
          <w:numId w:val="5"/>
        </w:numPr>
        <w:spacing w:line="400" w:lineRule="exact"/>
        <w:ind w:firstLine="420"/>
        <w:jc w:val="both"/>
        <w:rPr>
          <w:rFonts w:ascii="宋体" w:hAnsi="宋体"/>
          <w:vanish/>
          <w:color w:val="auto"/>
          <w:szCs w:val="21"/>
          <w:highlight w:val="none"/>
        </w:rPr>
      </w:pP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为方便磋商小组对响应文件进行评审</w:t>
      </w:r>
      <w:r>
        <w:rPr>
          <w:rFonts w:ascii="宋体" w:hAnsi="宋体"/>
          <w:color w:val="auto"/>
          <w:kern w:val="0"/>
          <w:szCs w:val="21"/>
          <w:highlight w:val="none"/>
        </w:rPr>
        <w:t>，</w:t>
      </w:r>
      <w:r>
        <w:rPr>
          <w:rFonts w:hint="eastAsia" w:ascii="宋体" w:hAnsi="宋体"/>
          <w:color w:val="auto"/>
          <w:kern w:val="0"/>
          <w:szCs w:val="21"/>
          <w:highlight w:val="none"/>
        </w:rPr>
        <w:t>建议供应商对响应文件进行装订，</w:t>
      </w:r>
      <w:r>
        <w:rPr>
          <w:rFonts w:ascii="宋体" w:hAnsi="宋体"/>
          <w:color w:val="auto"/>
          <w:kern w:val="0"/>
          <w:szCs w:val="21"/>
          <w:highlight w:val="none"/>
        </w:rPr>
        <w:t>对未经装订的</w:t>
      </w:r>
      <w:r>
        <w:rPr>
          <w:rFonts w:hint="eastAsia" w:ascii="宋体" w:hAnsi="宋体"/>
          <w:color w:val="auto"/>
          <w:kern w:val="0"/>
          <w:szCs w:val="21"/>
          <w:highlight w:val="none"/>
        </w:rPr>
        <w:t>响应文件</w:t>
      </w:r>
      <w:r>
        <w:rPr>
          <w:rFonts w:ascii="宋体" w:hAnsi="宋体"/>
          <w:color w:val="auto"/>
          <w:kern w:val="0"/>
          <w:szCs w:val="21"/>
          <w:highlight w:val="none"/>
        </w:rPr>
        <w:t>可能发生的文件缺</w:t>
      </w:r>
      <w:r>
        <w:rPr>
          <w:rFonts w:hint="eastAsia" w:ascii="宋体" w:hAnsi="宋体"/>
          <w:color w:val="auto"/>
          <w:kern w:val="0"/>
          <w:szCs w:val="21"/>
          <w:highlight w:val="none"/>
        </w:rPr>
        <w:t>损</w:t>
      </w:r>
      <w:r>
        <w:rPr>
          <w:rFonts w:ascii="宋体" w:hAnsi="宋体"/>
          <w:color w:val="auto"/>
          <w:kern w:val="0"/>
          <w:szCs w:val="21"/>
          <w:highlight w:val="none"/>
        </w:rPr>
        <w:t>，由此产生的后果由</w:t>
      </w:r>
      <w:r>
        <w:rPr>
          <w:rFonts w:hint="eastAsia" w:ascii="宋体" w:hAnsi="宋体"/>
          <w:color w:val="auto"/>
          <w:kern w:val="0"/>
          <w:szCs w:val="21"/>
          <w:highlight w:val="none"/>
        </w:rPr>
        <w:t>供应商</w:t>
      </w:r>
      <w:r>
        <w:rPr>
          <w:rFonts w:ascii="宋体" w:hAnsi="宋体"/>
          <w:color w:val="auto"/>
          <w:kern w:val="0"/>
          <w:szCs w:val="21"/>
          <w:highlight w:val="none"/>
        </w:rPr>
        <w:t>承担。</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响应文件正本均须用不褪色墨水书写或打印。响应文件的副本可采用响应文件的正本复印件，每套响应文件应当标</w:t>
      </w:r>
      <w:r>
        <w:rPr>
          <w:rFonts w:ascii="宋体" w:hAnsi="宋体"/>
          <w:color w:val="auto"/>
          <w:kern w:val="0"/>
          <w:szCs w:val="21"/>
          <w:highlight w:val="none"/>
        </w:rPr>
        <w:t>明“正本”</w:t>
      </w:r>
      <w:r>
        <w:rPr>
          <w:rFonts w:hint="eastAsia" w:ascii="宋体" w:hAnsi="宋体"/>
          <w:color w:val="auto"/>
          <w:kern w:val="0"/>
          <w:szCs w:val="21"/>
          <w:highlight w:val="none"/>
        </w:rPr>
        <w:t>、</w:t>
      </w:r>
      <w:r>
        <w:rPr>
          <w:rFonts w:ascii="宋体" w:hAnsi="宋体"/>
          <w:color w:val="auto"/>
          <w:kern w:val="0"/>
          <w:szCs w:val="21"/>
          <w:highlight w:val="none"/>
        </w:rPr>
        <w:t>“副本”</w:t>
      </w:r>
      <w:r>
        <w:rPr>
          <w:rFonts w:hint="eastAsia" w:ascii="宋体" w:hAnsi="宋体"/>
          <w:color w:val="auto"/>
          <w:kern w:val="0"/>
          <w:szCs w:val="21"/>
          <w:highlight w:val="none"/>
        </w:rPr>
        <w:t>的字样</w:t>
      </w:r>
      <w:r>
        <w:rPr>
          <w:rFonts w:ascii="宋体" w:hAnsi="宋体"/>
          <w:color w:val="auto"/>
          <w:kern w:val="0"/>
          <w:szCs w:val="21"/>
          <w:highlight w:val="none"/>
        </w:rPr>
        <w:t>。</w:t>
      </w:r>
      <w:r>
        <w:rPr>
          <w:rFonts w:hint="eastAsia" w:ascii="宋体" w:hAnsi="宋体"/>
          <w:color w:val="auto"/>
          <w:kern w:val="0"/>
          <w:szCs w:val="21"/>
          <w:highlight w:val="none"/>
        </w:rPr>
        <w:t>响应文件的【正本】及所有【副本】的封面及骑缝均须加盖供应商公章（文件每页盖章等同于盖骑缝章）。若</w:t>
      </w:r>
      <w:r>
        <w:rPr>
          <w:rFonts w:ascii="宋体" w:hAnsi="宋体"/>
          <w:color w:val="auto"/>
          <w:kern w:val="0"/>
          <w:szCs w:val="21"/>
          <w:highlight w:val="none"/>
        </w:rPr>
        <w:t>正本</w:t>
      </w:r>
      <w:r>
        <w:rPr>
          <w:rFonts w:hint="eastAsia" w:ascii="宋体" w:hAnsi="宋体"/>
          <w:color w:val="auto"/>
          <w:kern w:val="0"/>
          <w:szCs w:val="21"/>
          <w:highlight w:val="none"/>
        </w:rPr>
        <w:t>与</w:t>
      </w:r>
      <w:r>
        <w:rPr>
          <w:rFonts w:ascii="宋体" w:hAnsi="宋体"/>
          <w:color w:val="auto"/>
          <w:kern w:val="0"/>
          <w:szCs w:val="21"/>
          <w:highlight w:val="none"/>
        </w:rPr>
        <w:t>副本</w:t>
      </w:r>
      <w:r>
        <w:rPr>
          <w:rFonts w:hint="eastAsia" w:ascii="宋体" w:hAnsi="宋体"/>
          <w:color w:val="auto"/>
          <w:kern w:val="0"/>
          <w:szCs w:val="21"/>
          <w:highlight w:val="none"/>
        </w:rPr>
        <w:t>不符，以</w:t>
      </w:r>
      <w:r>
        <w:rPr>
          <w:rFonts w:ascii="宋体" w:hAnsi="宋体"/>
          <w:color w:val="auto"/>
          <w:kern w:val="0"/>
          <w:szCs w:val="21"/>
          <w:highlight w:val="none"/>
        </w:rPr>
        <w:t>正本为准。</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联合体响应文件的【正本】及【副本】的封面及骑缝均须加盖所有联合体组成成员的公章。（文件每页盖章等同于盖骑缝章）如联合体协议中有明确分工说明除外。</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建议供应商将响应文件正本和所有的副本分开密封装在单独的信封中，且在信封上标明“正本”“副本”字样。然后再将所有信封封装在一个外层信封中（“报价文件”除外）。电子文件与正本密封包装，随正本提交。</w:t>
      </w:r>
    </w:p>
    <w:p>
      <w:pPr>
        <w:numPr>
          <w:ilvl w:val="1"/>
          <w:numId w:val="5"/>
        </w:numPr>
        <w:spacing w:line="400" w:lineRule="exact"/>
        <w:jc w:val="both"/>
        <w:rPr>
          <w:rFonts w:ascii="宋体" w:hAnsi="宋体"/>
          <w:color w:val="auto"/>
          <w:kern w:val="0"/>
          <w:szCs w:val="21"/>
          <w:highlight w:val="none"/>
        </w:rPr>
      </w:pPr>
      <w:r>
        <w:rPr>
          <w:rFonts w:ascii="宋体" w:hAnsi="宋体"/>
          <w:color w:val="auto"/>
          <w:kern w:val="0"/>
          <w:szCs w:val="21"/>
          <w:highlight w:val="none"/>
        </w:rPr>
        <w:t>电子文件内容包括：由</w:t>
      </w:r>
      <w:r>
        <w:rPr>
          <w:rFonts w:hint="eastAsia" w:ascii="宋体" w:hAnsi="宋体"/>
          <w:color w:val="auto"/>
          <w:kern w:val="0"/>
          <w:szCs w:val="21"/>
          <w:highlight w:val="none"/>
        </w:rPr>
        <w:t>供应商</w:t>
      </w:r>
      <w:r>
        <w:rPr>
          <w:rFonts w:ascii="宋体" w:hAnsi="宋体"/>
          <w:color w:val="auto"/>
          <w:kern w:val="0"/>
          <w:szCs w:val="21"/>
          <w:highlight w:val="none"/>
        </w:rPr>
        <w:t>自行制作的与正本文件一致的所有文件。电子文件</w:t>
      </w:r>
      <w:r>
        <w:rPr>
          <w:rFonts w:hint="eastAsia" w:ascii="宋体" w:hAnsi="宋体"/>
          <w:color w:val="auto"/>
          <w:kern w:val="0"/>
          <w:szCs w:val="21"/>
          <w:highlight w:val="none"/>
        </w:rPr>
        <w:t>由</w:t>
      </w:r>
      <w:r>
        <w:rPr>
          <w:rFonts w:ascii="宋体" w:hAnsi="宋体"/>
          <w:color w:val="auto"/>
          <w:kern w:val="0"/>
          <w:szCs w:val="21"/>
          <w:highlight w:val="none"/>
        </w:rPr>
        <w:t>光盘</w:t>
      </w:r>
      <w:r>
        <w:rPr>
          <w:rFonts w:hint="eastAsia" w:ascii="宋体" w:hAnsi="宋体"/>
          <w:color w:val="auto"/>
          <w:kern w:val="0"/>
          <w:szCs w:val="21"/>
          <w:highlight w:val="none"/>
        </w:rPr>
        <w:t>或U盘</w:t>
      </w:r>
      <w:r>
        <w:rPr>
          <w:rFonts w:ascii="宋体" w:hAnsi="宋体"/>
          <w:color w:val="auto"/>
          <w:kern w:val="0"/>
          <w:szCs w:val="21"/>
          <w:highlight w:val="none"/>
        </w:rPr>
        <w:t>储存</w:t>
      </w:r>
      <w:r>
        <w:rPr>
          <w:rFonts w:hint="eastAsia" w:ascii="宋体" w:hAnsi="宋体"/>
          <w:color w:val="auto"/>
          <w:kern w:val="0"/>
          <w:szCs w:val="21"/>
          <w:highlight w:val="none"/>
        </w:rPr>
        <w:t>（须含WORD版响应文件，文字采用WORD文档，计算表格采用 EXCEL文档），并注明供应商名称及项目名称、项目编号，随响应文件一同密封提交。</w:t>
      </w:r>
    </w:p>
    <w:p>
      <w:pPr>
        <w:numPr>
          <w:ilvl w:val="1"/>
          <w:numId w:val="5"/>
        </w:numPr>
        <w:spacing w:line="400" w:lineRule="exact"/>
        <w:jc w:val="both"/>
        <w:rPr>
          <w:rFonts w:ascii="宋体" w:hAnsi="宋体"/>
          <w:color w:val="auto"/>
          <w:kern w:val="0"/>
          <w:szCs w:val="21"/>
          <w:highlight w:val="none"/>
        </w:rPr>
      </w:pPr>
      <w:r>
        <w:rPr>
          <w:rFonts w:ascii="宋体" w:hAnsi="宋体"/>
          <w:color w:val="auto"/>
          <w:kern w:val="0"/>
          <w:szCs w:val="21"/>
          <w:highlight w:val="none"/>
        </w:rPr>
        <w:t>除</w:t>
      </w:r>
      <w:r>
        <w:rPr>
          <w:rFonts w:hint="eastAsia" w:ascii="宋体" w:hAnsi="宋体"/>
          <w:color w:val="auto"/>
          <w:kern w:val="0"/>
          <w:szCs w:val="21"/>
          <w:highlight w:val="none"/>
        </w:rPr>
        <w:t>供应商</w:t>
      </w:r>
      <w:r>
        <w:rPr>
          <w:rFonts w:ascii="宋体" w:hAnsi="宋体"/>
          <w:color w:val="auto"/>
          <w:kern w:val="0"/>
          <w:szCs w:val="21"/>
          <w:highlight w:val="none"/>
        </w:rPr>
        <w:t>对错误处修改外，全套</w:t>
      </w:r>
      <w:r>
        <w:rPr>
          <w:rFonts w:hint="eastAsia" w:ascii="宋体" w:hAnsi="宋体"/>
          <w:color w:val="auto"/>
          <w:kern w:val="0"/>
          <w:szCs w:val="21"/>
          <w:highlight w:val="none"/>
        </w:rPr>
        <w:t>响应文件</w:t>
      </w:r>
      <w:r>
        <w:rPr>
          <w:rFonts w:ascii="宋体" w:hAnsi="宋体"/>
          <w:color w:val="auto"/>
          <w:kern w:val="0"/>
          <w:szCs w:val="21"/>
          <w:highlight w:val="none"/>
        </w:rPr>
        <w:t>应无涂改或行间插字和增删。如有修改，修改处</w:t>
      </w:r>
      <w:r>
        <w:rPr>
          <w:rFonts w:hint="eastAsia" w:ascii="宋体" w:hAnsi="宋体"/>
          <w:color w:val="auto"/>
          <w:kern w:val="0"/>
          <w:szCs w:val="21"/>
          <w:highlight w:val="none"/>
        </w:rPr>
        <w:t>须由法定代表人或其正式授权代表在旁边签字及盖章</w:t>
      </w:r>
      <w:r>
        <w:rPr>
          <w:rFonts w:ascii="宋体" w:hAnsi="宋体"/>
          <w:color w:val="auto"/>
          <w:kern w:val="0"/>
          <w:szCs w:val="21"/>
          <w:highlight w:val="none"/>
        </w:rPr>
        <w:t>。</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应将报价一览表、法人代表证明书、法定代表人授权书（法人响应无需提交授权书）、响应保证金（加盖公章）和响应保证金支付凭证银行汇款底单（复印件加盖公章）单独密封提交，并在信封上标明“报价文件”字样。“报价文件”份数及签章等要求与响应文件正本相同（1份）。若供应商采用担保函形式的，则无需密封在“报价文件”内，供应商需在接收响应文件截止时间前将原件提交至代理机构。</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供应商未提交“报价文件”或“报价文件”中无“报价一览表”的，报价以响应文件正本为准。</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 xml:space="preserve">所有的信封均应注明： </w:t>
      </w:r>
    </w:p>
    <w:p>
      <w:pPr>
        <w:numPr>
          <w:ilvl w:val="0"/>
          <w:numId w:val="6"/>
        </w:numPr>
        <w:spacing w:line="400" w:lineRule="exact"/>
        <w:ind w:left="567"/>
        <w:jc w:val="both"/>
        <w:rPr>
          <w:rFonts w:ascii="宋体" w:hAnsi="宋体"/>
          <w:color w:val="auto"/>
          <w:kern w:val="0"/>
          <w:szCs w:val="21"/>
          <w:highlight w:val="none"/>
        </w:rPr>
      </w:pPr>
      <w:r>
        <w:rPr>
          <w:rFonts w:hint="eastAsia" w:ascii="宋体" w:hAnsi="宋体"/>
          <w:color w:val="auto"/>
          <w:kern w:val="0"/>
          <w:szCs w:val="21"/>
          <w:highlight w:val="none"/>
        </w:rPr>
        <w:t>收件人：国顺招标有限公司</w:t>
      </w:r>
    </w:p>
    <w:p>
      <w:pPr>
        <w:numPr>
          <w:ilvl w:val="0"/>
          <w:numId w:val="6"/>
        </w:numPr>
        <w:spacing w:line="400" w:lineRule="exact"/>
        <w:ind w:left="567"/>
        <w:jc w:val="both"/>
        <w:rPr>
          <w:rFonts w:ascii="宋体" w:hAnsi="宋体"/>
          <w:color w:val="auto"/>
          <w:kern w:val="0"/>
          <w:szCs w:val="21"/>
          <w:highlight w:val="none"/>
        </w:rPr>
      </w:pPr>
      <w:r>
        <w:rPr>
          <w:rFonts w:hint="eastAsia" w:ascii="宋体" w:hAnsi="宋体"/>
          <w:color w:val="auto"/>
          <w:kern w:val="0"/>
          <w:szCs w:val="21"/>
          <w:highlight w:val="none"/>
        </w:rPr>
        <w:t>响应单位名称：</w:t>
      </w:r>
    </w:p>
    <w:p>
      <w:pPr>
        <w:numPr>
          <w:ilvl w:val="0"/>
          <w:numId w:val="6"/>
        </w:numPr>
        <w:spacing w:line="400" w:lineRule="exact"/>
        <w:ind w:left="567"/>
        <w:jc w:val="both"/>
        <w:rPr>
          <w:rFonts w:ascii="宋体" w:hAnsi="宋体"/>
          <w:color w:val="auto"/>
          <w:kern w:val="0"/>
          <w:szCs w:val="21"/>
          <w:highlight w:val="none"/>
        </w:rPr>
      </w:pPr>
      <w:r>
        <w:rPr>
          <w:rFonts w:hint="eastAsia" w:ascii="宋体" w:hAnsi="宋体"/>
          <w:color w:val="auto"/>
          <w:kern w:val="0"/>
          <w:szCs w:val="21"/>
          <w:highlight w:val="none"/>
        </w:rPr>
        <w:t>项目名称：</w:t>
      </w:r>
    </w:p>
    <w:p>
      <w:pPr>
        <w:numPr>
          <w:ilvl w:val="0"/>
          <w:numId w:val="6"/>
        </w:numPr>
        <w:spacing w:line="400" w:lineRule="exact"/>
        <w:ind w:left="567"/>
        <w:jc w:val="both"/>
        <w:rPr>
          <w:rFonts w:ascii="宋体" w:hAnsi="宋体"/>
          <w:color w:val="auto"/>
          <w:kern w:val="0"/>
          <w:szCs w:val="21"/>
          <w:highlight w:val="none"/>
        </w:rPr>
      </w:pPr>
      <w:r>
        <w:rPr>
          <w:rFonts w:hint="eastAsia" w:ascii="宋体" w:hAnsi="宋体"/>
          <w:color w:val="auto"/>
          <w:kern w:val="0"/>
          <w:szCs w:val="21"/>
          <w:highlight w:val="none"/>
        </w:rPr>
        <w:t>项目编号：</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采购代理机构将拒绝接收出现以下情况的响应文件：</w:t>
      </w:r>
    </w:p>
    <w:p>
      <w:pPr>
        <w:numPr>
          <w:ilvl w:val="0"/>
          <w:numId w:val="7"/>
        </w:numPr>
        <w:spacing w:line="400" w:lineRule="exact"/>
        <w:ind w:left="440"/>
        <w:jc w:val="both"/>
        <w:rPr>
          <w:rFonts w:ascii="宋体" w:hAnsi="宋体"/>
          <w:color w:val="auto"/>
          <w:kern w:val="0"/>
          <w:szCs w:val="21"/>
          <w:highlight w:val="none"/>
        </w:rPr>
      </w:pPr>
      <w:r>
        <w:rPr>
          <w:rFonts w:hint="eastAsia" w:ascii="宋体" w:hAnsi="宋体"/>
          <w:color w:val="auto"/>
          <w:kern w:val="0"/>
          <w:szCs w:val="21"/>
          <w:highlight w:val="none"/>
        </w:rPr>
        <w:t>采用透明包装进行密封或未进行密封的响应文件；</w:t>
      </w:r>
    </w:p>
    <w:p>
      <w:pPr>
        <w:numPr>
          <w:ilvl w:val="0"/>
          <w:numId w:val="7"/>
        </w:numPr>
        <w:spacing w:line="400" w:lineRule="exact"/>
        <w:ind w:left="440"/>
        <w:jc w:val="both"/>
        <w:rPr>
          <w:rFonts w:ascii="宋体" w:hAnsi="宋体"/>
          <w:color w:val="auto"/>
          <w:kern w:val="0"/>
          <w:szCs w:val="21"/>
          <w:highlight w:val="none"/>
        </w:rPr>
      </w:pPr>
      <w:r>
        <w:rPr>
          <w:rFonts w:hint="eastAsia" w:ascii="宋体" w:hAnsi="宋体"/>
          <w:color w:val="auto"/>
          <w:kern w:val="0"/>
          <w:szCs w:val="21"/>
          <w:highlight w:val="none"/>
        </w:rPr>
        <w:t>密封破损导致响应文件内容直接或间接泄露的响应文件；</w:t>
      </w:r>
    </w:p>
    <w:p>
      <w:pPr>
        <w:numPr>
          <w:ilvl w:val="0"/>
          <w:numId w:val="7"/>
        </w:numPr>
        <w:spacing w:line="400" w:lineRule="exact"/>
        <w:ind w:left="440"/>
        <w:jc w:val="both"/>
        <w:rPr>
          <w:rFonts w:ascii="宋体" w:hAnsi="宋体"/>
          <w:color w:val="auto"/>
          <w:kern w:val="0"/>
          <w:szCs w:val="21"/>
          <w:highlight w:val="none"/>
        </w:rPr>
      </w:pPr>
      <w:r>
        <w:rPr>
          <w:rFonts w:hint="eastAsia" w:ascii="宋体" w:hAnsi="宋体"/>
          <w:color w:val="auto"/>
          <w:kern w:val="0"/>
          <w:szCs w:val="21"/>
          <w:highlight w:val="none"/>
        </w:rPr>
        <w:t>密封信封上项目编号错误的响应文件；</w:t>
      </w:r>
    </w:p>
    <w:p>
      <w:pPr>
        <w:numPr>
          <w:ilvl w:val="0"/>
          <w:numId w:val="7"/>
        </w:numPr>
        <w:spacing w:line="400" w:lineRule="exact"/>
        <w:ind w:left="440"/>
        <w:jc w:val="both"/>
        <w:rPr>
          <w:rFonts w:ascii="宋体" w:hAnsi="宋体"/>
          <w:color w:val="auto"/>
          <w:kern w:val="0"/>
          <w:szCs w:val="21"/>
          <w:highlight w:val="none"/>
        </w:rPr>
      </w:pPr>
      <w:r>
        <w:rPr>
          <w:rFonts w:hint="eastAsia" w:ascii="宋体" w:hAnsi="宋体"/>
          <w:color w:val="auto"/>
          <w:kern w:val="0"/>
          <w:szCs w:val="21"/>
          <w:highlight w:val="none"/>
        </w:rPr>
        <w:t>未在规定时间内领购文件的供应商的响应文件；</w:t>
      </w:r>
    </w:p>
    <w:p>
      <w:pPr>
        <w:numPr>
          <w:ilvl w:val="0"/>
          <w:numId w:val="7"/>
        </w:numPr>
        <w:spacing w:line="400" w:lineRule="exact"/>
        <w:ind w:left="440"/>
        <w:jc w:val="both"/>
        <w:rPr>
          <w:rFonts w:ascii="宋体" w:hAnsi="宋体"/>
          <w:color w:val="auto"/>
          <w:kern w:val="0"/>
          <w:szCs w:val="21"/>
          <w:highlight w:val="none"/>
        </w:rPr>
      </w:pPr>
      <w:r>
        <w:rPr>
          <w:rFonts w:hint="eastAsia" w:ascii="宋体" w:hAnsi="宋体"/>
          <w:color w:val="auto"/>
          <w:kern w:val="0"/>
          <w:szCs w:val="21"/>
          <w:highlight w:val="none"/>
        </w:rPr>
        <w:t>项目名称出现严重歧义或未标注所投项目信息导致无法分辨所投项目为本项目的响应文件；</w:t>
      </w:r>
    </w:p>
    <w:p>
      <w:pPr>
        <w:numPr>
          <w:ilvl w:val="0"/>
          <w:numId w:val="7"/>
        </w:numPr>
        <w:spacing w:line="400" w:lineRule="exact"/>
        <w:ind w:left="440"/>
        <w:jc w:val="both"/>
        <w:rPr>
          <w:rFonts w:ascii="宋体" w:hAnsi="宋体"/>
          <w:color w:val="auto"/>
          <w:kern w:val="0"/>
          <w:szCs w:val="21"/>
          <w:highlight w:val="none"/>
        </w:rPr>
      </w:pPr>
      <w:r>
        <w:rPr>
          <w:rFonts w:hint="eastAsia" w:ascii="宋体" w:hAnsi="宋体"/>
          <w:color w:val="auto"/>
          <w:kern w:val="0"/>
          <w:szCs w:val="21"/>
          <w:highlight w:val="none"/>
        </w:rPr>
        <w:t>采用传真、电传的响应文件；</w:t>
      </w:r>
    </w:p>
    <w:p>
      <w:pPr>
        <w:numPr>
          <w:ilvl w:val="0"/>
          <w:numId w:val="7"/>
        </w:numPr>
        <w:spacing w:line="400" w:lineRule="exact"/>
        <w:ind w:left="440"/>
        <w:jc w:val="both"/>
        <w:rPr>
          <w:rFonts w:ascii="宋体" w:hAnsi="宋体"/>
          <w:color w:val="auto"/>
          <w:kern w:val="0"/>
          <w:szCs w:val="21"/>
          <w:highlight w:val="none"/>
        </w:rPr>
      </w:pPr>
      <w:r>
        <w:rPr>
          <w:rFonts w:hint="eastAsia" w:ascii="宋体" w:hAnsi="宋体"/>
          <w:color w:val="auto"/>
          <w:kern w:val="0"/>
          <w:szCs w:val="21"/>
          <w:highlight w:val="none"/>
        </w:rPr>
        <w:t>磋商文件规定的其他情形。</w:t>
      </w:r>
    </w:p>
    <w:p>
      <w:pPr>
        <w:numPr>
          <w:ilvl w:val="1"/>
          <w:numId w:val="5"/>
        </w:numPr>
        <w:tabs>
          <w:tab w:val="left" w:pos="440"/>
          <w:tab w:val="left" w:pos="660"/>
          <w:tab w:val="clear" w:pos="56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采购代理机构对所有响应文件的误投或提前启封概不负责。</w:t>
      </w:r>
    </w:p>
    <w:p>
      <w:pPr>
        <w:numPr>
          <w:ilvl w:val="1"/>
          <w:numId w:val="5"/>
        </w:numPr>
        <w:tabs>
          <w:tab w:val="left" w:pos="660"/>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供应商同时参加几个包磋商时必须按磋商文件要求按包号分别制作响应文件，分别密封递交。</w:t>
      </w:r>
    </w:p>
    <w:p>
      <w:pPr>
        <w:numPr>
          <w:ilvl w:val="1"/>
          <w:numId w:val="5"/>
        </w:numPr>
        <w:tabs>
          <w:tab w:val="left" w:pos="440"/>
          <w:tab w:val="left" w:pos="660"/>
          <w:tab w:val="clear" w:pos="56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递交的响应文件中所提供的通讯方式应保持联络畅通，因联系不上而导致的所有后果由供应商自行承担。</w:t>
      </w:r>
    </w:p>
    <w:p>
      <w:pPr>
        <w:widowControl/>
        <w:adjustRightInd w:val="0"/>
        <w:snapToGrid w:val="0"/>
        <w:spacing w:after="200" w:line="400" w:lineRule="exact"/>
        <w:rPr>
          <w:rFonts w:ascii="Tahoma" w:hAnsi="Tahoma" w:eastAsia="微软雅黑"/>
          <w:color w:val="auto"/>
          <w:kern w:val="0"/>
          <w:sz w:val="22"/>
          <w:szCs w:val="22"/>
          <w:highlight w:val="none"/>
        </w:rPr>
      </w:pPr>
    </w:p>
    <w:p>
      <w:pPr>
        <w:pStyle w:val="5"/>
        <w:rPr>
          <w:color w:val="auto"/>
          <w:highlight w:val="none"/>
        </w:rPr>
      </w:pPr>
      <w:bookmarkStart w:id="166" w:name="_Toc14913"/>
      <w:bookmarkStart w:id="167" w:name="_Toc1911"/>
      <w:bookmarkStart w:id="168" w:name="_Toc3249"/>
      <w:r>
        <w:rPr>
          <w:rFonts w:hint="eastAsia"/>
          <w:color w:val="auto"/>
          <w:highlight w:val="none"/>
        </w:rPr>
        <w:t>18.迟交的响应文件</w:t>
      </w:r>
      <w:bookmarkEnd w:id="166"/>
      <w:bookmarkEnd w:id="167"/>
      <w:bookmarkEnd w:id="168"/>
    </w:p>
    <w:p>
      <w:pPr>
        <w:numPr>
          <w:ilvl w:val="0"/>
          <w:numId w:val="5"/>
        </w:numPr>
        <w:spacing w:line="400" w:lineRule="exact"/>
        <w:ind w:firstLine="420"/>
        <w:jc w:val="both"/>
        <w:rPr>
          <w:rFonts w:ascii="宋体" w:hAnsi="宋体"/>
          <w:vanish/>
          <w:color w:val="auto"/>
          <w:szCs w:val="21"/>
          <w:highlight w:val="none"/>
        </w:rPr>
      </w:pP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供应商在响应截止时间之后提交的响应文件，采购代理机构将拒绝接收</w:t>
      </w:r>
      <w:r>
        <w:rPr>
          <w:rFonts w:ascii="宋体" w:hAnsi="宋体"/>
          <w:color w:val="auto"/>
          <w:kern w:val="0"/>
          <w:szCs w:val="21"/>
          <w:highlight w:val="none"/>
        </w:rPr>
        <w:t>。</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有违反其他法律规定情形的，采购代理机构将拒绝接收。</w:t>
      </w:r>
    </w:p>
    <w:p>
      <w:pPr>
        <w:widowControl/>
        <w:adjustRightInd w:val="0"/>
        <w:snapToGrid w:val="0"/>
        <w:spacing w:after="200" w:line="400" w:lineRule="exact"/>
        <w:rPr>
          <w:rFonts w:ascii="Tahoma" w:hAnsi="Tahoma" w:eastAsia="微软雅黑"/>
          <w:color w:val="auto"/>
          <w:kern w:val="0"/>
          <w:sz w:val="22"/>
          <w:szCs w:val="22"/>
          <w:highlight w:val="none"/>
        </w:rPr>
      </w:pPr>
    </w:p>
    <w:p>
      <w:pPr>
        <w:pStyle w:val="5"/>
        <w:rPr>
          <w:color w:val="auto"/>
          <w:highlight w:val="none"/>
        </w:rPr>
      </w:pPr>
      <w:bookmarkStart w:id="169" w:name="_Toc13946"/>
      <w:bookmarkStart w:id="170" w:name="_Toc8387"/>
      <w:bookmarkStart w:id="171" w:name="_Toc22059"/>
      <w:r>
        <w:rPr>
          <w:rFonts w:hint="eastAsia"/>
          <w:color w:val="auto"/>
          <w:highlight w:val="none"/>
        </w:rPr>
        <w:t>19.磋商样品、磋商演示（如有要求）</w:t>
      </w:r>
      <w:bookmarkEnd w:id="169"/>
      <w:bookmarkEnd w:id="170"/>
      <w:bookmarkEnd w:id="171"/>
    </w:p>
    <w:p>
      <w:pPr>
        <w:numPr>
          <w:ilvl w:val="0"/>
          <w:numId w:val="5"/>
        </w:numPr>
        <w:spacing w:line="400" w:lineRule="exact"/>
        <w:ind w:firstLine="420"/>
        <w:jc w:val="both"/>
        <w:rPr>
          <w:rFonts w:ascii="宋体" w:hAnsi="宋体"/>
          <w:vanish/>
          <w:color w:val="auto"/>
          <w:szCs w:val="21"/>
          <w:highlight w:val="none"/>
        </w:rPr>
      </w:pP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如有必要，采购代理机构可以要求供应商提供本服务项目涉及的部分设备或产品样品，供应商在磋商时应提交《样品清单》。</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为方便评审，供应商在提供样品时，应在所提供的样品表面显著位置标注供应商的名称、包号、样品名称、磋商文件规定的服务或货物编号。</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样品作为响应文件的一部分，除非另有说明，成交单位的样品将作为履约验收标准的参考不再退还，未成交单位须在成交公告发布后五个工作日内，前往采购代理机构领取磋商样品，逾期不领，采购代理机构将不承担样品的保管责任，由此引发的样品丢失、毁损，采购代理机构不予负责。</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如有要求供应商现场演示环节，演示现场提供投影仪及电脑，所需的网络环境及设备全部由供应商自行解决，且供应商不得超过2名工作人员进场演示。演示过程不设置问答环节。</w:t>
      </w:r>
    </w:p>
    <w:p>
      <w:pPr>
        <w:widowControl/>
        <w:adjustRightInd w:val="0"/>
        <w:snapToGrid w:val="0"/>
        <w:spacing w:after="200" w:line="400" w:lineRule="exact"/>
        <w:rPr>
          <w:rFonts w:ascii="Tahoma" w:hAnsi="Tahoma" w:eastAsia="微软雅黑"/>
          <w:color w:val="auto"/>
          <w:kern w:val="0"/>
          <w:sz w:val="22"/>
          <w:szCs w:val="22"/>
          <w:highlight w:val="none"/>
        </w:rPr>
      </w:pPr>
    </w:p>
    <w:p>
      <w:pPr>
        <w:pStyle w:val="5"/>
        <w:rPr>
          <w:color w:val="auto"/>
          <w:highlight w:val="none"/>
        </w:rPr>
      </w:pPr>
      <w:bookmarkStart w:id="172" w:name="_Toc303084265"/>
      <w:bookmarkStart w:id="173" w:name="_Toc24777"/>
      <w:bookmarkStart w:id="174" w:name="_Toc9777"/>
      <w:bookmarkStart w:id="175" w:name="_Toc518"/>
      <w:bookmarkStart w:id="176" w:name="_Toc1364"/>
      <w:bookmarkStart w:id="177" w:name="_Toc382049112"/>
      <w:r>
        <w:rPr>
          <w:rFonts w:hint="eastAsia"/>
          <w:color w:val="auto"/>
          <w:highlight w:val="none"/>
        </w:rPr>
        <w:t>20.响应截止期</w:t>
      </w:r>
      <w:bookmarkEnd w:id="172"/>
      <w:bookmarkEnd w:id="173"/>
      <w:bookmarkEnd w:id="174"/>
      <w:bookmarkEnd w:id="175"/>
      <w:bookmarkEnd w:id="176"/>
      <w:bookmarkEnd w:id="177"/>
    </w:p>
    <w:p>
      <w:pPr>
        <w:numPr>
          <w:ilvl w:val="0"/>
          <w:numId w:val="5"/>
        </w:numPr>
        <w:spacing w:line="400" w:lineRule="exact"/>
        <w:ind w:firstLine="420"/>
        <w:jc w:val="both"/>
        <w:rPr>
          <w:rFonts w:ascii="宋体" w:hAnsi="宋体"/>
          <w:vanish/>
          <w:color w:val="auto"/>
          <w:szCs w:val="21"/>
          <w:highlight w:val="none"/>
        </w:rPr>
      </w:pP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供应商应在磋商文件规定的截止日期和时间内，将响应文件送达到指定地点。</w:t>
      </w:r>
    </w:p>
    <w:p>
      <w:pPr>
        <w:widowControl/>
        <w:adjustRightInd w:val="0"/>
        <w:snapToGrid w:val="0"/>
        <w:spacing w:after="200" w:line="400" w:lineRule="exact"/>
        <w:rPr>
          <w:rFonts w:ascii="Tahoma" w:hAnsi="Tahoma" w:eastAsia="微软雅黑"/>
          <w:color w:val="auto"/>
          <w:kern w:val="0"/>
          <w:sz w:val="22"/>
          <w:szCs w:val="22"/>
          <w:highlight w:val="none"/>
        </w:rPr>
      </w:pPr>
    </w:p>
    <w:p>
      <w:pPr>
        <w:pStyle w:val="5"/>
        <w:rPr>
          <w:color w:val="auto"/>
          <w:highlight w:val="none"/>
        </w:rPr>
      </w:pPr>
      <w:bookmarkStart w:id="178" w:name="_Toc28776"/>
      <w:bookmarkStart w:id="179" w:name="_Toc14390"/>
      <w:bookmarkStart w:id="180" w:name="_Toc4603"/>
      <w:r>
        <w:rPr>
          <w:rFonts w:hint="eastAsia"/>
          <w:color w:val="auto"/>
          <w:highlight w:val="none"/>
        </w:rPr>
        <w:t>21.响应文件的补充、修改与撤回</w:t>
      </w:r>
      <w:bookmarkEnd w:id="178"/>
      <w:bookmarkEnd w:id="179"/>
      <w:bookmarkEnd w:id="180"/>
    </w:p>
    <w:p>
      <w:pPr>
        <w:numPr>
          <w:ilvl w:val="0"/>
          <w:numId w:val="5"/>
        </w:numPr>
        <w:spacing w:line="400" w:lineRule="exact"/>
        <w:ind w:firstLine="420"/>
        <w:jc w:val="both"/>
        <w:rPr>
          <w:rFonts w:ascii="宋体" w:hAnsi="宋体"/>
          <w:vanish/>
          <w:color w:val="auto"/>
          <w:szCs w:val="21"/>
          <w:highlight w:val="none"/>
        </w:rPr>
      </w:pP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供应商在提交响应文件截止时间前，可以对所提交的响应文件进行补充、修改或撤回，并以纸质版形式通知采购代理机构。在提交响应文件截止时间之后，供应商不得对其响应文件做出任何的补充和修改。</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供应商对响应文件的补充、修改的内容应当按磋商文件要求的签署、盖章、密封后，作为响应文件的组成部分。并按照磋商文件规定密封和标记的要求提交，并在响应文件密封袋上标明“补充、修改”字样。</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响应文件一经递交不予退还。</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在提交响应文件截止时间至响应有效期满之前，供应商不得撤回其响应文件，否则其响应保证金将不予退还。</w:t>
      </w:r>
    </w:p>
    <w:p>
      <w:pPr>
        <w:widowControl/>
        <w:adjustRightInd w:val="0"/>
        <w:snapToGrid w:val="0"/>
        <w:ind w:left="119"/>
        <w:rPr>
          <w:rFonts w:ascii="宋体" w:hAnsi="宋体" w:cs="宋体"/>
          <w:color w:val="auto"/>
          <w:sz w:val="24"/>
          <w:szCs w:val="22"/>
          <w:highlight w:val="none"/>
          <w:lang w:val="zh-CN" w:bidi="zh-CN"/>
        </w:rPr>
      </w:pPr>
    </w:p>
    <w:p>
      <w:pPr>
        <w:pStyle w:val="5"/>
        <w:rPr>
          <w:color w:val="auto"/>
          <w:highlight w:val="none"/>
        </w:rPr>
      </w:pPr>
      <w:bookmarkStart w:id="181" w:name="_Toc11914"/>
      <w:bookmarkStart w:id="182" w:name="_Toc14512"/>
      <w:bookmarkStart w:id="183" w:name="_Toc191"/>
      <w:r>
        <w:rPr>
          <w:rFonts w:hint="eastAsia"/>
          <w:color w:val="auto"/>
          <w:highlight w:val="none"/>
        </w:rPr>
        <w:t>22.磋商</w:t>
      </w:r>
      <w:bookmarkEnd w:id="181"/>
      <w:bookmarkEnd w:id="182"/>
      <w:bookmarkEnd w:id="183"/>
    </w:p>
    <w:p>
      <w:pPr>
        <w:numPr>
          <w:ilvl w:val="0"/>
          <w:numId w:val="5"/>
        </w:numPr>
        <w:spacing w:line="400" w:lineRule="exact"/>
        <w:ind w:firstLine="420"/>
        <w:jc w:val="both"/>
        <w:rPr>
          <w:rFonts w:ascii="宋体" w:hAnsi="宋体"/>
          <w:vanish/>
          <w:color w:val="auto"/>
          <w:szCs w:val="21"/>
          <w:highlight w:val="none"/>
        </w:rPr>
      </w:pP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供应商应在《磋商邀请》规定的日期、时间和地点递交响应文件并进行现场签到</w:t>
      </w:r>
      <w:r>
        <w:rPr>
          <w:rFonts w:ascii="宋体" w:hAnsi="宋体"/>
          <w:color w:val="auto"/>
          <w:kern w:val="0"/>
          <w:szCs w:val="21"/>
          <w:highlight w:val="none"/>
        </w:rPr>
        <w:t>。</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接收响应文件时间截止，由供应商或者其推选的代表检查响应文件的密封情况；经确认密封完好后的响应文件不当众予以拆封，不宣读第一次报价和响应文件的其它主要内容。</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进入评审环节，通过资格性审查和符合性审查的有效供应商方有资格提交最终报价及进入综合评审。</w:t>
      </w:r>
    </w:p>
    <w:p>
      <w:pPr>
        <w:widowControl/>
        <w:adjustRightInd w:val="0"/>
        <w:snapToGrid w:val="0"/>
        <w:spacing w:line="400" w:lineRule="exact"/>
        <w:ind w:left="630" w:hanging="630" w:hangingChars="300"/>
        <w:rPr>
          <w:rFonts w:ascii="宋体" w:hAnsi="宋体" w:cs="宋体"/>
          <w:color w:val="auto"/>
          <w:sz w:val="24"/>
          <w:szCs w:val="22"/>
          <w:highlight w:val="none"/>
          <w:lang w:bidi="zh-CN"/>
        </w:rPr>
      </w:pPr>
      <w:r>
        <w:rPr>
          <w:rFonts w:hint="eastAsia" w:ascii="宋体" w:hAnsi="宋体" w:cs="宋体"/>
          <w:color w:val="auto"/>
          <w:szCs w:val="21"/>
          <w:highlight w:val="none"/>
          <w:lang w:bidi="zh-CN"/>
        </w:rPr>
        <w:t>22.4. 根据财库〔2015〕124 号，在采购过程中符合要求的供应商只有 2 家的，竞争性磋商采购活动继续进行。</w:t>
      </w:r>
    </w:p>
    <w:p>
      <w:pPr>
        <w:spacing w:line="400" w:lineRule="exact"/>
        <w:ind w:left="567"/>
        <w:jc w:val="both"/>
        <w:rPr>
          <w:rFonts w:ascii="Tahoma" w:hAnsi="Tahoma" w:eastAsia="微软雅黑"/>
          <w:color w:val="auto"/>
          <w:kern w:val="0"/>
          <w:sz w:val="22"/>
          <w:szCs w:val="22"/>
          <w:highlight w:val="none"/>
        </w:rPr>
      </w:pPr>
    </w:p>
    <w:p>
      <w:pPr>
        <w:pStyle w:val="5"/>
        <w:rPr>
          <w:color w:val="auto"/>
          <w:highlight w:val="none"/>
        </w:rPr>
      </w:pPr>
      <w:bookmarkStart w:id="184" w:name="_Toc13823"/>
      <w:bookmarkStart w:id="185" w:name="_Toc31198"/>
      <w:bookmarkStart w:id="186" w:name="_Toc19811"/>
      <w:r>
        <w:rPr>
          <w:rFonts w:hint="eastAsia"/>
          <w:color w:val="auto"/>
          <w:highlight w:val="none"/>
        </w:rPr>
        <w:t>23.磋商小组及评审方法</w:t>
      </w:r>
      <w:bookmarkEnd w:id="184"/>
      <w:bookmarkEnd w:id="185"/>
      <w:bookmarkEnd w:id="186"/>
    </w:p>
    <w:p>
      <w:pPr>
        <w:numPr>
          <w:ilvl w:val="0"/>
          <w:numId w:val="5"/>
        </w:numPr>
        <w:spacing w:line="400" w:lineRule="exact"/>
        <w:ind w:firstLine="420"/>
        <w:jc w:val="both"/>
        <w:rPr>
          <w:rFonts w:ascii="宋体" w:hAnsi="宋体"/>
          <w:vanish/>
          <w:color w:val="auto"/>
          <w:szCs w:val="21"/>
          <w:highlight w:val="none"/>
        </w:rPr>
      </w:pP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磋商小组根据磋商项目的特点进行组建，并负责评审工作。</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评审方法：本次磋商的评审方法采用综合评分法。</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磋商文件中要求供应商提供的相关资质证书证明材料因国家政策变动导致新旧证书名称不一致，旧证书未取消且新旧证书具有同等效力的，供应商提供新证书与提供在有效期内的旧证书给予同等认可。</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定标原则：在</w:t>
      </w:r>
      <w:r>
        <w:rPr>
          <w:rFonts w:ascii="宋体" w:hAnsi="宋体"/>
          <w:color w:val="auto"/>
          <w:kern w:val="0"/>
          <w:szCs w:val="21"/>
          <w:highlight w:val="none"/>
        </w:rPr>
        <w:t>满足</w:t>
      </w:r>
      <w:r>
        <w:rPr>
          <w:rFonts w:hint="eastAsia" w:ascii="宋体" w:hAnsi="宋体"/>
          <w:color w:val="auto"/>
          <w:kern w:val="0"/>
          <w:szCs w:val="21"/>
          <w:highlight w:val="none"/>
        </w:rPr>
        <w:t>磋商文件实质性要求前提下，按照磋商文件规定的各项评价因素进行量化打分，以评审总得分最高的供应商作为成交候选人或成交供应商。</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磋商小组对响应文件的评审内容，分为商务评议、技术评议和价格评议。评审流程包括符合性检查、澄清问题、比较与评价、推荐成交候选人或确定成交供应商、编写评审报告等步骤。</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在评审期间，磋商小组可要求供应商对其响应文件进行澄清，但不得寻求、提供或允许对响应报价等实质性内容做任何更改。有关澄清的要求和答复均应以纸质版形式提交，如供应商拒绝磋商小组要求对其响应文件进行澄清的要求，所造成的后果由供应商自行承担。</w:t>
      </w:r>
    </w:p>
    <w:p>
      <w:pPr>
        <w:widowControl/>
        <w:adjustRightInd w:val="0"/>
        <w:snapToGrid w:val="0"/>
        <w:spacing w:line="400" w:lineRule="exact"/>
        <w:rPr>
          <w:rFonts w:ascii="Tahoma" w:hAnsi="Tahoma" w:eastAsia="微软雅黑"/>
          <w:color w:val="auto"/>
          <w:kern w:val="0"/>
          <w:sz w:val="22"/>
          <w:szCs w:val="22"/>
          <w:highlight w:val="none"/>
        </w:rPr>
      </w:pPr>
    </w:p>
    <w:p>
      <w:pPr>
        <w:pStyle w:val="5"/>
        <w:rPr>
          <w:color w:val="auto"/>
          <w:highlight w:val="none"/>
        </w:rPr>
      </w:pPr>
      <w:bookmarkStart w:id="187" w:name="_Toc9540"/>
      <w:bookmarkStart w:id="188" w:name="_Toc20823"/>
      <w:bookmarkStart w:id="189" w:name="_Toc3525"/>
      <w:r>
        <w:rPr>
          <w:rFonts w:hint="eastAsia"/>
          <w:color w:val="auto"/>
          <w:highlight w:val="none"/>
        </w:rPr>
        <w:t>24.评审原则及评审过程的保密</w:t>
      </w:r>
      <w:bookmarkEnd w:id="187"/>
      <w:bookmarkEnd w:id="188"/>
      <w:bookmarkEnd w:id="189"/>
    </w:p>
    <w:p>
      <w:pPr>
        <w:numPr>
          <w:ilvl w:val="0"/>
          <w:numId w:val="5"/>
        </w:numPr>
        <w:spacing w:line="400" w:lineRule="exact"/>
        <w:ind w:firstLine="420"/>
        <w:jc w:val="both"/>
        <w:rPr>
          <w:rFonts w:ascii="宋体" w:hAnsi="宋体"/>
          <w:vanish/>
          <w:color w:val="auto"/>
          <w:szCs w:val="21"/>
          <w:highlight w:val="none"/>
        </w:rPr>
      </w:pP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评审的基本原则：磋商小组将依据《中华人民共和国政府采购法》及国家和地方政府有关法规的规定，遵循“客观、公正、审慎”的原则进行评审工作。</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从递交响应文件截止到签订合同，凡与审查、澄清、评审和供应商响应文件有关的资料以及定标意见相关的事项，均不得向供应商及与评审无关的其他人透露。</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任何单位和个人不得非法干预、影响评审的过程和结果。</w:t>
      </w:r>
    </w:p>
    <w:p>
      <w:pPr>
        <w:widowControl/>
        <w:adjustRightInd w:val="0"/>
        <w:snapToGrid w:val="0"/>
        <w:spacing w:line="400" w:lineRule="exact"/>
        <w:rPr>
          <w:rFonts w:ascii="Tahoma" w:hAnsi="Tahoma" w:eastAsia="微软雅黑"/>
          <w:color w:val="auto"/>
          <w:kern w:val="0"/>
          <w:sz w:val="22"/>
          <w:szCs w:val="22"/>
          <w:highlight w:val="none"/>
        </w:rPr>
      </w:pPr>
    </w:p>
    <w:p>
      <w:pPr>
        <w:pStyle w:val="5"/>
        <w:rPr>
          <w:color w:val="auto"/>
          <w:highlight w:val="none"/>
        </w:rPr>
      </w:pPr>
      <w:bookmarkStart w:id="190" w:name="_Toc15479"/>
      <w:bookmarkStart w:id="191" w:name="_Toc18014"/>
      <w:bookmarkStart w:id="192" w:name="_Toc7072"/>
      <w:r>
        <w:rPr>
          <w:rFonts w:hint="eastAsia"/>
          <w:color w:val="auto"/>
          <w:highlight w:val="none"/>
        </w:rPr>
        <w:t>25.响应文件的初审</w:t>
      </w:r>
      <w:bookmarkEnd w:id="190"/>
      <w:bookmarkEnd w:id="191"/>
      <w:bookmarkEnd w:id="192"/>
    </w:p>
    <w:p>
      <w:pPr>
        <w:numPr>
          <w:ilvl w:val="0"/>
          <w:numId w:val="5"/>
        </w:numPr>
        <w:tabs>
          <w:tab w:val="left" w:pos="907"/>
        </w:tabs>
        <w:spacing w:line="400" w:lineRule="exact"/>
        <w:ind w:firstLine="420"/>
        <w:jc w:val="both"/>
        <w:rPr>
          <w:rFonts w:ascii="宋体" w:hAnsi="宋体"/>
          <w:vanish/>
          <w:color w:val="auto"/>
          <w:szCs w:val="21"/>
          <w:highlight w:val="none"/>
        </w:rPr>
      </w:pPr>
    </w:p>
    <w:p>
      <w:pPr>
        <w:numPr>
          <w:ilvl w:val="1"/>
          <w:numId w:val="5"/>
        </w:numPr>
        <w:tabs>
          <w:tab w:val="left" w:pos="907"/>
        </w:tabs>
        <w:spacing w:line="400" w:lineRule="exact"/>
        <w:jc w:val="both"/>
        <w:rPr>
          <w:rFonts w:ascii="宋体" w:hAnsi="宋体"/>
          <w:b/>
          <w:color w:val="auto"/>
          <w:kern w:val="0"/>
          <w:szCs w:val="21"/>
          <w:highlight w:val="none"/>
        </w:rPr>
      </w:pPr>
      <w:r>
        <w:rPr>
          <w:rFonts w:hint="eastAsia" w:ascii="宋体" w:hAnsi="宋体"/>
          <w:color w:val="auto"/>
          <w:kern w:val="0"/>
          <w:szCs w:val="21"/>
          <w:highlight w:val="none"/>
        </w:rPr>
        <w:t>进入评审环节，磋商小组将依法对供应商的进行资格性审查。供应商存在不符合资格性检查所要求事项情况的，其报价及响应文件作无效处理。未通过资格性审查的供应商不进行符合性审查，</w:t>
      </w:r>
      <w:r>
        <w:rPr>
          <w:rFonts w:hint="eastAsia" w:ascii="宋体" w:hAnsi="宋体"/>
          <w:b/>
          <w:color w:val="auto"/>
          <w:kern w:val="0"/>
          <w:szCs w:val="21"/>
          <w:highlight w:val="none"/>
        </w:rPr>
        <w:t>资格性检查中发现下列情形之一的，其报价及响应文件作无效处理：</w:t>
      </w:r>
    </w:p>
    <w:p>
      <w:pPr>
        <w:tabs>
          <w:tab w:val="left" w:pos="907"/>
        </w:tabs>
        <w:spacing w:line="400" w:lineRule="exact"/>
        <w:ind w:left="567"/>
        <w:jc w:val="both"/>
        <w:rPr>
          <w:rFonts w:ascii="宋体" w:hAnsi="宋体"/>
          <w:b/>
          <w:color w:val="auto"/>
          <w:kern w:val="0"/>
          <w:szCs w:val="21"/>
          <w:highlight w:val="none"/>
        </w:rPr>
      </w:pPr>
      <w:r>
        <w:rPr>
          <w:rFonts w:hint="eastAsia" w:ascii="宋体" w:hAnsi="宋体"/>
          <w:b/>
          <w:color w:val="auto"/>
          <w:kern w:val="0"/>
          <w:szCs w:val="21"/>
          <w:highlight w:val="none"/>
        </w:rPr>
        <w:t>1) 资格瑕疵</w:t>
      </w:r>
    </w:p>
    <w:p>
      <w:pPr>
        <w:tabs>
          <w:tab w:val="left" w:pos="907"/>
        </w:tabs>
        <w:spacing w:line="400" w:lineRule="exact"/>
        <w:ind w:left="567"/>
        <w:jc w:val="both"/>
        <w:rPr>
          <w:rFonts w:ascii="宋体" w:hAnsi="宋体"/>
          <w:color w:val="auto"/>
          <w:kern w:val="0"/>
          <w:szCs w:val="21"/>
          <w:highlight w:val="none"/>
        </w:rPr>
      </w:pPr>
      <w:r>
        <w:rPr>
          <w:rFonts w:hint="eastAsia" w:ascii="宋体" w:hAnsi="宋体"/>
          <w:color w:val="auto"/>
          <w:kern w:val="0"/>
          <w:szCs w:val="21"/>
          <w:highlight w:val="none"/>
        </w:rPr>
        <w:t>包括但不限于：①资格证明文件未提供或不符合磋商文件要求的；②资格证明文件有效期过期的；③《营业执照》复印件（加盖公章）或《事业单位法人证书》复印件（加盖公章）或其他主体证书复印件（加盖公章）未提供或有效期过期的；④提供的资质材料模糊不清导致无法辨认的。⑤供应商名称与响应文件公章不一致的。</w:t>
      </w:r>
    </w:p>
    <w:p>
      <w:pPr>
        <w:tabs>
          <w:tab w:val="left" w:pos="907"/>
        </w:tabs>
        <w:spacing w:line="400" w:lineRule="exact"/>
        <w:ind w:left="567"/>
        <w:jc w:val="both"/>
        <w:rPr>
          <w:rFonts w:ascii="宋体" w:hAnsi="宋体"/>
          <w:b/>
          <w:color w:val="auto"/>
          <w:kern w:val="0"/>
          <w:szCs w:val="21"/>
          <w:highlight w:val="none"/>
        </w:rPr>
      </w:pPr>
      <w:r>
        <w:rPr>
          <w:rFonts w:hint="eastAsia" w:ascii="宋体" w:hAnsi="宋体"/>
          <w:b/>
          <w:color w:val="auto"/>
          <w:kern w:val="0"/>
          <w:szCs w:val="21"/>
          <w:highlight w:val="none"/>
        </w:rPr>
        <w:t>2) 响应保证金瑕疵</w:t>
      </w:r>
    </w:p>
    <w:p>
      <w:pPr>
        <w:tabs>
          <w:tab w:val="left" w:pos="907"/>
        </w:tabs>
        <w:spacing w:line="400" w:lineRule="exact"/>
        <w:ind w:left="567"/>
        <w:jc w:val="both"/>
        <w:rPr>
          <w:rFonts w:ascii="宋体" w:hAnsi="宋体"/>
          <w:color w:val="auto"/>
          <w:kern w:val="0"/>
          <w:szCs w:val="21"/>
          <w:highlight w:val="none"/>
        </w:rPr>
      </w:pPr>
      <w:r>
        <w:rPr>
          <w:rFonts w:hint="eastAsia" w:ascii="宋体" w:hAnsi="宋体"/>
          <w:color w:val="auto"/>
          <w:kern w:val="0"/>
          <w:szCs w:val="21"/>
          <w:highlight w:val="none"/>
        </w:rPr>
        <w:t>包括但不限于：①供应商未按磋商文件要求提交响应保证金；②提交方式、提交时间、提交金额不符合磋商文件要求；③响应保证金有效期不符合磋商文件要求。</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磋商小组将对通过资格性审查供应商的响应文件进行符合性审查，以确定是否对磋商文件的实质性要求作出响应，包括审查响应文件是否完整，有否计算错误，文件签署是否合格等。符合性审查过程中，</w:t>
      </w:r>
      <w:r>
        <w:rPr>
          <w:rFonts w:hint="eastAsia" w:ascii="宋体" w:hAnsi="宋体"/>
          <w:b/>
          <w:color w:val="auto"/>
          <w:kern w:val="0"/>
          <w:szCs w:val="21"/>
          <w:highlight w:val="none"/>
        </w:rPr>
        <w:t>发现下列情况之一的，其报价及响应文件将作无效处理</w:t>
      </w:r>
      <w:r>
        <w:rPr>
          <w:rFonts w:hint="eastAsia" w:ascii="宋体" w:hAnsi="宋体"/>
          <w:color w:val="auto"/>
          <w:kern w:val="0"/>
          <w:szCs w:val="21"/>
          <w:highlight w:val="none"/>
        </w:rPr>
        <w:t>：</w:t>
      </w:r>
    </w:p>
    <w:p>
      <w:pPr>
        <w:tabs>
          <w:tab w:val="left" w:pos="907"/>
        </w:tabs>
        <w:spacing w:line="400" w:lineRule="exact"/>
        <w:ind w:left="567"/>
        <w:jc w:val="both"/>
        <w:rPr>
          <w:rFonts w:ascii="宋体" w:hAnsi="宋体"/>
          <w:color w:val="auto"/>
          <w:kern w:val="0"/>
          <w:szCs w:val="21"/>
          <w:highlight w:val="none"/>
        </w:rPr>
      </w:pPr>
      <w:r>
        <w:rPr>
          <w:rFonts w:hint="eastAsia" w:ascii="宋体" w:hAnsi="宋体"/>
          <w:b/>
          <w:color w:val="auto"/>
          <w:kern w:val="0"/>
          <w:szCs w:val="21"/>
          <w:highlight w:val="none"/>
        </w:rPr>
        <w:t>1) 响应文件的有效性、完整性瑕疵</w:t>
      </w:r>
    </w:p>
    <w:p>
      <w:pPr>
        <w:tabs>
          <w:tab w:val="left" w:pos="907"/>
        </w:tabs>
        <w:spacing w:line="400" w:lineRule="exact"/>
        <w:ind w:left="567"/>
        <w:jc w:val="both"/>
        <w:rPr>
          <w:rFonts w:ascii="宋体" w:hAnsi="宋体"/>
          <w:color w:val="auto"/>
          <w:kern w:val="0"/>
          <w:szCs w:val="21"/>
          <w:highlight w:val="none"/>
        </w:rPr>
      </w:pPr>
      <w:r>
        <w:rPr>
          <w:rFonts w:hint="eastAsia" w:ascii="宋体" w:hAnsi="宋体"/>
          <w:color w:val="auto"/>
          <w:kern w:val="0"/>
          <w:szCs w:val="21"/>
          <w:highlight w:val="none"/>
        </w:rPr>
        <w:t>包括但不限于：①响应文件的数量、制作不符合要求、响应文件内容与采购内容不符的（包括但不限于响应文件项目项目编号错误，响应文件项目名称错误导致无法分辨所投项目为本项目，响应文件数量少于磋商文件要求的）；②响应文件中要求签字的内容无法定代表人或其授权代表签字，或签字人无法定代表人有效授权的；③签字盖章不符合磋商文件要求的；④响应文件内容有严重缺漏项的；⑤响应文件的关键内容字迹模糊、无法辨认的；⑥响应文件（报价）有效期不符合文件要求的。</w:t>
      </w:r>
    </w:p>
    <w:p>
      <w:pPr>
        <w:tabs>
          <w:tab w:val="left" w:pos="907"/>
        </w:tabs>
        <w:spacing w:line="400" w:lineRule="exact"/>
        <w:ind w:left="567"/>
        <w:jc w:val="both"/>
        <w:rPr>
          <w:rFonts w:ascii="宋体" w:hAnsi="宋体"/>
          <w:b/>
          <w:color w:val="auto"/>
          <w:kern w:val="0"/>
          <w:szCs w:val="21"/>
          <w:highlight w:val="none"/>
        </w:rPr>
      </w:pPr>
      <w:r>
        <w:rPr>
          <w:rFonts w:hint="eastAsia" w:ascii="宋体" w:hAnsi="宋体"/>
          <w:b/>
          <w:color w:val="auto"/>
          <w:kern w:val="0"/>
          <w:szCs w:val="21"/>
          <w:highlight w:val="none"/>
        </w:rPr>
        <w:t>2) 技术响应瑕疵</w:t>
      </w:r>
    </w:p>
    <w:p>
      <w:pPr>
        <w:tabs>
          <w:tab w:val="left" w:pos="907"/>
        </w:tabs>
        <w:spacing w:line="400" w:lineRule="exact"/>
        <w:ind w:left="567"/>
        <w:jc w:val="both"/>
        <w:rPr>
          <w:rFonts w:ascii="宋体" w:hAnsi="宋体"/>
          <w:b/>
          <w:color w:val="auto"/>
          <w:kern w:val="0"/>
          <w:szCs w:val="21"/>
          <w:highlight w:val="none"/>
        </w:rPr>
      </w:pPr>
      <w:r>
        <w:rPr>
          <w:rFonts w:hint="eastAsia" w:ascii="宋体" w:hAnsi="宋体"/>
          <w:bCs/>
          <w:color w:val="auto"/>
          <w:kern w:val="0"/>
          <w:szCs w:val="21"/>
          <w:highlight w:val="none"/>
        </w:rPr>
        <w:t>包括但不限于：①响应文件不满足磋商文件中加注星号（★）的主要参数要求或加注星号的主要参数无技术资料支持的；②一般参数超出允许偏离的最大范围或最高项数的；③响应文件技术响应与事实不符或虚假应标的；④《技术条款偏离表》未提供的；⑤将一个包中的内容拆开响应的；⑥供应商对同一货物或服务报价时，方案不唯一；⑦明显不符合技术规格、技术标准要求的；⑧其他未实质性响应磋商文件技术要求的。</w:t>
      </w:r>
      <w:r>
        <w:rPr>
          <w:rFonts w:hint="eastAsia" w:ascii="宋体" w:hAnsi="宋体"/>
          <w:b/>
          <w:color w:val="auto"/>
          <w:kern w:val="0"/>
          <w:szCs w:val="21"/>
          <w:highlight w:val="none"/>
        </w:rPr>
        <w:t>3) 商务响应瑕疵</w:t>
      </w:r>
    </w:p>
    <w:p>
      <w:pPr>
        <w:tabs>
          <w:tab w:val="left" w:pos="907"/>
        </w:tabs>
        <w:spacing w:line="400" w:lineRule="exact"/>
        <w:ind w:left="567"/>
        <w:jc w:val="both"/>
        <w:rPr>
          <w:rFonts w:ascii="宋体" w:hAnsi="宋体"/>
          <w:bCs/>
          <w:color w:val="auto"/>
          <w:kern w:val="0"/>
          <w:szCs w:val="21"/>
          <w:highlight w:val="none"/>
        </w:rPr>
      </w:pPr>
      <w:r>
        <w:rPr>
          <w:rFonts w:hint="eastAsia" w:ascii="宋体" w:hAnsi="宋体"/>
          <w:bCs/>
          <w:color w:val="auto"/>
          <w:kern w:val="0"/>
          <w:szCs w:val="21"/>
          <w:highlight w:val="none"/>
        </w:rPr>
        <w:t>包括但不限于：①磋商文件加注星号（★）的商务要求负偏离的；②完成期（包括但不限于：工期，服务期，交货期等）未满足磋商文件要求的；③响应文件载明的货物包装方式、检验标准和方法不符合磋商文件要求，采购人无法接受的；④《商务条款偏离表》未提供的；⑤磋商文件附有采购人不能接受的条件的；⑥其他未实质性响应磋商文件商务要求的。</w:t>
      </w:r>
    </w:p>
    <w:p>
      <w:pPr>
        <w:tabs>
          <w:tab w:val="left" w:pos="907"/>
        </w:tabs>
        <w:spacing w:line="400" w:lineRule="exact"/>
        <w:ind w:left="567"/>
        <w:jc w:val="both"/>
        <w:rPr>
          <w:rFonts w:ascii="宋体" w:hAnsi="宋体"/>
          <w:b/>
          <w:color w:val="auto"/>
          <w:kern w:val="0"/>
          <w:szCs w:val="21"/>
          <w:highlight w:val="none"/>
        </w:rPr>
      </w:pPr>
      <w:r>
        <w:rPr>
          <w:rFonts w:hint="eastAsia" w:ascii="宋体" w:hAnsi="宋体"/>
          <w:b/>
          <w:color w:val="auto"/>
          <w:kern w:val="0"/>
          <w:szCs w:val="21"/>
          <w:highlight w:val="none"/>
        </w:rPr>
        <w:t>4）报价瑕疵</w:t>
      </w:r>
    </w:p>
    <w:p>
      <w:pPr>
        <w:tabs>
          <w:tab w:val="left" w:pos="907"/>
        </w:tabs>
        <w:spacing w:line="400" w:lineRule="exact"/>
        <w:ind w:left="567"/>
        <w:jc w:val="both"/>
        <w:rPr>
          <w:rFonts w:ascii="宋体" w:hAnsi="宋体"/>
          <w:bCs/>
          <w:color w:val="auto"/>
          <w:kern w:val="0"/>
          <w:szCs w:val="21"/>
          <w:highlight w:val="none"/>
        </w:rPr>
      </w:pPr>
      <w:r>
        <w:rPr>
          <w:rFonts w:hint="eastAsia" w:ascii="宋体" w:hAnsi="宋体"/>
          <w:bCs/>
          <w:color w:val="auto"/>
          <w:kern w:val="0"/>
          <w:szCs w:val="21"/>
          <w:highlight w:val="none"/>
        </w:rPr>
        <w:t>包括但不限于：①一次报价或最终报价超过本磋商文件明确的项目预算或文件明确的最高限价；②未按磋商文件要求进行报价的；③报价内容或报价格式不符合磋商文件要求的；④报价有严重缺漏项的。</w:t>
      </w:r>
    </w:p>
    <w:p>
      <w:pPr>
        <w:tabs>
          <w:tab w:val="left" w:pos="907"/>
        </w:tabs>
        <w:spacing w:line="400" w:lineRule="exact"/>
        <w:ind w:left="567"/>
        <w:jc w:val="both"/>
        <w:rPr>
          <w:rFonts w:ascii="宋体" w:hAnsi="宋体"/>
          <w:b/>
          <w:color w:val="auto"/>
          <w:kern w:val="0"/>
          <w:szCs w:val="21"/>
          <w:highlight w:val="none"/>
        </w:rPr>
      </w:pPr>
      <w:r>
        <w:rPr>
          <w:rFonts w:hint="eastAsia" w:ascii="宋体" w:hAnsi="宋体"/>
          <w:b/>
          <w:color w:val="auto"/>
          <w:kern w:val="0"/>
          <w:szCs w:val="21"/>
          <w:highlight w:val="none"/>
        </w:rPr>
        <w:t>5）违规行为</w:t>
      </w:r>
    </w:p>
    <w:p>
      <w:pPr>
        <w:tabs>
          <w:tab w:val="left" w:pos="907"/>
        </w:tabs>
        <w:spacing w:line="400" w:lineRule="exact"/>
        <w:ind w:left="567"/>
        <w:jc w:val="both"/>
        <w:rPr>
          <w:rFonts w:ascii="宋体" w:hAnsi="宋体"/>
          <w:bCs/>
          <w:color w:val="auto"/>
          <w:kern w:val="0"/>
          <w:szCs w:val="21"/>
          <w:highlight w:val="none"/>
        </w:rPr>
      </w:pPr>
      <w:r>
        <w:rPr>
          <w:rFonts w:hint="eastAsia" w:ascii="宋体" w:hAnsi="宋体"/>
          <w:bCs/>
          <w:color w:val="auto"/>
          <w:kern w:val="0"/>
          <w:szCs w:val="21"/>
          <w:highlight w:val="none"/>
        </w:rPr>
        <w:t>包括但不限于：①以他人的名义报价、串通响应、以行贿手段谋取成交或者以其他弄虚作假方式响应磋商的；②扰乱磋商评审秩序，干扰采购工作正常进行的。③存在经磋商小组认定的其他违规违法行为。</w:t>
      </w:r>
    </w:p>
    <w:p>
      <w:pPr>
        <w:tabs>
          <w:tab w:val="left" w:pos="907"/>
        </w:tabs>
        <w:spacing w:line="400" w:lineRule="exact"/>
        <w:ind w:left="567"/>
        <w:jc w:val="both"/>
        <w:rPr>
          <w:rFonts w:ascii="宋体" w:hAnsi="宋体"/>
          <w:b/>
          <w:color w:val="auto"/>
          <w:kern w:val="0"/>
          <w:szCs w:val="21"/>
          <w:highlight w:val="none"/>
        </w:rPr>
      </w:pPr>
      <w:r>
        <w:rPr>
          <w:rFonts w:hint="eastAsia" w:ascii="宋体" w:hAnsi="宋体"/>
          <w:b/>
          <w:color w:val="auto"/>
          <w:kern w:val="0"/>
          <w:szCs w:val="21"/>
          <w:highlight w:val="none"/>
        </w:rPr>
        <w:t>6)法律法规及磋商文件中规定的其它情形。</w:t>
      </w:r>
    </w:p>
    <w:p>
      <w:pPr>
        <w:tabs>
          <w:tab w:val="left" w:pos="907"/>
        </w:tabs>
        <w:spacing w:line="400" w:lineRule="exact"/>
        <w:ind w:left="567"/>
        <w:jc w:val="both"/>
        <w:rPr>
          <w:rFonts w:ascii="宋体" w:hAnsi="宋体"/>
          <w:color w:val="auto"/>
          <w:kern w:val="0"/>
          <w:szCs w:val="21"/>
          <w:highlight w:val="none"/>
        </w:rPr>
      </w:pPr>
      <w:r>
        <w:rPr>
          <w:rFonts w:hint="eastAsia" w:ascii="宋体" w:hAnsi="宋体"/>
          <w:color w:val="auto"/>
          <w:kern w:val="0"/>
          <w:szCs w:val="21"/>
          <w:highlight w:val="none"/>
        </w:rPr>
        <w:t>根据项目情况，磋商小组有权决定磋商文件中“可能导致废标”或“可能导致其响应文件被拒绝”等具体条款是否实施“废标”或“响应文件被拒绝”，但对同一条款的裁决应适用于每个供应商。</w:t>
      </w:r>
    </w:p>
    <w:p>
      <w:pPr>
        <w:numPr>
          <w:ilvl w:val="1"/>
          <w:numId w:val="5"/>
        </w:numPr>
        <w:spacing w:line="400" w:lineRule="exact"/>
        <w:jc w:val="both"/>
        <w:rPr>
          <w:rFonts w:ascii="Tahoma" w:hAnsi="Tahoma" w:eastAsia="微软雅黑"/>
          <w:color w:val="auto"/>
          <w:kern w:val="0"/>
          <w:szCs w:val="21"/>
          <w:highlight w:val="none"/>
        </w:rPr>
      </w:pPr>
      <w:r>
        <w:rPr>
          <w:rFonts w:hint="eastAsia" w:ascii="宋体" w:hAnsi="宋体"/>
          <w:color w:val="auto"/>
          <w:kern w:val="0"/>
          <w:szCs w:val="21"/>
          <w:highlight w:val="none"/>
        </w:rPr>
        <w:t>20.4.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numPr>
          <w:ilvl w:val="1"/>
          <w:numId w:val="5"/>
        </w:numPr>
        <w:spacing w:line="400" w:lineRule="exact"/>
        <w:jc w:val="both"/>
        <w:rPr>
          <w:rFonts w:ascii="Tahoma" w:hAnsi="Tahoma" w:eastAsia="微软雅黑"/>
          <w:color w:val="auto"/>
          <w:kern w:val="0"/>
          <w:szCs w:val="21"/>
          <w:highlight w:val="none"/>
        </w:rPr>
      </w:pPr>
      <w:r>
        <w:rPr>
          <w:rFonts w:hint="eastAsia" w:ascii="宋体" w:hAnsi="宋体"/>
          <w:color w:val="auto"/>
          <w:kern w:val="0"/>
          <w:szCs w:val="21"/>
          <w:highlight w:val="none"/>
        </w:rPr>
        <w:t>在详细评审之前，磋商小组要审查每份响应文件是否实质上响应了磋商文件的要求。实质上的响应应该是与磋商文件要求的全部主要条款（加“★”号）、条件和规格相符，没有重大偏离的响应。对关键条文的偏离、保留或反对，例如关于响应保证金、合同条款的重大偏离将被认为是实质上的偏离。磋商小组决定响应文件的响应性只根据响应文件本身的内容，而不寻求外部的证据。</w:t>
      </w:r>
    </w:p>
    <w:p>
      <w:pPr>
        <w:numPr>
          <w:ilvl w:val="1"/>
          <w:numId w:val="5"/>
        </w:num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实质上没有响应磋商文件要求的响应文件将被拒绝。供应商不得通过修正或撤销不合要求的偏离或保留从而使其响应成为实质上的响应。</w:t>
      </w:r>
    </w:p>
    <w:p>
      <w:pPr>
        <w:spacing w:line="400" w:lineRule="exact"/>
        <w:jc w:val="both"/>
        <w:rPr>
          <w:rFonts w:ascii="宋体" w:hAnsi="宋体"/>
          <w:color w:val="auto"/>
          <w:kern w:val="0"/>
          <w:szCs w:val="21"/>
          <w:highlight w:val="none"/>
        </w:rPr>
      </w:pPr>
    </w:p>
    <w:p>
      <w:pPr>
        <w:pStyle w:val="5"/>
        <w:rPr>
          <w:color w:val="auto"/>
          <w:highlight w:val="none"/>
        </w:rPr>
      </w:pPr>
      <w:bookmarkStart w:id="193" w:name="_Toc9736"/>
      <w:bookmarkStart w:id="194" w:name="_Toc4041"/>
      <w:bookmarkStart w:id="195" w:name="_Toc16157"/>
      <w:r>
        <w:rPr>
          <w:rFonts w:hint="eastAsia"/>
          <w:color w:val="auto"/>
          <w:highlight w:val="none"/>
        </w:rPr>
        <w:t>26.商务、技术、价格评审</w:t>
      </w:r>
      <w:bookmarkEnd w:id="193"/>
      <w:bookmarkEnd w:id="194"/>
      <w:bookmarkEnd w:id="195"/>
    </w:p>
    <w:p>
      <w:pPr>
        <w:numPr>
          <w:ilvl w:val="0"/>
          <w:numId w:val="5"/>
        </w:numPr>
        <w:tabs>
          <w:tab w:val="left" w:pos="907"/>
        </w:tabs>
        <w:spacing w:line="400" w:lineRule="exact"/>
        <w:ind w:firstLine="420"/>
        <w:jc w:val="both"/>
        <w:rPr>
          <w:rFonts w:ascii="宋体" w:hAnsi="宋体"/>
          <w:vanish/>
          <w:color w:val="auto"/>
          <w:szCs w:val="21"/>
          <w:highlight w:val="none"/>
        </w:rPr>
      </w:pP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 xml:space="preserve"> 磋商小组所有成员应当集中与单一供应商分别进行磋商，并给予所有参加磋商的供应商平等的磋商机会。其磋商顺序以供应商签到顺序为准。 </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磋商小组将拒绝与出现以下情况的供应商授权代表进行磋商：</w:t>
      </w:r>
    </w:p>
    <w:p>
      <w:pPr>
        <w:tabs>
          <w:tab w:val="left" w:pos="907"/>
        </w:tabs>
        <w:spacing w:line="400" w:lineRule="exact"/>
        <w:ind w:firstLine="420" w:firstLineChars="200"/>
        <w:jc w:val="both"/>
        <w:rPr>
          <w:rFonts w:ascii="宋体" w:hAnsi="宋体"/>
          <w:color w:val="auto"/>
          <w:kern w:val="0"/>
          <w:szCs w:val="21"/>
          <w:highlight w:val="none"/>
        </w:rPr>
      </w:pPr>
      <w:r>
        <w:rPr>
          <w:rFonts w:hint="eastAsia" w:ascii="宋体" w:hAnsi="宋体"/>
          <w:color w:val="auto"/>
          <w:kern w:val="0"/>
          <w:szCs w:val="21"/>
          <w:highlight w:val="none"/>
        </w:rPr>
        <w:t>（一）供应商授权代表无有效授权的；</w:t>
      </w:r>
    </w:p>
    <w:p>
      <w:pPr>
        <w:tabs>
          <w:tab w:val="left" w:pos="907"/>
        </w:tabs>
        <w:spacing w:line="400" w:lineRule="exact"/>
        <w:ind w:firstLine="420" w:firstLineChars="200"/>
        <w:jc w:val="both"/>
        <w:rPr>
          <w:rFonts w:ascii="宋体" w:hAnsi="宋体"/>
          <w:color w:val="auto"/>
          <w:kern w:val="0"/>
          <w:szCs w:val="21"/>
          <w:highlight w:val="none"/>
        </w:rPr>
      </w:pPr>
      <w:r>
        <w:rPr>
          <w:rFonts w:hint="eastAsia" w:ascii="宋体" w:hAnsi="宋体"/>
          <w:color w:val="auto"/>
          <w:kern w:val="0"/>
          <w:szCs w:val="21"/>
          <w:highlight w:val="none"/>
        </w:rPr>
        <w:t>（二）供应商响应文件中的授权代表与现场进行磋商的授权代表不一致的；</w:t>
      </w:r>
    </w:p>
    <w:p>
      <w:pPr>
        <w:tabs>
          <w:tab w:val="left" w:pos="907"/>
        </w:tabs>
        <w:spacing w:line="400" w:lineRule="exact"/>
        <w:ind w:firstLine="420" w:firstLineChars="200"/>
        <w:jc w:val="both"/>
        <w:rPr>
          <w:rFonts w:ascii="宋体" w:hAnsi="宋体"/>
          <w:color w:val="auto"/>
          <w:kern w:val="0"/>
          <w:szCs w:val="21"/>
          <w:highlight w:val="none"/>
        </w:rPr>
      </w:pPr>
      <w:r>
        <w:rPr>
          <w:rFonts w:hint="eastAsia" w:ascii="宋体" w:hAnsi="宋体"/>
          <w:color w:val="auto"/>
          <w:kern w:val="0"/>
          <w:szCs w:val="21"/>
          <w:highlight w:val="none"/>
        </w:rPr>
        <w:t>（三）法人参加磋商但无法定代表人证明书的；</w:t>
      </w:r>
    </w:p>
    <w:p>
      <w:pPr>
        <w:tabs>
          <w:tab w:val="left" w:pos="907"/>
        </w:tabs>
        <w:spacing w:line="400" w:lineRule="exact"/>
        <w:ind w:firstLine="420" w:firstLineChars="200"/>
        <w:jc w:val="both"/>
        <w:rPr>
          <w:rFonts w:ascii="宋体" w:hAnsi="宋体"/>
          <w:color w:val="auto"/>
          <w:kern w:val="0"/>
          <w:szCs w:val="21"/>
          <w:highlight w:val="none"/>
        </w:rPr>
      </w:pPr>
      <w:r>
        <w:rPr>
          <w:rFonts w:hint="eastAsia" w:ascii="宋体" w:hAnsi="宋体"/>
          <w:color w:val="auto"/>
          <w:kern w:val="0"/>
          <w:szCs w:val="21"/>
          <w:highlight w:val="none"/>
        </w:rPr>
        <w:t>（四）授权代表现场不能出具可证明其身份信息的证件或文件的；</w:t>
      </w:r>
    </w:p>
    <w:p>
      <w:pPr>
        <w:tabs>
          <w:tab w:val="left" w:pos="907"/>
        </w:tabs>
        <w:spacing w:line="400" w:lineRule="exact"/>
        <w:ind w:firstLine="420" w:firstLineChars="200"/>
        <w:jc w:val="both"/>
        <w:rPr>
          <w:rFonts w:ascii="宋体" w:hAnsi="宋体"/>
          <w:color w:val="auto"/>
          <w:kern w:val="0"/>
          <w:szCs w:val="21"/>
          <w:highlight w:val="none"/>
        </w:rPr>
      </w:pPr>
      <w:r>
        <w:rPr>
          <w:rFonts w:hint="eastAsia" w:ascii="宋体" w:hAnsi="宋体"/>
          <w:color w:val="auto"/>
          <w:kern w:val="0"/>
          <w:szCs w:val="21"/>
          <w:highlight w:val="none"/>
        </w:rPr>
        <w:t>（五）供应商一次报价超出磋商文件所规定的预算或最高限价的；</w:t>
      </w:r>
    </w:p>
    <w:p>
      <w:pPr>
        <w:tabs>
          <w:tab w:val="left" w:pos="907"/>
        </w:tabs>
        <w:spacing w:line="400" w:lineRule="exact"/>
        <w:ind w:firstLine="420" w:firstLineChars="200"/>
        <w:jc w:val="both"/>
        <w:rPr>
          <w:rFonts w:ascii="宋体" w:hAnsi="宋体"/>
          <w:color w:val="auto"/>
          <w:kern w:val="0"/>
          <w:szCs w:val="21"/>
          <w:highlight w:val="none"/>
        </w:rPr>
      </w:pPr>
      <w:r>
        <w:rPr>
          <w:rFonts w:hint="eastAsia" w:ascii="宋体" w:hAnsi="宋体"/>
          <w:color w:val="auto"/>
          <w:kern w:val="0"/>
          <w:szCs w:val="21"/>
          <w:highlight w:val="none"/>
        </w:rPr>
        <w:t>（六）扰乱磋商秩序，干扰采购工作正常进行的；</w:t>
      </w:r>
    </w:p>
    <w:p>
      <w:pPr>
        <w:tabs>
          <w:tab w:val="left" w:pos="907"/>
        </w:tabs>
        <w:spacing w:line="400" w:lineRule="exact"/>
        <w:ind w:firstLine="420" w:firstLineChars="200"/>
        <w:jc w:val="both"/>
        <w:rPr>
          <w:rFonts w:ascii="宋体" w:hAnsi="宋体"/>
          <w:color w:val="auto"/>
          <w:kern w:val="0"/>
          <w:szCs w:val="21"/>
          <w:highlight w:val="none"/>
        </w:rPr>
      </w:pPr>
      <w:r>
        <w:rPr>
          <w:rFonts w:hint="eastAsia" w:ascii="宋体" w:hAnsi="宋体"/>
          <w:color w:val="auto"/>
          <w:kern w:val="0"/>
          <w:szCs w:val="21"/>
          <w:highlight w:val="none"/>
        </w:rPr>
        <w:t>（七）直接或间接影响其他供应商进行最终报价的；</w:t>
      </w:r>
    </w:p>
    <w:p>
      <w:pPr>
        <w:tabs>
          <w:tab w:val="left" w:pos="907"/>
        </w:tabs>
        <w:spacing w:line="400" w:lineRule="exact"/>
        <w:ind w:firstLine="420" w:firstLineChars="200"/>
        <w:jc w:val="both"/>
        <w:rPr>
          <w:rFonts w:ascii="宋体" w:hAnsi="宋体"/>
          <w:color w:val="auto"/>
          <w:kern w:val="0"/>
          <w:szCs w:val="21"/>
          <w:highlight w:val="none"/>
        </w:rPr>
      </w:pPr>
      <w:r>
        <w:rPr>
          <w:rFonts w:hint="eastAsia" w:ascii="宋体" w:hAnsi="宋体"/>
          <w:color w:val="auto"/>
          <w:kern w:val="0"/>
          <w:szCs w:val="21"/>
          <w:highlight w:val="none"/>
        </w:rPr>
        <w:t>（八）磋商小组认定为违规的情况；</w:t>
      </w:r>
    </w:p>
    <w:p>
      <w:pPr>
        <w:tabs>
          <w:tab w:val="left" w:pos="907"/>
        </w:tabs>
        <w:spacing w:line="400" w:lineRule="exact"/>
        <w:ind w:firstLine="420" w:firstLineChars="200"/>
        <w:jc w:val="both"/>
        <w:rPr>
          <w:rFonts w:ascii="宋体" w:hAnsi="宋体"/>
          <w:color w:val="auto"/>
          <w:kern w:val="0"/>
          <w:szCs w:val="21"/>
          <w:highlight w:val="none"/>
        </w:rPr>
      </w:pPr>
      <w:r>
        <w:rPr>
          <w:rFonts w:hint="eastAsia" w:ascii="宋体" w:hAnsi="宋体"/>
          <w:color w:val="auto"/>
          <w:kern w:val="0"/>
          <w:szCs w:val="21"/>
          <w:highlight w:val="none"/>
        </w:rPr>
        <w:t>（九）磋商文件规定的其他情况。</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最终报价</w:t>
      </w:r>
    </w:p>
    <w:p>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26.6.2.通过初审，但未在规定时间内进行最终报价的供应商，其报价文件上的报价视为其最终报价。</w:t>
      </w:r>
    </w:p>
    <w:p>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26.6.3.已提交响应文件的供应商，在提交最后报价之前，可以根据磋商情况退出磋商。响应文件不予退还，响应保证金按磋商文件规定进行退还。退出磋商的供应商不进入综合评分环节。</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综合评分法</w:t>
      </w:r>
    </w:p>
    <w:p>
      <w:pPr>
        <w:widowControl/>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26.7.1经磋商确定最终采购需求和提交最后报价的供应商后，由磋商小组采用综合评分法对提交最后报价的供应商的响应文件和最后报价进行综合评分。</w:t>
      </w:r>
    </w:p>
    <w:p>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26.7.2.价格评审：</w:t>
      </w:r>
    </w:p>
    <w:p>
      <w:pPr>
        <w:widowControl/>
        <w:adjustRightInd w:val="0"/>
        <w:snapToGrid w:val="0"/>
        <w:spacing w:line="400" w:lineRule="exact"/>
        <w:ind w:firstLine="879" w:firstLineChars="419"/>
        <w:rPr>
          <w:rFonts w:ascii="宋体" w:hAnsi="宋体"/>
          <w:color w:val="auto"/>
          <w:szCs w:val="21"/>
          <w:highlight w:val="none"/>
        </w:rPr>
      </w:pPr>
      <w:r>
        <w:rPr>
          <w:rFonts w:hint="eastAsia" w:ascii="宋体" w:hAnsi="宋体"/>
          <w:color w:val="auto"/>
          <w:szCs w:val="21"/>
          <w:highlight w:val="none"/>
        </w:rPr>
        <w:t>（一）以各供应商最终报价进行评审；</w:t>
      </w:r>
    </w:p>
    <w:p>
      <w:pPr>
        <w:widowControl/>
        <w:adjustRightInd w:val="0"/>
        <w:snapToGrid w:val="0"/>
        <w:spacing w:line="400" w:lineRule="exact"/>
        <w:ind w:left="840" w:leftChars="400"/>
        <w:rPr>
          <w:rFonts w:ascii="宋体" w:hAnsi="宋体"/>
          <w:color w:val="auto"/>
          <w:szCs w:val="21"/>
          <w:highlight w:val="none"/>
        </w:rPr>
      </w:pPr>
      <w:r>
        <w:rPr>
          <w:rFonts w:hint="eastAsia" w:ascii="宋体" w:hAnsi="宋体"/>
          <w:color w:val="auto"/>
          <w:szCs w:val="21"/>
          <w:highlight w:val="none"/>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pPr>
        <w:widowControl/>
        <w:numPr>
          <w:ilvl w:val="0"/>
          <w:numId w:val="8"/>
        </w:numPr>
        <w:adjustRightInd w:val="0"/>
        <w:snapToGrid w:val="0"/>
        <w:spacing w:line="400" w:lineRule="exact"/>
        <w:ind w:left="120" w:firstLine="758" w:firstLineChars="361"/>
        <w:rPr>
          <w:rFonts w:ascii="宋体" w:hAnsi="宋体"/>
          <w:color w:val="auto"/>
          <w:szCs w:val="21"/>
          <w:highlight w:val="none"/>
        </w:rPr>
      </w:pPr>
      <w:r>
        <w:rPr>
          <w:rFonts w:hint="eastAsia" w:ascii="宋体" w:hAnsi="宋体"/>
          <w:color w:val="auto"/>
          <w:szCs w:val="21"/>
          <w:highlight w:val="none"/>
        </w:rPr>
        <w:t>对报价服务报价漏项的，作非实质性响应处理。</w:t>
      </w:r>
    </w:p>
    <w:p>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26.7.3. 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磋商文件要求的响应情况进行评议和比较，评出其技术评分和商务评分。根据磋商文件规定评出得分，将价格得分、商务得分、技术得分相加得出最终评审得分（最终评审得分分值按四舍五入原则精确到小数点后两位）。</w:t>
      </w:r>
    </w:p>
    <w:p>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widowControl/>
        <w:adjustRightInd w:val="0"/>
        <w:snapToGrid w:val="0"/>
        <w:spacing w:line="400" w:lineRule="exact"/>
        <w:ind w:left="840" w:hanging="840" w:hangingChars="400"/>
        <w:rPr>
          <w:rFonts w:ascii="宋体" w:hAnsi="宋体"/>
          <w:color w:val="auto"/>
          <w:szCs w:val="21"/>
          <w:highlight w:val="none"/>
        </w:rPr>
      </w:pPr>
      <w:r>
        <w:rPr>
          <w:rFonts w:hint="eastAsia" w:ascii="宋体" w:hAnsi="宋体"/>
          <w:color w:val="auto"/>
          <w:szCs w:val="21"/>
          <w:highlight w:val="none"/>
        </w:rPr>
        <w:t>26.7.6. 采用综合评分法的，评审结果按评审后得分由高到低顺序排列。得分相同的，按最终报价由低到高顺序排列。</w:t>
      </w:r>
      <w:r>
        <w:rPr>
          <w:rFonts w:hint="eastAsia" w:ascii="宋体" w:hAnsi="宋体" w:cs="宋体"/>
          <w:color w:val="auto"/>
          <w:szCs w:val="21"/>
          <w:highlight w:val="none"/>
          <w:lang w:val="zh-CN" w:bidi="zh-CN"/>
        </w:rPr>
        <w:t>评审得分及报价均相同时，以随机抽取方式决定。</w:t>
      </w:r>
      <w:r>
        <w:rPr>
          <w:rFonts w:hint="eastAsia" w:ascii="宋体" w:hAnsi="宋体"/>
          <w:color w:val="auto"/>
          <w:szCs w:val="21"/>
          <w:highlight w:val="none"/>
        </w:rPr>
        <w:t>响应文件满足磋商文件全部实质性要求，且按照评审因素的量化指标评审得分最高的供应商为排名第一的成交候选人。</w:t>
      </w:r>
    </w:p>
    <w:p>
      <w:pPr>
        <w:spacing w:line="400" w:lineRule="exact"/>
        <w:jc w:val="both"/>
        <w:rPr>
          <w:rFonts w:ascii="Tahoma" w:hAnsi="Tahoma" w:eastAsia="微软雅黑"/>
          <w:color w:val="auto"/>
          <w:kern w:val="0"/>
          <w:sz w:val="22"/>
          <w:szCs w:val="22"/>
          <w:highlight w:val="none"/>
        </w:rPr>
      </w:pPr>
    </w:p>
    <w:p>
      <w:pPr>
        <w:pStyle w:val="5"/>
        <w:rPr>
          <w:color w:val="auto"/>
          <w:highlight w:val="none"/>
        </w:rPr>
      </w:pPr>
      <w:bookmarkStart w:id="196" w:name="_Toc316375620"/>
      <w:bookmarkStart w:id="197" w:name="_Toc382049120"/>
      <w:bookmarkStart w:id="198" w:name="_Toc30865"/>
      <w:bookmarkStart w:id="199" w:name="_Toc25030"/>
      <w:bookmarkStart w:id="200" w:name="_Toc20328"/>
      <w:bookmarkStart w:id="201" w:name="_Toc30573"/>
      <w:r>
        <w:rPr>
          <w:rFonts w:hint="eastAsia"/>
          <w:color w:val="auto"/>
          <w:highlight w:val="none"/>
        </w:rPr>
        <w:t>27.纪律和保密</w:t>
      </w:r>
      <w:bookmarkEnd w:id="196"/>
      <w:r>
        <w:rPr>
          <w:rFonts w:hint="eastAsia"/>
          <w:color w:val="auto"/>
          <w:highlight w:val="none"/>
        </w:rPr>
        <w:t>事项</w:t>
      </w:r>
      <w:bookmarkEnd w:id="197"/>
      <w:bookmarkEnd w:id="198"/>
      <w:bookmarkEnd w:id="199"/>
      <w:bookmarkEnd w:id="200"/>
      <w:bookmarkEnd w:id="201"/>
    </w:p>
    <w:p>
      <w:pPr>
        <w:numPr>
          <w:ilvl w:val="0"/>
          <w:numId w:val="5"/>
        </w:numPr>
        <w:tabs>
          <w:tab w:val="left" w:pos="907"/>
        </w:tabs>
        <w:spacing w:line="400" w:lineRule="exact"/>
        <w:ind w:firstLine="420"/>
        <w:jc w:val="both"/>
        <w:rPr>
          <w:rFonts w:ascii="宋体" w:hAnsi="宋体"/>
          <w:vanish/>
          <w:color w:val="auto"/>
          <w:szCs w:val="21"/>
          <w:highlight w:val="none"/>
        </w:rPr>
      </w:pP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采购全过程期间，在响应文件的审查、澄清、比较和评价阶段，供应商试图对磋商小组和采购代理机构施加任何影响或对采购人的比较及授予合同的决定产生影响，都可能导致其响应文件被拒绝。</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供应商不得串通作弊，以不正当的手段妨碍、排挤其他供应商，扰乱市场，破坏公平竞争原则。否则将按相关法律规定严肃处理。</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获得本磋商文件的供应商，应对文件进行保密，不得用作本次响应以外的任何用途。签到后，供应商应归还磋商文件中要求保密的文件和资料。</w:t>
      </w:r>
    </w:p>
    <w:p>
      <w:pPr>
        <w:widowControl/>
        <w:adjustRightInd w:val="0"/>
        <w:snapToGrid w:val="0"/>
        <w:spacing w:after="200" w:line="400" w:lineRule="exact"/>
        <w:rPr>
          <w:rFonts w:ascii="Tahoma" w:hAnsi="Tahoma" w:eastAsia="微软雅黑"/>
          <w:color w:val="auto"/>
          <w:kern w:val="0"/>
          <w:sz w:val="22"/>
          <w:szCs w:val="22"/>
          <w:highlight w:val="none"/>
        </w:rPr>
      </w:pPr>
    </w:p>
    <w:p>
      <w:pPr>
        <w:pStyle w:val="5"/>
        <w:rPr>
          <w:color w:val="auto"/>
          <w:highlight w:val="none"/>
        </w:rPr>
      </w:pPr>
      <w:bookmarkStart w:id="202" w:name="_Toc508284011"/>
      <w:bookmarkStart w:id="203" w:name="_Toc27383"/>
      <w:bookmarkStart w:id="204" w:name="_Toc21560"/>
      <w:bookmarkStart w:id="205" w:name="_Toc21265"/>
      <w:r>
        <w:rPr>
          <w:rFonts w:hint="eastAsia"/>
          <w:color w:val="auto"/>
          <w:highlight w:val="none"/>
        </w:rPr>
        <w:t>28.</w:t>
      </w:r>
      <w:bookmarkEnd w:id="202"/>
      <w:r>
        <w:rPr>
          <w:rFonts w:hint="eastAsia"/>
          <w:color w:val="auto"/>
          <w:highlight w:val="none"/>
        </w:rPr>
        <w:t>确定成交</w:t>
      </w:r>
      <w:bookmarkEnd w:id="203"/>
      <w:bookmarkEnd w:id="204"/>
      <w:bookmarkEnd w:id="205"/>
    </w:p>
    <w:p>
      <w:pPr>
        <w:numPr>
          <w:ilvl w:val="0"/>
          <w:numId w:val="5"/>
        </w:numPr>
        <w:tabs>
          <w:tab w:val="left" w:pos="907"/>
        </w:tabs>
        <w:spacing w:line="400" w:lineRule="exact"/>
        <w:ind w:firstLine="420"/>
        <w:jc w:val="both"/>
        <w:rPr>
          <w:rFonts w:ascii="宋体" w:hAnsi="宋体"/>
          <w:vanish/>
          <w:color w:val="auto"/>
          <w:szCs w:val="21"/>
          <w:highlight w:val="none"/>
        </w:rPr>
      </w:pP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磋商小组完成评审工作后，出具评审报告，推荐3名以上成交候选供应商。符合法律法规允许的情况的，可以推荐2家成交候选供应商。</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采购人从成交候选供应商名单中按照综合得分排序确定1名成交供应商</w:t>
      </w:r>
      <w:r>
        <w:rPr>
          <w:rFonts w:ascii="宋体" w:hAnsi="宋体"/>
          <w:color w:val="auto"/>
          <w:kern w:val="0"/>
          <w:szCs w:val="21"/>
          <w:highlight w:val="none"/>
        </w:rPr>
        <w:t>。</w:t>
      </w:r>
    </w:p>
    <w:p>
      <w:pPr>
        <w:widowControl/>
        <w:adjustRightInd w:val="0"/>
        <w:snapToGrid w:val="0"/>
        <w:spacing w:after="200" w:line="400" w:lineRule="exact"/>
        <w:rPr>
          <w:rFonts w:ascii="Tahoma" w:hAnsi="Tahoma" w:eastAsia="微软雅黑"/>
          <w:color w:val="auto"/>
          <w:kern w:val="0"/>
          <w:sz w:val="22"/>
          <w:szCs w:val="22"/>
          <w:highlight w:val="none"/>
        </w:rPr>
      </w:pPr>
    </w:p>
    <w:p>
      <w:pPr>
        <w:pStyle w:val="5"/>
        <w:rPr>
          <w:color w:val="auto"/>
          <w:highlight w:val="none"/>
        </w:rPr>
      </w:pPr>
      <w:bookmarkStart w:id="206" w:name="_Toc24851"/>
      <w:bookmarkStart w:id="207" w:name="_Toc2468"/>
      <w:bookmarkStart w:id="208" w:name="_Toc6459"/>
      <w:bookmarkStart w:id="209" w:name="_Toc508284013"/>
      <w:r>
        <w:rPr>
          <w:rFonts w:hint="eastAsia"/>
          <w:color w:val="auto"/>
          <w:highlight w:val="none"/>
        </w:rPr>
        <w:t>29.发布采购结果</w:t>
      </w:r>
      <w:bookmarkEnd w:id="206"/>
      <w:bookmarkEnd w:id="207"/>
      <w:bookmarkEnd w:id="208"/>
      <w:bookmarkEnd w:id="209"/>
    </w:p>
    <w:p>
      <w:pPr>
        <w:numPr>
          <w:ilvl w:val="0"/>
          <w:numId w:val="5"/>
        </w:numPr>
        <w:tabs>
          <w:tab w:val="left" w:pos="907"/>
        </w:tabs>
        <w:spacing w:line="400" w:lineRule="exact"/>
        <w:ind w:firstLine="420"/>
        <w:jc w:val="both"/>
        <w:rPr>
          <w:rFonts w:ascii="宋体" w:hAnsi="宋体"/>
          <w:vanish/>
          <w:color w:val="auto"/>
          <w:szCs w:val="21"/>
          <w:highlight w:val="none"/>
        </w:rPr>
      </w:pP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磋商小组提出评审书面报告和推荐成交意见报采购人确认后，采购代理机构将在指定的信息发布媒体上发布公告。</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成交公告期限为1个工作日。</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结果公示发布后，成交单位应及时领取成交通知书。《成交通知书》是合同的一个组成部分，《成交通知书》对采购人和成交供应商均具有同等法律效力。</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成交供应商无正当理由不得放弃成交，因成交供应商放弃成交而对采购人造成的损失由放弃成交的成交供应商承担。</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成交供应商为残疾人福利性单位的，采购人或者其委托的采购代理机构应当随成交、成交结果同时公告其《残疾人福利性单位声明函》，接受社会监督。</w:t>
      </w:r>
    </w:p>
    <w:p>
      <w:pPr>
        <w:numPr>
          <w:ilvl w:val="1"/>
          <w:numId w:val="5"/>
        </w:numPr>
        <w:tabs>
          <w:tab w:val="left" w:pos="907"/>
        </w:tabs>
        <w:spacing w:line="400" w:lineRule="exact"/>
        <w:jc w:val="both"/>
        <w:rPr>
          <w:rFonts w:ascii="宋体" w:hAnsi="宋体"/>
          <w:b/>
          <w:bCs/>
          <w:color w:val="auto"/>
          <w:kern w:val="0"/>
          <w:szCs w:val="21"/>
          <w:highlight w:val="none"/>
        </w:rPr>
      </w:pPr>
      <w:r>
        <w:rPr>
          <w:rFonts w:hint="eastAsia" w:ascii="宋体" w:hAnsi="宋体"/>
          <w:b/>
          <w:bCs/>
          <w:color w:val="auto"/>
          <w:kern w:val="0"/>
          <w:szCs w:val="21"/>
          <w:highlight w:val="none"/>
        </w:rPr>
        <w:t>原件核查</w:t>
      </w:r>
    </w:p>
    <w:p>
      <w:pPr>
        <w:numPr>
          <w:ilvl w:val="2"/>
          <w:numId w:val="5"/>
        </w:numPr>
        <w:tabs>
          <w:tab w:val="left" w:pos="567"/>
          <w:tab w:val="left" w:pos="907"/>
          <w:tab w:val="clear" w:pos="794"/>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采购结果发布后，采购代理机构或采购人有权对成交单位进行原件核查，成交单位应在五个工作日内把相关原件递交至采购代理机构办公地址或采购人指定地址进行核查。</w:t>
      </w:r>
    </w:p>
    <w:p>
      <w:pPr>
        <w:numPr>
          <w:ilvl w:val="2"/>
          <w:numId w:val="5"/>
        </w:numPr>
        <w:tabs>
          <w:tab w:val="left" w:pos="567"/>
          <w:tab w:val="left" w:pos="907"/>
          <w:tab w:val="clear" w:pos="794"/>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成交单位有下列情形之一的，取消成交资格：</w:t>
      </w:r>
    </w:p>
    <w:p>
      <w:pPr>
        <w:numPr>
          <w:ilvl w:val="0"/>
          <w:numId w:val="9"/>
        </w:numPr>
        <w:tabs>
          <w:tab w:val="left" w:pos="567"/>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pPr>
        <w:numPr>
          <w:ilvl w:val="0"/>
          <w:numId w:val="9"/>
        </w:numPr>
        <w:tabs>
          <w:tab w:val="left" w:pos="567"/>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pPr>
        <w:numPr>
          <w:ilvl w:val="0"/>
          <w:numId w:val="9"/>
        </w:numPr>
        <w:tabs>
          <w:tab w:val="left" w:pos="567"/>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在规定时间内递交的原件数量、内容与采购人、采购代理机构要求不一致的；</w:t>
      </w:r>
    </w:p>
    <w:p>
      <w:pPr>
        <w:numPr>
          <w:ilvl w:val="0"/>
          <w:numId w:val="9"/>
        </w:numPr>
        <w:tabs>
          <w:tab w:val="left" w:pos="567"/>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pPr>
        <w:numPr>
          <w:ilvl w:val="2"/>
          <w:numId w:val="5"/>
        </w:numPr>
        <w:tabs>
          <w:tab w:val="left" w:pos="567"/>
          <w:tab w:val="left" w:pos="907"/>
          <w:tab w:val="clear" w:pos="794"/>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递交了响应文件的未成交供应商进行原件核查。供应商应在采购代理机构或采购人发出纸质通知五个工作日内将原件递交到采购代理机构办公地址或采购人指定地址进行核查。</w:t>
      </w:r>
    </w:p>
    <w:p>
      <w:pPr>
        <w:numPr>
          <w:ilvl w:val="2"/>
          <w:numId w:val="5"/>
        </w:numPr>
        <w:tabs>
          <w:tab w:val="left" w:pos="567"/>
          <w:tab w:val="left" w:pos="907"/>
          <w:tab w:val="clear" w:pos="794"/>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供应商有下列情形之一的，响应文件作无效处理，其响应无效：</w:t>
      </w:r>
    </w:p>
    <w:p>
      <w:pPr>
        <w:numPr>
          <w:ilvl w:val="0"/>
          <w:numId w:val="10"/>
        </w:numPr>
        <w:tabs>
          <w:tab w:val="left" w:pos="567"/>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pPr>
        <w:numPr>
          <w:ilvl w:val="0"/>
          <w:numId w:val="10"/>
        </w:numPr>
        <w:tabs>
          <w:tab w:val="left" w:pos="567"/>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pPr>
        <w:numPr>
          <w:ilvl w:val="0"/>
          <w:numId w:val="10"/>
        </w:numPr>
        <w:tabs>
          <w:tab w:val="left" w:pos="567"/>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在规定时间内递交的原件数量、内容不符合采购人、采购代理机构要求的；</w:t>
      </w:r>
    </w:p>
    <w:p>
      <w:pPr>
        <w:numPr>
          <w:ilvl w:val="0"/>
          <w:numId w:val="10"/>
        </w:numPr>
        <w:tabs>
          <w:tab w:val="left" w:pos="567"/>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pPr>
        <w:numPr>
          <w:ilvl w:val="0"/>
          <w:numId w:val="10"/>
        </w:numPr>
        <w:tabs>
          <w:tab w:val="left" w:pos="567"/>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pPr>
        <w:numPr>
          <w:ilvl w:val="2"/>
          <w:numId w:val="5"/>
        </w:numPr>
        <w:tabs>
          <w:tab w:val="left" w:pos="567"/>
          <w:tab w:val="left" w:pos="907"/>
          <w:tab w:val="clear" w:pos="794"/>
        </w:tabs>
        <w:spacing w:line="400" w:lineRule="exact"/>
        <w:jc w:val="both"/>
        <w:rPr>
          <w:rFonts w:ascii="宋体" w:hAnsi="宋体"/>
          <w:b/>
          <w:bCs/>
          <w:color w:val="auto"/>
          <w:kern w:val="0"/>
          <w:szCs w:val="21"/>
          <w:highlight w:val="none"/>
        </w:rPr>
      </w:pPr>
      <w:r>
        <w:rPr>
          <w:rFonts w:hint="eastAsia" w:ascii="宋体" w:hAnsi="宋体"/>
          <w:b/>
          <w:bCs/>
          <w:color w:val="auto"/>
          <w:kern w:val="0"/>
          <w:szCs w:val="21"/>
          <w:highlight w:val="none"/>
        </w:rPr>
        <w:t>若供应商出现虚假应标情况，响应文件作无效处理，其响应、成交无效。并根据相关法律上报相关监管部门。</w:t>
      </w:r>
    </w:p>
    <w:p>
      <w:pPr>
        <w:numPr>
          <w:ilvl w:val="2"/>
          <w:numId w:val="5"/>
        </w:numPr>
        <w:tabs>
          <w:tab w:val="left" w:pos="567"/>
          <w:tab w:val="left" w:pos="907"/>
          <w:tab w:val="clear" w:pos="794"/>
        </w:tabs>
        <w:spacing w:line="400" w:lineRule="exact"/>
        <w:jc w:val="both"/>
        <w:rPr>
          <w:rFonts w:ascii="Tahoma" w:hAnsi="Tahoma" w:eastAsia="微软雅黑"/>
          <w:color w:val="auto"/>
          <w:kern w:val="0"/>
          <w:sz w:val="22"/>
          <w:szCs w:val="22"/>
          <w:highlight w:val="none"/>
        </w:rPr>
      </w:pPr>
      <w:r>
        <w:rPr>
          <w:rFonts w:hint="eastAsia" w:ascii="宋体" w:hAnsi="宋体"/>
          <w:color w:val="auto"/>
          <w:kern w:val="0"/>
          <w:szCs w:val="21"/>
          <w:highlight w:val="none"/>
        </w:rPr>
        <w:t>属于建办市函[2016]462号通知内的证件可不提供原件，仅提供带二维码原件的复印件即可。</w:t>
      </w:r>
    </w:p>
    <w:p>
      <w:pPr>
        <w:widowControl/>
        <w:adjustRightInd w:val="0"/>
        <w:snapToGrid w:val="0"/>
        <w:spacing w:after="200" w:line="400" w:lineRule="exact"/>
        <w:rPr>
          <w:rFonts w:ascii="Tahoma" w:hAnsi="Tahoma" w:eastAsia="微软雅黑"/>
          <w:color w:val="auto"/>
          <w:kern w:val="0"/>
          <w:sz w:val="22"/>
          <w:szCs w:val="22"/>
          <w:highlight w:val="none"/>
        </w:rPr>
      </w:pPr>
    </w:p>
    <w:p>
      <w:pPr>
        <w:pStyle w:val="5"/>
        <w:rPr>
          <w:color w:val="auto"/>
          <w:highlight w:val="none"/>
        </w:rPr>
      </w:pPr>
      <w:bookmarkStart w:id="210" w:name="_Toc7001"/>
      <w:bookmarkStart w:id="211" w:name="_Toc1555"/>
      <w:bookmarkStart w:id="212" w:name="_Toc18733"/>
      <w:r>
        <w:rPr>
          <w:rFonts w:hint="eastAsia"/>
          <w:color w:val="auto"/>
          <w:highlight w:val="none"/>
        </w:rPr>
        <w:t>30.合同的签订与履行</w:t>
      </w:r>
      <w:bookmarkEnd w:id="210"/>
      <w:bookmarkEnd w:id="211"/>
      <w:bookmarkEnd w:id="212"/>
    </w:p>
    <w:p>
      <w:pPr>
        <w:numPr>
          <w:ilvl w:val="0"/>
          <w:numId w:val="5"/>
        </w:numPr>
        <w:tabs>
          <w:tab w:val="left" w:pos="907"/>
        </w:tabs>
        <w:spacing w:line="400" w:lineRule="exact"/>
        <w:ind w:firstLine="420"/>
        <w:jc w:val="both"/>
        <w:rPr>
          <w:rFonts w:ascii="宋体" w:hAnsi="宋体"/>
          <w:vanish/>
          <w:color w:val="auto"/>
          <w:szCs w:val="21"/>
          <w:highlight w:val="none"/>
        </w:rPr>
      </w:pP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采购人应当自采购结果公示发出之日起30日内，按照磋商文件和成交供应商响应文件的规定，与成交供应商签订书面合同。所签订的合同不得对磋商文件确定的事项和成交供应商响应文件作实质性修改。</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采购人与成交供应商应当根据合同的约定依法履行合同义务。</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政府采购合同的履行、违约责任和解决争议的方法等适用《中华人民共和国民法典》。</w:t>
      </w:r>
    </w:p>
    <w:p>
      <w:pPr>
        <w:numPr>
          <w:ilvl w:val="1"/>
          <w:numId w:val="5"/>
        </w:numPr>
        <w:tabs>
          <w:tab w:val="left" w:pos="907"/>
        </w:tabs>
        <w:spacing w:line="400" w:lineRule="exact"/>
        <w:jc w:val="both"/>
        <w:rPr>
          <w:rFonts w:ascii="宋体" w:hAnsi="宋体"/>
          <w:b/>
          <w:color w:val="auto"/>
          <w:kern w:val="0"/>
          <w:szCs w:val="21"/>
          <w:highlight w:val="none"/>
        </w:rPr>
      </w:pPr>
      <w:r>
        <w:rPr>
          <w:rFonts w:hint="eastAsia" w:ascii="宋体" w:hAnsi="宋体"/>
          <w:b/>
          <w:color w:val="auto"/>
          <w:kern w:val="0"/>
          <w:szCs w:val="21"/>
          <w:highlight w:val="none"/>
        </w:rPr>
        <w:t>合同签订之日起2个工作日内，成交供应商应将所签订的合同副本（加盖公章）交至国顺招标有限公司归档。</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pPr>
        <w:numPr>
          <w:ilvl w:val="1"/>
          <w:numId w:val="5"/>
        </w:numPr>
        <w:tabs>
          <w:tab w:val="left" w:pos="907"/>
        </w:tabs>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成交供应商在评审结束当天至合同履行结束，若因不可抗力的因素（如国家出台新法律法规等）造成供应商资质的变动，供应商应以纸质版形式通知采购人。若资质变动导致成交供应商不再具备履行合同资质要求，采购人有权中止合同。</w:t>
      </w:r>
    </w:p>
    <w:p>
      <w:pPr>
        <w:numPr>
          <w:ilvl w:val="1"/>
          <w:numId w:val="5"/>
        </w:numPr>
        <w:tabs>
          <w:tab w:val="left" w:pos="907"/>
        </w:tabs>
        <w:spacing w:line="400" w:lineRule="exact"/>
        <w:jc w:val="both"/>
        <w:rPr>
          <w:rFonts w:ascii="Tahoma" w:hAnsi="Tahoma" w:eastAsia="微软雅黑"/>
          <w:color w:val="auto"/>
          <w:kern w:val="0"/>
          <w:szCs w:val="21"/>
          <w:highlight w:val="none"/>
        </w:rPr>
      </w:pPr>
      <w:r>
        <w:rPr>
          <w:rFonts w:hint="eastAsia" w:ascii="宋体" w:hAnsi="宋体"/>
          <w:color w:val="auto"/>
          <w:kern w:val="0"/>
          <w:szCs w:val="21"/>
          <w:highlight w:val="none"/>
        </w:rPr>
        <w:t>成交供应商拒绝与采购人签订合同的，采购人可以按照评审报告推荐的成交候选人名单排序，确定下一候选人为成交供应商，也可以重新开展政府采购活动。</w:t>
      </w:r>
    </w:p>
    <w:p>
      <w:pPr>
        <w:adjustRightInd w:val="0"/>
        <w:snapToGrid w:val="0"/>
        <w:spacing w:before="161" w:after="200" w:line="400" w:lineRule="exact"/>
        <w:ind w:left="120"/>
        <w:rPr>
          <w:rFonts w:ascii="宋体" w:hAnsi="宋体" w:cs="宋体"/>
          <w:color w:val="auto"/>
          <w:sz w:val="24"/>
          <w:szCs w:val="22"/>
          <w:highlight w:val="none"/>
          <w:lang w:val="zh-CN" w:bidi="zh-CN"/>
        </w:rPr>
      </w:pPr>
    </w:p>
    <w:p>
      <w:pPr>
        <w:pStyle w:val="5"/>
        <w:rPr>
          <w:color w:val="auto"/>
          <w:highlight w:val="none"/>
        </w:rPr>
      </w:pPr>
      <w:bookmarkStart w:id="213" w:name="_Toc26547"/>
      <w:bookmarkStart w:id="214" w:name="_Toc9041"/>
      <w:r>
        <w:rPr>
          <w:rFonts w:hint="eastAsia"/>
          <w:color w:val="auto"/>
          <w:highlight w:val="none"/>
        </w:rPr>
        <w:t>31.履约保证金</w:t>
      </w:r>
      <w:bookmarkEnd w:id="213"/>
      <w:bookmarkEnd w:id="214"/>
    </w:p>
    <w:p>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32.1. 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pPr>
        <w:tabs>
          <w:tab w:val="left" w:pos="907"/>
        </w:tabs>
        <w:spacing w:line="400" w:lineRule="exact"/>
        <w:ind w:left="657" w:leftChars="13" w:hanging="630" w:hangingChars="300"/>
        <w:jc w:val="both"/>
        <w:rPr>
          <w:rFonts w:ascii="宋体" w:hAnsi="宋体"/>
          <w:color w:val="auto"/>
          <w:kern w:val="0"/>
          <w:szCs w:val="21"/>
          <w:highlight w:val="none"/>
        </w:rPr>
      </w:pPr>
      <w:r>
        <w:rPr>
          <w:rFonts w:hint="eastAsia" w:ascii="宋体" w:hAnsi="宋体"/>
          <w:color w:val="auto"/>
          <w:kern w:val="0"/>
          <w:szCs w:val="21"/>
          <w:highlight w:val="none"/>
        </w:rPr>
        <w:t>32.2. 采用保证金（银行转账、电汇）方式：成交单位必须保证资金在签订合同前到账。履约保证金账户采购人另行通知，到期后无息退还。</w:t>
      </w:r>
    </w:p>
    <w:p>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32.3. 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响应担保函》）</w:t>
      </w:r>
    </w:p>
    <w:p>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32.4. 成交单位须将履约保证金的汇款凭证 (注明成交通知书或项目编号)或履约保函（采购人注明原件已收到并盖章）用A4纸复印一式四份并加盖成交单位的公章送至采购代理机构。</w:t>
      </w:r>
    </w:p>
    <w:p>
      <w:pPr>
        <w:spacing w:line="400" w:lineRule="exact"/>
        <w:ind w:left="630" w:hanging="630" w:hangingChars="300"/>
        <w:rPr>
          <w:rFonts w:ascii="宋体" w:hAnsi="宋体" w:cs="宋体"/>
          <w:color w:val="auto"/>
          <w:szCs w:val="21"/>
          <w:highlight w:val="none"/>
        </w:rPr>
      </w:pPr>
      <w:r>
        <w:rPr>
          <w:rFonts w:hint="eastAsia" w:ascii="宋体" w:hAnsi="宋体"/>
          <w:color w:val="auto"/>
          <w:kern w:val="0"/>
          <w:szCs w:val="21"/>
          <w:highlight w:val="none"/>
        </w:rPr>
        <w:t>32.5. 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cs="宋体"/>
          <w:color w:val="auto"/>
          <w:szCs w:val="21"/>
          <w:highlight w:val="none"/>
        </w:rPr>
        <w:br w:type="page"/>
      </w:r>
    </w:p>
    <w:p>
      <w:pPr>
        <w:pStyle w:val="3"/>
        <w:numPr>
          <w:ilvl w:val="0"/>
          <w:numId w:val="1"/>
        </w:numPr>
        <w:rPr>
          <w:color w:val="auto"/>
          <w:highlight w:val="none"/>
        </w:rPr>
      </w:pPr>
      <w:bookmarkStart w:id="215" w:name="_Toc8191"/>
      <w:r>
        <w:rPr>
          <w:rFonts w:hint="eastAsia"/>
          <w:color w:val="auto"/>
          <w:highlight w:val="none"/>
        </w:rPr>
        <w:t>用户需求书</w:t>
      </w:r>
      <w:bookmarkEnd w:id="215"/>
    </w:p>
    <w:p>
      <w:pPr>
        <w:jc w:val="center"/>
        <w:outlineLvl w:val="1"/>
        <w:rPr>
          <w:b/>
          <w:bCs/>
          <w:color w:val="auto"/>
          <w:sz w:val="28"/>
          <w:szCs w:val="36"/>
          <w:highlight w:val="none"/>
        </w:rPr>
      </w:pPr>
      <w:bookmarkStart w:id="216" w:name="_Toc27180"/>
      <w:bookmarkStart w:id="217" w:name="_Toc18002"/>
      <w:bookmarkStart w:id="218" w:name="_Toc16006"/>
      <w:bookmarkStart w:id="219" w:name="_Toc7855"/>
      <w:r>
        <w:rPr>
          <w:rFonts w:hint="eastAsia"/>
          <w:b/>
          <w:bCs/>
          <w:color w:val="auto"/>
          <w:sz w:val="28"/>
          <w:szCs w:val="36"/>
          <w:highlight w:val="none"/>
        </w:rPr>
        <w:t>商务要求</w:t>
      </w:r>
      <w:bookmarkEnd w:id="216"/>
      <w:bookmarkEnd w:id="217"/>
      <w:bookmarkEnd w:id="218"/>
      <w:bookmarkEnd w:id="219"/>
    </w:p>
    <w:tbl>
      <w:tblPr>
        <w:tblStyle w:val="20"/>
        <w:tblW w:w="513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3"/>
        <w:gridCol w:w="1210"/>
        <w:gridCol w:w="6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8" w:type="pct"/>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691" w:type="pct"/>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条款名称</w:t>
            </w:r>
          </w:p>
        </w:tc>
        <w:tc>
          <w:tcPr>
            <w:tcW w:w="3939" w:type="pct"/>
            <w:vAlign w:val="center"/>
          </w:tcPr>
          <w:p>
            <w:pPr>
              <w:widowControl/>
              <w:spacing w:line="360" w:lineRule="auto"/>
              <w:jc w:val="center"/>
              <w:rPr>
                <w:rFonts w:ascii="宋体" w:hAnsi="宋体"/>
                <w:color w:val="auto"/>
                <w:szCs w:val="21"/>
                <w:highlight w:val="none"/>
              </w:rPr>
            </w:pPr>
            <w:r>
              <w:rPr>
                <w:rFonts w:hint="eastAsia" w:ascii="宋体" w:hAnsi="宋体"/>
                <w:color w:val="auto"/>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jc w:val="center"/>
        </w:trPr>
        <w:tc>
          <w:tcPr>
            <w:tcW w:w="368" w:type="pct"/>
            <w:vAlign w:val="center"/>
          </w:tcPr>
          <w:p>
            <w:pPr>
              <w:widowControl/>
              <w:jc w:val="center"/>
              <w:rPr>
                <w:rFonts w:ascii="宋体" w:hAnsi="宋体"/>
                <w:color w:val="auto"/>
                <w:szCs w:val="21"/>
                <w:highlight w:val="none"/>
              </w:rPr>
            </w:pPr>
            <w:r>
              <w:rPr>
                <w:rFonts w:hint="eastAsia" w:ascii="宋体" w:hAnsi="宋体"/>
                <w:color w:val="auto"/>
                <w:szCs w:val="21"/>
                <w:highlight w:val="none"/>
              </w:rPr>
              <w:t>1</w:t>
            </w:r>
          </w:p>
        </w:tc>
        <w:tc>
          <w:tcPr>
            <w:tcW w:w="691" w:type="pct"/>
            <w:vAlign w:val="center"/>
          </w:tcPr>
          <w:p>
            <w:pPr>
              <w:widowControl/>
              <w:jc w:val="center"/>
              <w:rPr>
                <w:rFonts w:ascii="宋体" w:hAnsi="宋体"/>
                <w:color w:val="auto"/>
                <w:szCs w:val="21"/>
                <w:highlight w:val="none"/>
              </w:rPr>
            </w:pPr>
            <w:r>
              <w:rPr>
                <w:rFonts w:hint="eastAsia" w:ascii="宋体" w:hAnsi="宋体"/>
                <w:color w:val="auto"/>
                <w:szCs w:val="21"/>
                <w:highlight w:val="none"/>
              </w:rPr>
              <w:t>完工期</w:t>
            </w:r>
          </w:p>
        </w:tc>
        <w:tc>
          <w:tcPr>
            <w:tcW w:w="3939" w:type="pct"/>
            <w:vAlign w:val="center"/>
          </w:tcPr>
          <w:p>
            <w:pPr>
              <w:widowControl/>
              <w:ind w:firstLine="420" w:firstLineChars="200"/>
              <w:jc w:val="both"/>
              <w:rPr>
                <w:rFonts w:ascii="宋体" w:hAnsi="宋体"/>
                <w:color w:val="auto"/>
                <w:szCs w:val="21"/>
                <w:highlight w:val="none"/>
              </w:rPr>
            </w:pPr>
            <w:r>
              <w:rPr>
                <w:rFonts w:hint="eastAsia" w:ascii="宋体" w:hAnsi="宋体" w:cs="宋体"/>
                <w:bCs/>
                <w:color w:val="auto"/>
                <w:szCs w:val="21"/>
                <w:highlight w:val="none"/>
              </w:rPr>
              <w:t>项目服务期为</w:t>
            </w:r>
            <w:r>
              <w:rPr>
                <w:rFonts w:hint="eastAsia" w:ascii="宋体" w:hAnsi="宋体" w:cs="宋体"/>
                <w:bCs/>
                <w:color w:val="auto"/>
                <w:szCs w:val="21"/>
                <w:highlight w:val="none"/>
              </w:rPr>
              <w:t>一年</w:t>
            </w:r>
            <w:r>
              <w:rPr>
                <w:rFonts w:hint="eastAsia" w:ascii="宋体" w:hAnsi="宋体" w:cs="宋体"/>
                <w:bCs/>
                <w:color w:val="auto"/>
                <w:szCs w:val="21"/>
                <w:highlight w:val="none"/>
              </w:rPr>
              <w:t>。（具体以签订时间为准）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4" w:hRule="atLeast"/>
          <w:jc w:val="center"/>
        </w:trPr>
        <w:tc>
          <w:tcPr>
            <w:tcW w:w="368" w:type="pct"/>
            <w:vAlign w:val="center"/>
          </w:tcPr>
          <w:p>
            <w:pPr>
              <w:widowControl/>
              <w:jc w:val="center"/>
              <w:rPr>
                <w:rFonts w:ascii="宋体" w:hAnsi="宋体"/>
                <w:color w:val="auto"/>
                <w:szCs w:val="21"/>
                <w:highlight w:val="none"/>
              </w:rPr>
            </w:pPr>
            <w:r>
              <w:rPr>
                <w:rFonts w:hint="eastAsia" w:ascii="宋体" w:hAnsi="宋体"/>
                <w:color w:val="auto"/>
                <w:szCs w:val="21"/>
                <w:highlight w:val="none"/>
              </w:rPr>
              <w:t>2</w:t>
            </w:r>
          </w:p>
        </w:tc>
        <w:tc>
          <w:tcPr>
            <w:tcW w:w="691" w:type="pct"/>
            <w:vAlign w:val="center"/>
          </w:tcPr>
          <w:p>
            <w:pPr>
              <w:pStyle w:val="28"/>
              <w:autoSpaceDE w:val="0"/>
              <w:autoSpaceDN w:val="0"/>
              <w:spacing w:line="360" w:lineRule="auto"/>
              <w:jc w:val="center"/>
              <w:rPr>
                <w:rFonts w:ascii="宋体" w:hAnsi="宋体"/>
                <w:color w:val="auto"/>
                <w:szCs w:val="21"/>
                <w:highlight w:val="none"/>
              </w:rPr>
            </w:pPr>
            <w:r>
              <w:rPr>
                <w:rFonts w:hint="eastAsia" w:ascii="宋体" w:hAnsi="宋体" w:cs="宋体"/>
                <w:color w:val="auto"/>
                <w:szCs w:val="21"/>
                <w:highlight w:val="none"/>
              </w:rPr>
              <w:t>服务地点</w:t>
            </w:r>
          </w:p>
        </w:tc>
        <w:tc>
          <w:tcPr>
            <w:tcW w:w="3939" w:type="pct"/>
            <w:vAlign w:val="center"/>
          </w:tcPr>
          <w:p>
            <w:pPr>
              <w:pStyle w:val="28"/>
              <w:autoSpaceDE w:val="0"/>
              <w:autoSpaceDN w:val="0"/>
              <w:spacing w:line="360" w:lineRule="auto"/>
              <w:ind w:firstLine="420" w:firstLineChars="200"/>
              <w:jc w:val="both"/>
              <w:rPr>
                <w:rFonts w:ascii="宋体" w:hAnsi="宋体"/>
                <w:color w:val="auto"/>
                <w:szCs w:val="21"/>
                <w:highlight w:val="none"/>
              </w:rPr>
            </w:pPr>
            <w:r>
              <w:rPr>
                <w:rFonts w:hint="eastAsia" w:ascii="宋体" w:hAnsi="宋体" w:cs="宋体"/>
                <w:color w:val="auto"/>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368" w:type="pct"/>
            <w:vAlign w:val="center"/>
          </w:tcPr>
          <w:p>
            <w:pPr>
              <w:widowControl/>
              <w:jc w:val="center"/>
              <w:rPr>
                <w:rFonts w:ascii="宋体" w:hAnsi="宋体"/>
                <w:color w:val="auto"/>
                <w:szCs w:val="21"/>
                <w:highlight w:val="none"/>
              </w:rPr>
            </w:pPr>
            <w:r>
              <w:rPr>
                <w:rFonts w:hint="eastAsia" w:ascii="宋体" w:hAnsi="宋体"/>
                <w:color w:val="auto"/>
                <w:szCs w:val="21"/>
                <w:highlight w:val="none"/>
              </w:rPr>
              <w:t>3</w:t>
            </w:r>
          </w:p>
        </w:tc>
        <w:tc>
          <w:tcPr>
            <w:tcW w:w="691" w:type="pct"/>
            <w:vAlign w:val="center"/>
          </w:tcPr>
          <w:p>
            <w:pPr>
              <w:pStyle w:val="28"/>
              <w:autoSpaceDE w:val="0"/>
              <w:autoSpaceDN w:val="0"/>
              <w:spacing w:line="360" w:lineRule="auto"/>
              <w:jc w:val="center"/>
              <w:rPr>
                <w:rFonts w:ascii="宋体" w:hAnsi="宋体"/>
                <w:color w:val="auto"/>
                <w:sz w:val="22"/>
                <w:szCs w:val="21"/>
                <w:highlight w:val="none"/>
              </w:rPr>
            </w:pPr>
            <w:r>
              <w:rPr>
                <w:rFonts w:hint="eastAsia" w:ascii="宋体" w:hAnsi="宋体" w:cs="宋体"/>
                <w:color w:val="auto"/>
                <w:szCs w:val="21"/>
                <w:highlight w:val="none"/>
              </w:rPr>
              <w:t>付款方式</w:t>
            </w:r>
          </w:p>
        </w:tc>
        <w:tc>
          <w:tcPr>
            <w:tcW w:w="3939" w:type="pct"/>
            <w:vAlign w:val="center"/>
          </w:tcPr>
          <w:p>
            <w:pPr>
              <w:pStyle w:val="28"/>
              <w:autoSpaceDE w:val="0"/>
              <w:autoSpaceDN w:val="0"/>
              <w:spacing w:line="360" w:lineRule="auto"/>
              <w:ind w:firstLine="420" w:firstLineChars="200"/>
              <w:jc w:val="both"/>
              <w:rPr>
                <w:rFonts w:ascii="宋体" w:hAnsi="宋体"/>
                <w:color w:val="auto"/>
                <w:sz w:val="22"/>
                <w:szCs w:val="21"/>
                <w:highlight w:val="none"/>
              </w:rPr>
            </w:pPr>
            <w:r>
              <w:rPr>
                <w:rFonts w:hint="eastAsia" w:ascii="宋体" w:hAnsi="宋体" w:cs="宋体"/>
                <w:color w:val="auto"/>
                <w:szCs w:val="21"/>
                <w:highlight w:val="none"/>
              </w:rPr>
              <w:t>合同生效后，采购单位在十五个工作日内按合同总价的60%支付首付款；</w:t>
            </w:r>
            <w:r>
              <w:rPr>
                <w:rFonts w:hint="eastAsia" w:ascii="宋体" w:hAnsi="宋体"/>
                <w:color w:val="auto"/>
                <w:sz w:val="22"/>
                <w:highlight w:val="none"/>
              </w:rPr>
              <w:t>剩余40%于最后一次漏洞扫描服务，</w:t>
            </w:r>
            <w:r>
              <w:rPr>
                <w:rFonts w:hint="eastAsia" w:ascii="宋体" w:hAnsi="宋体" w:cs="宋体"/>
                <w:color w:val="auto"/>
                <w:szCs w:val="21"/>
                <w:highlight w:val="none"/>
              </w:rPr>
              <w:t>经验收合格，项目完成后付清，</w:t>
            </w:r>
            <w:r>
              <w:rPr>
                <w:rFonts w:hint="eastAsia" w:ascii="宋体" w:hAnsi="宋体"/>
                <w:color w:val="auto"/>
                <w:sz w:val="22"/>
                <w:highlight w:val="none"/>
              </w:rPr>
              <w:t>付款前中标人须提供合法合规等额发票。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368" w:type="pct"/>
            <w:vAlign w:val="center"/>
          </w:tcPr>
          <w:p>
            <w:pPr>
              <w:widowControl/>
              <w:jc w:val="center"/>
              <w:rPr>
                <w:rFonts w:ascii="宋体" w:hAnsi="宋体"/>
                <w:color w:val="auto"/>
                <w:szCs w:val="21"/>
                <w:highlight w:val="none"/>
              </w:rPr>
            </w:pPr>
            <w:r>
              <w:rPr>
                <w:rFonts w:hint="eastAsia" w:ascii="宋体" w:hAnsi="宋体"/>
                <w:color w:val="auto"/>
                <w:szCs w:val="21"/>
                <w:highlight w:val="none"/>
              </w:rPr>
              <w:t>4</w:t>
            </w:r>
          </w:p>
        </w:tc>
        <w:tc>
          <w:tcPr>
            <w:tcW w:w="691" w:type="pct"/>
            <w:vAlign w:val="center"/>
          </w:tcPr>
          <w:p>
            <w:pPr>
              <w:pStyle w:val="28"/>
              <w:autoSpaceDE w:val="0"/>
              <w:autoSpaceDN w:val="0"/>
              <w:spacing w:line="360" w:lineRule="auto"/>
              <w:jc w:val="center"/>
              <w:rPr>
                <w:rFonts w:ascii="宋体" w:hAnsi="宋体"/>
                <w:color w:val="auto"/>
                <w:szCs w:val="21"/>
                <w:highlight w:val="none"/>
              </w:rPr>
            </w:pPr>
            <w:r>
              <w:rPr>
                <w:rFonts w:hint="eastAsia" w:ascii="宋体" w:hAnsi="宋体" w:cs="宋体"/>
                <w:color w:val="auto"/>
                <w:szCs w:val="21"/>
                <w:highlight w:val="none"/>
              </w:rPr>
              <w:t>报价要求</w:t>
            </w:r>
          </w:p>
        </w:tc>
        <w:tc>
          <w:tcPr>
            <w:tcW w:w="3939" w:type="pct"/>
            <w:vAlign w:val="center"/>
          </w:tcPr>
          <w:p>
            <w:pPr>
              <w:pStyle w:val="28"/>
              <w:autoSpaceDE w:val="0"/>
              <w:autoSpaceDN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1、本项目以人民币为结算单位，实行合同总价包干方式，供应商须对采购范围的全部内容进行报价；</w:t>
            </w:r>
          </w:p>
          <w:p>
            <w:pPr>
              <w:pStyle w:val="28"/>
              <w:autoSpaceDE w:val="0"/>
              <w:autoSpaceDN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2、响应总价包含采购范围内所有相关服务所需的费用；</w:t>
            </w:r>
          </w:p>
          <w:p>
            <w:pPr>
              <w:pStyle w:val="28"/>
              <w:autoSpaceDE w:val="0"/>
              <w:autoSpaceDN w:val="0"/>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3、服务过程中所产生的一切费用；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5" w:hRule="atLeast"/>
          <w:jc w:val="center"/>
        </w:trPr>
        <w:tc>
          <w:tcPr>
            <w:tcW w:w="368" w:type="pct"/>
            <w:vAlign w:val="center"/>
          </w:tcPr>
          <w:p>
            <w:pPr>
              <w:widowControl/>
              <w:jc w:val="center"/>
              <w:rPr>
                <w:rFonts w:ascii="宋体" w:hAnsi="宋体"/>
                <w:color w:val="auto"/>
                <w:szCs w:val="21"/>
                <w:highlight w:val="none"/>
              </w:rPr>
            </w:pPr>
            <w:r>
              <w:rPr>
                <w:rFonts w:hint="eastAsia" w:ascii="宋体" w:hAnsi="宋体"/>
                <w:color w:val="auto"/>
                <w:szCs w:val="21"/>
                <w:highlight w:val="none"/>
              </w:rPr>
              <w:t>5</w:t>
            </w:r>
          </w:p>
        </w:tc>
        <w:tc>
          <w:tcPr>
            <w:tcW w:w="691" w:type="pct"/>
            <w:vAlign w:val="center"/>
          </w:tcPr>
          <w:p>
            <w:pPr>
              <w:pStyle w:val="28"/>
              <w:autoSpaceDE w:val="0"/>
              <w:autoSpaceDN w:val="0"/>
              <w:spacing w:line="360" w:lineRule="auto"/>
              <w:jc w:val="center"/>
              <w:rPr>
                <w:rFonts w:ascii="宋体" w:hAnsi="宋体"/>
                <w:color w:val="auto"/>
                <w:sz w:val="22"/>
                <w:szCs w:val="21"/>
                <w:highlight w:val="none"/>
              </w:rPr>
            </w:pPr>
            <w:r>
              <w:rPr>
                <w:rFonts w:hint="eastAsia" w:ascii="宋体" w:hAnsi="宋体" w:cs="宋体"/>
                <w:color w:val="auto"/>
                <w:szCs w:val="21"/>
                <w:highlight w:val="none"/>
              </w:rPr>
              <w:t>验收要求</w:t>
            </w:r>
          </w:p>
        </w:tc>
        <w:tc>
          <w:tcPr>
            <w:tcW w:w="3939" w:type="pct"/>
            <w:vAlign w:val="center"/>
          </w:tcPr>
          <w:p>
            <w:pPr>
              <w:pStyle w:val="28"/>
              <w:autoSpaceDE w:val="0"/>
              <w:autoSpaceDN w:val="0"/>
              <w:spacing w:line="360" w:lineRule="auto"/>
              <w:ind w:firstLine="420" w:firstLineChars="200"/>
              <w:jc w:val="both"/>
              <w:rPr>
                <w:rFonts w:ascii="宋体" w:hAnsi="宋体"/>
                <w:color w:val="auto"/>
                <w:sz w:val="22"/>
                <w:szCs w:val="21"/>
                <w:highlight w:val="none"/>
              </w:rPr>
            </w:pPr>
            <w:r>
              <w:rPr>
                <w:rFonts w:hint="eastAsia" w:ascii="宋体" w:hAnsi="宋体" w:cs="宋体"/>
                <w:color w:val="auto"/>
                <w:szCs w:val="21"/>
                <w:highlight w:val="none"/>
              </w:rPr>
              <w:t>按国家及行业相关标准验收</w:t>
            </w:r>
            <w:r>
              <w:rPr>
                <w:rFonts w:hint="eastAsia" w:ascii="宋体" w:hAnsi="宋体" w:cs="宋体"/>
                <w:color w:val="auto"/>
                <w:szCs w:val="21"/>
                <w:highlight w:val="none"/>
                <w:lang w:eastAsia="zh-CN"/>
              </w:rPr>
              <w:t>，标准不一的以较高标准为准</w:t>
            </w:r>
            <w:r>
              <w:rPr>
                <w:rFonts w:hint="eastAsia" w:ascii="宋体" w:hAnsi="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atLeast"/>
          <w:jc w:val="center"/>
        </w:trPr>
        <w:tc>
          <w:tcPr>
            <w:tcW w:w="368" w:type="pct"/>
            <w:vAlign w:val="center"/>
          </w:tcPr>
          <w:p>
            <w:pPr>
              <w:widowControl/>
              <w:jc w:val="center"/>
              <w:rPr>
                <w:rFonts w:ascii="宋体" w:hAnsi="宋体"/>
                <w:color w:val="auto"/>
                <w:szCs w:val="21"/>
                <w:highlight w:val="none"/>
              </w:rPr>
            </w:pPr>
            <w:r>
              <w:rPr>
                <w:rFonts w:hint="eastAsia" w:ascii="宋体" w:hAnsi="宋体"/>
                <w:color w:val="auto"/>
                <w:szCs w:val="21"/>
                <w:highlight w:val="none"/>
              </w:rPr>
              <w:t>6</w:t>
            </w:r>
          </w:p>
        </w:tc>
        <w:tc>
          <w:tcPr>
            <w:tcW w:w="691" w:type="pct"/>
            <w:vAlign w:val="center"/>
          </w:tcPr>
          <w:p>
            <w:pPr>
              <w:pStyle w:val="28"/>
              <w:autoSpaceDE w:val="0"/>
              <w:autoSpaceDN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3939" w:type="pct"/>
            <w:vAlign w:val="center"/>
          </w:tcPr>
          <w:p>
            <w:pPr>
              <w:pStyle w:val="28"/>
              <w:autoSpaceDE w:val="0"/>
              <w:autoSpaceDN w:val="0"/>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投标人应充分结合本招标文件上下文了解项目招标需求、采购文件未尽事宜，将在合同签订或项目执行过程中双方协商确定，供应商须无条件满足采购单位的合理要求。</w:t>
            </w:r>
          </w:p>
        </w:tc>
      </w:tr>
    </w:tbl>
    <w:p>
      <w:pPr>
        <w:rPr>
          <w:color w:val="auto"/>
          <w:highlight w:val="none"/>
        </w:rPr>
      </w:pPr>
      <w:r>
        <w:rPr>
          <w:color w:val="auto"/>
          <w:highlight w:val="none"/>
        </w:rPr>
        <w:br w:type="page"/>
      </w:r>
    </w:p>
    <w:p>
      <w:pPr>
        <w:jc w:val="center"/>
        <w:outlineLvl w:val="1"/>
        <w:rPr>
          <w:b/>
          <w:bCs/>
          <w:color w:val="auto"/>
          <w:sz w:val="28"/>
          <w:szCs w:val="36"/>
          <w:highlight w:val="none"/>
        </w:rPr>
      </w:pPr>
      <w:bookmarkStart w:id="220" w:name="_Toc16983"/>
      <w:bookmarkStart w:id="221" w:name="_Toc4445"/>
      <w:bookmarkStart w:id="222" w:name="_Toc4572"/>
      <w:bookmarkStart w:id="223" w:name="_Toc3714"/>
      <w:r>
        <w:rPr>
          <w:rFonts w:hint="eastAsia"/>
          <w:b/>
          <w:bCs/>
          <w:color w:val="auto"/>
          <w:sz w:val="28"/>
          <w:szCs w:val="36"/>
          <w:highlight w:val="none"/>
        </w:rPr>
        <w:t>技术要求</w:t>
      </w:r>
      <w:bookmarkEnd w:id="220"/>
      <w:bookmarkEnd w:id="221"/>
      <w:bookmarkEnd w:id="222"/>
      <w:bookmarkEnd w:id="223"/>
    </w:p>
    <w:p>
      <w:pPr>
        <w:pStyle w:val="5"/>
        <w:spacing w:before="156" w:beforeLines="50" w:after="156" w:afterLines="50"/>
        <w:rPr>
          <w:rFonts w:ascii="宋体" w:hAnsi="宋体" w:cs="宋体"/>
          <w:color w:val="auto"/>
          <w:szCs w:val="21"/>
          <w:highlight w:val="none"/>
        </w:rPr>
      </w:pPr>
      <w:r>
        <w:rPr>
          <w:rFonts w:hint="eastAsia" w:ascii="宋体" w:hAnsi="宋体" w:cs="宋体"/>
          <w:color w:val="auto"/>
          <w:szCs w:val="21"/>
          <w:highlight w:val="none"/>
        </w:rPr>
        <w:t>一、项目背景</w:t>
      </w:r>
    </w:p>
    <w:p>
      <w:pPr>
        <w:widowControl/>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2017年6月1日，国家开始实施《网络安全法》，其中：</w:t>
      </w:r>
    </w:p>
    <w:p>
      <w:pPr>
        <w:widowControl/>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w:t>
      </w:r>
    </w:p>
    <w:p>
      <w:pPr>
        <w:widowControl/>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根据2022年网络发展趋势，预测2023年网络安全总体趋势如下：攻击动机方面，获取经济利益成为黑客攻击的主要目的；攻击面不断扩张；攻击场景不断复杂化。从2017年以来， WannaCry勒索病毒大爆发，且处在不断的变种升级，全球150多个国家和地区受影响。全球形势不容乐观，安全事件频发，伴随着勒索软件的肆虐，各大单位企业生产也遭受了不同程度的损失，安全形势十分严峻。</w:t>
      </w:r>
    </w:p>
    <w:p>
      <w:pPr>
        <w:widowControl/>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2022年，各单位由于网站等各类业务系统存在安全漏洞，缺乏安全防护，被政数、公安、网信等对各企业单位的信息系统安全扫描时，检测出安全漏洞并做通报整改。2023年，安全合规的监管审查力度更严，对企业的口碑和品牌建设有重大影响，需要高度重视安全等保合规等建设工作。</w:t>
      </w:r>
    </w:p>
    <w:p>
      <w:pPr>
        <w:widowControl/>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单位目前已做了互联网出口防火墙和数据中心防火墙，以及终端的安全防护，安全能力基础建设比较稳定，但部分设备使用年限较长，难以实现终端全面安全的彻底处置。一旦某个未覆盖的电脑主机被攻击，就会存在内部威胁潜伏和病毒扩散的风险，容易产生高危的安全事件（如黑客爆破、数据泄密、黑客勒索等）。如果被攻击、窃取、加密、损害或者勒索，都会给单位造成重大经济损失或者声誉影响，做好网络安全防攻击的安全加固至关重要。</w:t>
      </w:r>
    </w:p>
    <w:p>
      <w:pPr>
        <w:pStyle w:val="5"/>
        <w:spacing w:before="156" w:beforeLines="50" w:after="156" w:afterLines="50"/>
        <w:rPr>
          <w:rFonts w:ascii="宋体" w:hAnsi="宋体" w:cs="宋体"/>
          <w:color w:val="auto"/>
          <w:szCs w:val="21"/>
          <w:highlight w:val="none"/>
        </w:rPr>
      </w:pPr>
      <w:r>
        <w:rPr>
          <w:rFonts w:hint="eastAsia" w:ascii="宋体" w:hAnsi="宋体" w:cs="宋体"/>
          <w:color w:val="auto"/>
          <w:szCs w:val="21"/>
          <w:highlight w:val="none"/>
        </w:rPr>
        <w:t>二、建设依据</w:t>
      </w:r>
    </w:p>
    <w:p>
      <w:pPr>
        <w:pStyle w:val="40"/>
        <w:spacing w:line="440" w:lineRule="exact"/>
        <w:rPr>
          <w:rFonts w:hAnsi="宋体" w:cs="宋体"/>
          <w:color w:val="auto"/>
          <w:kern w:val="2"/>
          <w:szCs w:val="21"/>
          <w:highlight w:val="none"/>
        </w:rPr>
      </w:pPr>
      <w:r>
        <w:rPr>
          <w:rFonts w:hint="eastAsia" w:hAnsi="宋体" w:cs="宋体"/>
          <w:color w:val="auto"/>
          <w:kern w:val="2"/>
          <w:szCs w:val="21"/>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1.《中华人民共和国网络安全法》</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2.《中华人民共和国密码法》</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3.《关键信息基础设施 安全保护条例》</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4.《信息技术安全-信息技术安全性评估准则》（GB/T18336-2015）</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5.《信息安全技术-信息安全风险评估实施指南》（GB/T 31509-2015）</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6.《信息安全技术信息安全风险处理实施指南》（GBT 33132-2016）</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7.《信息安全技术-信息安全风险管理指南》（GB/Z 24364-2009）</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8.《信息技术-安全技术-信息安全管理体系要求》（GB/T 22080-2016）</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9.《信息技术-安全技术-信息安全管理实用规则》（GB/T 22081-2016）</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10.《信息安全技术-信息系统安全等级保护实施指南》（GB/T 25058-2010）</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11.《信息安全技术 网络安全等级保护安全设计技术要求》（GB/T 25070-2019）</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12.《信息安全技术 网络安全等级保护测评要求》（GB/T 28448-2019 ）</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13.《信息安全技术 网络安全等级保护安全管理中心技术要求》（GB/T 36958-2018）</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14.《信息安全技术 办公信息系统安全基本技术要求》（GB/T 37095-2018）</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15.《信息安全技术 办公信息系统安全管理要求》（GB/T 37094-2018）</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16.《信息安全技术 病毒防治产品安全技术要求》（GB/T 37090-2018）</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17.《信息安全技术 网络安全等级保护测评过程指南》（GB/T 28449-2018）</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项目实施过程中，如果国家、广东省或东莞市有关部门颁布了新的技术标准或规范，则中标人应采用新的标准或规范。</w:t>
      </w:r>
    </w:p>
    <w:p>
      <w:pPr>
        <w:pStyle w:val="5"/>
        <w:spacing w:before="156" w:beforeLines="50" w:after="156" w:afterLines="50"/>
        <w:rPr>
          <w:rFonts w:ascii="宋体" w:hAnsi="宋体" w:cs="宋体"/>
          <w:color w:val="auto"/>
          <w:szCs w:val="21"/>
          <w:highlight w:val="none"/>
        </w:rPr>
      </w:pPr>
      <w:r>
        <w:rPr>
          <w:rFonts w:hint="eastAsia" w:ascii="宋体" w:hAnsi="宋体" w:cs="宋体"/>
          <w:color w:val="auto"/>
          <w:szCs w:val="21"/>
          <w:highlight w:val="none"/>
        </w:rPr>
        <w:t>三、项目收益</w:t>
      </w:r>
    </w:p>
    <w:p>
      <w:pPr>
        <w:pStyle w:val="41"/>
        <w:adjustRightInd w:val="0"/>
        <w:snapToGrid w:val="0"/>
        <w:spacing w:line="440" w:lineRule="exact"/>
        <w:ind w:firstLine="420" w:firstLineChars="200"/>
        <w:jc w:val="both"/>
        <w:rPr>
          <w:rFonts w:ascii="宋体" w:hAnsi="宋体" w:cs="宋体"/>
          <w:color w:val="auto"/>
          <w:kern w:val="2"/>
          <w:sz w:val="21"/>
          <w:highlight w:val="none"/>
        </w:rPr>
      </w:pPr>
      <w:r>
        <w:rPr>
          <w:rFonts w:hint="eastAsia" w:ascii="宋体" w:hAnsi="宋体" w:cs="宋体"/>
          <w:color w:val="auto"/>
          <w:kern w:val="2"/>
          <w:sz w:val="21"/>
          <w:highlight w:val="none"/>
        </w:rPr>
        <w:t>1．为东莞检测院合理开展重要业务和新业务等还未开展等保定级备案业务的工作提供技术措施支撑，加快等保建设步伐；</w:t>
      </w:r>
    </w:p>
    <w:p>
      <w:pPr>
        <w:pStyle w:val="41"/>
        <w:adjustRightInd w:val="0"/>
        <w:snapToGrid w:val="0"/>
        <w:spacing w:line="440" w:lineRule="exact"/>
        <w:ind w:firstLine="420" w:firstLineChars="200"/>
        <w:jc w:val="both"/>
        <w:rPr>
          <w:rFonts w:ascii="宋体" w:hAnsi="宋体" w:cs="宋体"/>
          <w:color w:val="auto"/>
          <w:kern w:val="2"/>
          <w:sz w:val="21"/>
          <w:highlight w:val="none"/>
        </w:rPr>
      </w:pPr>
      <w:r>
        <w:rPr>
          <w:rFonts w:hint="eastAsia" w:ascii="宋体" w:hAnsi="宋体" w:cs="宋体"/>
          <w:color w:val="auto"/>
          <w:kern w:val="2"/>
          <w:sz w:val="21"/>
          <w:highlight w:val="none"/>
        </w:rPr>
        <w:t>2．在东莞检测院的等保建设中尝试采用新技术新手段加强的安全技术防护和安全态势感知能力建设，防范特种木马（诸如勒索病毒）和新型网络攻击；</w:t>
      </w:r>
    </w:p>
    <w:p>
      <w:pPr>
        <w:pStyle w:val="41"/>
        <w:adjustRightInd w:val="0"/>
        <w:snapToGrid w:val="0"/>
        <w:spacing w:line="440" w:lineRule="exact"/>
        <w:ind w:firstLine="420" w:firstLineChars="200"/>
        <w:jc w:val="both"/>
        <w:rPr>
          <w:rFonts w:ascii="宋体" w:hAnsi="宋体" w:cs="宋体"/>
          <w:color w:val="auto"/>
          <w:kern w:val="2"/>
          <w:sz w:val="21"/>
          <w:highlight w:val="none"/>
        </w:rPr>
      </w:pPr>
      <w:r>
        <w:rPr>
          <w:rFonts w:hint="eastAsia" w:ascii="宋体" w:hAnsi="宋体" w:cs="宋体"/>
          <w:color w:val="auto"/>
          <w:kern w:val="2"/>
          <w:sz w:val="21"/>
          <w:highlight w:val="none"/>
        </w:rPr>
        <w:t>3．为东莞检测院加强日常安全运维，引入可视化、统一运维等创新技术，让安全管理和运维更简单更加有效；</w:t>
      </w:r>
    </w:p>
    <w:p>
      <w:pPr>
        <w:pStyle w:val="41"/>
        <w:adjustRightInd w:val="0"/>
        <w:snapToGrid w:val="0"/>
        <w:spacing w:line="440" w:lineRule="exact"/>
        <w:ind w:firstLine="420" w:firstLineChars="200"/>
        <w:jc w:val="both"/>
        <w:rPr>
          <w:rFonts w:ascii="宋体" w:hAnsi="宋体" w:cs="宋体"/>
          <w:color w:val="auto"/>
          <w:kern w:val="2"/>
          <w:sz w:val="21"/>
          <w:highlight w:val="none"/>
        </w:rPr>
      </w:pPr>
      <w:r>
        <w:rPr>
          <w:rFonts w:hint="eastAsia" w:ascii="宋体" w:hAnsi="宋体" w:cs="宋体"/>
          <w:color w:val="auto"/>
          <w:kern w:val="2"/>
          <w:sz w:val="21"/>
          <w:highlight w:val="none"/>
        </w:rPr>
        <w:t>4．为东莞检测院加强主动防御能力，并通过全方位、多视角的风险分析，完善网络安全建设短板，从而降低安全风险，提高信息系统健壮性；</w:t>
      </w:r>
    </w:p>
    <w:p>
      <w:pPr>
        <w:pStyle w:val="41"/>
        <w:adjustRightInd w:val="0"/>
        <w:snapToGrid w:val="0"/>
        <w:spacing w:line="440" w:lineRule="exact"/>
        <w:ind w:firstLine="420" w:firstLineChars="200"/>
        <w:jc w:val="both"/>
        <w:rPr>
          <w:rFonts w:ascii="宋体" w:hAnsi="宋体" w:cs="宋体"/>
          <w:color w:val="auto"/>
          <w:kern w:val="2"/>
          <w:sz w:val="21"/>
          <w:highlight w:val="none"/>
        </w:rPr>
      </w:pPr>
      <w:r>
        <w:rPr>
          <w:rFonts w:hint="eastAsia" w:ascii="宋体" w:hAnsi="宋体" w:cs="宋体"/>
          <w:color w:val="auto"/>
          <w:kern w:val="2"/>
          <w:sz w:val="21"/>
          <w:highlight w:val="none"/>
        </w:rPr>
        <w:t>5．为东莞检测院选择合规的安全厂商和服务商提供的安全服务，减少因网络安全事件而带来的运营中断和管理成本增加的风险。</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pStyle w:val="5"/>
        <w:spacing w:before="156" w:beforeLines="50" w:after="156" w:afterLines="50"/>
        <w:rPr>
          <w:rFonts w:ascii="宋体" w:hAnsi="宋体" w:cs="宋体"/>
          <w:color w:val="auto"/>
          <w:szCs w:val="21"/>
          <w:highlight w:val="none"/>
        </w:rPr>
      </w:pPr>
      <w:r>
        <w:rPr>
          <w:rFonts w:hint="eastAsia" w:ascii="宋体" w:hAnsi="宋体" w:cs="宋体"/>
          <w:color w:val="auto"/>
          <w:szCs w:val="21"/>
          <w:highlight w:val="none"/>
        </w:rPr>
        <w:t>四、安全服务需求分析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1、安全教育培训、应急演练需求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随着IT技术的不断发展和深入，网络安全攻击方式越来越隐蔽，单点防御等传统网络安全防御理念已经不能很好的抵御来自方方面面的网络安全威胁。《广东省数字政府网络安全指数指标体系》和《东莞市党委（党组）网络安全工作责任制考核》均要求地区数字政府网络安全主管部门制定本地区数字政府网络安全建设的发展战略，定期开展网络安全应急演练、网络安全意识培训，完善重要信息资产设施资产管理台账。这要求东莞检测院持续开展网络安全应急演练、网络安全意识培训等网络安全咨询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2、漏洞扫描、安全加固、风险评估服务需求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东省数字政府网络安全指数指标体系》要求各地区持续开展基线核查、漏洞扫描、安全加固、风险评估等网络安全运营作业。《广东省市场监督局网络安全工作责任制考核》要求各市直单位持续加强对各类信息系统、服务器、中间件、用户主机、网络设备、其它终端或应用的日常网络安全运维运营工作。这要求东莞检测院持续开展漏洞扫描、安全加固、风险评估等常态化网络安全运营作业，及时发现和处置各类网络安全威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3、渗透测试服务需求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东省数字政府网络安全指数指标体系》要求各地区渗透测试、系统代码审计、应用系统开源组件安全检测等应用安全服务。《东莞市电子政务外网网络安全管理办法》要求各单位应每年对重要系统进行网络安全风险评估和渗透测试。这要求东莞检测院对本单位的各类应用系统开展应用系统渗透测试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4、应急响应服务需求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按照《广东省数字政府网络安全指数指标体系》要求，需要专业技术人员协助处理日常应急响应事件，如勒索病毒、挖矿木马、网站篡改、漏洞事件、数据泄露、DDoS事件以及其他安全事件。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5、保密检查服务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按照广东省国家保密局、东莞市机要和保密局保密检查要求，需要在广东省特种设备检测研究院东莞检测院网络中部署保密检查工具，开展保密检查及整改工作。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6、等保测评服务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需要为广东省特种设备检测研究院东莞检测院2个业务系统提供等保测评服务，完成信息系统等级保护2级测评、备案工作、取得证书；为广东省特种设备检测研究院东莞检测院5个业务系统提供信息系统定级服务系统调研服务, 输出《等级保护定级报告》（一级）。</w:t>
      </w:r>
    </w:p>
    <w:p>
      <w:pPr>
        <w:pStyle w:val="5"/>
        <w:spacing w:before="156" w:beforeLines="50" w:after="156" w:afterLines="50"/>
        <w:rPr>
          <w:rFonts w:ascii="宋体" w:hAnsi="宋体" w:cs="宋体"/>
          <w:color w:val="auto"/>
          <w:szCs w:val="21"/>
          <w:highlight w:val="none"/>
        </w:rPr>
      </w:pPr>
      <w:r>
        <w:rPr>
          <w:rFonts w:hint="eastAsia" w:ascii="宋体" w:hAnsi="宋体" w:cs="宋体"/>
          <w:color w:val="auto"/>
          <w:szCs w:val="21"/>
          <w:highlight w:val="none"/>
        </w:rPr>
        <w:t>五、项目采购内容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本次安全服务内容包括应急演练服务、渗透测试服务、风险评估服务、漏洞扫描服务、应急响应服务、安全教育培训、安全加固服务、保密检查服务、等保测评服务。具体如下表：</w:t>
      </w:r>
    </w:p>
    <w:tbl>
      <w:tblPr>
        <w:tblStyle w:val="20"/>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025"/>
        <w:gridCol w:w="4917"/>
        <w:gridCol w:w="769"/>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 w:type="pct"/>
            <w:vAlign w:val="center"/>
          </w:tcPr>
          <w:p>
            <w:pPr>
              <w:widowControl/>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610" w:type="pct"/>
            <w:vAlign w:val="center"/>
          </w:tcPr>
          <w:p>
            <w:pPr>
              <w:widowControl/>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安全服务类别</w:t>
            </w:r>
          </w:p>
        </w:tc>
        <w:tc>
          <w:tcPr>
            <w:tcW w:w="2927" w:type="pct"/>
            <w:vAlign w:val="center"/>
          </w:tcPr>
          <w:p>
            <w:pPr>
              <w:widowControl/>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安全服务内容和要求</w:t>
            </w:r>
          </w:p>
        </w:tc>
        <w:tc>
          <w:tcPr>
            <w:tcW w:w="458" w:type="pct"/>
            <w:vAlign w:val="center"/>
          </w:tcPr>
          <w:p>
            <w:pPr>
              <w:widowControl/>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服务频次</w:t>
            </w:r>
          </w:p>
        </w:tc>
        <w:tc>
          <w:tcPr>
            <w:tcW w:w="685" w:type="pct"/>
            <w:vAlign w:val="center"/>
          </w:tcPr>
          <w:p>
            <w:pPr>
              <w:widowControl/>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610"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应急演练服务</w:t>
            </w:r>
          </w:p>
        </w:tc>
        <w:tc>
          <w:tcPr>
            <w:tcW w:w="2927" w:type="pct"/>
            <w:vAlign w:val="center"/>
          </w:tcPr>
          <w:p>
            <w:pPr>
              <w:widowControl/>
              <w:spacing w:line="360" w:lineRule="auto"/>
              <w:rPr>
                <w:rFonts w:ascii="宋体" w:hAnsi="宋体" w:cs="宋体"/>
                <w:bCs/>
                <w:color w:val="auto"/>
                <w:szCs w:val="21"/>
                <w:highlight w:val="none"/>
              </w:rPr>
            </w:pPr>
            <w:r>
              <w:rPr>
                <w:rFonts w:hint="eastAsia" w:ascii="宋体" w:hAnsi="宋体" w:cs="宋体"/>
                <w:bCs/>
                <w:color w:val="auto"/>
                <w:szCs w:val="21"/>
                <w:highlight w:val="none"/>
              </w:rPr>
              <w:t>服务内容：依据相关国家标准或国际标准，提供对应的应急演练场景专项应急预案模板，以指导应急响应团队应对与处置安全事件；制定应急演练方案及脚本并协助开展应急演练，模拟安全事件发生及处置的全过程，提高应对安全事件的处置能力，预防和减少安全事件造成的危害和损失。</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服务频次：每半年1次。</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服务交付物：《应急演练方案》、《应急演练总结报告》、《专项应急预案模板》</w:t>
            </w:r>
          </w:p>
        </w:tc>
        <w:tc>
          <w:tcPr>
            <w:tcW w:w="458"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每半年1次</w:t>
            </w:r>
          </w:p>
        </w:tc>
        <w:tc>
          <w:tcPr>
            <w:tcW w:w="685"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广东省特种设备检测研究院东莞检测院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610"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渗透测试服务</w:t>
            </w:r>
          </w:p>
        </w:tc>
        <w:tc>
          <w:tcPr>
            <w:tcW w:w="2927" w:type="pct"/>
            <w:vAlign w:val="center"/>
          </w:tcPr>
          <w:p>
            <w:pPr>
              <w:widowControl/>
              <w:spacing w:line="360" w:lineRule="auto"/>
              <w:rPr>
                <w:rFonts w:ascii="宋体" w:hAnsi="宋体" w:cs="宋体"/>
                <w:bCs/>
                <w:color w:val="auto"/>
                <w:szCs w:val="21"/>
                <w:highlight w:val="none"/>
              </w:rPr>
            </w:pPr>
            <w:r>
              <w:rPr>
                <w:rFonts w:hint="eastAsia" w:ascii="宋体" w:hAnsi="宋体" w:cs="宋体"/>
                <w:bCs/>
                <w:color w:val="auto"/>
                <w:szCs w:val="21"/>
                <w:highlight w:val="none"/>
              </w:rPr>
              <w:t>服务内容：对广东省特种设备检测研究院东莞检测院</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个业务系统进行渗透测试，通过模拟真实的黑客入侵时所使用的攻击技术及漏洞发现技术，对业务系统进行漏洞测试及漏洞利用，从而尝试获取应用系统中的重要信息，同时也可以验证当前安全机制在抵抗入侵时的有效性。</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服务频次：每年1次。</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服务交付物：《XX系统渗透测试报告》</w:t>
            </w:r>
          </w:p>
        </w:tc>
        <w:tc>
          <w:tcPr>
            <w:tcW w:w="458"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每年1次</w:t>
            </w:r>
          </w:p>
        </w:tc>
        <w:tc>
          <w:tcPr>
            <w:tcW w:w="685"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个业务系统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18"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610"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风险评估服务</w:t>
            </w:r>
          </w:p>
        </w:tc>
        <w:tc>
          <w:tcPr>
            <w:tcW w:w="2927" w:type="pct"/>
            <w:vAlign w:val="center"/>
          </w:tcPr>
          <w:p>
            <w:pPr>
              <w:widowControl/>
              <w:spacing w:line="360" w:lineRule="auto"/>
              <w:rPr>
                <w:rFonts w:ascii="宋体" w:hAnsi="宋体" w:cs="宋体"/>
                <w:bCs/>
                <w:color w:val="auto"/>
                <w:szCs w:val="21"/>
                <w:highlight w:val="none"/>
              </w:rPr>
            </w:pPr>
            <w:r>
              <w:rPr>
                <w:rFonts w:hint="eastAsia" w:ascii="宋体" w:hAnsi="宋体" w:cs="宋体"/>
                <w:bCs/>
                <w:color w:val="auto"/>
                <w:szCs w:val="21"/>
                <w:highlight w:val="none"/>
              </w:rPr>
              <w:t>服务内容：对广东省特种设备检测研究院东莞检测院业务系统及办公网络的信息资产、数据、个人信息、供应链面临的威胁、存在的脆弱性、现有防护措施及综合作用而带来风险的发生可能性进行评估，最终提供完整的风险评估报告及协助修复。</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服务频次：每季度1次。</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服务交付物：《XX系统风险评估报告》</w:t>
            </w:r>
          </w:p>
        </w:tc>
        <w:tc>
          <w:tcPr>
            <w:tcW w:w="458"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每季度1次</w:t>
            </w:r>
          </w:p>
        </w:tc>
        <w:tc>
          <w:tcPr>
            <w:tcW w:w="685"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业务系统及办公网络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610"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漏洞扫描服务</w:t>
            </w:r>
          </w:p>
        </w:tc>
        <w:tc>
          <w:tcPr>
            <w:tcW w:w="2927" w:type="pct"/>
            <w:vAlign w:val="center"/>
          </w:tcPr>
          <w:p>
            <w:pPr>
              <w:widowControl/>
              <w:spacing w:line="360" w:lineRule="auto"/>
              <w:rPr>
                <w:rFonts w:ascii="宋体" w:hAnsi="宋体" w:cs="宋体"/>
                <w:bCs/>
                <w:color w:val="auto"/>
                <w:szCs w:val="21"/>
                <w:highlight w:val="none"/>
              </w:rPr>
            </w:pPr>
            <w:r>
              <w:rPr>
                <w:rFonts w:hint="eastAsia" w:ascii="宋体" w:hAnsi="宋体" w:cs="宋体"/>
                <w:bCs/>
                <w:color w:val="auto"/>
                <w:szCs w:val="21"/>
                <w:highlight w:val="none"/>
              </w:rPr>
              <w:t>服务内容：对广东省特种设备检测研究院东莞检测院2个业务系统及办公网络进行漏洞扫描并对扫描结果进行人工分析，提交经过人工处理的漏洞扫描报告以及专家级漏洞修复建议，并协助加固整改。</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服务频次：每季度1次。</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服务交付物：《漏洞扫描报告》</w:t>
            </w:r>
          </w:p>
        </w:tc>
        <w:tc>
          <w:tcPr>
            <w:tcW w:w="458"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每季度1次</w:t>
            </w:r>
          </w:p>
        </w:tc>
        <w:tc>
          <w:tcPr>
            <w:tcW w:w="685"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业务系统及办公网络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610"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应急响应服务</w:t>
            </w:r>
          </w:p>
        </w:tc>
        <w:tc>
          <w:tcPr>
            <w:tcW w:w="2927" w:type="pct"/>
            <w:vAlign w:val="center"/>
          </w:tcPr>
          <w:p>
            <w:pPr>
              <w:widowControl/>
              <w:spacing w:line="360" w:lineRule="auto"/>
              <w:rPr>
                <w:rFonts w:ascii="宋体" w:hAnsi="宋体" w:cs="宋体"/>
                <w:bCs/>
                <w:color w:val="auto"/>
                <w:szCs w:val="21"/>
                <w:highlight w:val="none"/>
              </w:rPr>
            </w:pPr>
            <w:r>
              <w:rPr>
                <w:rFonts w:hint="eastAsia" w:ascii="宋体" w:hAnsi="宋体" w:cs="宋体"/>
                <w:bCs/>
                <w:color w:val="auto"/>
                <w:szCs w:val="21"/>
                <w:highlight w:val="none"/>
              </w:rPr>
              <w:t>服务内容：对广东省特种设备检测研究院东莞检测院出现的安全事件进行应急响应（包括但不限于勒索病毒、挖矿木马、网站篡改、漏洞事件、数据泄露、DDoS事件以及其他安全事件），采取措施降低安全事件可能造成的的影响并协助检测院闭环处置安全事件。事件处置完毕，编写《应急响应报告》，该文档描述安全事件的现象、处置过程、处置结果、事件的根因分析、并总结安全加固建议、产品加固建议。</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服务交付物：《应急响应报告》</w:t>
            </w:r>
          </w:p>
        </w:tc>
        <w:tc>
          <w:tcPr>
            <w:tcW w:w="458" w:type="pct"/>
            <w:vAlign w:val="center"/>
          </w:tcPr>
          <w:p>
            <w:pPr>
              <w:widowControl/>
              <w:spacing w:line="360" w:lineRule="auto"/>
              <w:jc w:val="center"/>
              <w:rPr>
                <w:rFonts w:ascii="宋体" w:hAnsi="宋体" w:cs="宋体"/>
                <w:bCs/>
                <w:color w:val="auto"/>
                <w:szCs w:val="21"/>
                <w:highlight w:val="none"/>
              </w:rPr>
            </w:pPr>
          </w:p>
        </w:tc>
        <w:tc>
          <w:tcPr>
            <w:tcW w:w="685"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广东省特种设备检测研究院东莞检测院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610"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安全教育培训</w:t>
            </w:r>
          </w:p>
        </w:tc>
        <w:tc>
          <w:tcPr>
            <w:tcW w:w="2927" w:type="pct"/>
            <w:vAlign w:val="center"/>
          </w:tcPr>
          <w:p>
            <w:pPr>
              <w:widowControl/>
              <w:spacing w:line="360" w:lineRule="auto"/>
              <w:rPr>
                <w:rFonts w:ascii="宋体" w:hAnsi="宋体" w:cs="宋体"/>
                <w:bCs/>
                <w:color w:val="auto"/>
                <w:szCs w:val="21"/>
                <w:highlight w:val="none"/>
              </w:rPr>
            </w:pPr>
            <w:r>
              <w:rPr>
                <w:rFonts w:hint="eastAsia" w:ascii="宋体" w:hAnsi="宋体" w:cs="宋体"/>
                <w:bCs/>
                <w:color w:val="auto"/>
                <w:szCs w:val="21"/>
                <w:highlight w:val="none"/>
              </w:rPr>
              <w:t>服务内容：对广东省特种设备检测研究院东莞检测院全体人员开展安全意识培训，让大家认识到网络安全意识不足对单位可能造成的危害，传导应正确恪守的行为方式；通过全员安全意识的理论培训和案例分析以及关键行为上的最佳实践指导，让网络安全“人防”保障有效支撑业务高效稳定运行。培训内容包括网络安全形势分析、国家法律法规解读、典型网络安全事件等；防范木马或病毒攻击、弱口令的隐患、安全使用电子邮件的注意事项、钓鱼网站防范、信息泄露防范等。</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服务频次：每半年1次。</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服务交付物：《网络安全培训课件》</w:t>
            </w:r>
          </w:p>
        </w:tc>
        <w:tc>
          <w:tcPr>
            <w:tcW w:w="458"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每半年1次</w:t>
            </w:r>
          </w:p>
        </w:tc>
        <w:tc>
          <w:tcPr>
            <w:tcW w:w="685"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广东省特种设备检测研究院东莞检测院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610"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安全加固服务</w:t>
            </w:r>
          </w:p>
        </w:tc>
        <w:tc>
          <w:tcPr>
            <w:tcW w:w="2927" w:type="pct"/>
            <w:vAlign w:val="center"/>
          </w:tcPr>
          <w:p>
            <w:pPr>
              <w:widowControl/>
              <w:spacing w:line="360" w:lineRule="auto"/>
              <w:rPr>
                <w:rFonts w:ascii="宋体" w:hAnsi="宋体" w:cs="宋体"/>
                <w:bCs/>
                <w:color w:val="auto"/>
                <w:szCs w:val="21"/>
                <w:highlight w:val="none"/>
              </w:rPr>
            </w:pPr>
            <w:r>
              <w:rPr>
                <w:rFonts w:hint="eastAsia" w:ascii="宋体" w:hAnsi="宋体" w:cs="宋体"/>
                <w:bCs/>
                <w:color w:val="auto"/>
                <w:szCs w:val="21"/>
                <w:highlight w:val="none"/>
              </w:rPr>
              <w:t>服务内容：对广东省特种设备检测研究院东莞检测院业务系统及办公网络进行安全加固，包括操作系统、数据库、中间件、网络设备等，对系统进行漏洞扫描、修复、补丁升级、防火墙配置等操作，提高系统的安全性和稳定性；对网络设备进行安全加固，包括路由器、交换机、防火墙等，对网络设备进行配置优化、策略管理、访问控制等操作，提高网络的安全性和可靠性；对应用程序进行安全加固，包括Web应用程序、移动应用程序等，对应用进行漏洞扫描、代码审计、安全管理等操作，提高应用的安全性和可靠性。</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服务频次：</w:t>
            </w:r>
            <w:r>
              <w:rPr>
                <w:rFonts w:hint="eastAsia" w:ascii="宋体" w:hAnsi="宋体" w:cs="宋体"/>
                <w:bCs/>
                <w:color w:val="auto"/>
                <w:szCs w:val="21"/>
                <w:highlight w:val="none"/>
              </w:rPr>
              <w:t>每季度1次</w:t>
            </w:r>
            <w:r>
              <w:rPr>
                <w:rFonts w:hint="eastAsia" w:ascii="宋体" w:hAnsi="宋体" w:cs="宋体"/>
                <w:bCs/>
                <w:color w:val="auto"/>
                <w:szCs w:val="21"/>
                <w:highlight w:val="none"/>
              </w:rPr>
              <w:t>。</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服务交付物：《安全加固报告》</w:t>
            </w:r>
          </w:p>
        </w:tc>
        <w:tc>
          <w:tcPr>
            <w:tcW w:w="458"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每季度1次</w:t>
            </w:r>
          </w:p>
        </w:tc>
        <w:tc>
          <w:tcPr>
            <w:tcW w:w="685"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业务系统及办公网络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610"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保密检查服务</w:t>
            </w:r>
          </w:p>
        </w:tc>
        <w:tc>
          <w:tcPr>
            <w:tcW w:w="2927" w:type="pct"/>
            <w:vAlign w:val="center"/>
          </w:tcPr>
          <w:p>
            <w:pPr>
              <w:widowControl/>
              <w:spacing w:line="360" w:lineRule="auto"/>
              <w:rPr>
                <w:rFonts w:ascii="宋体" w:hAnsi="宋体" w:cs="宋体"/>
                <w:bCs/>
                <w:color w:val="auto"/>
                <w:szCs w:val="21"/>
                <w:highlight w:val="none"/>
              </w:rPr>
            </w:pPr>
            <w:r>
              <w:rPr>
                <w:rFonts w:hint="eastAsia" w:ascii="宋体" w:hAnsi="宋体" w:cs="宋体"/>
                <w:bCs/>
                <w:color w:val="auto"/>
                <w:szCs w:val="21"/>
                <w:highlight w:val="none"/>
              </w:rPr>
              <w:t>服务内容：在广东省特种设备检测研究院东莞检测院网络中部署保密检查平台，终端部署保密检查工具，使用工具输出保密检查报告；讲解保密检查内容，培训查看保密检查报告需注意特征，告知检测院不合规项及检查重点；对不合规项给出整改建议。</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服务频次：1次。</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服务交付物：《保密检查报告》</w:t>
            </w:r>
          </w:p>
        </w:tc>
        <w:tc>
          <w:tcPr>
            <w:tcW w:w="458"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1次</w:t>
            </w:r>
          </w:p>
        </w:tc>
        <w:tc>
          <w:tcPr>
            <w:tcW w:w="685" w:type="pct"/>
            <w:vAlign w:val="center"/>
          </w:tcPr>
          <w:p>
            <w:pPr>
              <w:widowControl/>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广东省特种设备检测研究院东莞检测院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 w:type="pct"/>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610" w:type="pct"/>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等保测评服务</w:t>
            </w:r>
          </w:p>
        </w:tc>
        <w:tc>
          <w:tcPr>
            <w:tcW w:w="2927" w:type="pct"/>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为广东省特种设备检测研究院东莞检测院2个业务系统提供等保测评服务，完成信息系统等级保护（2级）测评、备案工作、取得证书；5个业务系统提供信息系统定级服务系统调研服务, 输出《等级保护定级报告》（一级）。</w:t>
            </w:r>
          </w:p>
        </w:tc>
        <w:tc>
          <w:tcPr>
            <w:tcW w:w="458" w:type="pct"/>
            <w:vAlign w:val="center"/>
          </w:tcPr>
          <w:p>
            <w:pPr>
              <w:widowControl/>
              <w:spacing w:line="360" w:lineRule="auto"/>
              <w:jc w:val="center"/>
              <w:rPr>
                <w:rFonts w:ascii="宋体" w:hAnsi="宋体" w:cs="宋体"/>
                <w:color w:val="auto"/>
                <w:szCs w:val="21"/>
                <w:highlight w:val="none"/>
              </w:rPr>
            </w:pPr>
          </w:p>
        </w:tc>
        <w:tc>
          <w:tcPr>
            <w:tcW w:w="685" w:type="pct"/>
            <w:vAlign w:val="center"/>
          </w:tcPr>
          <w:p>
            <w:pPr>
              <w:widowControl/>
              <w:spacing w:line="360" w:lineRule="auto"/>
              <w:jc w:val="center"/>
              <w:rPr>
                <w:rFonts w:ascii="宋体" w:hAnsi="宋体" w:cs="宋体"/>
                <w:color w:val="auto"/>
                <w:szCs w:val="21"/>
                <w:highlight w:val="none"/>
              </w:rPr>
            </w:pPr>
          </w:p>
        </w:tc>
      </w:tr>
    </w:tbl>
    <w:p>
      <w:pPr>
        <w:pStyle w:val="19"/>
        <w:ind w:firstLine="420"/>
        <w:jc w:val="center"/>
        <w:rPr>
          <w:rFonts w:ascii="宋体" w:hAnsi="宋体"/>
          <w:color w:val="auto"/>
          <w:sz w:val="21"/>
          <w:szCs w:val="21"/>
          <w:highlight w:val="none"/>
        </w:rPr>
      </w:pPr>
      <w:r>
        <w:rPr>
          <w:rFonts w:hint="eastAsia" w:ascii="宋体" w:hAnsi="宋体"/>
          <w:color w:val="auto"/>
          <w:sz w:val="21"/>
          <w:szCs w:val="21"/>
          <w:highlight w:val="none"/>
        </w:rPr>
        <w:t>表1.4 安全服务内容清单</w:t>
      </w:r>
    </w:p>
    <w:p>
      <w:pPr>
        <w:pStyle w:val="5"/>
        <w:rPr>
          <w:rFonts w:ascii="宋体" w:hAnsi="宋体" w:cs="宋体"/>
          <w:color w:val="auto"/>
          <w:szCs w:val="21"/>
          <w:highlight w:val="none"/>
        </w:rPr>
      </w:pPr>
      <w:r>
        <w:rPr>
          <w:rFonts w:hint="eastAsia" w:ascii="宋体" w:hAnsi="宋体" w:cs="宋体"/>
          <w:color w:val="auto"/>
          <w:szCs w:val="21"/>
          <w:highlight w:val="none"/>
        </w:rPr>
        <w:t>六、安全服务具体内容与要求</w:t>
      </w:r>
    </w:p>
    <w:p>
      <w:pPr>
        <w:pStyle w:val="6"/>
        <w:spacing w:before="156" w:after="156"/>
        <w:rPr>
          <w:rFonts w:ascii="宋体" w:hAnsi="宋体" w:cs="宋体"/>
          <w:color w:val="auto"/>
          <w:sz w:val="21"/>
          <w:szCs w:val="21"/>
          <w:highlight w:val="none"/>
        </w:rPr>
      </w:pPr>
      <w:r>
        <w:rPr>
          <w:rFonts w:hint="eastAsia" w:ascii="宋体" w:hAnsi="宋体" w:cs="宋体"/>
          <w:color w:val="auto"/>
          <w:sz w:val="21"/>
          <w:szCs w:val="21"/>
          <w:highlight w:val="none"/>
        </w:rPr>
        <w:t>6.1应急演练服务</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（一）服务内容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据相关国家标准或国际标准，提供对应的应急演练场景专项应急预案模板，以指导应急响应团队应对与处置安全事件；制定应急演练方案及脚本并协助开展应急演练，模拟安全事件发生及处置的全过程，提高应对安全事件的处置能力，预防和减少安全事件造成的危害和损失。</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（二）服务要求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每半年协助东莞检测院组织1次网络攻击、病毒攻击、数据泄露、数据勒索、数据篡改事件的应急演练，模拟应对突发事件时的各项具体活动，以验证应急预案，提高应急响应能力。上述应急演练将分为桌面流程推演、技术性实操演练两种开展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1、桌面流程推演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桌面流程推演将模拟影响范围广、牵涉部门多、经济损失大和危害程度深的较严重类信息安全事件，如数据泄露、数据勒索、数据篡改等。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现场技术支持，采用桌面推演的方式进行，根据应急预案规定的流程协助东莞检测院相关人员进行相应的模拟演练，一方面使相关方熟悉流程，提高对安全事件的响应能力；另一方面验证预案正确性和适用性，并进行总结分析，根据需要对应急预案进行修订和完善。桌面排演需要考察的方面主要包括：</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（1）信息系统的应急计划是否覆盖了保护对象的全部；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（2）应急计划是否满足信息系统的保密性、可靠性和可用性的要求；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（3）预防策略是否满足当灾难发生后信息系统的恢复响应速度要求和灾难恢复后数据的完整性要求；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（4）预案的可实现性；</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（5）安全事件的响应方案的可操作性；</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（6）各类型各级别应急事件的响应操作规程、详细说明、操作步骤或方法等的指导意义及描述的准确程度。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2、技术性实操演练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协助东莞检测院开展技术性实操演练，在双方协商的基础上，确定演练对象和演练方案，明确所涉及的信息系统、模拟的安全事件类型和应急响应流程与处置方法。通过实战演练，使工作人员能够熟悉应急处置流程、熟练掌握应急处理方法与技巧，提高单位的应急响应能力，确保如遇突发事件时能够高效、正确地处理，最大限度地降低安全事件带来的损失和影响；同时，对预案的可行性、适用性进行检测，发现不足并提出整改建议。技术性实操演练包含以下各阶段工作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（1）演练前期准备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演练团队组建：演练应在相关预案确定的应急领导机构或指挥机构领导下组织开展。建立对演练过程进行组织的专门机构，可以有效监督和评估演练的实际效果，并从第三方的角度指导东莞检测院发现演练中暴露的实际问题，提出对预案内容的优化和调整意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制定演练计划：为了更好的推进演练工作的开展，协助东莞检测院完成应急演练过程的组织以及评估记录工作，在关键环节指导东莞检测院开展演练工作。在进行演练前服务商安全工程师首先对东莞检测院进行整体的评估、摸清和确定演练科目内容、演练工作的最佳时段、参与演练的人员擅长技能等情况。演练计划将上述情况汇总、整理、总结在演练计划中，供演练指挥小组决策演练发起的条件、演练范围、演练整个时间进度、演练程序、人员角色的分配、通信联系方式等内容在实际的演练计划中加以明确和落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演练计划确认：演练指挥领导机构针对形成的演练计划召开专门的讨论会，确定计划中涉及的相关问题，明确演练工作中各个阶段组织人员承担的具体职责和具体工作方案等等。只有在演练计划通过演练指挥领导机构通过后，才能作为下一步启动演练条件之一，否则需要根据领导机构意见进行相应的修改和调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演练计划培训：演练计划确定后，对东莞检测院参与应急演练的相关人员实施集中培训，确保所有演练参与人员了解各自的工作内容，熟悉演练实施流程和各环节工作步骤，为应急演练的顺利开展奠定基础。</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落实演练措施：在应急预案中往往会提到为了贯彻落实应急响应预案，而制定的大量应急保障措施，这些措施当中大部分是为了保证在实际的应急工作当中，能够顺利的解决各种应急工作，为应急工作提供必要的物质、技术、人员等方面的后援支撑。在应急演练中这些支撑措施将会运用于应急演练过程，因此，在进行演练之前，协助东莞检测院落实演练中所需的保障措施，这些措施包括以下三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应急人力保障：协助东莞检测院加强信息安全人才培养，强化信息安全宣传教育，建设一支高素质、高技术的信息安全核心人才和管理队伍，提高信息安全防御意识。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物质条件保障: 在资金中安排协助东莞检测院将一定的资金用于预防或应对信息安全突发事件，优化信息安全应急处理工作的物资保障条件。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技术支撑保障：协助东莞检测院设立信息安全应急响应中心，建立预警与应急处理的技术平台，进一步提高安全事件的发现和分析能力。从技术上逐步实现发现、预警、处置、通报等多个环节和不同的网络、系统、部门之间应急处理的联动机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（2）现场指挥与指导</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演练的启动：演练是一种形式，是对预案的检验。演练并非仅仅是集中在特殊时间段前，而需要在平时条件下强调应急事件的突发性。围绕着演练计划和应急预案，在服务商安全工程师协助之下的演练现场指挥部以指令的形式，启动演练过程。演练启动前，服务商演练协调小组将会检验和判断演练条件是否成熟，以及相关岗位人员就绪等情况，汇总上报演练指挥部相关领导决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协助现场指挥：服务商作为演练过程的咨询支持单位，将以东莞检测院信息安全现状为依据，针对典型信息安全事件制定的应急预案开展应急演练。当演练启动后，东莞检测院演练人员会根据演练计划中事先制定的演练目标，演练场景和演练的脚本，逐步推进演练过程。演练过程当中利用各种现代通信手段，发布演练指挥部各项指令。演练通信保障是完成大型综合演练科目必须具备的条件。在演练正式启动前，派专人协助东莞检测院落实相关工作，保障整个演练过程，调度指令信息的沟通通畅。将对演练过程进行全程的记录和评判。过程记录是为了作为在后面演练汇报中作为场景再现的证据，加以验证应急预案中存在的主要问题。记录人员通过专用的工具对演练中所使用的IT工具进行检测和日志操作文件的提取。这些记录信息有专门的备份保存机制，以提供给东莞检测院日后观摩使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演练的终止：按照演练程序终止条件，演练过程已经达到演练目标既定的要求，由演练现场指挥部，发起演练终止指令，通知东莞检测院各参与人员撤离演场所。针对演练的最终结果，以及各项演练的指标进行现场取证和记录，并开展演练效果的评估工作，这里不仅包括工具化的采样，还包括对参与演练人员的访谈，从中了解预案过程中存在的需要改进的意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3、协助完善应急预案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结合应急演练结果，梳理完善东莞检测院应急组织架构、事件场景，明确应急处置程序流程，修订包含应急管控、应急处置和应急操作三个层面内容的应急预案文档。</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（三）服务范围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广东省特种设备检测研究院东莞检测院。</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（四）交付物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《东莞检测院应急演练方案》、《东莞检测院应急演练总结报告》、《专项应急预案模板》</w:t>
      </w:r>
    </w:p>
    <w:p>
      <w:pPr>
        <w:pStyle w:val="6"/>
        <w:spacing w:before="156" w:after="156"/>
        <w:rPr>
          <w:rFonts w:ascii="宋体" w:hAnsi="宋体" w:cs="宋体"/>
          <w:color w:val="auto"/>
          <w:sz w:val="21"/>
          <w:szCs w:val="21"/>
          <w:highlight w:val="none"/>
        </w:rPr>
      </w:pPr>
      <w:r>
        <w:rPr>
          <w:rFonts w:hint="eastAsia" w:ascii="宋体" w:hAnsi="宋体" w:cs="宋体"/>
          <w:color w:val="auto"/>
          <w:sz w:val="21"/>
          <w:szCs w:val="21"/>
          <w:highlight w:val="none"/>
        </w:rPr>
        <w:t>6.2渗透测试服务</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（一）服务内容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每年对广东省特种设备检测研究院东莞检测院2个业务系统进行渗透测试，通过模拟真实的黑客入侵时所使用的攻击技术及漏洞发现技术，对业务系统进行漏洞测试及漏洞利用，从而尝试获取应用系统中的重要信息，同时也可以验证当前安全机制在抵抗入侵时的有效性。</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（二）服务要求</w:t>
      </w:r>
    </w:p>
    <w:p>
      <w:pPr>
        <w:spacing w:line="360" w:lineRule="auto"/>
        <w:ind w:firstLine="422" w:firstLineChars="200"/>
        <w:rPr>
          <w:rFonts w:ascii="宋体" w:hAnsi="宋体" w:cs="宋体"/>
          <w:b/>
          <w:bCs/>
          <w:color w:val="auto"/>
          <w:szCs w:val="21"/>
          <w:highlight w:val="none"/>
        </w:rPr>
      </w:pPr>
      <w:r>
        <w:rPr>
          <w:rFonts w:hint="eastAsia"/>
          <w:b/>
          <w:bCs/>
          <w:color w:val="auto"/>
          <w:kern w:val="0"/>
          <w:sz w:val="21"/>
          <w:szCs w:val="21"/>
          <w:highlight w:val="none"/>
        </w:rPr>
        <w:t>▲</w:t>
      </w:r>
      <w:r>
        <w:rPr>
          <w:rFonts w:hint="eastAsia" w:ascii="宋体" w:hAnsi="宋体" w:cs="宋体"/>
          <w:b/>
          <w:bCs/>
          <w:color w:val="auto"/>
          <w:szCs w:val="21"/>
          <w:highlight w:val="none"/>
        </w:rPr>
        <w:t>中标人须委托第三方具有风险评估资质的单位提供渗透测试服务。</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服务商需提供承诺函并加盖服务商公章）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渗透过程中，要求采用业界领先的漏洞检测技术、攻击技术、攻击工具和安全团队编写的脚本。过程分为四步：计划与准备、信息收集、实施渗透、输出报告。计划与准备阶段主要是根据网站反馈的内容制定项目实施方案与计划；信息收集与实施渗透是项目的实施阶段，输出报告主要是汇总和评估项目中发现的安全威胁，并输出文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针对各应用系统的渗透测试方法应该包括但不局限于以下方法：</w:t>
      </w:r>
    </w:p>
    <w:tbl>
      <w:tblPr>
        <w:tblStyle w:val="20"/>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bottom w:val="single" w:color="auto" w:sz="4" w:space="0"/>
            </w:tcBorders>
            <w:shd w:val="clear" w:color="auto" w:fill="FFFFFF"/>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测试类型</w:t>
            </w:r>
          </w:p>
        </w:tc>
        <w:tc>
          <w:tcPr>
            <w:tcW w:w="7164" w:type="dxa"/>
            <w:shd w:val="clear" w:color="auto" w:fill="FFFFFF"/>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测试描述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FFFFFF"/>
            <w:vAlign w:val="center"/>
          </w:tcPr>
          <w:p>
            <w:pPr>
              <w:spacing w:line="360" w:lineRule="auto"/>
              <w:jc w:val="center"/>
              <w:rPr>
                <w:rFonts w:ascii="宋体" w:hAnsi="宋体" w:cs="宋体"/>
                <w:color w:val="auto"/>
                <w:szCs w:val="21"/>
                <w:highlight w:val="none"/>
              </w:rPr>
            </w:pPr>
            <w:bookmarkStart w:id="224" w:name="_Toc71947943"/>
            <w:bookmarkStart w:id="225" w:name="_Toc195996680"/>
            <w:bookmarkStart w:id="226" w:name="_Toc236684019"/>
            <w:r>
              <w:rPr>
                <w:rFonts w:hint="eastAsia" w:ascii="宋体" w:hAnsi="宋体" w:cs="宋体"/>
                <w:color w:val="auto"/>
                <w:szCs w:val="21"/>
                <w:highlight w:val="none"/>
              </w:rPr>
              <w:t>信息收集</w:t>
            </w:r>
          </w:p>
        </w:tc>
        <w:tc>
          <w:tcPr>
            <w:tcW w:w="7164" w:type="dxa"/>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信息收集是渗透攻击的前提，通过信息收集可以有针对性地制定模拟攻击测试计划，提高模拟攻击的成功率，同时可以有效的降低攻击测试对系统正常运行造成的不利影响。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信息收集的方法包括端口扫描、操作系统指纹判别、应用判别、账号扫描、配置判别等。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FFFFFF"/>
            <w:vAlign w:val="center"/>
          </w:tcPr>
          <w:p>
            <w:pPr>
              <w:spacing w:line="360" w:lineRule="auto"/>
              <w:jc w:val="center"/>
              <w:rPr>
                <w:rFonts w:ascii="宋体" w:hAnsi="宋体" w:cs="宋体"/>
                <w:color w:val="auto"/>
                <w:szCs w:val="21"/>
                <w:highlight w:val="none"/>
              </w:rPr>
            </w:pPr>
            <w:bookmarkStart w:id="227" w:name="_Toc71947918"/>
            <w:r>
              <w:rPr>
                <w:rFonts w:hint="eastAsia" w:ascii="宋体" w:hAnsi="宋体" w:cs="宋体"/>
                <w:color w:val="auto"/>
                <w:szCs w:val="21"/>
                <w:highlight w:val="none"/>
              </w:rPr>
              <w:t>端口扫描</w:t>
            </w:r>
            <w:bookmarkEnd w:id="227"/>
          </w:p>
        </w:tc>
        <w:tc>
          <w:tcPr>
            <w:tcW w:w="7164" w:type="dxa"/>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过对目标地址的TCP/UDP端口扫描，确定其所开放的服务的数量和类型，这是所有渗透测试的基础。通过端口扫描，可以基本确定一个系统的基本信息，结合安全工程师的经验可以确定其可能存在以及被利用的安全弱点，为进行深层次的渗透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FFFFFF"/>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口令猜测</w:t>
            </w:r>
          </w:p>
        </w:tc>
        <w:tc>
          <w:tcPr>
            <w:tcW w:w="7164" w:type="dxa"/>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阶段将对暴露在公网的所有登陆口进行口令猜解的测试，找出各个系统可能存在的弱口令或易被猜解的口令。猜解成功后将继续对系统进行渗透测试，挖掘嵌套在登录口背后的漏洞、寻找新的突破口以及可能泄漏的敏感信息，并评估相应的危害性。猜解的对象包括：WEB登录口、FTP端口、数据库端口、远程管理端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FFFFFF"/>
            <w:vAlign w:val="center"/>
          </w:tcPr>
          <w:p>
            <w:pPr>
              <w:spacing w:line="360" w:lineRule="auto"/>
              <w:jc w:val="center"/>
              <w:rPr>
                <w:rFonts w:ascii="宋体" w:hAnsi="宋体" w:cs="宋体"/>
                <w:color w:val="auto"/>
                <w:szCs w:val="21"/>
                <w:highlight w:val="none"/>
              </w:rPr>
            </w:pPr>
            <w:bookmarkStart w:id="228" w:name="_Toc66861245"/>
            <w:bookmarkStart w:id="229" w:name="_Toc71947919"/>
            <w:r>
              <w:rPr>
                <w:rFonts w:hint="eastAsia" w:ascii="宋体" w:hAnsi="宋体" w:cs="宋体"/>
                <w:color w:val="auto"/>
                <w:szCs w:val="21"/>
                <w:highlight w:val="none"/>
              </w:rPr>
              <w:t>远程溢出</w:t>
            </w:r>
            <w:bookmarkEnd w:id="228"/>
            <w:bookmarkEnd w:id="229"/>
          </w:p>
        </w:tc>
        <w:tc>
          <w:tcPr>
            <w:tcW w:w="7164" w:type="dxa"/>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这是当前出现的频率最高、威胁最严重，同时又是最容易实现的一种渗透方法，一个具有一般网络知识的入侵者就可以在很短的时间内利用现成的工具实现远程溢出攻击。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对于在防火墙内的系统存在同样的风险，只要对跨接防火墙内外的一台主机攻击成功，那么通过这台主机对防火墙内的主机进行攻击就易如反掌。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FFFFFF"/>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本地溢出</w:t>
            </w:r>
          </w:p>
        </w:tc>
        <w:tc>
          <w:tcPr>
            <w:tcW w:w="7164" w:type="dxa"/>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地溢出是指在拥有了一个普通用户的账号之后，通过一段特殊的指令代码获得管理员权限的方法。使用本地溢出的前提是首先要获得一个普通用户的密码。也就是说由于导致本地溢出的一个关键条件是设置不当的密码策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多年的实践证明，在经过前期的口令猜测阶段获取的普通账号登录系统之后，对系统实施本地溢出攻击，就能获取不进行主动安全防御的系统的控制管理权限。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FFFFFF"/>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脚本测试</w:t>
            </w:r>
          </w:p>
        </w:tc>
        <w:tc>
          <w:tcPr>
            <w:tcW w:w="7164" w:type="dxa"/>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脚本测试专门针对Web服务器进行。根据最新的技术统计，脚本安全弱点为当前Web系统尤其存在动态内容的Web系统存在的主要比较严重的安全弱点之一。利用脚本相关弱点轻则可以获取系统其他目录的访问权限，重则将有可能取得系统的控制权限。因此对于含有动态页面的Web系统，脚本测试将是必不可少的一个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FFFFFF"/>
            <w:vAlign w:val="center"/>
          </w:tcPr>
          <w:p>
            <w:pPr>
              <w:spacing w:line="360" w:lineRule="auto"/>
              <w:jc w:val="center"/>
              <w:rPr>
                <w:rFonts w:ascii="宋体" w:hAnsi="宋体" w:cs="宋体"/>
                <w:color w:val="auto"/>
                <w:szCs w:val="21"/>
                <w:highlight w:val="none"/>
              </w:rPr>
            </w:pPr>
            <w:bookmarkStart w:id="230" w:name="_Toc236684022"/>
            <w:bookmarkStart w:id="231" w:name="_Toc195996683"/>
            <w:r>
              <w:rPr>
                <w:rFonts w:hint="eastAsia" w:ascii="宋体" w:hAnsi="宋体" w:cs="宋体"/>
                <w:color w:val="auto"/>
                <w:szCs w:val="21"/>
                <w:highlight w:val="none"/>
              </w:rPr>
              <w:t>权限</w:t>
            </w:r>
            <w:bookmarkEnd w:id="230"/>
            <w:bookmarkEnd w:id="231"/>
            <w:r>
              <w:rPr>
                <w:rFonts w:hint="eastAsia" w:ascii="宋体" w:hAnsi="宋体" w:cs="宋体"/>
                <w:color w:val="auto"/>
                <w:szCs w:val="21"/>
                <w:highlight w:val="none"/>
              </w:rPr>
              <w:t>获取</w:t>
            </w:r>
          </w:p>
        </w:tc>
        <w:tc>
          <w:tcPr>
            <w:tcW w:w="7164" w:type="dxa"/>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过初步信息收集分析，存在两种可能性，一种是目标系统存在重大的安全弱点，测试可以直接控制目标系统；另一种是目标系统没有远程重大的安全弱点，但是可以获得普通用户权限，可以通过该普通用户权限进一步收集目标系统信息。接下来尽最大努力取得超级用户权限、收集目标主机资料信息，寻求本地权限提升的机会。这样不停的进行信息收集分析、权限提升的结果形成了整个的渗透测试过程。</w:t>
            </w:r>
          </w:p>
        </w:tc>
      </w:tr>
      <w:bookmarkEnd w:id="224"/>
      <w:bookmarkEnd w:id="225"/>
      <w:bookmarkEnd w:id="226"/>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APP检测包括Android客户端、IOS客户端。针对服务端的渗透测试工作，需要通过认证机制、会话管理、数据校验、通信安全、业务流程安全、敏感信息保护、配置管理等方面的评估内容开展。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针对iPhone客户端、iPad客户端、Android客户端的安全测试工作，需要通过身份鉴别、密码策略、数据存储、数据传输、交易安全、客户端保护等方面的评估内容开展。</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（1）Android客户端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1、组件安全</w:t>
      </w:r>
    </w:p>
    <w:tbl>
      <w:tblPr>
        <w:tblStyle w:val="20"/>
        <w:tblW w:w="85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622" w:type="dxa"/>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测试项</w:t>
            </w:r>
          </w:p>
        </w:tc>
        <w:tc>
          <w:tcPr>
            <w:tcW w:w="5897" w:type="dxa"/>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测试内容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62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Activity越权检测</w:t>
            </w:r>
          </w:p>
        </w:tc>
        <w:tc>
          <w:tcPr>
            <w:tcW w:w="589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针对Activity进行静态分析并构造畸形数据进行攻击测试，检测是否存在会导致敏感信息泄露或包含敏感操作的导出组件。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62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Activity拒绝服务检测</w:t>
            </w:r>
          </w:p>
        </w:tc>
        <w:tc>
          <w:tcPr>
            <w:tcW w:w="589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针对Activity进行静态分析并构造畸形数据进行攻击测试，检测是否存在会导致拒绝服务的导出组件。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62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Activity劫持保护检测</w:t>
            </w:r>
          </w:p>
        </w:tc>
        <w:tc>
          <w:tcPr>
            <w:tcW w:w="589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使用劫持工具对AP进行劫持，检测移动应用是否包含劫持风险。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62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Service越权检测</w:t>
            </w:r>
          </w:p>
        </w:tc>
        <w:tc>
          <w:tcPr>
            <w:tcW w:w="589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针对Service进行静态分析，并构造畸形数据进行动态攻击测试。检测是否存在会导致敏感信息泄露或包含敏感操作的导出组件。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62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Service拒绝服务检测</w:t>
            </w:r>
          </w:p>
        </w:tc>
        <w:tc>
          <w:tcPr>
            <w:tcW w:w="589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针对Service进行静态分析，并构造畸形数据进行动态攻击测试。检测是否存在会导致拒绝服务的导出组件。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62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Receiver越权检测</w:t>
            </w:r>
          </w:p>
        </w:tc>
        <w:tc>
          <w:tcPr>
            <w:tcW w:w="589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针对BroadcastReceiver进行静态分析，并构造畸形数据进行动态攻击测试。检测是否存在会导致敏感信息泄露或包含敏感操作的导出组件。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62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Receiver拒绝服务检测</w:t>
            </w:r>
          </w:p>
        </w:tc>
        <w:tc>
          <w:tcPr>
            <w:tcW w:w="589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对BroadcastReceiver进行静态分析，并构造畸形数据进行动态攻击测试。检测是否存在会导致拒绝服务的导出组件。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62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ProviderSQL注入检测</w:t>
            </w:r>
          </w:p>
        </w:tc>
        <w:tc>
          <w:tcPr>
            <w:tcW w:w="589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对ProviderSQL的实现进行静态分析，对数据库进行核查。检测是否存在字符串拼接以及采用原始查询语句等高风险行为。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62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Provider目录遍历检测</w:t>
            </w:r>
          </w:p>
        </w:tc>
        <w:tc>
          <w:tcPr>
            <w:tcW w:w="589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对ContentProvider的实现进行静态分析，对实现的函数进行核查。检测是否对传入参数进行合法性验证，避免出现目录遍历漏洞。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62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WebView代码执行检测</w:t>
            </w:r>
          </w:p>
        </w:tc>
        <w:tc>
          <w:tcPr>
            <w:tcW w:w="589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对WebView组件进行安全检查，检测是否使用了addJavascriptInterface高风险API。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62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WebView未移除接口检测</w:t>
            </w:r>
          </w:p>
        </w:tc>
        <w:tc>
          <w:tcPr>
            <w:tcW w:w="5897"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检测APP中的WebView组件是否移除包含高风险的系统内部接口。</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2、客户端程序安全</w:t>
      </w:r>
    </w:p>
    <w:tbl>
      <w:tblPr>
        <w:tblStyle w:val="20"/>
        <w:tblW w:w="8520" w:type="dxa"/>
        <w:tblInd w:w="113" w:type="dxa"/>
        <w:tblLayout w:type="fixed"/>
        <w:tblCellMar>
          <w:top w:w="0" w:type="dxa"/>
          <w:left w:w="108" w:type="dxa"/>
          <w:bottom w:w="0" w:type="dxa"/>
          <w:right w:w="108" w:type="dxa"/>
        </w:tblCellMar>
      </w:tblPr>
      <w:tblGrid>
        <w:gridCol w:w="2618"/>
        <w:gridCol w:w="5902"/>
      </w:tblGrid>
      <w:tr>
        <w:tblPrEx>
          <w:tblCellMar>
            <w:top w:w="0" w:type="dxa"/>
            <w:left w:w="108" w:type="dxa"/>
            <w:bottom w:w="0" w:type="dxa"/>
            <w:right w:w="108" w:type="dxa"/>
          </w:tblCellMar>
        </w:tblPrEx>
        <w:trPr>
          <w:trHeight w:val="855" w:hRule="atLeast"/>
        </w:trPr>
        <w:tc>
          <w:tcPr>
            <w:tcW w:w="26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安装包签名检测</w:t>
            </w:r>
          </w:p>
        </w:tc>
        <w:tc>
          <w:tcPr>
            <w:tcW w:w="5902"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对安装包的签名进行审查，检测试APP是否使用正式签名，并且签名是否能够体现出唯一组织。</w:t>
            </w:r>
          </w:p>
        </w:tc>
      </w:tr>
      <w:tr>
        <w:tblPrEx>
          <w:tblCellMar>
            <w:top w:w="0" w:type="dxa"/>
            <w:left w:w="108" w:type="dxa"/>
            <w:bottom w:w="0" w:type="dxa"/>
            <w:right w:w="108" w:type="dxa"/>
          </w:tblCellMar>
        </w:tblPrEx>
        <w:trPr>
          <w:trHeight w:val="570"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程序可被任意调试</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检测程序配置，检测APP是否允许任意调试。</w:t>
            </w:r>
          </w:p>
        </w:tc>
      </w:tr>
      <w:tr>
        <w:tblPrEx>
          <w:tblCellMar>
            <w:top w:w="0" w:type="dxa"/>
            <w:left w:w="108" w:type="dxa"/>
            <w:bottom w:w="0" w:type="dxa"/>
            <w:right w:w="108" w:type="dxa"/>
          </w:tblCellMar>
        </w:tblPrEx>
        <w:trPr>
          <w:trHeight w:val="570"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程序数据任意备份</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检测程序配置，检测APP是否允许备份任意数据。</w:t>
            </w:r>
          </w:p>
        </w:tc>
      </w:tr>
      <w:tr>
        <w:tblPrEx>
          <w:tblCellMar>
            <w:top w:w="0" w:type="dxa"/>
            <w:left w:w="108" w:type="dxa"/>
            <w:bottom w:w="0" w:type="dxa"/>
            <w:right w:w="108" w:type="dxa"/>
          </w:tblCellMar>
        </w:tblPrEx>
        <w:trPr>
          <w:trHeight w:val="855"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反编译保护</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使用工具对APP进行反编译和回编译，检测APP是否能够利用工具进行二次打包。</w:t>
            </w:r>
          </w:p>
        </w:tc>
      </w:tr>
      <w:tr>
        <w:tblPrEx>
          <w:tblCellMar>
            <w:top w:w="0" w:type="dxa"/>
            <w:left w:w="108" w:type="dxa"/>
            <w:bottom w:w="0" w:type="dxa"/>
            <w:right w:w="108" w:type="dxa"/>
          </w:tblCellMar>
        </w:tblPrEx>
        <w:trPr>
          <w:trHeight w:val="855"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应用完整性校验检测</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通过对APP进行重签名和资源替换，检测APP是否包含签名验证以及完整性校验等。</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3、敏感信息安全</w:t>
      </w:r>
    </w:p>
    <w:tbl>
      <w:tblPr>
        <w:tblStyle w:val="20"/>
        <w:tblW w:w="8520" w:type="dxa"/>
        <w:tblInd w:w="113" w:type="dxa"/>
        <w:tblLayout w:type="fixed"/>
        <w:tblCellMar>
          <w:top w:w="0" w:type="dxa"/>
          <w:left w:w="108" w:type="dxa"/>
          <w:bottom w:w="0" w:type="dxa"/>
          <w:right w:w="108" w:type="dxa"/>
        </w:tblCellMar>
      </w:tblPr>
      <w:tblGrid>
        <w:gridCol w:w="2618"/>
        <w:gridCol w:w="5902"/>
      </w:tblGrid>
      <w:tr>
        <w:tblPrEx>
          <w:tblCellMar>
            <w:top w:w="0" w:type="dxa"/>
            <w:left w:w="108" w:type="dxa"/>
            <w:bottom w:w="0" w:type="dxa"/>
            <w:right w:w="108" w:type="dxa"/>
          </w:tblCellMar>
        </w:tblPrEx>
        <w:trPr>
          <w:trHeight w:val="285" w:hRule="atLeast"/>
        </w:trPr>
        <w:tc>
          <w:tcPr>
            <w:tcW w:w="26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Log敏感信息检测</w:t>
            </w:r>
          </w:p>
        </w:tc>
        <w:tc>
          <w:tcPr>
            <w:tcW w:w="5902"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检测日志中是否输出敏感信息。</w:t>
            </w:r>
          </w:p>
        </w:tc>
      </w:tr>
      <w:tr>
        <w:tblPrEx>
          <w:tblCellMar>
            <w:top w:w="0" w:type="dxa"/>
            <w:left w:w="108" w:type="dxa"/>
            <w:bottom w:w="0" w:type="dxa"/>
            <w:right w:w="108" w:type="dxa"/>
          </w:tblCellMar>
        </w:tblPrEx>
        <w:trPr>
          <w:trHeight w:val="570"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SharedPreference加密检测</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检测SharedPreferences文件是否进行加密存储。</w:t>
            </w:r>
          </w:p>
        </w:tc>
      </w:tr>
      <w:tr>
        <w:tblPrEx>
          <w:tblCellMar>
            <w:top w:w="0" w:type="dxa"/>
            <w:left w:w="108" w:type="dxa"/>
            <w:bottom w:w="0" w:type="dxa"/>
            <w:right w:w="108" w:type="dxa"/>
          </w:tblCellMar>
        </w:tblPrEx>
        <w:trPr>
          <w:trHeight w:val="570"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SharedPreference敏感信息存储检测</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检测SharedPreferences文件中是否存在明文保存的敏感信息。</w:t>
            </w:r>
          </w:p>
        </w:tc>
      </w:tr>
      <w:tr>
        <w:tblPrEx>
          <w:tblCellMar>
            <w:top w:w="0" w:type="dxa"/>
            <w:left w:w="108" w:type="dxa"/>
            <w:bottom w:w="0" w:type="dxa"/>
            <w:right w:w="108" w:type="dxa"/>
          </w:tblCellMar>
        </w:tblPrEx>
        <w:trPr>
          <w:trHeight w:val="570"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SQLite加密检测</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检测SQLite数据库文件是否进行加密存储。</w:t>
            </w:r>
          </w:p>
        </w:tc>
      </w:tr>
      <w:tr>
        <w:tblPrEx>
          <w:tblCellMar>
            <w:top w:w="0" w:type="dxa"/>
            <w:left w:w="108" w:type="dxa"/>
            <w:bottom w:w="0" w:type="dxa"/>
            <w:right w:w="108" w:type="dxa"/>
          </w:tblCellMar>
        </w:tblPrEx>
        <w:trPr>
          <w:trHeight w:val="570"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SQLite敏感信息存储检测</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检测SQLite数据库中是否存在明文保存的敏感信息。</w:t>
            </w:r>
          </w:p>
        </w:tc>
      </w:tr>
      <w:tr>
        <w:tblPrEx>
          <w:tblCellMar>
            <w:top w:w="0" w:type="dxa"/>
            <w:left w:w="108" w:type="dxa"/>
            <w:bottom w:w="0" w:type="dxa"/>
            <w:right w:w="108" w:type="dxa"/>
          </w:tblCellMar>
        </w:tblPrEx>
        <w:trPr>
          <w:trHeight w:val="570"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本地数据文件</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检测应用安装数据目录是否包含敏感信息。</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4、网络通信安全</w:t>
      </w:r>
    </w:p>
    <w:tbl>
      <w:tblPr>
        <w:tblStyle w:val="20"/>
        <w:tblW w:w="8520" w:type="dxa"/>
        <w:tblInd w:w="113" w:type="dxa"/>
        <w:tblLayout w:type="fixed"/>
        <w:tblCellMar>
          <w:top w:w="0" w:type="dxa"/>
          <w:left w:w="108" w:type="dxa"/>
          <w:bottom w:w="0" w:type="dxa"/>
          <w:right w:w="108" w:type="dxa"/>
        </w:tblCellMar>
      </w:tblPr>
      <w:tblGrid>
        <w:gridCol w:w="2618"/>
        <w:gridCol w:w="5902"/>
      </w:tblGrid>
      <w:tr>
        <w:tblPrEx>
          <w:tblCellMar>
            <w:top w:w="0" w:type="dxa"/>
            <w:left w:w="108" w:type="dxa"/>
            <w:bottom w:w="0" w:type="dxa"/>
            <w:right w:w="108" w:type="dxa"/>
          </w:tblCellMar>
        </w:tblPrEx>
        <w:trPr>
          <w:trHeight w:val="570" w:hRule="atLeast"/>
        </w:trPr>
        <w:tc>
          <w:tcPr>
            <w:tcW w:w="26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关键参数加密</w:t>
            </w:r>
          </w:p>
        </w:tc>
        <w:tc>
          <w:tcPr>
            <w:tcW w:w="5902"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检测应用是否对敏感信息数据包进行预加密。并对加密算法进行简单的攻击测试。</w:t>
            </w:r>
          </w:p>
        </w:tc>
      </w:tr>
      <w:tr>
        <w:tblPrEx>
          <w:tblCellMar>
            <w:top w:w="0" w:type="dxa"/>
            <w:left w:w="108" w:type="dxa"/>
            <w:bottom w:w="0" w:type="dxa"/>
            <w:right w:w="108" w:type="dxa"/>
          </w:tblCellMar>
        </w:tblPrEx>
        <w:trPr>
          <w:trHeight w:val="570"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开放端口检测</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检测应用是否在开启没有身份认证的全局监听端口</w:t>
            </w:r>
          </w:p>
        </w:tc>
      </w:tr>
      <w:tr>
        <w:tblPrEx>
          <w:tblCellMar>
            <w:top w:w="0" w:type="dxa"/>
            <w:left w:w="108" w:type="dxa"/>
            <w:bottom w:w="0" w:type="dxa"/>
            <w:right w:w="108" w:type="dxa"/>
          </w:tblCellMar>
        </w:tblPrEx>
        <w:trPr>
          <w:trHeight w:val="855"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网络切换检测</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手机连接陌生网络，容易遭受钓鱼攻击。模拟网络切换，验证客户端是否会对网络切换进行提示。</w:t>
            </w:r>
          </w:p>
        </w:tc>
      </w:tr>
      <w:tr>
        <w:tblPrEx>
          <w:tblCellMar>
            <w:top w:w="0" w:type="dxa"/>
            <w:left w:w="108" w:type="dxa"/>
            <w:bottom w:w="0" w:type="dxa"/>
            <w:right w:w="108" w:type="dxa"/>
          </w:tblCellMar>
        </w:tblPrEx>
        <w:trPr>
          <w:trHeight w:val="570"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网络通信加密</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用抓包工具，对通信数据进行抓包。测试应用程序与服务器之间是否采用加密通信协议。</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5、进程安全</w:t>
      </w:r>
    </w:p>
    <w:tbl>
      <w:tblPr>
        <w:tblStyle w:val="20"/>
        <w:tblW w:w="8520" w:type="dxa"/>
        <w:tblInd w:w="113" w:type="dxa"/>
        <w:tblLayout w:type="fixed"/>
        <w:tblCellMar>
          <w:top w:w="0" w:type="dxa"/>
          <w:left w:w="108" w:type="dxa"/>
          <w:bottom w:w="0" w:type="dxa"/>
          <w:right w:w="108" w:type="dxa"/>
        </w:tblCellMar>
      </w:tblPr>
      <w:tblGrid>
        <w:gridCol w:w="2618"/>
        <w:gridCol w:w="5902"/>
      </w:tblGrid>
      <w:tr>
        <w:tblPrEx>
          <w:tblCellMar>
            <w:top w:w="0" w:type="dxa"/>
            <w:left w:w="108" w:type="dxa"/>
            <w:bottom w:w="0" w:type="dxa"/>
            <w:right w:w="108" w:type="dxa"/>
          </w:tblCellMar>
        </w:tblPrEx>
        <w:trPr>
          <w:trHeight w:val="733" w:hRule="atLeast"/>
        </w:trPr>
        <w:tc>
          <w:tcPr>
            <w:tcW w:w="26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Ptrace注入检测</w:t>
            </w:r>
          </w:p>
        </w:tc>
        <w:tc>
          <w:tcPr>
            <w:tcW w:w="5902"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对App进行注入攻击，注入自定义so库，尝试执行任意代码。检测APP是否对注入进行防护。</w:t>
            </w:r>
          </w:p>
        </w:tc>
      </w:tr>
      <w:tr>
        <w:tblPrEx>
          <w:tblCellMar>
            <w:top w:w="0" w:type="dxa"/>
            <w:left w:w="108" w:type="dxa"/>
            <w:bottom w:w="0" w:type="dxa"/>
            <w:right w:w="108" w:type="dxa"/>
          </w:tblCellMar>
        </w:tblPrEx>
        <w:trPr>
          <w:trHeight w:val="707"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ROOT环境检测</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AndroidRoot之后存在Hook，注入等风险。检测APP是否对Root环境进行检测并提示Root风险。</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6、安全策略设置</w:t>
      </w:r>
    </w:p>
    <w:tbl>
      <w:tblPr>
        <w:tblStyle w:val="20"/>
        <w:tblW w:w="8520" w:type="dxa"/>
        <w:tblInd w:w="113" w:type="dxa"/>
        <w:tblLayout w:type="fixed"/>
        <w:tblCellMar>
          <w:top w:w="0" w:type="dxa"/>
          <w:left w:w="108" w:type="dxa"/>
          <w:bottom w:w="0" w:type="dxa"/>
          <w:right w:w="108" w:type="dxa"/>
        </w:tblCellMar>
      </w:tblPr>
      <w:tblGrid>
        <w:gridCol w:w="2618"/>
        <w:gridCol w:w="5902"/>
      </w:tblGrid>
      <w:tr>
        <w:tblPrEx>
          <w:tblCellMar>
            <w:top w:w="0" w:type="dxa"/>
            <w:left w:w="108" w:type="dxa"/>
            <w:bottom w:w="0" w:type="dxa"/>
            <w:right w:w="108" w:type="dxa"/>
          </w:tblCellMar>
        </w:tblPrEx>
        <w:trPr>
          <w:trHeight w:val="570" w:hRule="atLeast"/>
        </w:trPr>
        <w:tc>
          <w:tcPr>
            <w:tcW w:w="26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登陆信息模糊处理</w:t>
            </w:r>
          </w:p>
        </w:tc>
        <w:tc>
          <w:tcPr>
            <w:tcW w:w="5902" w:type="dxa"/>
            <w:tcBorders>
              <w:top w:val="single" w:color="auto" w:sz="4" w:space="0"/>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测试客户端提交正确与错误的登录信息，服务端返回的提示信息是否进行无差别处理。</w:t>
            </w:r>
          </w:p>
        </w:tc>
      </w:tr>
      <w:tr>
        <w:tblPrEx>
          <w:tblCellMar>
            <w:top w:w="0" w:type="dxa"/>
            <w:left w:w="108" w:type="dxa"/>
            <w:bottom w:w="0" w:type="dxa"/>
            <w:right w:w="108" w:type="dxa"/>
          </w:tblCellMar>
        </w:tblPrEx>
        <w:trPr>
          <w:trHeight w:val="570"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会话注销</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测试客户端退出时是否正常终止会话，验证是否能利用退出前的ID访问需要登录的页面。</w:t>
            </w:r>
          </w:p>
        </w:tc>
      </w:tr>
      <w:tr>
        <w:tblPrEx>
          <w:tblCellMar>
            <w:top w:w="0" w:type="dxa"/>
            <w:left w:w="108" w:type="dxa"/>
            <w:bottom w:w="0" w:type="dxa"/>
            <w:right w:w="108" w:type="dxa"/>
          </w:tblCellMar>
        </w:tblPrEx>
        <w:trPr>
          <w:trHeight w:val="570"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键盘记录保护</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检查客户端在敏感输入处，是否使用自定义的安全键盘，键盘布局是否进行随机化处理</w:t>
            </w:r>
          </w:p>
        </w:tc>
      </w:tr>
      <w:tr>
        <w:tblPrEx>
          <w:tblCellMar>
            <w:top w:w="0" w:type="dxa"/>
            <w:left w:w="108" w:type="dxa"/>
            <w:bottom w:w="0" w:type="dxa"/>
            <w:right w:w="108" w:type="dxa"/>
          </w:tblCellMar>
        </w:tblPrEx>
        <w:trPr>
          <w:trHeight w:val="570"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界面切换保护</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检查客户端程序在切换到其他应用时，已经填写的账号密码等敏感信息是否会清空，防止用户敏感信息泄露。</w:t>
            </w:r>
          </w:p>
        </w:tc>
      </w:tr>
      <w:tr>
        <w:tblPrEx>
          <w:tblCellMar>
            <w:top w:w="0" w:type="dxa"/>
            <w:left w:w="108" w:type="dxa"/>
            <w:bottom w:w="0" w:type="dxa"/>
            <w:right w:w="108" w:type="dxa"/>
          </w:tblCellMar>
        </w:tblPrEx>
        <w:trPr>
          <w:trHeight w:val="285"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密码复杂度策略</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测试客户端程序是否检测用户输入密码强度，禁止用户设置弱口令。</w:t>
            </w:r>
          </w:p>
        </w:tc>
      </w:tr>
      <w:tr>
        <w:tblPrEx>
          <w:tblCellMar>
            <w:top w:w="0" w:type="dxa"/>
            <w:left w:w="108" w:type="dxa"/>
            <w:bottom w:w="0" w:type="dxa"/>
            <w:right w:w="108" w:type="dxa"/>
          </w:tblCellMar>
        </w:tblPrEx>
        <w:trPr>
          <w:trHeight w:val="570"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密码修改策略</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测试客户端在修改密码时是否验证旧密码正确性，以及修改密码的逻辑是否存在漏洞。</w:t>
            </w:r>
          </w:p>
        </w:tc>
      </w:tr>
      <w:tr>
        <w:tblPrEx>
          <w:tblCellMar>
            <w:top w:w="0" w:type="dxa"/>
            <w:left w:w="108" w:type="dxa"/>
            <w:bottom w:w="0" w:type="dxa"/>
            <w:right w:w="108" w:type="dxa"/>
          </w:tblCellMar>
        </w:tblPrEx>
        <w:trPr>
          <w:trHeight w:val="570"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验证码有效性</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测试客户端再登录和交易时是否使用图形验证码，验证码是否符合安全策略。</w:t>
            </w:r>
          </w:p>
        </w:tc>
      </w:tr>
      <w:tr>
        <w:tblPrEx>
          <w:tblCellMar>
            <w:top w:w="0" w:type="dxa"/>
            <w:left w:w="108" w:type="dxa"/>
            <w:bottom w:w="0" w:type="dxa"/>
            <w:right w:w="108" w:type="dxa"/>
          </w:tblCellMar>
        </w:tblPrEx>
        <w:trPr>
          <w:trHeight w:val="570" w:hRule="atLeast"/>
        </w:trPr>
        <w:tc>
          <w:tcPr>
            <w:tcW w:w="2618" w:type="dxa"/>
            <w:tcBorders>
              <w:top w:val="nil"/>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账号登陆限制</w:t>
            </w:r>
          </w:p>
        </w:tc>
        <w:tc>
          <w:tcPr>
            <w:tcW w:w="5902" w:type="dxa"/>
            <w:tcBorders>
              <w:top w:val="nil"/>
              <w:left w:val="nil"/>
              <w:bottom w:val="single" w:color="auto" w:sz="4" w:space="0"/>
              <w:righ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测试同一账号是否可以同时在多个设备上成功登录客户端，进行操作。</w:t>
            </w:r>
          </w:p>
        </w:tc>
      </w:tr>
    </w:tbl>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（三）服务范围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广东省特种设备检测研究院东莞检测院2个业务系统。</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（四）交付物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《东莞检测院xx系统渗透测试报告》。</w:t>
      </w:r>
    </w:p>
    <w:p>
      <w:pPr>
        <w:pStyle w:val="6"/>
        <w:spacing w:before="156" w:after="156"/>
        <w:rPr>
          <w:rFonts w:ascii="宋体" w:hAnsi="宋体" w:cs="宋体"/>
          <w:color w:val="auto"/>
          <w:sz w:val="21"/>
          <w:szCs w:val="21"/>
          <w:highlight w:val="none"/>
        </w:rPr>
      </w:pPr>
      <w:bookmarkStart w:id="232" w:name="_Toc145588781"/>
      <w:r>
        <w:rPr>
          <w:rFonts w:hint="eastAsia" w:ascii="宋体" w:hAnsi="宋体" w:cs="宋体"/>
          <w:color w:val="auto"/>
          <w:sz w:val="21"/>
          <w:szCs w:val="21"/>
          <w:highlight w:val="none"/>
        </w:rPr>
        <w:t>6.3风险评估服务</w:t>
      </w:r>
      <w:bookmarkEnd w:id="232"/>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（一）服务内容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每季度对广东省特种设备检测研究院东莞检测院2个业务系统及办公网络的信息资产、数据、个人信息、供应链面临的威胁、存在的脆弱性、现有防护措施及综合作用而带来风险的发生可能性进行评估，最终提供完整的风险评估报告及修复建议。</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（二）服务要求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问卷、访谈、检查等方式，从组织建设、制度流程、业务状况、系统状况、数据状况、安全保障措施、供应链安全等方面对网络安全、数据安全管理活动、关键数据业务场景、数据处理活动进行调研，理清东莞检测院所有业务系统数据安全现状及关键问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2、结合调研情况，对东莞检测院数据安全管理组织、数据安全管理规范、数据安全技术管控措施、数据安全意识培训等方面进行评估，发现与相关政策规范的差距，形成单位整体数据安全风险评估报告。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对东莞检测院所有业务系统从制度建设落实情况、全生命周期管理和保护措施落实情况评估数据安全风险，通过对关键业务、关键数据的基础环境分析，确定数据访问的关键路径，评估出关键路径中可能存在的威胁，了解各业务系统数据安全的现状、弱点及威胁，并输出评估报告。</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（三）服务范围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广东省特种设备检测研究院东莞检测院业务系统及办公网络。</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（四）交付物</w:t>
      </w:r>
    </w:p>
    <w:p>
      <w:pPr>
        <w:spacing w:line="360" w:lineRule="auto"/>
        <w:ind w:left="560"/>
        <w:rPr>
          <w:rFonts w:ascii="宋体" w:hAnsi="宋体" w:cs="宋体"/>
          <w:color w:val="auto"/>
          <w:szCs w:val="21"/>
          <w:highlight w:val="none"/>
        </w:rPr>
      </w:pPr>
      <w:r>
        <w:rPr>
          <w:rFonts w:hint="eastAsia" w:ascii="宋体" w:hAnsi="宋体" w:cs="宋体"/>
          <w:color w:val="auto"/>
          <w:szCs w:val="21"/>
          <w:highlight w:val="none"/>
        </w:rPr>
        <w:t>《xx系统风险评估报告》</w:t>
      </w:r>
    </w:p>
    <w:p>
      <w:pPr>
        <w:pStyle w:val="6"/>
        <w:spacing w:before="156" w:after="156"/>
        <w:rPr>
          <w:rFonts w:ascii="宋体" w:hAnsi="宋体" w:cs="宋体"/>
          <w:color w:val="auto"/>
          <w:sz w:val="21"/>
          <w:szCs w:val="21"/>
          <w:highlight w:val="none"/>
        </w:rPr>
      </w:pPr>
      <w:bookmarkStart w:id="233" w:name="_Toc145588782"/>
      <w:r>
        <w:rPr>
          <w:rFonts w:hint="eastAsia" w:ascii="宋体" w:hAnsi="宋体" w:cs="宋体"/>
          <w:color w:val="auto"/>
          <w:sz w:val="21"/>
          <w:szCs w:val="21"/>
          <w:highlight w:val="none"/>
        </w:rPr>
        <w:t>6.4漏洞扫描服务</w:t>
      </w:r>
      <w:bookmarkEnd w:id="233"/>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（一）服务内容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每季度对广东省特种设备检测研究院东莞检测院业务系统及办公网络进行漏洞扫描并对扫描结果进行人工分析，提交经过人工处理的漏洞扫描报告以及专家级漏洞修复建议，并协助加固整改。</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（二）服务要求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1、系统安全检测：对操作系统、安全设备、网络设备的各类安全问题进行安全漏洞检测，测试内容包括系统版本已知漏洞检测、系统信息泄露等。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2、应用及中间件安全检测：对服务器运行的基本应用服务进行安全漏洞检测，测试内容包括注入风险点、失效的身份认证和会话管理、安全配置错误、敏感信息泄露、使用含有已知漏洞的组件等。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3、数据库安全检测：对服务器运行的数据库系统进行安全漏洞检测，测试内容包括数据库版本风险、数据库软件漏洞、数据库系统完整性、默认表/字段检查等。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4、弱口令扫描：对系统存在的弱口令做检测，支持协议和数据库检测如TELNET、FTP、SSH、POP3、SMB、SNMP、RDP、SMTP、REDIS、Oracle、MySQL、DB2、MongoDB等。</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（三）服务范围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广东省特种设备检测研究院东莞检测院业务系统及办公网络。</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（四）交付物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《漏洞扫描报告》</w:t>
      </w:r>
    </w:p>
    <w:p>
      <w:pPr>
        <w:pStyle w:val="6"/>
        <w:spacing w:before="156" w:after="156"/>
        <w:rPr>
          <w:rFonts w:ascii="宋体" w:hAnsi="宋体" w:cs="宋体"/>
          <w:color w:val="auto"/>
          <w:sz w:val="21"/>
          <w:szCs w:val="21"/>
          <w:highlight w:val="none"/>
        </w:rPr>
      </w:pPr>
      <w:bookmarkStart w:id="234" w:name="_Toc145588783"/>
      <w:r>
        <w:rPr>
          <w:rFonts w:hint="eastAsia" w:ascii="宋体" w:hAnsi="宋体" w:cs="宋体"/>
          <w:color w:val="auto"/>
          <w:sz w:val="21"/>
          <w:szCs w:val="21"/>
          <w:highlight w:val="none"/>
        </w:rPr>
        <w:t>6.5应急响应服务</w:t>
      </w:r>
      <w:bookmarkEnd w:id="234"/>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（一）服务内容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按需对广东省特种设备检测研究院东莞检测院出现的安全事件进行应急响应（包括但不限于勒索病毒、挖矿木马、网站篡改、漏洞事件、数据泄露、DDoS事件以及其他安全事件），采取措施降低安全事件可能造成的影响并协助检测院闭环处置安全事件。事件处置完毕，编写《应急响应报告》，该文档描述安全事件的现象、处置过程、处置结果、事件的根因分析、并总结安全加固建议、产品加固建议。</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（二）服务要求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1、应急响应事件包括但不限于勒索病毒、挖矿木马、网站篡改、漏洞事件、数据泄露、DDoS事件以及其他安全事件。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2、采取措施降低安全事件可能造成的影响并协助检测院闭环处置安全事件。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3、事件处置完毕，编写《应急响应报告》，该文档描述安全事件的现象、处置过程、处置结果、事件的根因分析、并总结安全加固建议、产品加固建议。</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（三）服务范围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广东省特种设备检测研究院东莞检测院。</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（四）交付物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《应急响应报告》</w:t>
      </w:r>
    </w:p>
    <w:p>
      <w:pPr>
        <w:pStyle w:val="6"/>
        <w:spacing w:before="156" w:after="156"/>
        <w:rPr>
          <w:rFonts w:ascii="宋体" w:hAnsi="宋体" w:cs="宋体"/>
          <w:color w:val="auto"/>
          <w:sz w:val="21"/>
          <w:szCs w:val="21"/>
          <w:highlight w:val="none"/>
        </w:rPr>
      </w:pPr>
      <w:bookmarkStart w:id="235" w:name="_Toc145588784"/>
      <w:r>
        <w:rPr>
          <w:rFonts w:hint="eastAsia" w:ascii="宋体" w:hAnsi="宋体" w:cs="宋体"/>
          <w:color w:val="auto"/>
          <w:sz w:val="21"/>
          <w:szCs w:val="21"/>
          <w:highlight w:val="none"/>
        </w:rPr>
        <w:t>6.6安全教育培训</w:t>
      </w:r>
      <w:bookmarkEnd w:id="235"/>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（一）服务内容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每半年对广东省特种设备检测研究院东莞检测院全体人员开展安全意识培训，让大家认识到网络安全意识不足对单位可能造成的危害，传导应正确恪守的行为方式；通过全员安全意识的理论培训和案例分析以及关键行为上的最佳实践指导，让网络安全“人防”保障有效支撑业务高效稳定运行。培训内容包括网络安全形势分析、国家法律法规解读、典型网络安全事件等；防范木马或病毒攻击、弱口令的隐患、安全使用电子邮件的注意事项、钓鱼网站防范、信息泄露防范等。</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（二）服务要求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1、要求结合国家相关法律法规、省市网络安全政策，编制网络安全意识培训课件及培训考卷。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2、要求每次安全意识培训内容包含法规政策宣贯、网络安全行为分析、网络安全情景演练等专题。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对于数据安全培训专题，需针对不同岗位制定不同的数据安全培训计划，进行安全意识教育、岗位技能和制度规范宣贯培训，结合法律法规、监管要求和数据安全事件案例，通过理论讲授、问题讨论等形式，增强数据安全意识，了解数据安全的常见问题和防范措施，并告知相关的安全责任和惩戒措施，使相关人员深刻理解数据安全保障的意义，熟悉保护重要数据资产的技术和技能。</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（三）服务范围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广东省特种设备检测研究院东莞检测院。</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（四）交付物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《网络安全培训课件》</w:t>
      </w:r>
    </w:p>
    <w:p>
      <w:pPr>
        <w:pStyle w:val="6"/>
        <w:spacing w:before="156" w:after="156"/>
        <w:rPr>
          <w:rFonts w:ascii="宋体" w:hAnsi="宋体" w:cs="宋体"/>
          <w:color w:val="auto"/>
          <w:sz w:val="21"/>
          <w:szCs w:val="21"/>
          <w:highlight w:val="none"/>
        </w:rPr>
      </w:pPr>
      <w:bookmarkStart w:id="236" w:name="_Toc145588785"/>
      <w:r>
        <w:rPr>
          <w:rFonts w:hint="eastAsia" w:ascii="宋体" w:hAnsi="宋体" w:cs="宋体"/>
          <w:color w:val="auto"/>
          <w:sz w:val="21"/>
          <w:szCs w:val="21"/>
          <w:highlight w:val="none"/>
        </w:rPr>
        <w:t>6.7安全加固服务</w:t>
      </w:r>
      <w:bookmarkEnd w:id="236"/>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（一）服务内容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广东省特种设备检测研究院东莞检测院业务系统及办公网络进行安全加固，包括操作系统、数据库、中间件、网络设备等，对系统进行漏洞扫描、修复、补丁升级、防火墙配置等操作，提高系统的安全性和稳定性；对网络设备进行安全加固，包括路由器、交换机、防火墙等，对网络设备进行配置优化、策略管理、访问控制等操作，提高网络的安全性和可靠性；对应用程序进行安全加固，包括Web应用程序、移动应用程序等，对应用进行漏洞扫描、代码审计、安全管理等操作，提高应用的安全性和可靠性。</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（二）服务要求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1、安全设备加固</w:t>
      </w:r>
    </w:p>
    <w:tbl>
      <w:tblPr>
        <w:tblStyle w:val="20"/>
        <w:tblW w:w="8217" w:type="dxa"/>
        <w:tblInd w:w="113" w:type="dxa"/>
        <w:tblLayout w:type="autofit"/>
        <w:tblCellMar>
          <w:top w:w="0" w:type="dxa"/>
          <w:left w:w="108" w:type="dxa"/>
          <w:bottom w:w="0" w:type="dxa"/>
          <w:right w:w="108" w:type="dxa"/>
        </w:tblCellMar>
      </w:tblPr>
      <w:tblGrid>
        <w:gridCol w:w="800"/>
        <w:gridCol w:w="2840"/>
        <w:gridCol w:w="4577"/>
      </w:tblGrid>
      <w:tr>
        <w:tblPrEx>
          <w:tblCellMar>
            <w:top w:w="0" w:type="dxa"/>
            <w:left w:w="108" w:type="dxa"/>
            <w:bottom w:w="0" w:type="dxa"/>
            <w:right w:w="108" w:type="dxa"/>
          </w:tblCellMar>
        </w:tblPrEx>
        <w:trPr>
          <w:trHeight w:val="285" w:hRule="atLeast"/>
        </w:trPr>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color w:val="auto"/>
                <w:szCs w:val="21"/>
                <w:highlight w:val="none"/>
              </w:rPr>
            </w:pPr>
            <w:r>
              <w:rPr>
                <w:rFonts w:hint="eastAsia" w:ascii="宋体" w:hAnsi="宋体" w:cs="宋体"/>
                <w:b/>
                <w:color w:val="auto"/>
                <w:szCs w:val="21"/>
                <w:highlight w:val="none"/>
              </w:rPr>
              <w:t>序号</w:t>
            </w:r>
          </w:p>
        </w:tc>
        <w:tc>
          <w:tcPr>
            <w:tcW w:w="2840" w:type="dxa"/>
            <w:tcBorders>
              <w:top w:val="single" w:color="auto" w:sz="4" w:space="0"/>
              <w:left w:val="nil"/>
              <w:bottom w:val="single" w:color="auto" w:sz="4" w:space="0"/>
              <w:right w:val="single" w:color="auto" w:sz="4" w:space="0"/>
            </w:tcBorders>
            <w:vAlign w:val="center"/>
          </w:tcPr>
          <w:p>
            <w:pPr>
              <w:widowControl/>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加固大项</w:t>
            </w:r>
          </w:p>
        </w:tc>
        <w:tc>
          <w:tcPr>
            <w:tcW w:w="4577" w:type="dxa"/>
            <w:tcBorders>
              <w:top w:val="single" w:color="auto" w:sz="4" w:space="0"/>
              <w:left w:val="nil"/>
              <w:bottom w:val="single" w:color="auto" w:sz="4" w:space="0"/>
              <w:right w:val="single" w:color="auto" w:sz="4" w:space="0"/>
            </w:tcBorders>
            <w:vAlign w:val="center"/>
          </w:tcPr>
          <w:p>
            <w:pPr>
              <w:widowControl/>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加固小项</w:t>
            </w:r>
          </w:p>
        </w:tc>
      </w:tr>
      <w:tr>
        <w:tblPrEx>
          <w:tblCellMar>
            <w:top w:w="0" w:type="dxa"/>
            <w:left w:w="108" w:type="dxa"/>
            <w:bottom w:w="0" w:type="dxa"/>
            <w:right w:w="108" w:type="dxa"/>
          </w:tblCellMar>
        </w:tblPrEx>
        <w:trPr>
          <w:trHeight w:val="285" w:hRule="atLeast"/>
        </w:trPr>
        <w:tc>
          <w:tcPr>
            <w:tcW w:w="800"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1</w:t>
            </w:r>
          </w:p>
        </w:tc>
        <w:tc>
          <w:tcPr>
            <w:tcW w:w="2840"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账号管理和认证授权</w:t>
            </w:r>
          </w:p>
        </w:tc>
        <w:tc>
          <w:tcPr>
            <w:tcW w:w="4577"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账号、口令、授权</w:t>
            </w:r>
          </w:p>
        </w:tc>
      </w:tr>
      <w:tr>
        <w:tblPrEx>
          <w:tblCellMar>
            <w:top w:w="0" w:type="dxa"/>
            <w:left w:w="108" w:type="dxa"/>
            <w:bottom w:w="0" w:type="dxa"/>
            <w:right w:w="108" w:type="dxa"/>
          </w:tblCellMar>
        </w:tblPrEx>
        <w:trPr>
          <w:trHeight w:val="285" w:hRule="atLeast"/>
        </w:trPr>
        <w:tc>
          <w:tcPr>
            <w:tcW w:w="800"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2</w:t>
            </w:r>
          </w:p>
        </w:tc>
        <w:tc>
          <w:tcPr>
            <w:tcW w:w="2840"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访问控制安全</w:t>
            </w:r>
          </w:p>
        </w:tc>
        <w:tc>
          <w:tcPr>
            <w:tcW w:w="4577"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安全策略、远程管理</w:t>
            </w:r>
          </w:p>
        </w:tc>
      </w:tr>
      <w:tr>
        <w:tblPrEx>
          <w:tblCellMar>
            <w:top w:w="0" w:type="dxa"/>
            <w:left w:w="108" w:type="dxa"/>
            <w:bottom w:w="0" w:type="dxa"/>
            <w:right w:w="108" w:type="dxa"/>
          </w:tblCellMar>
        </w:tblPrEx>
        <w:trPr>
          <w:trHeight w:val="285" w:hRule="atLeast"/>
        </w:trPr>
        <w:tc>
          <w:tcPr>
            <w:tcW w:w="800"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3</w:t>
            </w:r>
          </w:p>
        </w:tc>
        <w:tc>
          <w:tcPr>
            <w:tcW w:w="2840"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日志安全配置</w:t>
            </w:r>
          </w:p>
        </w:tc>
        <w:tc>
          <w:tcPr>
            <w:tcW w:w="4577"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启用本地日志、启用远程日志</w:t>
            </w:r>
          </w:p>
        </w:tc>
      </w:tr>
      <w:tr>
        <w:tblPrEx>
          <w:tblCellMar>
            <w:top w:w="0" w:type="dxa"/>
            <w:left w:w="108" w:type="dxa"/>
            <w:bottom w:w="0" w:type="dxa"/>
            <w:right w:w="108" w:type="dxa"/>
          </w:tblCellMar>
        </w:tblPrEx>
        <w:trPr>
          <w:trHeight w:val="285" w:hRule="atLeast"/>
        </w:trPr>
        <w:tc>
          <w:tcPr>
            <w:tcW w:w="800"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4</w:t>
            </w:r>
          </w:p>
        </w:tc>
        <w:tc>
          <w:tcPr>
            <w:tcW w:w="2840"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增强安全要求</w:t>
            </w:r>
          </w:p>
        </w:tc>
        <w:tc>
          <w:tcPr>
            <w:tcW w:w="4577"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限定管理IP、更改默认Banner、设备自身安全设置</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2、网络设备加固</w:t>
      </w:r>
    </w:p>
    <w:tbl>
      <w:tblPr>
        <w:tblStyle w:val="20"/>
        <w:tblW w:w="8217" w:type="dxa"/>
        <w:tblInd w:w="113" w:type="dxa"/>
        <w:tblLayout w:type="autofit"/>
        <w:tblCellMar>
          <w:top w:w="0" w:type="dxa"/>
          <w:left w:w="108" w:type="dxa"/>
          <w:bottom w:w="0" w:type="dxa"/>
          <w:right w:w="108" w:type="dxa"/>
        </w:tblCellMar>
      </w:tblPr>
      <w:tblGrid>
        <w:gridCol w:w="846"/>
        <w:gridCol w:w="2835"/>
        <w:gridCol w:w="4536"/>
      </w:tblGrid>
      <w:tr>
        <w:tblPrEx>
          <w:tblCellMar>
            <w:top w:w="0" w:type="dxa"/>
            <w:left w:w="108" w:type="dxa"/>
            <w:bottom w:w="0" w:type="dxa"/>
            <w:right w:w="108" w:type="dxa"/>
          </w:tblCellMar>
        </w:tblPrEx>
        <w:trPr>
          <w:trHeight w:val="285"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color w:val="auto"/>
                <w:szCs w:val="21"/>
                <w:highlight w:val="none"/>
              </w:rPr>
            </w:pPr>
            <w:r>
              <w:rPr>
                <w:rFonts w:hint="eastAsia" w:ascii="宋体" w:hAnsi="宋体" w:cs="宋体"/>
                <w:b/>
                <w:color w:val="auto"/>
                <w:szCs w:val="21"/>
                <w:highlight w:val="none"/>
              </w:rPr>
              <w:t>序号</w:t>
            </w:r>
          </w:p>
        </w:tc>
        <w:tc>
          <w:tcPr>
            <w:tcW w:w="2835" w:type="dxa"/>
            <w:tcBorders>
              <w:top w:val="single" w:color="auto" w:sz="4" w:space="0"/>
              <w:left w:val="nil"/>
              <w:bottom w:val="single" w:color="auto" w:sz="4" w:space="0"/>
              <w:right w:val="single" w:color="auto" w:sz="4" w:space="0"/>
            </w:tcBorders>
            <w:vAlign w:val="center"/>
          </w:tcPr>
          <w:p>
            <w:pPr>
              <w:widowControl/>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加固大项</w:t>
            </w:r>
          </w:p>
        </w:tc>
        <w:tc>
          <w:tcPr>
            <w:tcW w:w="4536" w:type="dxa"/>
            <w:tcBorders>
              <w:top w:val="single" w:color="auto" w:sz="4" w:space="0"/>
              <w:left w:val="nil"/>
              <w:bottom w:val="single" w:color="auto" w:sz="4" w:space="0"/>
              <w:right w:val="single" w:color="auto" w:sz="4" w:space="0"/>
            </w:tcBorders>
            <w:vAlign w:val="center"/>
          </w:tcPr>
          <w:p>
            <w:pPr>
              <w:widowControl/>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加固小项</w:t>
            </w:r>
          </w:p>
        </w:tc>
      </w:tr>
      <w:tr>
        <w:tblPrEx>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1</w:t>
            </w:r>
          </w:p>
        </w:tc>
        <w:tc>
          <w:tcPr>
            <w:tcW w:w="2835"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账号管理和认证授权</w:t>
            </w:r>
          </w:p>
        </w:tc>
        <w:tc>
          <w:tcPr>
            <w:tcW w:w="4536"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账号管理、登录安全要求、认证授权</w:t>
            </w:r>
          </w:p>
        </w:tc>
      </w:tr>
      <w:tr>
        <w:tblPrEx>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2</w:t>
            </w:r>
          </w:p>
        </w:tc>
        <w:tc>
          <w:tcPr>
            <w:tcW w:w="2835"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通信协议安全</w:t>
            </w:r>
          </w:p>
        </w:tc>
        <w:tc>
          <w:tcPr>
            <w:tcW w:w="4536"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SNMP协议安全、路由协议安全、IP协议安全</w:t>
            </w:r>
          </w:p>
        </w:tc>
      </w:tr>
      <w:tr>
        <w:tblPrEx>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3</w:t>
            </w:r>
          </w:p>
        </w:tc>
        <w:tc>
          <w:tcPr>
            <w:tcW w:w="2835"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日志安全配置</w:t>
            </w:r>
          </w:p>
        </w:tc>
        <w:tc>
          <w:tcPr>
            <w:tcW w:w="4536"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日志记录设置</w:t>
            </w:r>
          </w:p>
        </w:tc>
      </w:tr>
      <w:tr>
        <w:tblPrEx>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4</w:t>
            </w:r>
          </w:p>
        </w:tc>
        <w:tc>
          <w:tcPr>
            <w:tcW w:w="2835"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其它安全配置</w:t>
            </w:r>
          </w:p>
        </w:tc>
        <w:tc>
          <w:tcPr>
            <w:tcW w:w="4536"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关闭不必要的服务、端口</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3、操作系统加固</w:t>
      </w:r>
    </w:p>
    <w:tbl>
      <w:tblPr>
        <w:tblStyle w:val="20"/>
        <w:tblW w:w="8217" w:type="dxa"/>
        <w:tblInd w:w="113" w:type="dxa"/>
        <w:tblLayout w:type="autofit"/>
        <w:tblCellMar>
          <w:top w:w="0" w:type="dxa"/>
          <w:left w:w="108" w:type="dxa"/>
          <w:bottom w:w="0" w:type="dxa"/>
          <w:right w:w="108" w:type="dxa"/>
        </w:tblCellMar>
      </w:tblPr>
      <w:tblGrid>
        <w:gridCol w:w="846"/>
        <w:gridCol w:w="2835"/>
        <w:gridCol w:w="4536"/>
      </w:tblGrid>
      <w:tr>
        <w:tblPrEx>
          <w:tblCellMar>
            <w:top w:w="0" w:type="dxa"/>
            <w:left w:w="108" w:type="dxa"/>
            <w:bottom w:w="0" w:type="dxa"/>
            <w:right w:w="108" w:type="dxa"/>
          </w:tblCellMar>
        </w:tblPrEx>
        <w:trPr>
          <w:trHeight w:val="285"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color w:val="auto"/>
                <w:szCs w:val="21"/>
                <w:highlight w:val="none"/>
              </w:rPr>
            </w:pPr>
            <w:r>
              <w:rPr>
                <w:rFonts w:hint="eastAsia" w:ascii="宋体" w:hAnsi="宋体" w:cs="宋体"/>
                <w:b/>
                <w:color w:val="auto"/>
                <w:szCs w:val="21"/>
                <w:highlight w:val="none"/>
              </w:rPr>
              <w:t>序号</w:t>
            </w:r>
          </w:p>
        </w:tc>
        <w:tc>
          <w:tcPr>
            <w:tcW w:w="2835" w:type="dxa"/>
            <w:tcBorders>
              <w:top w:val="single" w:color="auto" w:sz="4" w:space="0"/>
              <w:left w:val="nil"/>
              <w:bottom w:val="single" w:color="auto" w:sz="4" w:space="0"/>
              <w:right w:val="single" w:color="auto" w:sz="4" w:space="0"/>
            </w:tcBorders>
            <w:vAlign w:val="center"/>
          </w:tcPr>
          <w:p>
            <w:pPr>
              <w:widowControl/>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加固项</w:t>
            </w:r>
          </w:p>
        </w:tc>
        <w:tc>
          <w:tcPr>
            <w:tcW w:w="4536" w:type="dxa"/>
            <w:tcBorders>
              <w:top w:val="single" w:color="auto" w:sz="4" w:space="0"/>
              <w:left w:val="nil"/>
              <w:bottom w:val="single" w:color="auto" w:sz="4" w:space="0"/>
              <w:right w:val="single" w:color="auto" w:sz="4" w:space="0"/>
            </w:tcBorders>
            <w:vAlign w:val="center"/>
          </w:tcPr>
          <w:p>
            <w:pPr>
              <w:widowControl/>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加固内容</w:t>
            </w:r>
          </w:p>
        </w:tc>
      </w:tr>
      <w:tr>
        <w:tblPrEx>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1</w:t>
            </w:r>
          </w:p>
        </w:tc>
        <w:tc>
          <w:tcPr>
            <w:tcW w:w="2835"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账号管理和认证授权</w:t>
            </w:r>
          </w:p>
        </w:tc>
        <w:tc>
          <w:tcPr>
            <w:tcW w:w="4536"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账号、口令、授权、关机设置</w:t>
            </w:r>
          </w:p>
        </w:tc>
      </w:tr>
      <w:tr>
        <w:tblPrEx>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2</w:t>
            </w:r>
          </w:p>
        </w:tc>
        <w:tc>
          <w:tcPr>
            <w:tcW w:w="2835"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协议安全配置</w:t>
            </w:r>
          </w:p>
        </w:tc>
        <w:tc>
          <w:tcPr>
            <w:tcW w:w="4536"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IP协议安全、防火墙、SYN攻击防护</w:t>
            </w:r>
          </w:p>
        </w:tc>
      </w:tr>
      <w:tr>
        <w:tblPrEx>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3</w:t>
            </w:r>
          </w:p>
        </w:tc>
        <w:tc>
          <w:tcPr>
            <w:tcW w:w="2835"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服务和共享配置</w:t>
            </w:r>
          </w:p>
        </w:tc>
        <w:tc>
          <w:tcPr>
            <w:tcW w:w="4536"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系统服务、默认共享、共享权限</w:t>
            </w:r>
          </w:p>
        </w:tc>
      </w:tr>
      <w:tr>
        <w:tblPrEx>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4</w:t>
            </w:r>
          </w:p>
        </w:tc>
        <w:tc>
          <w:tcPr>
            <w:tcW w:w="2835"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日志安全配置</w:t>
            </w:r>
          </w:p>
        </w:tc>
        <w:tc>
          <w:tcPr>
            <w:tcW w:w="4536"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日志审核策略、日志文件设置</w:t>
            </w:r>
          </w:p>
        </w:tc>
      </w:tr>
      <w:tr>
        <w:tblPrEx>
          <w:tblCellMar>
            <w:top w:w="0" w:type="dxa"/>
            <w:left w:w="108" w:type="dxa"/>
            <w:bottom w:w="0" w:type="dxa"/>
            <w:right w:w="108" w:type="dxa"/>
          </w:tblCellMar>
        </w:tblPrEx>
        <w:trPr>
          <w:trHeight w:val="540"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5</w:t>
            </w:r>
          </w:p>
        </w:tc>
        <w:tc>
          <w:tcPr>
            <w:tcW w:w="2835"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其它安全配置</w:t>
            </w:r>
          </w:p>
        </w:tc>
        <w:tc>
          <w:tcPr>
            <w:tcW w:w="4536"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空闲超时设置、自动播放、启动项、数据执行保护</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4、数据库安全加固</w:t>
      </w:r>
    </w:p>
    <w:tbl>
      <w:tblPr>
        <w:tblStyle w:val="20"/>
        <w:tblW w:w="8217" w:type="dxa"/>
        <w:tblInd w:w="113" w:type="dxa"/>
        <w:tblLayout w:type="autofit"/>
        <w:tblCellMar>
          <w:top w:w="0" w:type="dxa"/>
          <w:left w:w="108" w:type="dxa"/>
          <w:bottom w:w="0" w:type="dxa"/>
          <w:right w:w="108" w:type="dxa"/>
        </w:tblCellMar>
      </w:tblPr>
      <w:tblGrid>
        <w:gridCol w:w="846"/>
        <w:gridCol w:w="2835"/>
        <w:gridCol w:w="4536"/>
      </w:tblGrid>
      <w:tr>
        <w:tblPrEx>
          <w:tblCellMar>
            <w:top w:w="0" w:type="dxa"/>
            <w:left w:w="108" w:type="dxa"/>
            <w:bottom w:w="0" w:type="dxa"/>
            <w:right w:w="108" w:type="dxa"/>
          </w:tblCellMar>
        </w:tblPrEx>
        <w:trPr>
          <w:trHeight w:val="285"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color w:val="auto"/>
                <w:szCs w:val="21"/>
                <w:highlight w:val="none"/>
              </w:rPr>
            </w:pPr>
            <w:r>
              <w:rPr>
                <w:rFonts w:hint="eastAsia" w:ascii="宋体" w:hAnsi="宋体" w:cs="宋体"/>
                <w:b/>
                <w:color w:val="auto"/>
                <w:szCs w:val="21"/>
                <w:highlight w:val="none"/>
              </w:rPr>
              <w:t>序号</w:t>
            </w:r>
          </w:p>
        </w:tc>
        <w:tc>
          <w:tcPr>
            <w:tcW w:w="2835" w:type="dxa"/>
            <w:tcBorders>
              <w:top w:val="single" w:color="auto" w:sz="4" w:space="0"/>
              <w:left w:val="nil"/>
              <w:bottom w:val="single" w:color="auto" w:sz="4" w:space="0"/>
              <w:right w:val="single" w:color="auto" w:sz="4" w:space="0"/>
            </w:tcBorders>
            <w:vAlign w:val="center"/>
          </w:tcPr>
          <w:p>
            <w:pPr>
              <w:widowControl/>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加固项</w:t>
            </w:r>
          </w:p>
        </w:tc>
        <w:tc>
          <w:tcPr>
            <w:tcW w:w="4536" w:type="dxa"/>
            <w:tcBorders>
              <w:top w:val="single" w:color="auto" w:sz="4" w:space="0"/>
              <w:left w:val="nil"/>
              <w:bottom w:val="single" w:color="auto" w:sz="4" w:space="0"/>
              <w:right w:val="single" w:color="auto" w:sz="4" w:space="0"/>
            </w:tcBorders>
            <w:vAlign w:val="center"/>
          </w:tcPr>
          <w:p>
            <w:pPr>
              <w:widowControl/>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加固内容</w:t>
            </w:r>
          </w:p>
        </w:tc>
      </w:tr>
      <w:tr>
        <w:tblPrEx>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1</w:t>
            </w:r>
          </w:p>
        </w:tc>
        <w:tc>
          <w:tcPr>
            <w:tcW w:w="2835"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账号管理和认证授权</w:t>
            </w:r>
          </w:p>
        </w:tc>
        <w:tc>
          <w:tcPr>
            <w:tcW w:w="4536"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账号、口令</w:t>
            </w:r>
          </w:p>
        </w:tc>
      </w:tr>
      <w:tr>
        <w:tblPrEx>
          <w:tblCellMar>
            <w:top w:w="0" w:type="dxa"/>
            <w:left w:w="108" w:type="dxa"/>
            <w:bottom w:w="0" w:type="dxa"/>
            <w:right w:w="108" w:type="dxa"/>
          </w:tblCellMar>
        </w:tblPrEx>
        <w:trPr>
          <w:trHeight w:val="540"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2</w:t>
            </w:r>
          </w:p>
        </w:tc>
        <w:tc>
          <w:tcPr>
            <w:tcW w:w="2835"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通信协议安全</w:t>
            </w:r>
          </w:p>
        </w:tc>
        <w:tc>
          <w:tcPr>
            <w:tcW w:w="4536"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网络数据传输安全、信任IP设置</w:t>
            </w:r>
          </w:p>
        </w:tc>
      </w:tr>
      <w:tr>
        <w:tblPrEx>
          <w:tblCellMar>
            <w:top w:w="0" w:type="dxa"/>
            <w:left w:w="108" w:type="dxa"/>
            <w:bottom w:w="0" w:type="dxa"/>
            <w:right w:w="108" w:type="dxa"/>
          </w:tblCellMar>
        </w:tblPrEx>
        <w:trPr>
          <w:trHeight w:val="540"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3</w:t>
            </w:r>
          </w:p>
        </w:tc>
        <w:tc>
          <w:tcPr>
            <w:tcW w:w="2835"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日志安全配置</w:t>
            </w:r>
          </w:p>
        </w:tc>
        <w:tc>
          <w:tcPr>
            <w:tcW w:w="4536"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数据库审核策略、数据库日志文件设置</w:t>
            </w:r>
          </w:p>
        </w:tc>
      </w:tr>
      <w:tr>
        <w:tblPrEx>
          <w:tblCellMar>
            <w:top w:w="0" w:type="dxa"/>
            <w:left w:w="108" w:type="dxa"/>
            <w:bottom w:w="0" w:type="dxa"/>
            <w:right w:w="108" w:type="dxa"/>
          </w:tblCellMar>
        </w:tblPrEx>
        <w:trPr>
          <w:trHeight w:val="285"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4</w:t>
            </w:r>
          </w:p>
        </w:tc>
        <w:tc>
          <w:tcPr>
            <w:tcW w:w="2835"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其它安全配置</w:t>
            </w:r>
          </w:p>
        </w:tc>
        <w:tc>
          <w:tcPr>
            <w:tcW w:w="4536" w:type="dxa"/>
            <w:tcBorders>
              <w:top w:val="nil"/>
              <w:left w:val="nil"/>
              <w:bottom w:val="single" w:color="auto" w:sz="4" w:space="0"/>
              <w:right w:val="single" w:color="auto" w:sz="4" w:space="0"/>
            </w:tcBorders>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连接超时设置、监听器密码</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5、中间件安全加固</w:t>
      </w:r>
    </w:p>
    <w:tbl>
      <w:tblPr>
        <w:tblStyle w:val="20"/>
        <w:tblW w:w="82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83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6" w:type="dxa"/>
            <w:vAlign w:val="center"/>
          </w:tcPr>
          <w:p>
            <w:pPr>
              <w:widowControl/>
              <w:spacing w:line="360" w:lineRule="auto"/>
              <w:rPr>
                <w:rFonts w:ascii="宋体" w:hAnsi="宋体" w:cs="宋体"/>
                <w:b/>
                <w:color w:val="auto"/>
                <w:szCs w:val="21"/>
                <w:highlight w:val="none"/>
              </w:rPr>
            </w:pPr>
            <w:r>
              <w:rPr>
                <w:rFonts w:hint="eastAsia" w:ascii="宋体" w:hAnsi="宋体" w:cs="宋体"/>
                <w:b/>
                <w:color w:val="auto"/>
                <w:szCs w:val="21"/>
                <w:highlight w:val="none"/>
              </w:rPr>
              <w:t>序号</w:t>
            </w:r>
          </w:p>
        </w:tc>
        <w:tc>
          <w:tcPr>
            <w:tcW w:w="2835" w:type="dxa"/>
            <w:vAlign w:val="center"/>
          </w:tcPr>
          <w:p>
            <w:pPr>
              <w:widowControl/>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加固大项</w:t>
            </w:r>
          </w:p>
        </w:tc>
        <w:tc>
          <w:tcPr>
            <w:tcW w:w="4536" w:type="dxa"/>
            <w:vAlign w:val="center"/>
          </w:tcPr>
          <w:p>
            <w:pPr>
              <w:widowControl/>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加固小项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6" w:type="dxa"/>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1</w:t>
            </w:r>
          </w:p>
        </w:tc>
        <w:tc>
          <w:tcPr>
            <w:tcW w:w="2835" w:type="dxa"/>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账号管理和认证授权</w:t>
            </w:r>
          </w:p>
        </w:tc>
        <w:tc>
          <w:tcPr>
            <w:tcW w:w="4536" w:type="dxa"/>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账号、口令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6" w:type="dxa"/>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2</w:t>
            </w:r>
          </w:p>
        </w:tc>
        <w:tc>
          <w:tcPr>
            <w:tcW w:w="2835" w:type="dxa"/>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通信协议安全</w:t>
            </w:r>
          </w:p>
        </w:tc>
        <w:tc>
          <w:tcPr>
            <w:tcW w:w="4536" w:type="dxa"/>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启用https传输、更改tomcat默认端口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6" w:type="dxa"/>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3</w:t>
            </w:r>
          </w:p>
        </w:tc>
        <w:tc>
          <w:tcPr>
            <w:tcW w:w="2835" w:type="dxa"/>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日志安全配置</w:t>
            </w:r>
          </w:p>
        </w:tc>
        <w:tc>
          <w:tcPr>
            <w:tcW w:w="4536" w:type="dxa"/>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日志记录设置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6" w:type="dxa"/>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4</w:t>
            </w:r>
          </w:p>
        </w:tc>
        <w:tc>
          <w:tcPr>
            <w:tcW w:w="2835" w:type="dxa"/>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其它安全配置</w:t>
            </w:r>
          </w:p>
        </w:tc>
        <w:tc>
          <w:tcPr>
            <w:tcW w:w="4536" w:type="dxa"/>
            <w:vAlign w:val="center"/>
          </w:tcPr>
          <w:p>
            <w:pPr>
              <w:widowControl/>
              <w:spacing w:line="360" w:lineRule="auto"/>
              <w:rPr>
                <w:rFonts w:ascii="宋体" w:hAnsi="宋体" w:cs="宋体"/>
                <w:bCs/>
                <w:color w:val="auto"/>
                <w:szCs w:val="21"/>
                <w:highlight w:val="none"/>
              </w:rPr>
            </w:pPr>
            <w:r>
              <w:rPr>
                <w:rFonts w:hint="eastAsia" w:ascii="宋体" w:hAnsi="宋体" w:cs="宋体"/>
                <w:color w:val="auto"/>
                <w:szCs w:val="21"/>
                <w:highlight w:val="none"/>
              </w:rPr>
              <w:t>登录超时、错误重定向、禁止显示文件</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6、安全加固验证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为确保加固有效，在加固全部完成后，对加固范围的系统和设备再进行一次漏洞扫描，以对加固效果进行检验。</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（三）服务范围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广东省特种设备检测研究院东莞检测院业务系统及办公网络。</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（四）交付物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《安全加固报告》。</w:t>
      </w:r>
    </w:p>
    <w:p>
      <w:pPr>
        <w:pStyle w:val="6"/>
        <w:spacing w:before="156" w:after="156"/>
        <w:rPr>
          <w:rFonts w:ascii="宋体" w:hAnsi="宋体" w:cs="宋体"/>
          <w:color w:val="auto"/>
          <w:sz w:val="21"/>
          <w:szCs w:val="21"/>
          <w:highlight w:val="none"/>
        </w:rPr>
      </w:pPr>
      <w:bookmarkStart w:id="237" w:name="_Toc145588786"/>
      <w:r>
        <w:rPr>
          <w:rFonts w:hint="eastAsia" w:ascii="宋体" w:hAnsi="宋体" w:cs="宋体"/>
          <w:color w:val="auto"/>
          <w:sz w:val="21"/>
          <w:szCs w:val="21"/>
          <w:highlight w:val="none"/>
        </w:rPr>
        <w:t>6.8保密检查服务</w:t>
      </w:r>
      <w:bookmarkEnd w:id="237"/>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（一）服务内容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广东省特种设备检测研究院东莞检测院网络中部署保密检查平台，终端部署保密检查工具，使用工具输出保密检查报告；讲解保密检查内容，培训查看保密检查报告需注意特征，告知检测院不合规项及检查重点；对不合规项给出整改建议。</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（二）服务要求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广东省特种设备检测研究院东莞检测院办公电脑部署保密检查工具，使用工具输出保密检查报告；讲解保密检查内容，培训查看保密检查报告需注意特征，告知东莞检测院不合规项及检查重点；对不合规项给出整改建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在广东省特种设备检测研究院东莞检测院办公电脑部署网络安全检查工具，使用工具输出每台客户端、打印机网络检查报告；协助客户端针对安全防护存在问题，提供防护加固服务；进行网络安全审计并协助进行有效整改。</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（三）服务范围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广东省特种设备检测研究院东莞检测院。</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（四）交付物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《保密检查报告》。</w:t>
      </w:r>
    </w:p>
    <w:p>
      <w:pPr>
        <w:pStyle w:val="6"/>
        <w:spacing w:before="156" w:after="156"/>
        <w:rPr>
          <w:rFonts w:ascii="宋体" w:hAnsi="宋体" w:cs="宋体"/>
          <w:color w:val="auto"/>
          <w:sz w:val="21"/>
          <w:szCs w:val="21"/>
          <w:highlight w:val="none"/>
        </w:rPr>
      </w:pPr>
      <w:bookmarkStart w:id="238" w:name="_Toc145588787"/>
      <w:r>
        <w:rPr>
          <w:rFonts w:hint="eastAsia" w:ascii="宋体" w:hAnsi="宋体" w:cs="宋体"/>
          <w:color w:val="auto"/>
          <w:sz w:val="21"/>
          <w:szCs w:val="21"/>
          <w:highlight w:val="none"/>
        </w:rPr>
        <w:t>6.9等保测评服务</w:t>
      </w:r>
      <w:bookmarkEnd w:id="238"/>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（一）服务内容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为广东省特种设备检测研究院东莞检测院2个业务系统提供等保测评服务，完成信息系统等级保护2级测评、备案工作、取得证书；为5个业务系统提供信息系统定级服务系统调研服务, 输出《等级保护定级报告》（一级）。</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（二）服务要求</w:t>
      </w:r>
    </w:p>
    <w:p>
      <w:pPr>
        <w:pStyle w:val="18"/>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等保测评服务（2级）</w:t>
      </w:r>
    </w:p>
    <w:p>
      <w:pPr>
        <w:spacing w:line="360" w:lineRule="auto"/>
        <w:ind w:firstLine="422" w:firstLineChars="200"/>
        <w:rPr>
          <w:rFonts w:ascii="宋体" w:hAnsi="宋体" w:cs="宋体"/>
          <w:b/>
          <w:bCs/>
          <w:color w:val="auto"/>
          <w:szCs w:val="21"/>
          <w:highlight w:val="none"/>
        </w:rPr>
      </w:pPr>
      <w:r>
        <w:rPr>
          <w:rFonts w:hint="eastAsia"/>
          <w:b/>
          <w:bCs/>
          <w:color w:val="auto"/>
          <w:kern w:val="0"/>
          <w:sz w:val="21"/>
          <w:szCs w:val="21"/>
          <w:highlight w:val="none"/>
        </w:rPr>
        <w:t>▲</w:t>
      </w:r>
      <w:r>
        <w:rPr>
          <w:rFonts w:hint="eastAsia" w:ascii="宋体" w:hAnsi="宋体" w:cs="宋体"/>
          <w:b/>
          <w:bCs/>
          <w:color w:val="auto"/>
          <w:szCs w:val="21"/>
          <w:highlight w:val="none"/>
        </w:rPr>
        <w:t>中标人须委托第三方具有等保测评资质的公司提供测评服务和出具测评报告。</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服务商需提供承诺函并加盖服务商公章</w:t>
      </w:r>
      <w:r>
        <w:rPr>
          <w:rFonts w:hint="eastAsia" w:ascii="宋体" w:hAnsi="宋体" w:cs="宋体"/>
          <w:b/>
          <w:bCs/>
          <w:color w:val="auto"/>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1、对信息系统进行摸底、分析和梳理，提出详细的等保测评方案。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2、逐一对信息系统进行安全等级保护测评，测评的内容包括但不限于以下内容：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安全技术测评：包括安全物理环境、安全区域边界、安全通信网络、安全计算环境、安全管理中心等五个方面的安全测评。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安全管理测评：安全管理机构、安全管理制度、安全管理人员、安全建设管理和安全运维管理五个方面的安全测评。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3、针对出具的测评报告提出整改建议方案，整改建议方案应具有可操作性，符合用户实际情况，且能够切实解决问题。</w:t>
      </w:r>
    </w:p>
    <w:p>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4、</w:t>
      </w:r>
      <w:r>
        <w:rPr>
          <w:rFonts w:hint="eastAsia"/>
          <w:b/>
          <w:bCs/>
          <w:color w:val="auto"/>
          <w:kern w:val="0"/>
          <w:sz w:val="21"/>
          <w:szCs w:val="21"/>
          <w:highlight w:val="none"/>
        </w:rPr>
        <w:t>▲</w:t>
      </w:r>
      <w:r>
        <w:rPr>
          <w:rFonts w:hint="eastAsia" w:ascii="宋体" w:hAnsi="宋体" w:cs="宋体"/>
          <w:b/>
          <w:bCs/>
          <w:color w:val="auto"/>
          <w:szCs w:val="21"/>
          <w:highlight w:val="none"/>
        </w:rPr>
        <w:t>中标人负责以人工服务方式进行等级保护整改（应用软件本身及需软硬件投入或升级的除外），通过等级保护2级要求，</w:t>
      </w:r>
      <w:r>
        <w:rPr>
          <w:rFonts w:hint="eastAsia" w:ascii="宋体" w:hAnsi="宋体" w:cs="宋体"/>
          <w:b/>
          <w:bCs/>
          <w:color w:val="auto"/>
          <w:szCs w:val="21"/>
          <w:highlight w:val="none"/>
        </w:rPr>
        <w:t>并取得公安部门出具的《备案证明》和《等级保护测评报告的回复》。</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服务商需提供承诺函并加盖服务商公章</w:t>
      </w:r>
      <w:r>
        <w:rPr>
          <w:rFonts w:hint="eastAsia" w:ascii="宋体" w:hAnsi="宋体" w:cs="宋体"/>
          <w:b/>
          <w:bCs/>
          <w:color w:val="auto"/>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5、在东莞市公安局网络安全等级保护测评项目登记管理系统完成测评报告上传备案。</w:t>
      </w:r>
    </w:p>
    <w:p>
      <w:pPr>
        <w:pStyle w:val="18"/>
        <w:ind w:firstLine="211"/>
        <w:rPr>
          <w:rFonts w:ascii="宋体" w:hAnsi="宋体" w:cs="宋体"/>
          <w:b/>
          <w:color w:val="auto"/>
          <w:szCs w:val="21"/>
          <w:highlight w:val="none"/>
        </w:rPr>
      </w:pPr>
      <w:r>
        <w:rPr>
          <w:rFonts w:hint="eastAsia" w:ascii="宋体" w:hAnsi="宋体" w:cs="宋体"/>
          <w:b/>
          <w:color w:val="auto"/>
          <w:szCs w:val="21"/>
          <w:highlight w:val="none"/>
        </w:rPr>
        <w:t>等保测评服务（1级）</w:t>
      </w:r>
    </w:p>
    <w:p>
      <w:pPr>
        <w:pStyle w:val="19"/>
        <w:ind w:firstLine="420"/>
        <w:rPr>
          <w:rFonts w:ascii="宋体" w:hAnsi="宋体"/>
          <w:color w:val="auto"/>
          <w:sz w:val="21"/>
          <w:szCs w:val="21"/>
          <w:highlight w:val="none"/>
        </w:rPr>
      </w:pPr>
      <w:r>
        <w:rPr>
          <w:rFonts w:hint="eastAsia" w:ascii="宋体" w:hAnsi="宋体"/>
          <w:color w:val="auto"/>
          <w:sz w:val="21"/>
          <w:szCs w:val="21"/>
          <w:highlight w:val="none"/>
        </w:rPr>
        <w:t>为广东省特种设备检测研究院东莞检测院5个业务系系统调研服务,对系统情况及数据保存情况调研，输出《等级保护定级报告》</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（三）服务范围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广东省特种设备检测研究院东莞检测院2个业务系统（二级）及5个业务系统（一级）。</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（四）交付物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《xx系统等保测评证书》，《等级保护定级报告》</w:t>
      </w:r>
    </w:p>
    <w:p>
      <w:pPr>
        <w:pStyle w:val="5"/>
        <w:rPr>
          <w:rFonts w:ascii="宋体" w:hAnsi="宋体" w:cs="宋体"/>
          <w:color w:val="auto"/>
          <w:szCs w:val="21"/>
          <w:highlight w:val="none"/>
        </w:rPr>
      </w:pPr>
      <w:r>
        <w:rPr>
          <w:rFonts w:hint="eastAsia" w:ascii="宋体" w:hAnsi="宋体" w:cs="宋体"/>
          <w:color w:val="auto"/>
          <w:szCs w:val="21"/>
          <w:highlight w:val="none"/>
        </w:rPr>
        <w:t>七、安全保障服务要求</w:t>
      </w:r>
    </w:p>
    <w:p>
      <w:pPr>
        <w:pStyle w:val="6"/>
        <w:spacing w:before="156" w:after="156"/>
        <w:rPr>
          <w:rFonts w:ascii="宋体" w:hAnsi="宋体" w:cs="宋体"/>
          <w:color w:val="auto"/>
          <w:sz w:val="21"/>
          <w:szCs w:val="21"/>
          <w:highlight w:val="none"/>
        </w:rPr>
      </w:pPr>
      <w:r>
        <w:rPr>
          <w:rFonts w:hint="eastAsia" w:ascii="宋体" w:hAnsi="宋体" w:cs="宋体"/>
          <w:color w:val="auto"/>
          <w:sz w:val="21"/>
          <w:szCs w:val="21"/>
          <w:highlight w:val="none"/>
        </w:rPr>
        <w:t>7.1.人员要求</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1、项目经理（1人）：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（1）具有足够调动服务商后台资源的级别和能力。有良好的沟通协调能力，能协调调动不同品牌不同设备的原厂技术服务，提供及时有效的技术保障；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（2）人员相对稳定，服务期内变更最多1人次；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（3）具备项目管理和安全专业资格证书</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2、项目技术负责人（1人）：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（1）人员相对稳定，服务期内变更最多1人次；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（2）具备信息安全专业技术资格。</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3、服务团队（项目经理和项目技术负责人除外）：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（1）精通日常网络知识，熟悉防病毒、防火墙、WAF、IPS 等安全工具的配置和维护，熟悉渗透测试和攻防演练技能；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（2）熟识安全服务流程，具备三年以上安全服务相关的工作经验；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（3）专职接口工程师变更必须得到招标人的同意（本人主动离职的除外），服务期内变更不得超过2次；</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（4）离岗前要提前通知招标人审核同意，移交所有服务资料并清理所有服务帐号后方可离开。</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服务商拟投入本项目的服务人员必须为在本单位缴纳社会保险的正式员工，须提供近半年服务商为其缴纳社会保险的凭证。</w:t>
      </w:r>
    </w:p>
    <w:p>
      <w:pPr>
        <w:spacing w:line="360" w:lineRule="auto"/>
        <w:ind w:firstLine="422" w:firstLineChars="200"/>
        <w:rPr>
          <w:rFonts w:ascii="宋体" w:hAnsi="宋体" w:cs="宋体"/>
          <w:b/>
          <w:bCs/>
          <w:color w:val="auto"/>
          <w:szCs w:val="21"/>
          <w:highlight w:val="none"/>
        </w:rPr>
      </w:pPr>
    </w:p>
    <w:p>
      <w:pPr>
        <w:pStyle w:val="6"/>
        <w:spacing w:before="156" w:after="156"/>
        <w:rPr>
          <w:rFonts w:ascii="宋体" w:hAnsi="宋体" w:cs="宋体"/>
          <w:color w:val="auto"/>
          <w:sz w:val="21"/>
          <w:szCs w:val="21"/>
          <w:highlight w:val="none"/>
        </w:rPr>
      </w:pPr>
      <w:r>
        <w:rPr>
          <w:rFonts w:hint="eastAsia" w:ascii="宋体" w:hAnsi="宋体" w:cs="宋体"/>
          <w:color w:val="auto"/>
          <w:sz w:val="21"/>
          <w:szCs w:val="21"/>
          <w:highlight w:val="none"/>
        </w:rPr>
        <w:t>7.2.纪律要求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1、所有进场安全服务人员服从招标人的领导和管理，包括制定工作制度、监督工作的执行质量、分配和调整工作资源等；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2、严格遵守招标人的作息时间，下班、节假日或重保期间若有工作计划的，须服从招标人安排；</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3、工程师公司安排的休假、出差等活动应获得招标人批准后方可进行，外出期间服务商需补充相应能力的人员；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4、招标人只提供服务商的工程师的办公场所，其办公设备、通讯设备、住宿、就餐及差旅费等费用均由服务商自行承担。</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★5、保密要求（服务商必须提供单独的承诺函加盖服务商公章）</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（1）招标人与服务商签订保密协议，保证招标人的信息安全。</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（2）招标人与安全服务人员签订保密协议，保证招标人的信息安全。</w:t>
      </w:r>
    </w:p>
    <w:p>
      <w:pPr>
        <w:pStyle w:val="6"/>
        <w:spacing w:before="156" w:after="156"/>
        <w:rPr>
          <w:rFonts w:ascii="宋体" w:hAnsi="宋体" w:cs="宋体"/>
          <w:color w:val="auto"/>
          <w:sz w:val="21"/>
          <w:szCs w:val="21"/>
          <w:highlight w:val="none"/>
        </w:rPr>
      </w:pPr>
      <w:r>
        <w:rPr>
          <w:rFonts w:hint="eastAsia" w:ascii="宋体" w:hAnsi="宋体" w:cs="宋体"/>
          <w:color w:val="auto"/>
          <w:sz w:val="21"/>
          <w:szCs w:val="21"/>
          <w:highlight w:val="none"/>
        </w:rPr>
        <w:t>八、安全服务工具技术要求</w:t>
      </w:r>
    </w:p>
    <w:tbl>
      <w:tblPr>
        <w:tblStyle w:val="20"/>
        <w:tblW w:w="8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55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功能指标</w:t>
            </w:r>
          </w:p>
        </w:tc>
        <w:tc>
          <w:tcPr>
            <w:tcW w:w="6851" w:type="dxa"/>
            <w:tcBorders>
              <w:top w:val="single" w:color="auto" w:sz="4" w:space="0"/>
              <w:left w:val="single" w:color="auto" w:sz="4" w:space="0"/>
              <w:bottom w:val="single" w:color="auto" w:sz="4" w:space="0"/>
              <w:right w:val="single" w:color="auto" w:sz="4" w:space="0"/>
            </w:tcBorders>
            <w:shd w:val="clear" w:color="auto" w:fill="D9D9D9"/>
            <w:vAlign w:val="center"/>
          </w:tcPr>
          <w:p>
            <w:pPr>
              <w:tabs>
                <w:tab w:val="left" w:pos="420"/>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风险统计</w:t>
            </w: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▲支持全局风险统计功能，通过扇形图、条状图、标签、表格等形式直观展示资产风险分布、漏洞风险等级分布、紧急漏洞、风险资产清单等信息，并可查看详情。（提供</w:t>
            </w:r>
            <w:r>
              <w:rPr>
                <w:rFonts w:hint="eastAsia" w:ascii="宋体" w:hAnsi="宋体" w:cs="宋体"/>
                <w:color w:val="auto"/>
                <w:szCs w:val="21"/>
                <w:highlight w:val="none"/>
                <w:lang w:eastAsia="zh-Hans"/>
              </w:rPr>
              <w:t>产品功能</w:t>
            </w:r>
            <w:r>
              <w:rPr>
                <w:rFonts w:hint="eastAsia" w:ascii="宋体" w:hAnsi="宋体" w:cs="宋体"/>
                <w:color w:val="auto"/>
                <w:szCs w:val="21"/>
                <w:highlight w:val="none"/>
              </w:rPr>
              <w:t>截图并</w:t>
            </w:r>
            <w:r>
              <w:rPr>
                <w:rFonts w:hint="eastAsia" w:ascii="宋体" w:hAnsi="宋体" w:cs="宋体"/>
                <w:color w:val="auto"/>
                <w:szCs w:val="21"/>
                <w:highlight w:val="none"/>
                <w:lang w:eastAsia="zh-Hans"/>
              </w:rPr>
              <w:t>加盖投标人公</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top w:val="single" w:color="auto" w:sz="4" w:space="0"/>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支持全局风险统计时段自定义，展示近3个月、6个月、1年或自定义统计区间的风险分布和详情，时间跨度不限制。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支持从“高危”、“中危”、“低危”、“安全”四个安全级别展示资产的风险分布情况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支持从“高危”、“中危”、“低危”、“信息”四个安全级别展示漏洞风险等级的分布情况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支持从紧急漏洞的视角展示主机风险，清晰呈现已发生和未发生的紧急漏洞类型，支持以报表形式展示紧急漏洞的风险等级、影响资产数、漏洞数量、最近发现时间，可关联漏洞详情。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支持从主机视角呈现当前关键资产的漏洞风险信息，可从“高”、“中”、“低”、“信息”四个等级划分漏洞风险等级，支持客户对于重要资产标记为“核心资产”，便于根据资产价值确定修复优先级。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支持从漏洞视角分类型呈现风险概览和详情信息，支持在线查看展示“系统漏洞”、“WEB漏洞”、“弱口令”和“基线风险”的名称、风险等级、影响资产数、漏洞数、最近发现时间，并可关联漏洞详情。漏洞详情可支持展示漏洞名称、漏洞类型、发现时间、影响资产、漏洞描述、漏洞影响、修复建议、CVE编号和举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任务类型</w:t>
            </w: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▲支持全面扫描、资产发现、系统漏洞扫描、弱口令扫描、WEB漏洞扫描、基线配置核查六种任务类型，其中全面扫描支持系统漏洞扫描、WEB漏洞扫描、弱口令扫描同时执行。（提供</w:t>
            </w:r>
            <w:r>
              <w:rPr>
                <w:rFonts w:hint="eastAsia" w:ascii="宋体" w:hAnsi="宋体" w:cs="宋体"/>
                <w:color w:val="auto"/>
                <w:szCs w:val="21"/>
                <w:highlight w:val="none"/>
                <w:lang w:eastAsia="zh-Hans"/>
              </w:rPr>
              <w:t>产品功能</w:t>
            </w:r>
            <w:r>
              <w:rPr>
                <w:rFonts w:hint="eastAsia" w:ascii="宋体" w:hAnsi="宋体" w:cs="宋体"/>
                <w:color w:val="auto"/>
                <w:szCs w:val="21"/>
                <w:highlight w:val="none"/>
              </w:rPr>
              <w:t>截图并</w:t>
            </w:r>
            <w:r>
              <w:rPr>
                <w:rFonts w:hint="eastAsia" w:ascii="宋体" w:hAnsi="宋体" w:cs="宋体"/>
                <w:color w:val="auto"/>
                <w:szCs w:val="21"/>
                <w:highlight w:val="none"/>
                <w:lang w:eastAsia="zh-Hans"/>
              </w:rPr>
              <w:t>加盖投标人公</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restart"/>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资产发现</w:t>
            </w: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▲支持资产发现功能，可基于IP地址、IP网段、IP范围、URL等方式进行资产发现扫描，支持EXCEL格式批量导入。（提供</w:t>
            </w:r>
            <w:r>
              <w:rPr>
                <w:rFonts w:hint="eastAsia" w:ascii="宋体" w:hAnsi="宋体" w:cs="宋体"/>
                <w:color w:val="auto"/>
                <w:szCs w:val="21"/>
                <w:highlight w:val="none"/>
                <w:lang w:eastAsia="zh-Hans"/>
              </w:rPr>
              <w:t>产品功能</w:t>
            </w:r>
            <w:r>
              <w:rPr>
                <w:rFonts w:hint="eastAsia" w:ascii="宋体" w:hAnsi="宋体" w:cs="宋体"/>
                <w:color w:val="auto"/>
                <w:szCs w:val="21"/>
                <w:highlight w:val="none"/>
              </w:rPr>
              <w:t>截图并</w:t>
            </w:r>
            <w:r>
              <w:rPr>
                <w:rFonts w:hint="eastAsia" w:ascii="宋体" w:hAnsi="宋体" w:cs="宋体"/>
                <w:color w:val="auto"/>
                <w:szCs w:val="21"/>
                <w:highlight w:val="none"/>
                <w:lang w:eastAsia="zh-Hans"/>
              </w:rPr>
              <w:t>加盖投标人公</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资产发现支持并发扫描数量自定义，最大并发扫描IP数为1024。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资产发现支持存活探测、服务和端口探测、操作系统识别、数据库识别、中间件识别等功能，其中服务和端口探测支持常用端口、全局端口和自定义端口三种探测方式。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资产发现支持任务立即执行、指定时间执行和周期执行三种执行方式，且指定时间可以精确到分钟，周期执行可精确到每日、每周、每月和自定义周期等。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restart"/>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系统漏洞扫描</w:t>
            </w: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Style w:val="24"/>
                <w:rFonts w:ascii="宋体" w:hAnsi="宋体" w:cs="宋体"/>
                <w:color w:val="auto"/>
                <w:highlight w:val="none"/>
              </w:rPr>
            </w:pPr>
            <w:r>
              <w:rPr>
                <w:rFonts w:hint="eastAsia" w:ascii="宋体" w:hAnsi="宋体" w:cs="宋体"/>
                <w:color w:val="auto"/>
                <w:szCs w:val="21"/>
                <w:highlight w:val="none"/>
              </w:rPr>
              <w:t>支持检测的漏洞数大于19000条，兼容CVE、CNNVD、CNVD、Bugtraq等主流标准。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▲支持操作系统、网络设备、数据库、中间件等漏洞扫描。（提供</w:t>
            </w:r>
            <w:r>
              <w:rPr>
                <w:rFonts w:hint="eastAsia" w:ascii="宋体" w:hAnsi="宋体" w:cs="宋体"/>
                <w:color w:val="auto"/>
                <w:szCs w:val="21"/>
                <w:highlight w:val="none"/>
                <w:lang w:eastAsia="zh-Hans"/>
              </w:rPr>
              <w:t>产品功能</w:t>
            </w:r>
            <w:r>
              <w:rPr>
                <w:rFonts w:hint="eastAsia" w:ascii="宋体" w:hAnsi="宋体" w:cs="宋体"/>
                <w:color w:val="auto"/>
                <w:szCs w:val="21"/>
                <w:highlight w:val="none"/>
              </w:rPr>
              <w:t>截图并</w:t>
            </w:r>
            <w:r>
              <w:rPr>
                <w:rFonts w:hint="eastAsia" w:ascii="宋体" w:hAnsi="宋体" w:cs="宋体"/>
                <w:color w:val="auto"/>
                <w:szCs w:val="21"/>
                <w:highlight w:val="none"/>
                <w:lang w:eastAsia="zh-Hans"/>
              </w:rPr>
              <w:t>加盖投标人公</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支持多种系统漏洞检测技术，如：基于漏洞原理的原理扫描技术、基于banner信息的漏洞扫描技术等。（提供</w:t>
            </w:r>
            <w:r>
              <w:rPr>
                <w:rFonts w:hint="eastAsia" w:ascii="宋体" w:hAnsi="宋体" w:cs="宋体"/>
                <w:color w:val="auto"/>
                <w:szCs w:val="21"/>
                <w:highlight w:val="none"/>
                <w:lang w:eastAsia="zh-Hans"/>
              </w:rPr>
              <w:t>产品功能</w:t>
            </w:r>
            <w:r>
              <w:rPr>
                <w:rFonts w:hint="eastAsia" w:ascii="宋体" w:hAnsi="宋体" w:cs="宋体"/>
                <w:color w:val="auto"/>
                <w:szCs w:val="21"/>
                <w:highlight w:val="none"/>
              </w:rPr>
              <w:t>截图并</w:t>
            </w:r>
            <w:r>
              <w:rPr>
                <w:rFonts w:hint="eastAsia" w:ascii="宋体" w:hAnsi="宋体" w:cs="宋体"/>
                <w:color w:val="auto"/>
                <w:szCs w:val="21"/>
                <w:highlight w:val="none"/>
                <w:lang w:eastAsia="zh-Hans"/>
              </w:rPr>
              <w:t>加盖投标人公</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支持紧急漏洞进行单独评估，实现紧急漏洞批量排查，包括Microsoft Windows RDP 远程代码执行漏洞（CVE-2019-0708）、OpenSSL Heartbleed 心脏滴血漏洞（CVE-2014-0160）、Windows SMB 远程代码执行漏洞（MS08-067）、Windows SMB 远程代码执行漏洞（MS17-010）等。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内置不同的系统漏洞模板，包括高可利用系统漏洞、原理检测系统漏洞、中间件漏洞、数据库漏洞等类型，支持报表形式展示漏洞模板风险等级分布概览，支持报表形式展示漏洞模板详情，包括漏洞总数、漏洞名称、漏洞类型、风险等级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系统漏洞扫描支持高级配置功能，可支持存活性探测配置、端口扫描策略配置、UDP扫描启用、低可信度漏洞扫描、web应用扫描启用等配置功能。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系统漏洞扫描支持任务立即执行、指定时间执行和周期执行三种执行方式，且指定时间可以精确到分钟，周期执行可精确到每日、每周、每月和自定义周期等。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restart"/>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WEB漏洞扫描</w:t>
            </w: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Style w:val="24"/>
                <w:rFonts w:ascii="宋体" w:hAnsi="宋体" w:cs="宋体"/>
                <w:color w:val="auto"/>
                <w:highlight w:val="none"/>
              </w:rPr>
            </w:pPr>
            <w:r>
              <w:rPr>
                <w:rFonts w:hint="eastAsia" w:ascii="宋体" w:hAnsi="宋体" w:cs="宋体"/>
                <w:color w:val="auto"/>
                <w:szCs w:val="21"/>
                <w:highlight w:val="none"/>
              </w:rPr>
              <w:t>▲支持行业通用标准OWASP，支持通用WEB漏洞检测，如：SQL注入、XSS、目录遍历、本地/远程文件包含漏洞、安全配置错误、命令执行、敏感信息泄露等。（提供</w:t>
            </w:r>
            <w:r>
              <w:rPr>
                <w:rFonts w:hint="eastAsia" w:ascii="宋体" w:hAnsi="宋体" w:cs="宋体"/>
                <w:color w:val="auto"/>
                <w:szCs w:val="21"/>
                <w:highlight w:val="none"/>
                <w:lang w:eastAsia="zh-Hans"/>
              </w:rPr>
              <w:t>产品功能</w:t>
            </w:r>
            <w:r>
              <w:rPr>
                <w:rFonts w:hint="eastAsia" w:ascii="宋体" w:hAnsi="宋体" w:cs="宋体"/>
                <w:color w:val="auto"/>
                <w:szCs w:val="21"/>
                <w:highlight w:val="none"/>
              </w:rPr>
              <w:t>截图并</w:t>
            </w:r>
            <w:r>
              <w:rPr>
                <w:rFonts w:hint="eastAsia" w:ascii="宋体" w:hAnsi="宋体" w:cs="宋体"/>
                <w:color w:val="auto"/>
                <w:szCs w:val="21"/>
                <w:highlight w:val="none"/>
                <w:lang w:eastAsia="zh-Hans"/>
              </w:rPr>
              <w:t>加盖投标人公</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Style w:val="24"/>
                <w:rFonts w:ascii="宋体" w:hAnsi="宋体" w:cs="宋体"/>
                <w:color w:val="auto"/>
                <w:highlight w:val="none"/>
              </w:rPr>
            </w:pPr>
            <w:r>
              <w:rPr>
                <w:rFonts w:hint="eastAsia" w:ascii="宋体" w:hAnsi="宋体" w:cs="宋体"/>
                <w:color w:val="auto"/>
                <w:szCs w:val="21"/>
                <w:highlight w:val="none"/>
              </w:rPr>
              <w:t>支持信息泄漏类漏洞检测，如：mail地址、敏感目录暴露、内部ip地址、会话令牌、源码、数据库备份文件、SVN文件、系统重要配置、日志文件向外网泄漏等。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支持选择紧急漏洞进行单独评估，支持对新爆发的0day漏洞检测，如：Apache Solr Velocity模板 远程代码执行漏洞、phpstudy 后门发现漏洞、Jenkins Git client插件命令执行漏洞、致远 OA A8 无需认证 Getshell 漏洞、Jenkins Java反序列化远程代码执行漏洞、Weblogic反序列化专项漏洞检测、Apache Struts2远程代码执行系列漏洞、JBoss反序列化漏洞等。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内置不同的WEB漏洞模板，包括高可利用WEB漏洞、通用应用漏洞、SQL注入漏洞、XSS注入漏洞等类型，支持报表形式展示漏洞模板风险等级分布概览，支持报表形式展示漏洞模板详情，包括漏洞总数、漏洞名称、漏洞类型、风险等级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WEB漏洞扫描支持高级配置功能，可支持fuzz测试启用、WEB访问策略、WEB爬行策略等配置功能。支持并发线程数、超时限制、目录深度、链接总数自定义配置。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支持基于cookie方式的web漏洞登录扫描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Web漏洞扫描支持任务立即执行、指定时间执行、周期执行三种执行方式，且指定时间可以精确到分钟，周期执行可精确到每日、每周、每月和自定义周期等。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restart"/>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弱口令扫描</w:t>
            </w: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▲支持对多种服务协议的弱口令猜解，包括FTP、IMAP、Microsoft SQL、MySQL、PcAnywhere、POP3、SMB、Telnet、VNC、SSH、RDP、ORACLE、Rsync、SMTP、VMware等。（提供</w:t>
            </w:r>
            <w:r>
              <w:rPr>
                <w:rFonts w:hint="eastAsia" w:ascii="宋体" w:hAnsi="宋体" w:cs="宋体"/>
                <w:color w:val="auto"/>
                <w:szCs w:val="21"/>
                <w:highlight w:val="none"/>
                <w:lang w:eastAsia="zh-Hans"/>
              </w:rPr>
              <w:t>产品功能</w:t>
            </w:r>
            <w:r>
              <w:rPr>
                <w:rFonts w:hint="eastAsia" w:ascii="宋体" w:hAnsi="宋体" w:cs="宋体"/>
                <w:color w:val="auto"/>
                <w:szCs w:val="21"/>
                <w:highlight w:val="none"/>
              </w:rPr>
              <w:t>截图并</w:t>
            </w:r>
            <w:r>
              <w:rPr>
                <w:rFonts w:hint="eastAsia" w:ascii="宋体" w:hAnsi="宋体" w:cs="宋体"/>
                <w:color w:val="auto"/>
                <w:szCs w:val="21"/>
                <w:highlight w:val="none"/>
                <w:lang w:eastAsia="zh-Hans"/>
              </w:rPr>
              <w:t>加盖投标人公</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产品内置常用字典和精简字典两种弱口令扫描模板，常用字典包含常见的用户名及TOP160密码，精简密码适用于爆破速度快的密码猜解场景，支持自定义新增密码字典功能。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弱口令扫描支持任务立即执行、指定时间执行和周期执行三种执行方式，且指定时间可以精确到分钟，周期执行可精确到每日、每周、每月和自定义周期等。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restart"/>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报告管理</w:t>
            </w: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▲产品支持对系统漏洞、WEB漏洞、基线配置、弱口令进行扫描和分析，可同时输出包含系统漏洞扫描、WEB漏洞扫描、基线配置核查、弱口令扫描结果的报表。（提供</w:t>
            </w:r>
            <w:r>
              <w:rPr>
                <w:rFonts w:hint="eastAsia" w:ascii="宋体" w:hAnsi="宋体" w:cs="宋体"/>
                <w:color w:val="auto"/>
                <w:szCs w:val="21"/>
                <w:highlight w:val="none"/>
                <w:lang w:eastAsia="zh-Hans"/>
              </w:rPr>
              <w:t>产品功能</w:t>
            </w:r>
            <w:r>
              <w:rPr>
                <w:rFonts w:hint="eastAsia" w:ascii="宋体" w:hAnsi="宋体" w:cs="宋体"/>
                <w:color w:val="auto"/>
                <w:szCs w:val="21"/>
                <w:highlight w:val="none"/>
              </w:rPr>
              <w:t>截图并</w:t>
            </w:r>
            <w:r>
              <w:rPr>
                <w:rFonts w:hint="eastAsia" w:ascii="宋体" w:hAnsi="宋体" w:cs="宋体"/>
                <w:color w:val="auto"/>
                <w:szCs w:val="21"/>
                <w:highlight w:val="none"/>
                <w:lang w:eastAsia="zh-Hans"/>
              </w:rPr>
              <w:t>加盖投标人公</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系统漏洞扫描、WEB漏洞扫描、基线配置核查、弱口令扫描结果支持报表导出的格式包括HTML、WORD、EXCEL等格式。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支持报表过滤功能，支持从任务类型、任务/资产、风险等级、漏洞/基线类型等角度筛选和过滤报表生成条件。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支持报表比对功能，可对任意两次同类型的报表进行比对，输出比对报表，并支持以EXCEL格式导出。比对报告包含对前后两次扫描结果中漏洞风险等级分布、未修复漏洞、已修复漏洞和新增漏洞信息进行展示。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tcPr>
          <w:p>
            <w:pPr>
              <w:spacing w:line="360" w:lineRule="auto"/>
              <w:jc w:val="center"/>
              <w:rPr>
                <w:rFonts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支持导出统计报表和详细报告，统计报告包括综述信息、风险概况、资产风险列表、风险详情、参考标准、安全建议等内容；详细报告包括风险概述、资产风险列表、资产风险详情等内容，其中，基线风险会展示检测结果、风险等级、基线ID、基线项类型、风险值、检查点描述、解决方案等内容。漏洞风险会展示风险页面、风险等级、风险描述、危害影响、解决方案、参考资料、风险举证等内容。（提供</w:t>
            </w:r>
            <w:r>
              <w:rPr>
                <w:rFonts w:hint="eastAsia" w:ascii="宋体" w:hAnsi="宋体" w:cs="宋体"/>
                <w:color w:val="auto"/>
                <w:szCs w:val="21"/>
                <w:highlight w:val="none"/>
                <w:lang w:eastAsia="zh-Hans"/>
              </w:rPr>
              <w:t>产品功能</w:t>
            </w:r>
            <w:r>
              <w:rPr>
                <w:rFonts w:hint="eastAsia" w:ascii="宋体" w:hAnsi="宋体" w:cs="宋体"/>
                <w:color w:val="auto"/>
                <w:szCs w:val="21"/>
                <w:highlight w:val="none"/>
              </w:rPr>
              <w:t>截图并</w:t>
            </w:r>
            <w:r>
              <w:rPr>
                <w:rFonts w:hint="eastAsia" w:ascii="宋体" w:hAnsi="宋体" w:cs="宋体"/>
                <w:color w:val="auto"/>
                <w:szCs w:val="21"/>
                <w:highlight w:val="none"/>
                <w:lang w:eastAsia="zh-Hans"/>
              </w:rPr>
              <w:t>加盖投标人公</w:t>
            </w:r>
            <w:r>
              <w:rPr>
                <w:rFonts w:hint="eastAsia" w:ascii="宋体" w:hAnsi="宋体" w:cs="宋体"/>
                <w:color w:val="auto"/>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restart"/>
            <w:tcBorders>
              <w:left w:val="single" w:color="auto" w:sz="4" w:space="0"/>
              <w:right w:val="single" w:color="auto" w:sz="4" w:space="0"/>
            </w:tcBorders>
          </w:tcPr>
          <w:p>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计算机终端保密检查管理系统</w:t>
            </w:r>
          </w:p>
        </w:tc>
        <w:tc>
          <w:tcPr>
            <w:tcW w:w="6851" w:type="dxa"/>
            <w:tcBorders>
              <w:top w:val="single" w:color="auto" w:sz="4" w:space="0"/>
              <w:left w:val="single" w:color="auto" w:sz="4" w:space="0"/>
              <w:bottom w:val="single" w:color="auto" w:sz="4" w:space="0"/>
              <w:right w:val="single" w:color="auto" w:sz="4" w:space="0"/>
            </w:tcBorders>
            <w:vAlign w:val="center"/>
          </w:tcPr>
          <w:p>
            <w:pPr>
              <w:pStyle w:val="18"/>
              <w:widowControl/>
              <w:adjustRightInd w:val="0"/>
              <w:snapToGrid w:val="0"/>
              <w:spacing w:before="161" w:after="200"/>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▲支持终端</w:t>
            </w:r>
            <w:r>
              <w:rPr>
                <w:rFonts w:ascii="宋体" w:hAnsi="宋体" w:cs="宋体"/>
                <w:color w:val="auto"/>
                <w:szCs w:val="21"/>
                <w:highlight w:val="none"/>
              </w:rPr>
              <w:t>管理</w:t>
            </w:r>
            <w:r>
              <w:rPr>
                <w:rFonts w:hint="eastAsia" w:ascii="宋体" w:hAnsi="宋体" w:cs="宋体"/>
                <w:color w:val="auto"/>
                <w:szCs w:val="21"/>
                <w:highlight w:val="none"/>
              </w:rPr>
              <w:t>、任务管理</w:t>
            </w:r>
            <w:r>
              <w:rPr>
                <w:rFonts w:ascii="宋体" w:hAnsi="宋体" w:cs="宋体"/>
                <w:color w:val="auto"/>
                <w:szCs w:val="21"/>
                <w:highlight w:val="none"/>
              </w:rPr>
              <w:t>、</w:t>
            </w:r>
            <w:r>
              <w:rPr>
                <w:rFonts w:hint="eastAsia" w:ascii="宋体" w:hAnsi="宋体" w:cs="宋体"/>
                <w:color w:val="auto"/>
                <w:szCs w:val="21"/>
                <w:highlight w:val="none"/>
              </w:rPr>
              <w:t>关键字</w:t>
            </w:r>
            <w:r>
              <w:rPr>
                <w:rFonts w:ascii="宋体" w:hAnsi="宋体" w:cs="宋体"/>
                <w:color w:val="auto"/>
                <w:szCs w:val="21"/>
                <w:highlight w:val="none"/>
              </w:rPr>
              <w:t>管理等</w:t>
            </w:r>
            <w:r>
              <w:rPr>
                <w:rFonts w:hint="eastAsia" w:ascii="宋体" w:hAnsi="宋体" w:cs="宋体"/>
                <w:color w:val="auto"/>
                <w:szCs w:val="21"/>
                <w:highlight w:val="none"/>
              </w:rPr>
              <w:t xml:space="preserve">功能，关键字符合三员登录管理要求，采用一体化登录，其中系统管理员完成组织机构建立；安全保密员完成终端管理、策略配置、关键字管理、任务管理、任务进度功能（提供相应软件截图证明材料并加盖投标人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tcPr>
          <w:p>
            <w:pPr>
              <w:spacing w:line="360" w:lineRule="auto"/>
              <w:jc w:val="center"/>
              <w:rPr>
                <w:rFonts w:hint="eastAsia"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pStyle w:val="18"/>
              <w:widowControl/>
              <w:adjustRightInd w:val="0"/>
              <w:snapToGrid w:val="0"/>
              <w:spacing w:before="161" w:after="200"/>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支持终端导出和删除操作，终端管理可以导入授权文件，仅支持 dat格式文件；支持添加任务向导功能，任务向导功能仅支持在线的终端才可以添加任务向导，添加任务向导需要优先配置好策略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tcBorders>
              <w:left w:val="single" w:color="auto" w:sz="4" w:space="0"/>
              <w:right w:val="single" w:color="auto" w:sz="4" w:space="0"/>
            </w:tcBorders>
          </w:tcPr>
          <w:p>
            <w:pPr>
              <w:spacing w:line="360" w:lineRule="auto"/>
              <w:jc w:val="center"/>
              <w:rPr>
                <w:rFonts w:hint="eastAsia" w:ascii="宋体" w:hAnsi="宋体" w:cs="宋体"/>
                <w:b/>
                <w:color w:val="auto"/>
                <w:szCs w:val="21"/>
                <w:highlight w:val="none"/>
              </w:rPr>
            </w:pPr>
          </w:p>
        </w:tc>
        <w:tc>
          <w:tcPr>
            <w:tcW w:w="6851" w:type="dxa"/>
            <w:tcBorders>
              <w:top w:val="single" w:color="auto" w:sz="4" w:space="0"/>
              <w:left w:val="single" w:color="auto" w:sz="4" w:space="0"/>
              <w:bottom w:val="single" w:color="auto" w:sz="4" w:space="0"/>
              <w:right w:val="single" w:color="auto" w:sz="4" w:space="0"/>
            </w:tcBorders>
            <w:vAlign w:val="center"/>
          </w:tcPr>
          <w:p>
            <w:pPr>
              <w:pStyle w:val="18"/>
              <w:widowControl/>
              <w:adjustRightInd w:val="0"/>
              <w:snapToGrid w:val="0"/>
              <w:spacing w:before="161" w:after="200"/>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支持添加策略、编辑、删除操作，策略添加可配置办公类文件选择、图片类文件、web类文件、压缩类文件、邮件类文件、基本情况检查、存储设备检查、设备使用记录检查、检查类型、关键字选项、文件限制、文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tcBorders>
              <w:left w:val="single" w:color="auto" w:sz="4" w:space="0"/>
              <w:right w:val="single" w:color="auto"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渗透测试</w:t>
            </w:r>
          </w:p>
        </w:tc>
        <w:tc>
          <w:tcPr>
            <w:tcW w:w="685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auto"/>
                <w:szCs w:val="21"/>
                <w:highlight w:val="none"/>
              </w:rPr>
            </w:pPr>
            <w:r>
              <w:rPr>
                <w:rFonts w:hint="eastAsia" w:ascii="宋体" w:hAnsi="宋体" w:cs="宋体"/>
                <w:color w:val="auto"/>
                <w:szCs w:val="21"/>
                <w:highlight w:val="none"/>
              </w:rPr>
              <w:t>▲支持对端口扫描，口令猜测，远程溢出，本地溢出，脚本测试，权限获取等测试（提供相应软件截图证明材料并加盖投标人公章</w:t>
            </w:r>
          </w:p>
        </w:tc>
      </w:tr>
    </w:tbl>
    <w:p>
      <w:pPr>
        <w:pStyle w:val="6"/>
        <w:spacing w:before="156" w:after="156"/>
        <w:rPr>
          <w:rFonts w:ascii="宋体" w:hAnsi="宋体" w:cs="宋体"/>
          <w:color w:val="auto"/>
          <w:sz w:val="21"/>
          <w:szCs w:val="21"/>
          <w:highlight w:val="none"/>
        </w:rPr>
      </w:pPr>
      <w:r>
        <w:rPr>
          <w:rFonts w:hint="eastAsia" w:ascii="宋体" w:hAnsi="宋体" w:cs="宋体"/>
          <w:color w:val="auto"/>
          <w:sz w:val="21"/>
          <w:szCs w:val="21"/>
          <w:highlight w:val="none"/>
        </w:rPr>
        <w:t>九、其他要求</w:t>
      </w:r>
    </w:p>
    <w:p>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1、服务响应要求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2"/>
        <w:gridCol w:w="1582"/>
        <w:gridCol w:w="5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spacing w:after="120" w:line="360" w:lineRule="auto"/>
              <w:jc w:val="center"/>
              <w:rPr>
                <w:rFonts w:ascii="宋体" w:hAnsi="宋体" w:cs="宋体"/>
                <w:b/>
                <w:color w:val="auto"/>
                <w:szCs w:val="21"/>
                <w:highlight w:val="none"/>
              </w:rPr>
            </w:pPr>
            <w:r>
              <w:rPr>
                <w:rFonts w:hint="eastAsia" w:ascii="宋体" w:hAnsi="宋体" w:cs="宋体"/>
                <w:b/>
                <w:color w:val="auto"/>
                <w:szCs w:val="21"/>
                <w:highlight w:val="none"/>
              </w:rPr>
              <w:t>系统服务</w:t>
            </w:r>
          </w:p>
        </w:tc>
        <w:tc>
          <w:tcPr>
            <w:tcW w:w="1582" w:type="dxa"/>
            <w:vAlign w:val="center"/>
          </w:tcPr>
          <w:p>
            <w:pPr>
              <w:spacing w:after="120" w:line="360" w:lineRule="auto"/>
              <w:jc w:val="center"/>
              <w:rPr>
                <w:rFonts w:ascii="宋体" w:hAnsi="宋体" w:cs="宋体"/>
                <w:b/>
                <w:color w:val="auto"/>
                <w:szCs w:val="21"/>
                <w:highlight w:val="none"/>
              </w:rPr>
            </w:pPr>
            <w:r>
              <w:rPr>
                <w:rFonts w:hint="eastAsia" w:ascii="宋体" w:hAnsi="宋体" w:cs="宋体"/>
                <w:b/>
                <w:color w:val="auto"/>
                <w:szCs w:val="21"/>
                <w:highlight w:val="none"/>
              </w:rPr>
              <w:t>要求</w:t>
            </w:r>
          </w:p>
        </w:tc>
        <w:tc>
          <w:tcPr>
            <w:tcW w:w="5047" w:type="dxa"/>
            <w:vAlign w:val="center"/>
          </w:tcPr>
          <w:p>
            <w:pPr>
              <w:spacing w:after="120" w:line="360" w:lineRule="auto"/>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spacing w:after="120" w:line="360" w:lineRule="auto"/>
              <w:jc w:val="center"/>
              <w:rPr>
                <w:rFonts w:ascii="宋体" w:hAnsi="宋体" w:cs="宋体"/>
                <w:color w:val="auto"/>
                <w:szCs w:val="21"/>
                <w:highlight w:val="none"/>
              </w:rPr>
            </w:pPr>
            <w:r>
              <w:rPr>
                <w:rFonts w:hint="eastAsia" w:ascii="宋体" w:hAnsi="宋体" w:cs="宋体"/>
                <w:color w:val="auto"/>
                <w:szCs w:val="21"/>
                <w:highlight w:val="none"/>
              </w:rPr>
              <w:t>电话响应时间</w:t>
            </w:r>
          </w:p>
        </w:tc>
        <w:tc>
          <w:tcPr>
            <w:tcW w:w="1582" w:type="dxa"/>
            <w:vAlign w:val="center"/>
          </w:tcPr>
          <w:p>
            <w:pPr>
              <w:spacing w:after="120" w:line="360" w:lineRule="auto"/>
              <w:jc w:val="center"/>
              <w:rPr>
                <w:rFonts w:ascii="宋体" w:hAnsi="宋体" w:cs="宋体"/>
                <w:color w:val="auto"/>
                <w:szCs w:val="21"/>
                <w:highlight w:val="none"/>
              </w:rPr>
            </w:pPr>
            <w:r>
              <w:rPr>
                <w:rFonts w:hint="eastAsia" w:ascii="宋体" w:hAnsi="宋体" w:cs="宋体"/>
                <w:color w:val="auto"/>
                <w:szCs w:val="21"/>
                <w:highlight w:val="none"/>
              </w:rPr>
              <w:t>立即响应</w:t>
            </w:r>
          </w:p>
        </w:tc>
        <w:tc>
          <w:tcPr>
            <w:tcW w:w="5047" w:type="dxa"/>
            <w:vAlign w:val="center"/>
          </w:tcPr>
          <w:p>
            <w:pPr>
              <w:spacing w:after="120" w:line="360" w:lineRule="auto"/>
              <w:rPr>
                <w:rFonts w:ascii="宋体" w:hAnsi="宋体" w:cs="宋体"/>
                <w:color w:val="auto"/>
                <w:szCs w:val="21"/>
                <w:highlight w:val="none"/>
              </w:rPr>
            </w:pPr>
            <w:r>
              <w:rPr>
                <w:rFonts w:ascii="宋体" w:hAnsi="宋体" w:cs="宋体"/>
                <w:color w:val="auto"/>
                <w:szCs w:val="21"/>
                <w:highlight w:val="none"/>
              </w:rPr>
              <w:t>7×24小时的值班响应电话，并安排有经验的工程师接受申告。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spacing w:after="120" w:line="360" w:lineRule="auto"/>
              <w:jc w:val="center"/>
              <w:rPr>
                <w:rFonts w:ascii="宋体" w:hAnsi="宋体" w:cs="宋体"/>
                <w:color w:val="auto"/>
                <w:szCs w:val="21"/>
                <w:highlight w:val="none"/>
              </w:rPr>
            </w:pPr>
            <w:r>
              <w:rPr>
                <w:rFonts w:hint="eastAsia" w:ascii="宋体" w:hAnsi="宋体" w:cs="宋体"/>
                <w:color w:val="auto"/>
                <w:szCs w:val="21"/>
                <w:highlight w:val="none"/>
              </w:rPr>
              <w:t>远程技术支持</w:t>
            </w:r>
          </w:p>
        </w:tc>
        <w:tc>
          <w:tcPr>
            <w:tcW w:w="1582" w:type="dxa"/>
            <w:vAlign w:val="center"/>
          </w:tcPr>
          <w:p>
            <w:pPr>
              <w:spacing w:after="120" w:line="360" w:lineRule="auto"/>
              <w:jc w:val="center"/>
              <w:rPr>
                <w:rFonts w:ascii="宋体" w:hAnsi="宋体" w:cs="宋体"/>
                <w:color w:val="auto"/>
                <w:szCs w:val="21"/>
                <w:highlight w:val="none"/>
              </w:rPr>
            </w:pPr>
            <w:r>
              <w:rPr>
                <w:rFonts w:hint="eastAsia" w:ascii="宋体" w:hAnsi="宋体" w:cs="宋体"/>
                <w:color w:val="auto"/>
                <w:szCs w:val="21"/>
                <w:highlight w:val="none"/>
              </w:rPr>
              <w:t>立即响应</w:t>
            </w:r>
          </w:p>
        </w:tc>
        <w:tc>
          <w:tcPr>
            <w:tcW w:w="5047" w:type="dxa"/>
            <w:vAlign w:val="center"/>
          </w:tcPr>
          <w:p>
            <w:pPr>
              <w:spacing w:after="120" w:line="360" w:lineRule="auto"/>
              <w:rPr>
                <w:rFonts w:ascii="宋体" w:hAnsi="宋体" w:cs="宋体"/>
                <w:color w:val="auto"/>
                <w:szCs w:val="21"/>
                <w:highlight w:val="none"/>
              </w:rPr>
            </w:pPr>
            <w:r>
              <w:rPr>
                <w:rFonts w:ascii="宋体" w:hAnsi="宋体" w:cs="宋体"/>
                <w:color w:val="auto"/>
                <w:szCs w:val="21"/>
                <w:highlight w:val="none"/>
              </w:rPr>
              <w:t>7×24小时，包括节假日。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2" w:type="dxa"/>
            <w:vAlign w:val="center"/>
          </w:tcPr>
          <w:p>
            <w:pPr>
              <w:spacing w:after="120" w:line="360" w:lineRule="auto"/>
              <w:jc w:val="center"/>
              <w:rPr>
                <w:rFonts w:ascii="宋体" w:hAnsi="宋体" w:cs="宋体"/>
                <w:color w:val="auto"/>
                <w:szCs w:val="21"/>
                <w:highlight w:val="none"/>
              </w:rPr>
            </w:pPr>
            <w:r>
              <w:rPr>
                <w:rFonts w:hint="eastAsia" w:ascii="宋体" w:hAnsi="宋体" w:cs="宋体"/>
                <w:color w:val="auto"/>
                <w:szCs w:val="21"/>
                <w:highlight w:val="none"/>
              </w:rPr>
              <w:t>现场响应时间</w:t>
            </w:r>
          </w:p>
        </w:tc>
        <w:tc>
          <w:tcPr>
            <w:tcW w:w="1582" w:type="dxa"/>
            <w:vAlign w:val="center"/>
          </w:tcPr>
          <w:p>
            <w:pPr>
              <w:spacing w:after="120" w:line="360" w:lineRule="auto"/>
              <w:jc w:val="center"/>
              <w:rPr>
                <w:rFonts w:ascii="宋体" w:hAnsi="宋体" w:cs="宋体"/>
                <w:color w:val="auto"/>
                <w:szCs w:val="21"/>
                <w:highlight w:val="none"/>
              </w:rPr>
            </w:pPr>
            <w:r>
              <w:rPr>
                <w:rFonts w:hint="eastAsia" w:ascii="宋体" w:hAnsi="宋体" w:cs="宋体"/>
                <w:color w:val="auto"/>
                <w:szCs w:val="21"/>
                <w:highlight w:val="none"/>
              </w:rPr>
              <w:t>现场时间区分要求</w:t>
            </w:r>
          </w:p>
        </w:tc>
        <w:tc>
          <w:tcPr>
            <w:tcW w:w="5047" w:type="dxa"/>
            <w:vAlign w:val="center"/>
          </w:tcPr>
          <w:p>
            <w:pPr>
              <w:spacing w:after="120" w:line="360" w:lineRule="auto"/>
              <w:rPr>
                <w:rFonts w:ascii="宋体" w:hAnsi="宋体" w:cs="宋体"/>
                <w:color w:val="auto"/>
                <w:szCs w:val="21"/>
                <w:highlight w:val="none"/>
              </w:rPr>
            </w:pPr>
            <w:r>
              <w:rPr>
                <w:rFonts w:hint="eastAsia" w:ascii="宋体" w:hAnsi="宋体" w:cs="宋体"/>
                <w:color w:val="auto"/>
                <w:szCs w:val="21"/>
                <w:highlight w:val="none"/>
              </w:rPr>
              <w:t>重大及以上网络安全事件</w:t>
            </w:r>
            <w:r>
              <w:rPr>
                <w:rFonts w:ascii="宋体" w:hAnsi="宋体" w:cs="宋体"/>
                <w:color w:val="auto"/>
                <w:szCs w:val="21"/>
                <w:highlight w:val="none"/>
              </w:rPr>
              <w:t>:小于30分钟到达现场；</w:t>
            </w:r>
          </w:p>
          <w:p>
            <w:pPr>
              <w:spacing w:after="120" w:line="360" w:lineRule="auto"/>
              <w:rPr>
                <w:rFonts w:ascii="宋体" w:hAnsi="宋体" w:cs="宋体"/>
                <w:color w:val="auto"/>
                <w:szCs w:val="21"/>
                <w:highlight w:val="none"/>
              </w:rPr>
            </w:pPr>
            <w:r>
              <w:rPr>
                <w:rFonts w:hint="eastAsia" w:ascii="宋体" w:hAnsi="宋体" w:cs="宋体"/>
                <w:color w:val="auto"/>
                <w:szCs w:val="21"/>
                <w:highlight w:val="none"/>
              </w:rPr>
              <w:t>较大网络安全事件</w:t>
            </w:r>
            <w:r>
              <w:rPr>
                <w:rFonts w:ascii="宋体" w:hAnsi="宋体" w:cs="宋体"/>
                <w:color w:val="auto"/>
                <w:szCs w:val="21"/>
                <w:highlight w:val="none"/>
              </w:rPr>
              <w:t>:小于1小时到达现场。</w:t>
            </w:r>
          </w:p>
          <w:p>
            <w:pPr>
              <w:spacing w:after="120" w:line="360" w:lineRule="auto"/>
              <w:rPr>
                <w:rFonts w:ascii="宋体" w:hAnsi="宋体" w:cs="宋体"/>
                <w:color w:val="auto"/>
                <w:szCs w:val="21"/>
                <w:highlight w:val="none"/>
              </w:rPr>
            </w:pPr>
            <w:r>
              <w:rPr>
                <w:rFonts w:hint="eastAsia" w:ascii="宋体" w:hAnsi="宋体" w:cs="宋体"/>
                <w:color w:val="auto"/>
                <w:szCs w:val="21"/>
                <w:highlight w:val="none"/>
              </w:rPr>
              <w:t>一般性网络安全事件</w:t>
            </w:r>
            <w:r>
              <w:rPr>
                <w:rFonts w:ascii="宋体" w:hAnsi="宋体" w:cs="宋体"/>
                <w:color w:val="auto"/>
                <w:szCs w:val="21"/>
                <w:highlight w:val="none"/>
              </w:rPr>
              <w:t>:小于2小时到达现场。</w:t>
            </w:r>
          </w:p>
        </w:tc>
      </w:tr>
    </w:tbl>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2、确保所有安全工具软硬件版本、漏洞库、病毒库等及时更新。</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3、服务商应针对服务项目内容制定详细《安全服务方案》和《安全服务工作手册》，明确具体安全服务计划、日常实施方案及提交各类服务报告的时间点。</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4、服务商应设立服务台，开通服务电话和技术支持电话，提供7×24小时的远程技术热线支持。</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5、安全服务流程要求</w:t>
      </w:r>
    </w:p>
    <w:p>
      <w:pPr>
        <w:spacing w:line="360" w:lineRule="auto"/>
        <w:ind w:firstLine="420" w:firstLineChars="200"/>
        <w:textAlignment w:val="baseline"/>
        <w:rPr>
          <w:rFonts w:ascii="宋体" w:hAnsi="宋体" w:cs="宋体"/>
          <w:color w:val="auto"/>
          <w:szCs w:val="21"/>
          <w:highlight w:val="none"/>
        </w:rPr>
      </w:pPr>
      <w:r>
        <w:rPr>
          <w:rFonts w:hint="eastAsia" w:ascii="宋体" w:hAnsi="宋体" w:cs="宋体"/>
          <w:color w:val="auto"/>
          <w:kern w:val="0"/>
          <w:szCs w:val="21"/>
          <w:highlight w:val="none"/>
        </w:rPr>
        <w:t>服务商应制定相应的信息安全日常服务流程以确保信息安全服务的标准化，标准化流程内容应涵盖日常安全服务、安全咨询服务、安全评估服务、事件管理、问题和隐患的管理等，同时针对现场值守、远程值守、定期巡检、应急响应提供规范。服务流程应包括流程说明及流程图。服务流程应明确流程的定位、组织架构、角色与职责、痕迹记录等。</w:t>
      </w: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2"/>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br w:type="page"/>
      </w:r>
    </w:p>
    <w:p>
      <w:pPr>
        <w:pStyle w:val="3"/>
        <w:numPr>
          <w:ilvl w:val="0"/>
          <w:numId w:val="1"/>
        </w:numPr>
        <w:rPr>
          <w:color w:val="auto"/>
          <w:highlight w:val="none"/>
        </w:rPr>
      </w:pPr>
      <w:bookmarkStart w:id="239" w:name="_Toc29929"/>
      <w:r>
        <w:rPr>
          <w:rFonts w:hint="eastAsia"/>
          <w:color w:val="auto"/>
          <w:highlight w:val="none"/>
        </w:rPr>
        <w:t>详细评审</w:t>
      </w:r>
      <w:bookmarkEnd w:id="239"/>
    </w:p>
    <w:tbl>
      <w:tblPr>
        <w:tblStyle w:val="20"/>
        <w:tblW w:w="101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
        <w:gridCol w:w="498"/>
        <w:gridCol w:w="90"/>
        <w:gridCol w:w="1446"/>
        <w:gridCol w:w="163"/>
        <w:gridCol w:w="734"/>
        <w:gridCol w:w="183"/>
        <w:gridCol w:w="5197"/>
        <w:gridCol w:w="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45"/>
                <w:color w:val="auto"/>
                <w:highlight w:val="none"/>
                <w:lang w:val="en-US" w:eastAsia="zh-CN" w:bidi="ar"/>
              </w:rPr>
              <w:t>序号</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45"/>
                <w:color w:val="auto"/>
                <w:highlight w:val="none"/>
                <w:lang w:val="en-US" w:eastAsia="zh-CN" w:bidi="ar"/>
              </w:rPr>
              <w:t>评审项目</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45"/>
                <w:color w:val="auto"/>
                <w:highlight w:val="none"/>
                <w:lang w:val="en-US" w:eastAsia="zh-CN" w:bidi="ar"/>
              </w:rPr>
              <w:t>分值</w:t>
            </w:r>
          </w:p>
        </w:tc>
        <w:tc>
          <w:tcPr>
            <w:tcW w:w="5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45"/>
                <w:color w:val="auto"/>
                <w:highlight w:val="none"/>
                <w:lang w:val="en-US" w:eastAsia="zh-CN" w:bidi="ar"/>
              </w:rPr>
              <w:t>评审细则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306" w:hRule="atLeast"/>
          <w:jc w:val="center"/>
        </w:trPr>
        <w:tc>
          <w:tcPr>
            <w:tcW w:w="83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商务评审（40分）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540" w:hRule="atLeast"/>
          <w:jc w:val="center"/>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企业资质</w:t>
            </w:r>
          </w:p>
        </w:tc>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15分</w:t>
            </w: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（1）投标人（含其上级分公司或总公司）具有由国家认证认可监督管理部门批准设立的认证机构颁发并在有效期内的：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306"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①具有信息安全管理体系认证证书，得2分；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306"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②具有信息技术服务管理体系认证证书，得2分；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306"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③具有ISO质量管理体系认证证书，得1分；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306"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④具有环境管理体系认证证书，得1分；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306"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⑤具有职业健康安全管理体系认证证书，得1分；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02" w:type="dxa"/>
          <w:wAfter w:w="109" w:type="dxa"/>
          <w:trHeight w:val="540"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（2）投标人（含其上级分公司或总公司）具有CCRC信息安全服务资质认证证书，得5分。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540"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（3）投标人（含其上级分公司或总公司）具有ITSS信息技术服务标准认证证书，得3分；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306"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（须提供有效期证件复印件加盖投标人公章）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540" w:hRule="atLeast"/>
          <w:jc w:val="center"/>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业绩</w:t>
            </w:r>
          </w:p>
        </w:tc>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15分</w:t>
            </w: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2020年以来（以合同签订时间为准）具有网络安全建设或网络安全服务项目业绩，每个得3分，最高得15分。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02" w:type="dxa"/>
          <w:wAfter w:w="109" w:type="dxa"/>
          <w:trHeight w:val="540"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（须提供项目合同复印件加盖投标人公章，合同为直接跟业主签订，分包合同不计分。）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540" w:hRule="atLeast"/>
          <w:jc w:val="center"/>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参与本项目的主要技术人员情况</w:t>
            </w:r>
          </w:p>
        </w:tc>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10分</w:t>
            </w: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投标人（含其上级分公司或总公司）拟安排本项目的项目经理（仅1人）：获取相关资格证书，最高</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540"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①具有中级（计算机类或通信类或电子类专业）以上职称工程师或具有人力资源和社会保障部门颁发的信息系统项目管理师证书得3分；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540"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②具有由工信部教育与考试中心颁发的网络与信息安全管理师或具有中国信息安全测评中心颁发的注册信息安全管理人员证书得3分；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306"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拟安排团队人员（项目经理除外）：获取相关资格证书，最高4分。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306"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①有人力资源和社会保障部门颁发的网络工程师认证证书</w:t>
            </w:r>
            <w:r>
              <w:rPr>
                <w:rFonts w:hint="eastAsia" w:ascii="宋体" w:hAnsi="宋体" w:eastAsia="宋体" w:cs="宋体"/>
                <w:i w:val="0"/>
                <w:iCs w:val="0"/>
                <w:color w:val="auto"/>
                <w:kern w:val="0"/>
                <w:sz w:val="21"/>
                <w:szCs w:val="21"/>
                <w:highlight w:val="none"/>
                <w:u w:val="none"/>
                <w:lang w:val="en-US" w:eastAsia="zh-CN" w:bidi="ar"/>
              </w:rPr>
              <w:t>得1分，</w:t>
            </w: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306"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②有中国信息安全测评中心颁发的注册信息安全工程师证书</w:t>
            </w:r>
            <w:r>
              <w:rPr>
                <w:rFonts w:hint="eastAsia" w:ascii="宋体" w:hAnsi="宋体" w:eastAsia="宋体" w:cs="宋体"/>
                <w:i w:val="0"/>
                <w:iCs w:val="0"/>
                <w:color w:val="auto"/>
                <w:kern w:val="0"/>
                <w:sz w:val="21"/>
                <w:szCs w:val="21"/>
                <w:highlight w:val="none"/>
                <w:u w:val="none"/>
                <w:lang w:val="en-US" w:eastAsia="zh-CN" w:bidi="ar"/>
              </w:rPr>
              <w:t>得,2分</w:t>
            </w: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02" w:type="dxa"/>
          <w:wAfter w:w="109" w:type="dxa"/>
          <w:trHeight w:val="540"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③有中国网络安全审查技术与认证中心颁发的信息安全保障人员证书</w:t>
            </w:r>
            <w:r>
              <w:rPr>
                <w:rFonts w:hint="eastAsia" w:ascii="宋体" w:hAnsi="宋体" w:eastAsia="宋体" w:cs="宋体"/>
                <w:i w:val="0"/>
                <w:iCs w:val="0"/>
                <w:color w:val="auto"/>
                <w:kern w:val="0"/>
                <w:sz w:val="21"/>
                <w:szCs w:val="21"/>
                <w:highlight w:val="none"/>
                <w:u w:val="none"/>
                <w:lang w:val="en-US" w:eastAsia="zh-CN" w:bidi="ar"/>
              </w:rPr>
              <w:t>得1分</w:t>
            </w: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02" w:type="dxa"/>
          <w:wAfter w:w="109" w:type="dxa"/>
          <w:trHeight w:val="540"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注：须提供相关证书及截止至磋商前3个月（不含磋商当月）供应商为其购买的社会保险证明材料复印件并加盖供应商公章。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306" w:hRule="atLeast"/>
          <w:jc w:val="center"/>
        </w:trPr>
        <w:tc>
          <w:tcPr>
            <w:tcW w:w="83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技术评审（50分）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810" w:hRule="atLeast"/>
          <w:jc w:val="center"/>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总体实施方案</w:t>
            </w:r>
          </w:p>
        </w:tc>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2</w:t>
            </w:r>
            <w:r>
              <w:rPr>
                <w:rStyle w:val="46"/>
                <w:rFonts w:hint="eastAsia"/>
                <w:color w:val="auto"/>
                <w:highlight w:val="none"/>
                <w:lang w:val="en-US" w:eastAsia="zh-CN" w:bidi="ar"/>
              </w:rPr>
              <w:t>5</w:t>
            </w:r>
            <w:r>
              <w:rPr>
                <w:rStyle w:val="46"/>
                <w:color w:val="auto"/>
                <w:highlight w:val="none"/>
                <w:lang w:val="en-US" w:eastAsia="zh-CN" w:bidi="ar"/>
              </w:rPr>
              <w:t>分</w:t>
            </w: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根据投标人对实施方案总体设计情况，对用户需求的理解、具体实施管理、项目进度计划有详细的规划方案，针对方案完整性、可行性、科学性、合理性进行综合评比: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102" w:type="dxa"/>
          <w:wAfter w:w="109" w:type="dxa"/>
          <w:trHeight w:val="810"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方案能清晰深刻理解用户需求，整体思路清楚、科学，内容详细具体，方案完全具备可操作性、合理性及针对性，服务承诺和承诺的保障措施优越，得2</w:t>
            </w:r>
            <w:r>
              <w:rPr>
                <w:rStyle w:val="46"/>
                <w:rFonts w:hint="eastAsia"/>
                <w:color w:val="auto"/>
                <w:highlight w:val="none"/>
                <w:lang w:val="en-US" w:eastAsia="zh-CN" w:bidi="ar"/>
              </w:rPr>
              <w:t>5</w:t>
            </w:r>
            <w:r>
              <w:rPr>
                <w:rStyle w:val="46"/>
                <w:color w:val="auto"/>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540"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方案能理解用户需求，内容较详细，方案具备可操作性，并就相关服务内容作出应有承诺，得1</w:t>
            </w:r>
            <w:r>
              <w:rPr>
                <w:rStyle w:val="46"/>
                <w:rFonts w:hint="eastAsia"/>
                <w:color w:val="auto"/>
                <w:highlight w:val="none"/>
                <w:lang w:val="en-US" w:eastAsia="zh-CN" w:bidi="ar"/>
              </w:rPr>
              <w:t>7</w:t>
            </w:r>
            <w:r>
              <w:rPr>
                <w:rStyle w:val="46"/>
                <w:color w:val="auto"/>
                <w:highlight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306"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方案未能清晰理解用户需求以及未作出有效的服务承诺，得8分。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306"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540" w:hRule="atLeast"/>
          <w:jc w:val="center"/>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技术响应情况</w:t>
            </w:r>
          </w:p>
        </w:tc>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根据投标人对用户需求“▲”号技术参数响应情况进行评审，全部满足或优于得</w:t>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分，其中每有一项负偏离或无响应的扣1分，扣完为止。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1350"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注：（1）用户需求书要求提供证明资料的，则投标文件中须提供对应产品参数的证明资料。（2）用户需求书未要求提供证明资料的，则投标文件中须提供所投产品彩页或原厂商的官方技术白皮书（或产品说明书）或原厂商所作的技术参数说明或原厂商网站链接及网站产品说明的截图等详细技术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540" w:hRule="atLeast"/>
          <w:jc w:val="center"/>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质量安全管理及售后服务</w:t>
            </w:r>
          </w:p>
        </w:tc>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12分</w:t>
            </w: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根据投标人是否制定了服务质量及安全管理制度，及提供售后和培训方案进行评审，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540"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考虑周全、结构完整，切实可行并全面贴合现有业务需求，完全适用项目需求得12分；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540"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考虑较周全、结构较完整，切实可行并全面贴合现有业务需求，基本适用项目需求得7分；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306"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考虑不周全、结构不完整，不适用项目需求得2分；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306"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1"/>
                <w:szCs w:val="21"/>
                <w:highlight w:val="none"/>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未提供得0分。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306" w:hRule="atLeast"/>
          <w:jc w:val="center"/>
        </w:trPr>
        <w:tc>
          <w:tcPr>
            <w:tcW w:w="83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45"/>
                <w:color w:val="auto"/>
                <w:highlight w:val="none"/>
                <w:lang w:val="en-US" w:eastAsia="zh-CN" w:bidi="ar"/>
              </w:rPr>
              <w:t>价格评审（10分）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540" w:hRule="atLeast"/>
          <w:jc w:val="center"/>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响应报价</w:t>
            </w:r>
          </w:p>
        </w:tc>
        <w:tc>
          <w:tcPr>
            <w:tcW w:w="1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10分</w:t>
            </w: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价格分计算方法：满足磋商文件要求且响应价格最低的响应报价为评标基准价，其价格分为满分。其他供应商的价格分统一按照下列公式计算：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2" w:type="dxa"/>
          <w:wAfter w:w="109" w:type="dxa"/>
          <w:trHeight w:val="306"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5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46"/>
                <w:color w:val="auto"/>
                <w:highlight w:val="none"/>
                <w:lang w:val="en-US" w:eastAsia="zh-CN" w:bidi="ar"/>
              </w:rPr>
              <w:t>响应报价得分=(评标基准价／响应报价)×价格权值</w:t>
            </w:r>
          </w:p>
        </w:tc>
      </w:tr>
    </w:tbl>
    <w:p>
      <w:pPr>
        <w:rPr>
          <w:color w:val="auto"/>
          <w:highlight w:val="none"/>
        </w:rPr>
      </w:pPr>
      <w:r>
        <w:rPr>
          <w:color w:val="auto"/>
          <w:highlight w:val="none"/>
        </w:rPr>
        <w:br w:type="page"/>
      </w:r>
      <w:bookmarkStart w:id="240" w:name="_Toc20102"/>
      <w:r>
        <w:rPr>
          <w:rFonts w:hint="eastAsia"/>
          <w:color w:val="auto"/>
          <w:highlight w:val="none"/>
        </w:rPr>
        <w:t>合同文本参考格式</w:t>
      </w:r>
      <w:bookmarkEnd w:id="240"/>
    </w:p>
    <w:p>
      <w:pPr>
        <w:jc w:val="center"/>
        <w:outlineLvl w:val="1"/>
        <w:rPr>
          <w:color w:val="auto"/>
          <w:sz w:val="18"/>
          <w:szCs w:val="21"/>
          <w:highlight w:val="none"/>
        </w:rPr>
      </w:pPr>
      <w:bookmarkStart w:id="241" w:name="_Toc27897"/>
      <w:bookmarkStart w:id="242" w:name="_Toc25458"/>
      <w:bookmarkStart w:id="243" w:name="_Toc20453"/>
      <w:bookmarkStart w:id="244" w:name="_Toc1541"/>
      <w:r>
        <w:rPr>
          <w:rFonts w:hint="eastAsia" w:ascii="宋体" w:hAnsi="宋体" w:cs="宋体"/>
          <w:b/>
          <w:bCs/>
          <w:color w:val="auto"/>
          <w:sz w:val="22"/>
          <w:szCs w:val="22"/>
          <w:highlight w:val="none"/>
        </w:rPr>
        <w:t>（本格式编排在磋商文件中，供供应商参考，响应时不需填写）</w:t>
      </w:r>
      <w:bookmarkEnd w:id="241"/>
      <w:bookmarkEnd w:id="242"/>
      <w:bookmarkEnd w:id="243"/>
      <w:bookmarkEnd w:id="244"/>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项目的采购结果，按照《中华人民共和国政府采购法》，《中华人民共和国民法典(合同编)》的规定，经双方协商，本着平等互利和诚实信用的原则，一致同意遵守本合同如下。</w:t>
      </w:r>
    </w:p>
    <w:p>
      <w:pPr>
        <w:spacing w:line="360" w:lineRule="auto"/>
        <w:outlineLvl w:val="1"/>
        <w:rPr>
          <w:b/>
          <w:bCs/>
          <w:color w:val="auto"/>
          <w:highlight w:val="none"/>
        </w:rPr>
      </w:pPr>
      <w:bookmarkStart w:id="245" w:name="_Toc864"/>
      <w:bookmarkStart w:id="246" w:name="_Toc3633"/>
      <w:bookmarkStart w:id="247" w:name="_Toc14994"/>
      <w:bookmarkStart w:id="248" w:name="_Toc21895"/>
      <w:r>
        <w:rPr>
          <w:rFonts w:hint="eastAsia"/>
          <w:b/>
          <w:bCs/>
          <w:color w:val="auto"/>
          <w:highlight w:val="none"/>
        </w:rPr>
        <w:t>一、合同金额</w:t>
      </w:r>
      <w:bookmarkEnd w:id="245"/>
      <w:bookmarkEnd w:id="246"/>
      <w:bookmarkEnd w:id="247"/>
      <w:bookmarkEnd w:id="248"/>
    </w:p>
    <w:p>
      <w:pPr>
        <w:spacing w:line="360" w:lineRule="auto"/>
        <w:ind w:firstLine="420" w:firstLineChars="200"/>
        <w:rPr>
          <w:rFonts w:hint="eastAsia"/>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pPr>
        <w:spacing w:line="360" w:lineRule="auto"/>
        <w:ind w:firstLine="420" w:firstLineChars="200"/>
        <w:rPr>
          <w:rFonts w:hint="eastAsia" w:eastAsia="宋体"/>
          <w:color w:val="auto"/>
          <w:highlight w:val="none"/>
          <w:lang w:eastAsia="zh-CN"/>
        </w:rPr>
      </w:pPr>
      <w:r>
        <w:rPr>
          <w:rFonts w:hint="eastAsia"/>
          <w:color w:val="auto"/>
          <w:sz w:val="21"/>
          <w:szCs w:val="21"/>
          <w:highlight w:val="none"/>
          <w:lang w:val="en-US" w:eastAsia="zh-CN"/>
        </w:rPr>
        <w:t>履约保证金：乙方应在领取成交通知书之后签订合同之前递交履约保证金，履约保证金金额为合同金额的5%，</w:t>
      </w:r>
      <w:r>
        <w:rPr>
          <w:rFonts w:ascii="宋体" w:hAnsi="宋体" w:eastAsia="宋体"/>
          <w:color w:val="auto"/>
          <w:sz w:val="21"/>
          <w:szCs w:val="21"/>
          <w:highlight w:val="none"/>
        </w:rPr>
        <w:t>采用履约保证金保函形式向</w:t>
      </w:r>
      <w:r>
        <w:rPr>
          <w:rFonts w:hint="eastAsia" w:ascii="宋体" w:hAnsi="宋体" w:eastAsia="宋体"/>
          <w:color w:val="auto"/>
          <w:sz w:val="21"/>
          <w:szCs w:val="21"/>
          <w:highlight w:val="none"/>
          <w:lang w:val="en-US" w:eastAsia="zh-CN"/>
        </w:rPr>
        <w:t>甲方</w:t>
      </w:r>
      <w:r>
        <w:rPr>
          <w:rFonts w:ascii="宋体" w:hAnsi="宋体" w:eastAsia="宋体"/>
          <w:color w:val="auto"/>
          <w:sz w:val="21"/>
          <w:szCs w:val="21"/>
          <w:highlight w:val="none"/>
        </w:rPr>
        <w:t>提供履约保函。</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保函可由银行或第三方有资质公司出具。</w:t>
      </w:r>
      <w:r>
        <w:rPr>
          <w:rFonts w:hint="eastAsia" w:ascii="宋体" w:hAnsi="宋体" w:eastAsia="宋体"/>
          <w:color w:val="auto"/>
          <w:sz w:val="21"/>
          <w:szCs w:val="21"/>
          <w:highlight w:val="none"/>
          <w:lang w:eastAsia="zh-CN"/>
        </w:rPr>
        <w:t>）</w:t>
      </w:r>
    </w:p>
    <w:p>
      <w:pPr>
        <w:spacing w:line="360" w:lineRule="auto"/>
        <w:outlineLvl w:val="1"/>
        <w:rPr>
          <w:b/>
          <w:bCs/>
          <w:color w:val="auto"/>
          <w:highlight w:val="none"/>
        </w:rPr>
      </w:pPr>
      <w:bookmarkStart w:id="249" w:name="_Toc31907"/>
      <w:bookmarkStart w:id="250" w:name="_Toc32599"/>
      <w:bookmarkStart w:id="251" w:name="_Toc8673"/>
      <w:bookmarkStart w:id="252" w:name="_Toc8984"/>
      <w:r>
        <w:rPr>
          <w:rFonts w:hint="eastAsia"/>
          <w:b/>
          <w:bCs/>
          <w:color w:val="auto"/>
          <w:highlight w:val="none"/>
        </w:rPr>
        <w:t>二、服务范围</w:t>
      </w:r>
      <w:bookmarkEnd w:id="249"/>
      <w:bookmarkEnd w:id="250"/>
      <w:bookmarkEnd w:id="251"/>
      <w:bookmarkEnd w:id="252"/>
    </w:p>
    <w:p>
      <w:pPr>
        <w:spacing w:line="360" w:lineRule="auto"/>
        <w:ind w:firstLine="420" w:firstLineChars="200"/>
        <w:rPr>
          <w:color w:val="auto"/>
          <w:highlight w:val="none"/>
        </w:rPr>
      </w:pPr>
      <w:r>
        <w:rPr>
          <w:rFonts w:hint="eastAsia"/>
          <w:color w:val="auto"/>
          <w:highlight w:val="none"/>
        </w:rPr>
        <w:t>甲方聘请乙方提供以下服务：</w:t>
      </w:r>
    </w:p>
    <w:p>
      <w:pPr>
        <w:spacing w:line="360" w:lineRule="auto"/>
        <w:ind w:firstLine="420" w:firstLineChars="200"/>
        <w:rPr>
          <w:color w:val="auto"/>
          <w:highlight w:val="none"/>
        </w:rPr>
      </w:pPr>
      <w:r>
        <w:rPr>
          <w:rFonts w:hint="eastAsia"/>
          <w:color w:val="auto"/>
          <w:highlight w:val="none"/>
        </w:rPr>
        <w:t xml:space="preserve">1.               </w:t>
      </w:r>
    </w:p>
    <w:p>
      <w:pPr>
        <w:spacing w:line="360" w:lineRule="auto"/>
        <w:ind w:firstLine="420" w:firstLineChars="200"/>
        <w:rPr>
          <w:color w:val="auto"/>
          <w:highlight w:val="none"/>
        </w:rPr>
      </w:pPr>
      <w:r>
        <w:rPr>
          <w:rFonts w:hint="eastAsia"/>
          <w:color w:val="auto"/>
          <w:highlight w:val="none"/>
        </w:rPr>
        <w:t xml:space="preserve">2．              </w:t>
      </w:r>
    </w:p>
    <w:p>
      <w:pPr>
        <w:spacing w:line="360" w:lineRule="auto"/>
        <w:outlineLvl w:val="1"/>
        <w:rPr>
          <w:b/>
          <w:bCs/>
          <w:color w:val="auto"/>
          <w:highlight w:val="none"/>
        </w:rPr>
      </w:pPr>
      <w:bookmarkStart w:id="253" w:name="_Toc23270"/>
      <w:bookmarkStart w:id="254" w:name="_Toc2159"/>
      <w:bookmarkStart w:id="255" w:name="_Toc28304"/>
      <w:bookmarkStart w:id="256" w:name="_Toc9958"/>
      <w:r>
        <w:rPr>
          <w:rFonts w:hint="eastAsia"/>
          <w:b/>
          <w:bCs/>
          <w:color w:val="auto"/>
          <w:highlight w:val="none"/>
        </w:rPr>
        <w:t>三、甲方乙方的权利和义务</w:t>
      </w:r>
      <w:bookmarkEnd w:id="253"/>
      <w:bookmarkEnd w:id="254"/>
      <w:bookmarkEnd w:id="255"/>
      <w:bookmarkEnd w:id="256"/>
    </w:p>
    <w:p>
      <w:pPr>
        <w:spacing w:line="360" w:lineRule="auto"/>
        <w:ind w:firstLine="420" w:firstLineChars="200"/>
        <w:rPr>
          <w:color w:val="auto"/>
          <w:highlight w:val="none"/>
        </w:rPr>
      </w:pPr>
      <w:r>
        <w:rPr>
          <w:rFonts w:hint="eastAsia"/>
          <w:color w:val="auto"/>
          <w:highlight w:val="none"/>
        </w:rPr>
        <w:t>甲方的权利和义务：</w:t>
      </w:r>
    </w:p>
    <w:p>
      <w:pPr>
        <w:spacing w:line="360" w:lineRule="auto"/>
        <w:ind w:firstLine="420" w:firstLineChars="200"/>
        <w:rPr>
          <w:color w:val="auto"/>
          <w:highlight w:val="none"/>
        </w:rPr>
      </w:pPr>
      <w:r>
        <w:rPr>
          <w:rFonts w:hint="eastAsia"/>
          <w:color w:val="auto"/>
          <w:highlight w:val="none"/>
        </w:rPr>
        <w:t>乙方的权利和义务：</w:t>
      </w:r>
    </w:p>
    <w:p>
      <w:pPr>
        <w:spacing w:line="360" w:lineRule="auto"/>
        <w:outlineLvl w:val="1"/>
        <w:rPr>
          <w:b/>
          <w:bCs/>
          <w:color w:val="auto"/>
          <w:highlight w:val="none"/>
        </w:rPr>
      </w:pPr>
      <w:bookmarkStart w:id="257" w:name="_Toc13843"/>
      <w:bookmarkStart w:id="258" w:name="_Toc3949"/>
      <w:bookmarkStart w:id="259" w:name="_Toc29743"/>
      <w:bookmarkStart w:id="260" w:name="_Toc31228"/>
      <w:r>
        <w:rPr>
          <w:rFonts w:hint="eastAsia"/>
          <w:b/>
          <w:bCs/>
          <w:color w:val="auto"/>
          <w:highlight w:val="none"/>
        </w:rPr>
        <w:t>四、服务期间（项目完成期限）</w:t>
      </w:r>
      <w:bookmarkEnd w:id="257"/>
      <w:bookmarkEnd w:id="258"/>
      <w:bookmarkEnd w:id="259"/>
      <w:bookmarkEnd w:id="260"/>
    </w:p>
    <w:p>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pPr>
        <w:spacing w:line="360" w:lineRule="auto"/>
        <w:outlineLvl w:val="1"/>
        <w:rPr>
          <w:b/>
          <w:bCs/>
          <w:color w:val="auto"/>
          <w:highlight w:val="none"/>
        </w:rPr>
      </w:pPr>
      <w:bookmarkStart w:id="261" w:name="_Toc30401"/>
      <w:bookmarkStart w:id="262" w:name="_Toc3509"/>
      <w:bookmarkStart w:id="263" w:name="_Toc1315"/>
      <w:bookmarkStart w:id="264" w:name="_Toc26555"/>
      <w:r>
        <w:rPr>
          <w:rFonts w:hint="eastAsia"/>
          <w:b/>
          <w:bCs/>
          <w:color w:val="auto"/>
          <w:highlight w:val="none"/>
        </w:rPr>
        <w:t>五、付款方式</w:t>
      </w:r>
      <w:bookmarkEnd w:id="261"/>
      <w:bookmarkEnd w:id="262"/>
      <w:bookmarkEnd w:id="263"/>
      <w:bookmarkEnd w:id="264"/>
    </w:p>
    <w:p>
      <w:pPr>
        <w:spacing w:line="360" w:lineRule="auto"/>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本合同的付款方式为：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b/>
          <w:bCs/>
          <w:color w:val="auto"/>
          <w:highlight w:val="none"/>
        </w:rPr>
      </w:pPr>
      <w:bookmarkStart w:id="265" w:name="_Toc25049"/>
      <w:bookmarkStart w:id="266" w:name="_Toc28728"/>
      <w:bookmarkStart w:id="267" w:name="_Toc27026"/>
      <w:bookmarkStart w:id="268" w:name="_Toc29016"/>
      <w:r>
        <w:rPr>
          <w:rFonts w:hint="eastAsia"/>
          <w:b/>
          <w:bCs/>
          <w:color w:val="auto"/>
          <w:highlight w:val="none"/>
        </w:rPr>
        <w:t>六、知识产权归属</w:t>
      </w:r>
      <w:bookmarkEnd w:id="265"/>
      <w:bookmarkEnd w:id="266"/>
      <w:bookmarkEnd w:id="267"/>
      <w:bookmarkEnd w:id="268"/>
    </w:p>
    <w:p>
      <w:pPr>
        <w:spacing w:line="360" w:lineRule="auto"/>
        <w:outlineLvl w:val="1"/>
        <w:rPr>
          <w:b/>
          <w:bCs/>
          <w:color w:val="auto"/>
          <w:highlight w:val="none"/>
        </w:rPr>
      </w:pPr>
      <w:bookmarkStart w:id="269" w:name="_Toc491"/>
      <w:bookmarkStart w:id="270" w:name="_Toc25037"/>
      <w:bookmarkStart w:id="271" w:name="_Toc16011"/>
      <w:bookmarkStart w:id="272" w:name="_Toc15194"/>
      <w:r>
        <w:rPr>
          <w:rFonts w:hint="eastAsia"/>
          <w:b/>
          <w:bCs/>
          <w:color w:val="auto"/>
          <w:highlight w:val="none"/>
        </w:rPr>
        <w:t>七、保密</w:t>
      </w:r>
      <w:bookmarkEnd w:id="269"/>
      <w:bookmarkEnd w:id="270"/>
      <w:bookmarkEnd w:id="271"/>
      <w:bookmarkEnd w:id="272"/>
    </w:p>
    <w:p>
      <w:pPr>
        <w:spacing w:line="360" w:lineRule="auto"/>
        <w:outlineLvl w:val="1"/>
        <w:rPr>
          <w:b/>
          <w:bCs/>
          <w:color w:val="auto"/>
          <w:highlight w:val="none"/>
        </w:rPr>
      </w:pPr>
      <w:bookmarkStart w:id="273" w:name="_Toc14319"/>
      <w:bookmarkStart w:id="274" w:name="_Toc5642"/>
      <w:bookmarkStart w:id="275" w:name="_Toc28189"/>
      <w:bookmarkStart w:id="276" w:name="_Toc8277"/>
      <w:r>
        <w:rPr>
          <w:rFonts w:hint="eastAsia"/>
          <w:b/>
          <w:bCs/>
          <w:color w:val="auto"/>
          <w:highlight w:val="none"/>
        </w:rPr>
        <w:t>八、违约责任与赔偿损失</w:t>
      </w:r>
      <w:bookmarkEnd w:id="273"/>
      <w:bookmarkEnd w:id="274"/>
      <w:bookmarkEnd w:id="275"/>
      <w:bookmarkEnd w:id="276"/>
    </w:p>
    <w:p>
      <w:pPr>
        <w:spacing w:line="360" w:lineRule="auto"/>
        <w:ind w:firstLine="420" w:firstLineChars="200"/>
        <w:rPr>
          <w:color w:val="auto"/>
          <w:highlight w:val="none"/>
        </w:rPr>
      </w:pPr>
      <w:r>
        <w:rPr>
          <w:rFonts w:hint="eastAsia"/>
          <w:color w:val="auto"/>
          <w:highlight w:val="none"/>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color w:val="auto"/>
          <w:highlight w:val="none"/>
        </w:rPr>
      </w:pPr>
      <w:r>
        <w:rPr>
          <w:rFonts w:hint="eastAsia"/>
          <w:color w:val="auto"/>
          <w:highlight w:val="none"/>
        </w:rPr>
        <w:t>2.甲方无正当理由拒收接受服务，到期拒付服务款项的，甲方向乙方偿付本合同总的5%的违约金。甲方人逾期付款，则每日按本合同总价的3‰向乙方偿付违约金。</w:t>
      </w:r>
    </w:p>
    <w:p>
      <w:pPr>
        <w:spacing w:line="360" w:lineRule="auto"/>
        <w:ind w:firstLine="420" w:firstLineChars="200"/>
        <w:rPr>
          <w:color w:val="auto"/>
          <w:highlight w:val="none"/>
        </w:rPr>
      </w:pPr>
      <w:r>
        <w:rPr>
          <w:rFonts w:hint="eastAsia"/>
          <w:color w:val="auto"/>
          <w:highlight w:val="none"/>
        </w:rPr>
        <w:t>3.对于因甲方原因导致变更、中止或者终止政府采购合同的，甲方应当依照以下合同约定对供应商受到的损失予以赔偿或者补偿：</w:t>
      </w:r>
    </w:p>
    <w:p>
      <w:pPr>
        <w:spacing w:line="360" w:lineRule="auto"/>
        <w:ind w:firstLine="420" w:firstLineChars="200"/>
        <w:rPr>
          <w:color w:val="auto"/>
          <w:highlight w:val="none"/>
        </w:rPr>
      </w:pPr>
      <w:r>
        <w:rPr>
          <w:rFonts w:hint="eastAsia"/>
          <w:color w:val="auto"/>
          <w:highlight w:val="none"/>
        </w:rPr>
        <w:t>4.其它违约责任按《中华人民共和国民法典(合同编)》处理</w:t>
      </w:r>
    </w:p>
    <w:p>
      <w:pPr>
        <w:spacing w:line="360" w:lineRule="auto"/>
        <w:outlineLvl w:val="1"/>
        <w:rPr>
          <w:b/>
          <w:bCs/>
          <w:color w:val="auto"/>
          <w:highlight w:val="none"/>
        </w:rPr>
      </w:pPr>
      <w:bookmarkStart w:id="277" w:name="_Toc23187"/>
      <w:bookmarkStart w:id="278" w:name="_Toc30679"/>
      <w:bookmarkStart w:id="279" w:name="_Toc24754"/>
      <w:bookmarkStart w:id="280" w:name="_Toc18504"/>
      <w:r>
        <w:rPr>
          <w:rFonts w:hint="eastAsia"/>
          <w:b/>
          <w:bCs/>
          <w:color w:val="auto"/>
          <w:highlight w:val="none"/>
        </w:rPr>
        <w:t>九、争议的解决</w:t>
      </w:r>
      <w:bookmarkEnd w:id="277"/>
      <w:bookmarkEnd w:id="278"/>
      <w:bookmarkEnd w:id="279"/>
      <w:bookmarkEnd w:id="280"/>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双方同意提交甲方所在地人民法院以诉讼方式解决，由此产生的律师费、担保费、保全费、诉讼费、鉴定费、公告费、公证费等相关费用由败诉方承担。</w:t>
      </w:r>
    </w:p>
    <w:p>
      <w:pPr>
        <w:spacing w:line="360" w:lineRule="auto"/>
        <w:outlineLvl w:val="1"/>
        <w:rPr>
          <w:b/>
          <w:bCs/>
          <w:color w:val="auto"/>
          <w:highlight w:val="none"/>
        </w:rPr>
      </w:pPr>
      <w:bookmarkStart w:id="281" w:name="_Toc20074"/>
      <w:bookmarkStart w:id="282" w:name="_Toc23085"/>
      <w:bookmarkStart w:id="283" w:name="_Toc26856"/>
      <w:bookmarkStart w:id="284" w:name="_Toc21080"/>
      <w:r>
        <w:rPr>
          <w:rFonts w:hint="eastAsia"/>
          <w:b/>
          <w:bCs/>
          <w:color w:val="auto"/>
          <w:highlight w:val="none"/>
        </w:rPr>
        <w:t>十、不可抗力</w:t>
      </w:r>
      <w:bookmarkEnd w:id="281"/>
      <w:bookmarkEnd w:id="282"/>
      <w:bookmarkEnd w:id="283"/>
      <w:bookmarkEnd w:id="284"/>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285" w:name="_Toc12495"/>
      <w:bookmarkStart w:id="286" w:name="_Toc12645"/>
      <w:bookmarkStart w:id="287" w:name="_Toc16247"/>
      <w:bookmarkStart w:id="288" w:name="_Toc29236"/>
      <w:r>
        <w:rPr>
          <w:rFonts w:hint="eastAsia"/>
          <w:b/>
          <w:bCs/>
          <w:color w:val="auto"/>
          <w:highlight w:val="none"/>
        </w:rPr>
        <w:t>十一、税费</w:t>
      </w:r>
      <w:bookmarkEnd w:id="285"/>
      <w:bookmarkEnd w:id="286"/>
      <w:bookmarkEnd w:id="287"/>
      <w:bookmarkEnd w:id="288"/>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289" w:name="_Toc16429"/>
      <w:bookmarkStart w:id="290" w:name="_Toc1974"/>
      <w:bookmarkStart w:id="291" w:name="_Toc7253"/>
      <w:bookmarkStart w:id="292" w:name="_Toc14065"/>
      <w:r>
        <w:rPr>
          <w:rFonts w:hint="eastAsia"/>
          <w:b/>
          <w:bCs/>
          <w:color w:val="auto"/>
          <w:highlight w:val="none"/>
        </w:rPr>
        <w:t>十二、其它</w:t>
      </w:r>
      <w:bookmarkEnd w:id="289"/>
      <w:bookmarkEnd w:id="290"/>
      <w:bookmarkEnd w:id="291"/>
      <w:bookmarkEnd w:id="292"/>
    </w:p>
    <w:p>
      <w:pPr>
        <w:spacing w:line="360" w:lineRule="auto"/>
        <w:ind w:firstLine="420" w:firstLineChars="200"/>
        <w:rPr>
          <w:color w:val="auto"/>
          <w:highlight w:val="none"/>
        </w:rPr>
      </w:pPr>
      <w:r>
        <w:rPr>
          <w:rFonts w:hint="eastAsia"/>
          <w:color w:val="auto"/>
          <w:highlight w:val="none"/>
        </w:rPr>
        <w:t>1.本合同所有附件、磋商文件、响应文件、中标通知书均为合同的有效组成部分，与本合同具有同等法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293" w:name="_Toc15369"/>
      <w:bookmarkStart w:id="294" w:name="_Toc13763"/>
      <w:bookmarkStart w:id="295" w:name="_Toc31822"/>
      <w:bookmarkStart w:id="296" w:name="_Toc22153"/>
      <w:r>
        <w:rPr>
          <w:rFonts w:hint="eastAsia"/>
          <w:b/>
          <w:bCs/>
          <w:color w:val="auto"/>
          <w:highlight w:val="none"/>
        </w:rPr>
        <w:t>十三、合同生效</w:t>
      </w:r>
      <w:bookmarkEnd w:id="293"/>
      <w:bookmarkEnd w:id="294"/>
      <w:bookmarkEnd w:id="295"/>
      <w:bookmarkEnd w:id="296"/>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spacing w:line="360" w:lineRule="auto"/>
        <w:rPr>
          <w:color w:val="auto"/>
          <w:highlight w:val="none"/>
        </w:rPr>
      </w:pPr>
      <w:r>
        <w:rPr>
          <w:rFonts w:hint="eastAsia"/>
          <w:color w:val="auto"/>
          <w:highlight w:val="none"/>
        </w:rPr>
        <w:t>开 户 行：</w:t>
      </w:r>
    </w:p>
    <w:p>
      <w:pPr>
        <w:rPr>
          <w:color w:val="auto"/>
          <w:highlight w:val="none"/>
        </w:rPr>
      </w:pPr>
      <w:r>
        <w:rPr>
          <w:rFonts w:hint="eastAsia"/>
          <w:color w:val="auto"/>
          <w:highlight w:val="none"/>
        </w:rPr>
        <w:br w:type="page"/>
      </w:r>
    </w:p>
    <w:p>
      <w:pPr>
        <w:pStyle w:val="3"/>
        <w:rPr>
          <w:color w:val="auto"/>
          <w:highlight w:val="none"/>
        </w:rPr>
      </w:pPr>
      <w:bookmarkStart w:id="297" w:name="_Toc2896"/>
      <w:r>
        <w:rPr>
          <w:rFonts w:hint="eastAsia"/>
          <w:color w:val="auto"/>
          <w:highlight w:val="none"/>
        </w:rPr>
        <w:t>第六篇 响应文件格式</w:t>
      </w:r>
      <w:bookmarkEnd w:id="297"/>
    </w:p>
    <w:p>
      <w:pPr>
        <w:rPr>
          <w:b/>
          <w:bCs/>
          <w:color w:val="auto"/>
          <w:highlight w:val="none"/>
        </w:rPr>
      </w:pPr>
      <w:r>
        <w:rPr>
          <w:rFonts w:hint="eastAsia"/>
          <w:b/>
          <w:bCs/>
          <w:color w:val="auto"/>
          <w:highlight w:val="none"/>
        </w:rPr>
        <w:t>注意事项：</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供应商应提交证明其有资格参加投标（响应）和中标后有能力履行合同的相关文件，并作为其响应文件的一部分，所有文件必须真实可靠、不得伪造，否则将按相关规定予以处罚。</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6.供应商参加政府采购前三年内在经营活动中没有重大违法记录书面声明函。</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（2）查询截止时点：提交响应文件截止日当天；</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（3）查询记录：对列入失信被执行人、税收违法黑名单、政府采购严重违法失信行为记录名单、信用报告进行查询；</w:t>
      </w:r>
    </w:p>
    <w:p>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8.按照磋商文件要求，供应商应当提交的资格、资信证明文件。</w:t>
      </w:r>
    </w:p>
    <w:p>
      <w:pPr>
        <w:jc w:val="center"/>
        <w:outlineLvl w:val="1"/>
        <w:rPr>
          <w:b/>
          <w:bCs/>
          <w:color w:val="auto"/>
          <w:highlight w:val="none"/>
        </w:rPr>
      </w:pPr>
      <w:bookmarkStart w:id="298" w:name="_Toc712"/>
      <w:bookmarkStart w:id="299" w:name="_Toc32213"/>
      <w:bookmarkStart w:id="300" w:name="_Toc7065"/>
      <w:bookmarkStart w:id="301" w:name="_Toc23380"/>
      <w:r>
        <w:rPr>
          <w:rFonts w:hint="eastAsia"/>
          <w:b/>
          <w:bCs/>
          <w:color w:val="auto"/>
          <w:highlight w:val="none"/>
        </w:rPr>
        <w:t>（封面格式仅供参考）</w:t>
      </w:r>
      <w:bookmarkEnd w:id="298"/>
      <w:bookmarkEnd w:id="299"/>
      <w:bookmarkEnd w:id="300"/>
      <w:bookmarkEnd w:id="301"/>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302" w:name="_Toc26688"/>
      <w:bookmarkStart w:id="303" w:name="_Toc4650"/>
      <w:bookmarkStart w:id="304" w:name="_Toc14748"/>
      <w:bookmarkStart w:id="305" w:name="_Toc24171"/>
      <w:r>
        <w:rPr>
          <w:rFonts w:hint="eastAsia" w:ascii="宋体" w:hAnsi="宋体" w:cs="宋体"/>
          <w:b/>
          <w:color w:val="auto"/>
          <w:spacing w:val="10"/>
          <w:kern w:val="0"/>
          <w:sz w:val="38"/>
          <w:szCs w:val="38"/>
          <w:highlight w:val="none"/>
          <w:lang w:val="zh-CN" w:bidi="zh-CN"/>
        </w:rPr>
        <w:t>响应文件</w:t>
      </w:r>
      <w:r>
        <w:rPr>
          <w:rFonts w:ascii="宋体" w:hAnsi="宋体" w:cs="宋体"/>
          <w:b/>
          <w:color w:val="auto"/>
          <w:spacing w:val="10"/>
          <w:kern w:val="0"/>
          <w:sz w:val="38"/>
          <w:szCs w:val="38"/>
          <w:highlight w:val="none"/>
          <w:lang w:val="zh-CN" w:bidi="zh-CN"/>
        </w:rPr>
        <w:t>封面</w:t>
      </w:r>
      <w:bookmarkEnd w:id="302"/>
      <w:bookmarkEnd w:id="303"/>
      <w:bookmarkEnd w:id="304"/>
      <w:bookmarkEnd w:id="305"/>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06" w:name="_Toc25136"/>
      <w:bookmarkStart w:id="307" w:name="_Toc17848"/>
      <w:bookmarkStart w:id="308" w:name="_Toc6353"/>
      <w:bookmarkStart w:id="309" w:name="_Toc302"/>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306"/>
      <w:bookmarkEnd w:id="307"/>
      <w:bookmarkEnd w:id="308"/>
      <w:bookmarkEnd w:id="309"/>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312" w:beforeLines="100" w:after="312"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rFonts w:hint="eastAsia"/>
          <w:b/>
          <w:color w:val="auto"/>
          <w:sz w:val="24"/>
          <w:highlight w:val="none"/>
        </w:rPr>
        <w:t>响应文件</w:t>
      </w:r>
      <w:r>
        <w:rPr>
          <w:b/>
          <w:color w:val="auto"/>
          <w:sz w:val="24"/>
          <w:highlight w:val="none"/>
        </w:rPr>
        <w:t>目录</w:t>
      </w:r>
    </w:p>
    <w:p>
      <w:pPr>
        <w:pStyle w:val="2"/>
        <w:spacing w:before="8"/>
        <w:rPr>
          <w:b/>
          <w:color w:val="auto"/>
          <w:sz w:val="12"/>
          <w:highlight w:val="none"/>
        </w:rPr>
      </w:pPr>
    </w:p>
    <w:p>
      <w:pPr>
        <w:spacing w:line="360" w:lineRule="auto"/>
        <w:rPr>
          <w:color w:val="auto"/>
          <w:highlight w:val="none"/>
        </w:rPr>
      </w:pPr>
      <w:r>
        <w:rPr>
          <w:color w:val="auto"/>
          <w:highlight w:val="none"/>
        </w:rPr>
        <w:t>一、</w:t>
      </w:r>
      <w:r>
        <w:rPr>
          <w:rFonts w:hint="eastAsia"/>
          <w:color w:val="auto"/>
          <w:highlight w:val="none"/>
        </w:rPr>
        <w:t>响应承诺</w:t>
      </w:r>
      <w:r>
        <w:rPr>
          <w:color w:val="auto"/>
          <w:highlight w:val="none"/>
        </w:rPr>
        <w:t>函</w:t>
      </w:r>
    </w:p>
    <w:p>
      <w:pPr>
        <w:spacing w:line="360" w:lineRule="auto"/>
        <w:rPr>
          <w:color w:val="auto"/>
          <w:highlight w:val="none"/>
        </w:rPr>
      </w:pPr>
      <w:r>
        <w:rPr>
          <w:color w:val="auto"/>
          <w:highlight w:val="none"/>
        </w:rPr>
        <w:t>二、</w:t>
      </w:r>
      <w:r>
        <w:rPr>
          <w:rFonts w:hint="eastAsia"/>
          <w:color w:val="auto"/>
          <w:highlight w:val="none"/>
        </w:rPr>
        <w:t>首轮报价表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响应保证金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供应商业绩情况表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需要采购人提供的附加条件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2"/>
        <w:jc w:val="center"/>
        <w:rPr>
          <w:b/>
          <w:color w:val="auto"/>
          <w:sz w:val="12"/>
          <w:highlight w:val="none"/>
        </w:rPr>
      </w:pPr>
      <w:r>
        <w:rPr>
          <w:rFonts w:hint="eastAsia"/>
          <w:b/>
          <w:color w:val="auto"/>
          <w:highlight w:val="none"/>
          <w:lang w:val="en-US"/>
        </w:rPr>
        <w:t>响应承诺</w:t>
      </w:r>
      <w:r>
        <w:rPr>
          <w:b/>
          <w:color w:val="auto"/>
          <w:highlight w:val="none"/>
        </w:rPr>
        <w:t>函</w:t>
      </w:r>
    </w:p>
    <w:p>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竞争性磋商</w:t>
      </w:r>
      <w:r>
        <w:rPr>
          <w:rFonts w:hint="eastAsia"/>
          <w:color w:val="auto"/>
          <w:sz w:val="21"/>
          <w:szCs w:val="21"/>
          <w:highlight w:val="none"/>
        </w:rPr>
        <w:t>[项目编号为：</w:t>
      </w:r>
      <w:r>
        <w:rPr>
          <w:rFonts w:hint="eastAsia"/>
          <w:color w:val="auto"/>
          <w:sz w:val="21"/>
          <w:szCs w:val="21"/>
          <w:highlight w:val="none"/>
          <w:lang w:val="en-US"/>
        </w:rPr>
        <w:t xml:space="preserve">     </w:t>
      </w:r>
      <w:r>
        <w:rPr>
          <w:rFonts w:hint="eastAsia"/>
          <w:color w:val="auto"/>
          <w:sz w:val="21"/>
          <w:szCs w:val="21"/>
          <w:highlight w:val="none"/>
        </w:rPr>
        <w:t>]，我方愿参与</w:t>
      </w:r>
      <w:r>
        <w:rPr>
          <w:rFonts w:hint="eastAsia"/>
          <w:color w:val="auto"/>
          <w:sz w:val="21"/>
          <w:szCs w:val="21"/>
          <w:highlight w:val="none"/>
          <w:lang w:val="en-US"/>
        </w:rPr>
        <w:t>响应</w:t>
      </w:r>
      <w:r>
        <w:rPr>
          <w:rFonts w:hint="eastAsia"/>
          <w:color w:val="auto"/>
          <w:sz w:val="21"/>
          <w:szCs w:val="21"/>
          <w:highlight w:val="none"/>
        </w:rPr>
        <w:t>。</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磋商</w:t>
      </w:r>
      <w:r>
        <w:rPr>
          <w:rFonts w:hint="eastAsia"/>
          <w:color w:val="auto"/>
          <w:sz w:val="21"/>
          <w:szCs w:val="21"/>
          <w:highlight w:val="none"/>
        </w:rPr>
        <w:t>文件的全部内容。</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w:t>
      </w:r>
      <w:r>
        <w:rPr>
          <w:rFonts w:hint="eastAsia"/>
          <w:color w:val="auto"/>
          <w:sz w:val="21"/>
          <w:szCs w:val="21"/>
          <w:highlight w:val="none"/>
          <w:lang w:val="en-US"/>
        </w:rPr>
        <w:t>响应</w:t>
      </w:r>
      <w:r>
        <w:rPr>
          <w:rFonts w:hint="eastAsia"/>
          <w:color w:val="auto"/>
          <w:sz w:val="21"/>
          <w:szCs w:val="21"/>
          <w:highlight w:val="none"/>
        </w:rPr>
        <w:t>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(供应商名称)</w:t>
      </w:r>
      <w:r>
        <w:rPr>
          <w:rFonts w:hint="eastAsia"/>
          <w:color w:val="auto"/>
          <w:sz w:val="21"/>
          <w:szCs w:val="21"/>
          <w:highlight w:val="none"/>
        </w:rPr>
        <w:t>作为供应商正式授权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代表我方全权处理有关本响应的一切事宜。我方已完全明白磋商文件的所有条款要求，并申明如下：</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（一）按磋商文件提供的全部货物与相关服务的磋商总价详见《首轮报价表》。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响应文件的有效期为响应截止时间起90天。如中标，有效期将延至合同终止日为止。在此提交的资格证明文件均至响应截止日有效，如有在响应有效期内失效的，我方承诺在中标后补齐一切手续，保证所有资格证明文件能在签订采购合同时直至采购合同终止日有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（三）我方明白并同意，在规定的开标日之后，响应有效期之内撤回响应或中标后不按规定与采购人签订合同或不提交履约保证金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则贵方将不予退还响应保证金。</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（五）我方理解贵方不一定接受最低响应价或任何贵方可能收到的响应。</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（六）我方如果中标，将保证履行磋商文件及其澄清、修改文件（如果有）中的全部责任和义务，按质、按量、按期完成《用户需求书》及合同中的全部任务。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（七）我方作为法律、财务和运作上独立于采购人、采购代理机构的供应商，在此保证所提交的所有文件和全部说明是真实的和正确的。</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（八）我方响应报价已包含应向知识产权所有权人支付的所有相关税费，并保证采购人在中国使用我方提供的货物时，如有第三方提出侵犯其知识产权主张的，责任由我方承担。</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（九）我方接受采购人委托向贵方支付代理服务费，项目总报价已包含代理服务费，如果被确定为中标供应商，承诺向贵方足额支付。（若采购人支付代理服务费，则此条不适用）</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（十）我方与其他供应商不存在单位负责人为同一人或者存在直接控股、管理关系。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6"/>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6"/>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以上内容如有虚假或与事实不符的，评标委员会可将我方做无效响应处理，我方愿意承担相应的法律责任。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（十四）我方对在本函及响应文件中所作的所有承诺承担法律责任。</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法定代表人（或供应商代表）签字或盖章：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2"/>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首轮报价表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20"/>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8"/>
        <w:gridCol w:w="8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26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响应报价</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262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spacing w:line="360" w:lineRule="auto"/>
        <w:rPr>
          <w:rFonts w:ascii="宋体" w:hAnsi="宋体"/>
          <w:color w:val="auto"/>
          <w:szCs w:val="21"/>
          <w:highlight w:val="none"/>
        </w:rPr>
      </w:pP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供应商代表签字：</w:t>
      </w:r>
    </w:p>
    <w:p>
      <w:pPr>
        <w:spacing w:line="360" w:lineRule="auto"/>
        <w:ind w:firstLine="342" w:firstLineChars="171"/>
        <w:rPr>
          <w:rFonts w:ascii="宋体" w:hAnsi="宋体"/>
          <w:color w:val="auto"/>
          <w:szCs w:val="21"/>
          <w:highlight w:val="none"/>
        </w:rPr>
      </w:pPr>
      <w:r>
        <w:rPr>
          <w:rFonts w:hint="eastAsia"/>
          <w:color w:val="auto"/>
          <w:sz w:val="20"/>
          <w:szCs w:val="20"/>
          <w:highlight w:val="none"/>
        </w:rPr>
        <w:t>供应商</w:t>
      </w:r>
      <w:r>
        <w:rPr>
          <w:color w:val="auto"/>
          <w:sz w:val="20"/>
          <w:szCs w:val="20"/>
          <w:highlight w:val="none"/>
        </w:rPr>
        <w:t>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312"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6"/>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1.响应报价栏须用文字和数字两种方式表示的响应报价。</w:t>
      </w:r>
    </w:p>
    <w:p>
      <w:pPr>
        <w:pStyle w:val="26"/>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2.首轮报价表内容与响应文件中相应内容不一致的，以首轮报价表为准。</w:t>
      </w:r>
    </w:p>
    <w:p>
      <w:pPr>
        <w:pStyle w:val="26"/>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2.供应商的报价应包括但不限于上述内容，应列明“用户需求书”所要求提供的所有服务（货物）的价格明细。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供应商代表签字：</w:t>
      </w:r>
    </w:p>
    <w:p>
      <w:pPr>
        <w:spacing w:line="360" w:lineRule="auto"/>
        <w:ind w:firstLine="342" w:firstLineChars="171"/>
        <w:rPr>
          <w:rFonts w:ascii="宋体" w:hAnsi="宋体"/>
          <w:color w:val="auto"/>
          <w:szCs w:val="21"/>
          <w:highlight w:val="none"/>
        </w:rPr>
      </w:pPr>
      <w:r>
        <w:rPr>
          <w:rFonts w:hint="eastAsia"/>
          <w:color w:val="auto"/>
          <w:sz w:val="20"/>
          <w:szCs w:val="20"/>
          <w:highlight w:val="none"/>
        </w:rPr>
        <w:t>供应商</w:t>
      </w:r>
      <w:r>
        <w:rPr>
          <w:color w:val="auto"/>
          <w:sz w:val="20"/>
          <w:szCs w:val="20"/>
          <w:highlight w:val="none"/>
        </w:rPr>
        <w:t>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2"/>
        <w:rPr>
          <w:b/>
          <w:bCs/>
          <w:color w:val="auto"/>
          <w:highlight w:val="none"/>
          <w:lang w:val="en-US"/>
        </w:rPr>
      </w:pPr>
      <w:r>
        <w:rPr>
          <w:rFonts w:hint="eastAsia"/>
          <w:b/>
          <w:bCs/>
          <w:color w:val="auto"/>
          <w:highlight w:val="none"/>
          <w:lang w:val="en-US"/>
        </w:rPr>
        <w:t>格式四：</w:t>
      </w:r>
    </w:p>
    <w:p>
      <w:pPr>
        <w:pStyle w:val="4"/>
        <w:spacing w:before="0" w:after="0" w:line="360" w:lineRule="auto"/>
        <w:rPr>
          <w:color w:val="auto"/>
          <w:sz w:val="24"/>
          <w:highlight w:val="none"/>
        </w:rPr>
      </w:pPr>
      <w:bookmarkStart w:id="310" w:name="_Toc19106"/>
      <w:bookmarkStart w:id="311" w:name="_Toc23039"/>
      <w:bookmarkStart w:id="312" w:name="_Toc4452"/>
      <w:bookmarkStart w:id="313" w:name="_Toc17533"/>
      <w:r>
        <w:rPr>
          <w:color w:val="auto"/>
          <w:sz w:val="24"/>
          <w:highlight w:val="none"/>
        </w:rPr>
        <w:t>法定代表人证明书</w:t>
      </w:r>
      <w:bookmarkEnd w:id="310"/>
      <w:bookmarkEnd w:id="311"/>
      <w:bookmarkEnd w:id="312"/>
      <w:bookmarkEnd w:id="313"/>
    </w:p>
    <w:p>
      <w:pPr>
        <w:pStyle w:val="2"/>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2"/>
        <w:tabs>
          <w:tab w:val="left" w:pos="3693"/>
        </w:tabs>
        <w:spacing w:line="242" w:lineRule="exact"/>
        <w:ind w:right="104"/>
        <w:jc w:val="right"/>
        <w:rPr>
          <w:color w:val="auto"/>
          <w:sz w:val="21"/>
          <w:szCs w:val="21"/>
          <w:highlight w:val="none"/>
        </w:rPr>
      </w:pPr>
    </w:p>
    <w:p>
      <w:pPr>
        <w:pStyle w:val="2"/>
        <w:tabs>
          <w:tab w:val="left" w:pos="3693"/>
        </w:tabs>
        <w:spacing w:line="242" w:lineRule="exact"/>
        <w:ind w:right="104"/>
        <w:jc w:val="right"/>
        <w:rPr>
          <w:color w:val="auto"/>
          <w:sz w:val="21"/>
          <w:szCs w:val="21"/>
          <w:highlight w:val="none"/>
        </w:rPr>
      </w:pPr>
    </w:p>
    <w:p>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2"/>
        <w:rPr>
          <w:color w:val="auto"/>
          <w:highlight w:val="none"/>
          <w:lang w:val="en-US"/>
        </w:rPr>
      </w:pPr>
    </w:p>
    <w:p>
      <w:pPr>
        <w:rPr>
          <w:color w:val="auto"/>
          <w:highlight w:val="none"/>
        </w:rPr>
      </w:pPr>
    </w:p>
    <w:p>
      <w:pPr>
        <w:pStyle w:val="2"/>
        <w:rPr>
          <w:color w:val="auto"/>
          <w:highlight w:val="none"/>
          <w:lang w:val="en-US"/>
        </w:rPr>
      </w:pPr>
    </w:p>
    <w:p>
      <w:pPr>
        <w:spacing w:before="156" w:beforeLines="50" w:after="156"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2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pPr>
              <w:pStyle w:val="29"/>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9"/>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2"/>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（供应商名称）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的响应和合同执行，以我方的名义处理一切与之有关的事宜。</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本授权书于</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日签字生效，特此声明。</w:t>
      </w:r>
    </w:p>
    <w:p>
      <w:pPr>
        <w:pStyle w:val="2"/>
        <w:tabs>
          <w:tab w:val="left" w:pos="10713"/>
        </w:tabs>
        <w:spacing w:before="0" w:line="360" w:lineRule="auto"/>
        <w:ind w:left="0"/>
        <w:jc w:val="right"/>
        <w:rPr>
          <w:color w:val="auto"/>
          <w:sz w:val="21"/>
          <w:szCs w:val="21"/>
          <w:highlight w:val="none"/>
        </w:rPr>
      </w:pPr>
    </w:p>
    <w:p>
      <w:pPr>
        <w:pStyle w:val="2"/>
        <w:tabs>
          <w:tab w:val="left" w:pos="10713"/>
        </w:tabs>
        <w:spacing w:before="0" w:line="360" w:lineRule="auto"/>
        <w:ind w:left="0"/>
        <w:jc w:val="right"/>
        <w:rPr>
          <w:color w:val="auto"/>
          <w:sz w:val="21"/>
          <w:szCs w:val="21"/>
          <w:highlight w:val="none"/>
        </w:rPr>
      </w:pP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供应商名称（盖章）：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2"/>
        <w:tabs>
          <w:tab w:val="left" w:pos="2349"/>
        </w:tabs>
        <w:spacing w:before="0" w:line="480" w:lineRule="auto"/>
        <w:ind w:left="0"/>
        <w:rPr>
          <w:color w:val="auto"/>
          <w:sz w:val="21"/>
          <w:szCs w:val="21"/>
          <w:highlight w:val="none"/>
          <w:lang w:val="en-US"/>
        </w:rPr>
      </w:pPr>
    </w:p>
    <w:p>
      <w:pPr>
        <w:spacing w:after="156"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20"/>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9"/>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9"/>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2"/>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pStyle w:val="2"/>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w:t>
      </w:r>
      <w:r>
        <w:rPr>
          <w:rFonts w:hint="eastAsia"/>
          <w:b/>
          <w:bCs/>
          <w:color w:val="auto"/>
          <w:sz w:val="24"/>
          <w:szCs w:val="32"/>
          <w:highlight w:val="none"/>
          <w:lang w:val="en-US" w:eastAsia="zh-CN"/>
        </w:rPr>
        <w:t>七</w:t>
      </w:r>
      <w:r>
        <w:rPr>
          <w:rFonts w:hint="eastAsia"/>
          <w:b/>
          <w:bCs/>
          <w:color w:val="auto"/>
          <w:sz w:val="24"/>
          <w:szCs w:val="32"/>
          <w:highlight w:val="none"/>
        </w:rPr>
        <w:t>：</w:t>
      </w:r>
    </w:p>
    <w:p>
      <w:pPr>
        <w:pStyle w:val="2"/>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w:t>
      </w:r>
      <w:r>
        <w:rPr>
          <w:color w:val="auto"/>
          <w:szCs w:val="21"/>
          <w:highlight w:val="none"/>
        </w:rPr>
        <w:t>（响应）</w:t>
      </w:r>
      <w:r>
        <w:rPr>
          <w:rFonts w:hint="eastAsia" w:ascii="宋体" w:hAnsi="宋体"/>
          <w:color w:val="auto"/>
          <w:szCs w:val="21"/>
          <w:highlight w:val="none"/>
        </w:rPr>
        <w:t>截止日前6个月内任意1个月依法缴纳税收和社会保障资金的相关材料。如依法免税或不需要缴纳社会保障资金的，提供相应证明材料。</w:t>
      </w:r>
      <w:r>
        <w:rPr>
          <w:rFonts w:hint="eastAsia"/>
          <w:color w:val="auto"/>
          <w:sz w:val="20"/>
          <w:highlight w:val="none"/>
        </w:rPr>
        <w:t>(或提供相关承诺函）</w:t>
      </w:r>
    </w:p>
    <w:p>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2、具有良好的商业信誉和健全的财务会计制度：供应商必须具有良好的商业信誉和健全的财务会计制度（提供2021年度或2022年度财务状况报告或基本开户行出具的资信证明）。</w:t>
      </w:r>
      <w:r>
        <w:rPr>
          <w:rFonts w:hint="eastAsia"/>
          <w:color w:val="auto"/>
          <w:sz w:val="20"/>
          <w:highlight w:val="none"/>
        </w:rPr>
        <w:t>(或提供相关承诺函）</w:t>
      </w:r>
    </w:p>
    <w:p>
      <w:pPr>
        <w:widowControl/>
        <w:spacing w:line="360" w:lineRule="auto"/>
        <w:rPr>
          <w:color w:val="auto"/>
          <w:sz w:val="20"/>
          <w:highlight w:val="none"/>
        </w:rPr>
      </w:pPr>
      <w:r>
        <w:rPr>
          <w:rFonts w:hint="eastAsia" w:ascii="宋体" w:hAnsi="宋体"/>
          <w:color w:val="auto"/>
          <w:szCs w:val="21"/>
          <w:highlight w:val="none"/>
        </w:rPr>
        <w:t>3、履行合同所必须的设备和专业技术能力：填报设备及专业技术能力情况，格式自拟。</w:t>
      </w:r>
      <w:r>
        <w:rPr>
          <w:rFonts w:hint="eastAsia"/>
          <w:color w:val="auto"/>
          <w:sz w:val="20"/>
          <w:highlight w:val="none"/>
        </w:rPr>
        <w:t>(或提供相关承诺函）</w:t>
      </w:r>
    </w:p>
    <w:p>
      <w:pPr>
        <w:rPr>
          <w:color w:val="auto"/>
          <w:sz w:val="20"/>
          <w:highlight w:val="none"/>
        </w:rPr>
      </w:pPr>
      <w:r>
        <w:rPr>
          <w:rFonts w:hint="eastAsia"/>
          <w:color w:val="auto"/>
          <w:sz w:val="20"/>
          <w:highlight w:val="none"/>
        </w:rPr>
        <w:br w:type="page"/>
      </w:r>
    </w:p>
    <w:p>
      <w:pPr>
        <w:pStyle w:val="2"/>
        <w:rPr>
          <w:color w:val="auto"/>
          <w:highlight w:val="none"/>
        </w:rPr>
      </w:pPr>
      <w:r>
        <w:rPr>
          <w:rFonts w:hint="eastAsia"/>
          <w:b/>
          <w:bCs/>
          <w:color w:val="auto"/>
          <w:highlight w:val="none"/>
        </w:rPr>
        <w:t>格式</w:t>
      </w:r>
      <w:r>
        <w:rPr>
          <w:rFonts w:hint="eastAsia"/>
          <w:b/>
          <w:bCs/>
          <w:color w:val="auto"/>
          <w:highlight w:val="none"/>
          <w:lang w:val="en-US" w:eastAsia="zh-CN"/>
        </w:rPr>
        <w:t>八</w:t>
      </w:r>
      <w:r>
        <w:rPr>
          <w:rFonts w:hint="eastAsia"/>
          <w:b/>
          <w:bCs/>
          <w:color w:val="auto"/>
          <w:highlight w:val="none"/>
        </w:rPr>
        <w:t>：</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w:t>
      </w:r>
      <w:r>
        <w:rPr>
          <w:rFonts w:hint="eastAsia"/>
          <w:b/>
          <w:bCs/>
          <w:color w:val="auto"/>
          <w:sz w:val="24"/>
          <w:szCs w:val="32"/>
          <w:highlight w:val="none"/>
          <w:lang w:val="en-US" w:eastAsia="zh-CN"/>
        </w:rPr>
        <w:t>九</w:t>
      </w:r>
      <w:r>
        <w:rPr>
          <w:rFonts w:hint="eastAsia"/>
          <w:b/>
          <w:bCs/>
          <w:color w:val="auto"/>
          <w:sz w:val="24"/>
          <w:szCs w:val="32"/>
          <w:highlight w:val="none"/>
        </w:rPr>
        <w:t>：</w:t>
      </w:r>
    </w:p>
    <w:p>
      <w:pPr>
        <w:pStyle w:val="2"/>
        <w:jc w:val="center"/>
        <w:rPr>
          <w:b/>
          <w:bCs/>
          <w:color w:val="auto"/>
          <w:highlight w:val="none"/>
          <w:lang w:val="en-US"/>
        </w:rPr>
      </w:pPr>
      <w:r>
        <w:rPr>
          <w:rFonts w:hint="eastAsia"/>
          <w:b/>
          <w:bCs/>
          <w:color w:val="auto"/>
          <w:highlight w:val="none"/>
          <w:lang w:val="en-US"/>
        </w:rPr>
        <w:t>供应商</w:t>
      </w:r>
      <w:r>
        <w:rPr>
          <w:b/>
          <w:bCs/>
          <w:color w:val="auto"/>
          <w:highlight w:val="none"/>
          <w:lang w:val="en-US"/>
        </w:rPr>
        <w:t>业绩情况表</w:t>
      </w:r>
    </w:p>
    <w:p>
      <w:pPr>
        <w:pStyle w:val="2"/>
        <w:spacing w:before="2" w:after="1"/>
        <w:rPr>
          <w:b/>
          <w:color w:val="auto"/>
          <w:sz w:val="17"/>
          <w:highlight w:val="none"/>
        </w:rPr>
      </w:pPr>
    </w:p>
    <w:tbl>
      <w:tblPr>
        <w:tblStyle w:val="20"/>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8"/>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8"/>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8"/>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8"/>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8"/>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8"/>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8"/>
              <w:spacing w:line="360" w:lineRule="auto"/>
              <w:rPr>
                <w:rFonts w:ascii="宋体" w:hAnsi="宋体" w:cs="宋体"/>
                <w:color w:val="auto"/>
                <w:szCs w:val="21"/>
                <w:highlight w:val="none"/>
              </w:rPr>
            </w:pPr>
          </w:p>
        </w:tc>
        <w:tc>
          <w:tcPr>
            <w:tcW w:w="1553" w:type="pct"/>
            <w:shd w:val="clear" w:color="auto" w:fill="FFFFFF" w:themeFill="background1"/>
          </w:tcPr>
          <w:p>
            <w:pPr>
              <w:pStyle w:val="28"/>
              <w:spacing w:line="360" w:lineRule="auto"/>
              <w:rPr>
                <w:rFonts w:ascii="宋体" w:hAnsi="宋体" w:cs="宋体"/>
                <w:color w:val="auto"/>
                <w:szCs w:val="21"/>
                <w:highlight w:val="none"/>
              </w:rPr>
            </w:pPr>
          </w:p>
        </w:tc>
        <w:tc>
          <w:tcPr>
            <w:tcW w:w="779" w:type="pct"/>
            <w:shd w:val="clear" w:color="auto" w:fill="FFFFFF" w:themeFill="background1"/>
          </w:tcPr>
          <w:p>
            <w:pPr>
              <w:pStyle w:val="28"/>
              <w:spacing w:line="360" w:lineRule="auto"/>
              <w:rPr>
                <w:rFonts w:ascii="宋体" w:hAnsi="宋体" w:cs="宋体"/>
                <w:color w:val="auto"/>
                <w:szCs w:val="21"/>
                <w:highlight w:val="none"/>
              </w:rPr>
            </w:pPr>
          </w:p>
        </w:tc>
        <w:tc>
          <w:tcPr>
            <w:tcW w:w="1001" w:type="pct"/>
            <w:shd w:val="clear" w:color="auto" w:fill="FFFFFF" w:themeFill="background1"/>
          </w:tcPr>
          <w:p>
            <w:pPr>
              <w:pStyle w:val="28"/>
              <w:spacing w:line="360" w:lineRule="auto"/>
              <w:rPr>
                <w:rFonts w:ascii="宋体" w:hAnsi="宋体" w:cs="宋体"/>
                <w:color w:val="auto"/>
                <w:szCs w:val="21"/>
                <w:highlight w:val="none"/>
              </w:rPr>
            </w:pPr>
          </w:p>
        </w:tc>
        <w:tc>
          <w:tcPr>
            <w:tcW w:w="785" w:type="pct"/>
            <w:shd w:val="clear" w:color="auto" w:fill="FFFFFF" w:themeFill="background1"/>
          </w:tcPr>
          <w:p>
            <w:pPr>
              <w:pStyle w:val="28"/>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8"/>
              <w:spacing w:line="360" w:lineRule="auto"/>
              <w:rPr>
                <w:rFonts w:ascii="宋体" w:hAnsi="宋体" w:cs="宋体"/>
                <w:color w:val="auto"/>
                <w:szCs w:val="21"/>
                <w:highlight w:val="none"/>
              </w:rPr>
            </w:pPr>
          </w:p>
        </w:tc>
        <w:tc>
          <w:tcPr>
            <w:tcW w:w="1553" w:type="pct"/>
            <w:shd w:val="clear" w:color="auto" w:fill="FFFFFF" w:themeFill="background1"/>
          </w:tcPr>
          <w:p>
            <w:pPr>
              <w:pStyle w:val="28"/>
              <w:spacing w:line="360" w:lineRule="auto"/>
              <w:rPr>
                <w:rFonts w:ascii="宋体" w:hAnsi="宋体" w:cs="宋体"/>
                <w:color w:val="auto"/>
                <w:szCs w:val="21"/>
                <w:highlight w:val="none"/>
              </w:rPr>
            </w:pPr>
          </w:p>
        </w:tc>
        <w:tc>
          <w:tcPr>
            <w:tcW w:w="779" w:type="pct"/>
            <w:shd w:val="clear" w:color="auto" w:fill="FFFFFF" w:themeFill="background1"/>
          </w:tcPr>
          <w:p>
            <w:pPr>
              <w:pStyle w:val="28"/>
              <w:spacing w:line="360" w:lineRule="auto"/>
              <w:rPr>
                <w:rFonts w:ascii="宋体" w:hAnsi="宋体" w:cs="宋体"/>
                <w:color w:val="auto"/>
                <w:szCs w:val="21"/>
                <w:highlight w:val="none"/>
              </w:rPr>
            </w:pPr>
          </w:p>
        </w:tc>
        <w:tc>
          <w:tcPr>
            <w:tcW w:w="1001" w:type="pct"/>
            <w:shd w:val="clear" w:color="auto" w:fill="FFFFFF" w:themeFill="background1"/>
          </w:tcPr>
          <w:p>
            <w:pPr>
              <w:pStyle w:val="28"/>
              <w:spacing w:line="360" w:lineRule="auto"/>
              <w:rPr>
                <w:rFonts w:ascii="宋体" w:hAnsi="宋体" w:cs="宋体"/>
                <w:color w:val="auto"/>
                <w:szCs w:val="21"/>
                <w:highlight w:val="none"/>
              </w:rPr>
            </w:pPr>
          </w:p>
        </w:tc>
        <w:tc>
          <w:tcPr>
            <w:tcW w:w="785" w:type="pct"/>
            <w:shd w:val="clear" w:color="auto" w:fill="FFFFFF" w:themeFill="background1"/>
          </w:tcPr>
          <w:p>
            <w:pPr>
              <w:pStyle w:val="28"/>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8"/>
              <w:spacing w:line="360" w:lineRule="auto"/>
              <w:rPr>
                <w:rFonts w:ascii="宋体" w:hAnsi="宋体" w:cs="宋体"/>
                <w:color w:val="auto"/>
                <w:szCs w:val="21"/>
                <w:highlight w:val="none"/>
              </w:rPr>
            </w:pPr>
          </w:p>
        </w:tc>
        <w:tc>
          <w:tcPr>
            <w:tcW w:w="1553" w:type="pct"/>
            <w:shd w:val="clear" w:color="auto" w:fill="FFFFFF" w:themeFill="background1"/>
          </w:tcPr>
          <w:p>
            <w:pPr>
              <w:pStyle w:val="28"/>
              <w:spacing w:line="360" w:lineRule="auto"/>
              <w:rPr>
                <w:rFonts w:ascii="宋体" w:hAnsi="宋体" w:cs="宋体"/>
                <w:color w:val="auto"/>
                <w:szCs w:val="21"/>
                <w:highlight w:val="none"/>
              </w:rPr>
            </w:pPr>
          </w:p>
        </w:tc>
        <w:tc>
          <w:tcPr>
            <w:tcW w:w="779" w:type="pct"/>
            <w:shd w:val="clear" w:color="auto" w:fill="FFFFFF" w:themeFill="background1"/>
          </w:tcPr>
          <w:p>
            <w:pPr>
              <w:pStyle w:val="28"/>
              <w:spacing w:line="360" w:lineRule="auto"/>
              <w:rPr>
                <w:rFonts w:ascii="宋体" w:hAnsi="宋体" w:cs="宋体"/>
                <w:color w:val="auto"/>
                <w:szCs w:val="21"/>
                <w:highlight w:val="none"/>
              </w:rPr>
            </w:pPr>
          </w:p>
        </w:tc>
        <w:tc>
          <w:tcPr>
            <w:tcW w:w="1001" w:type="pct"/>
            <w:shd w:val="clear" w:color="auto" w:fill="FFFFFF" w:themeFill="background1"/>
          </w:tcPr>
          <w:p>
            <w:pPr>
              <w:pStyle w:val="28"/>
              <w:spacing w:line="360" w:lineRule="auto"/>
              <w:rPr>
                <w:rFonts w:ascii="宋体" w:hAnsi="宋体" w:cs="宋体"/>
                <w:color w:val="auto"/>
                <w:szCs w:val="21"/>
                <w:highlight w:val="none"/>
              </w:rPr>
            </w:pPr>
          </w:p>
        </w:tc>
        <w:tc>
          <w:tcPr>
            <w:tcW w:w="785" w:type="pct"/>
            <w:shd w:val="clear" w:color="auto" w:fill="FFFFFF" w:themeFill="background1"/>
          </w:tcPr>
          <w:p>
            <w:pPr>
              <w:pStyle w:val="28"/>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8"/>
              <w:spacing w:line="360" w:lineRule="auto"/>
              <w:rPr>
                <w:rFonts w:ascii="宋体" w:hAnsi="宋体" w:cs="宋体"/>
                <w:color w:val="auto"/>
                <w:szCs w:val="21"/>
                <w:highlight w:val="none"/>
              </w:rPr>
            </w:pPr>
          </w:p>
        </w:tc>
        <w:tc>
          <w:tcPr>
            <w:tcW w:w="1553" w:type="pct"/>
          </w:tcPr>
          <w:p>
            <w:pPr>
              <w:pStyle w:val="28"/>
              <w:spacing w:line="360" w:lineRule="auto"/>
              <w:rPr>
                <w:rFonts w:ascii="宋体" w:hAnsi="宋体" w:cs="宋体"/>
                <w:color w:val="auto"/>
                <w:szCs w:val="21"/>
                <w:highlight w:val="none"/>
              </w:rPr>
            </w:pPr>
          </w:p>
        </w:tc>
        <w:tc>
          <w:tcPr>
            <w:tcW w:w="779" w:type="pct"/>
          </w:tcPr>
          <w:p>
            <w:pPr>
              <w:pStyle w:val="28"/>
              <w:spacing w:line="360" w:lineRule="auto"/>
              <w:rPr>
                <w:rFonts w:ascii="宋体" w:hAnsi="宋体" w:cs="宋体"/>
                <w:color w:val="auto"/>
                <w:szCs w:val="21"/>
                <w:highlight w:val="none"/>
              </w:rPr>
            </w:pPr>
          </w:p>
        </w:tc>
        <w:tc>
          <w:tcPr>
            <w:tcW w:w="1001" w:type="pct"/>
          </w:tcPr>
          <w:p>
            <w:pPr>
              <w:pStyle w:val="28"/>
              <w:spacing w:line="360" w:lineRule="auto"/>
              <w:rPr>
                <w:rFonts w:ascii="宋体" w:hAnsi="宋体" w:cs="宋体"/>
                <w:color w:val="auto"/>
                <w:szCs w:val="21"/>
                <w:highlight w:val="none"/>
              </w:rPr>
            </w:pPr>
          </w:p>
        </w:tc>
        <w:tc>
          <w:tcPr>
            <w:tcW w:w="785" w:type="pct"/>
          </w:tcPr>
          <w:p>
            <w:pPr>
              <w:pStyle w:val="28"/>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8"/>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8"/>
              <w:spacing w:line="360" w:lineRule="auto"/>
              <w:rPr>
                <w:rFonts w:ascii="宋体" w:hAnsi="宋体" w:cs="宋体"/>
                <w:color w:val="auto"/>
                <w:szCs w:val="21"/>
                <w:highlight w:val="none"/>
              </w:rPr>
            </w:pPr>
          </w:p>
        </w:tc>
        <w:tc>
          <w:tcPr>
            <w:tcW w:w="1553" w:type="pct"/>
          </w:tcPr>
          <w:p>
            <w:pPr>
              <w:pStyle w:val="28"/>
              <w:spacing w:line="360" w:lineRule="auto"/>
              <w:rPr>
                <w:rFonts w:ascii="宋体" w:hAnsi="宋体" w:cs="宋体"/>
                <w:color w:val="auto"/>
                <w:szCs w:val="21"/>
                <w:highlight w:val="none"/>
              </w:rPr>
            </w:pPr>
          </w:p>
        </w:tc>
        <w:tc>
          <w:tcPr>
            <w:tcW w:w="779" w:type="pct"/>
          </w:tcPr>
          <w:p>
            <w:pPr>
              <w:pStyle w:val="28"/>
              <w:spacing w:line="360" w:lineRule="auto"/>
              <w:rPr>
                <w:rFonts w:ascii="宋体" w:hAnsi="宋体" w:cs="宋体"/>
                <w:color w:val="auto"/>
                <w:szCs w:val="21"/>
                <w:highlight w:val="none"/>
              </w:rPr>
            </w:pPr>
          </w:p>
        </w:tc>
        <w:tc>
          <w:tcPr>
            <w:tcW w:w="1001" w:type="pct"/>
          </w:tcPr>
          <w:p>
            <w:pPr>
              <w:pStyle w:val="28"/>
              <w:spacing w:line="360" w:lineRule="auto"/>
              <w:rPr>
                <w:rFonts w:ascii="宋体" w:hAnsi="宋体" w:cs="宋体"/>
                <w:color w:val="auto"/>
                <w:szCs w:val="21"/>
                <w:highlight w:val="none"/>
              </w:rPr>
            </w:pPr>
          </w:p>
        </w:tc>
        <w:tc>
          <w:tcPr>
            <w:tcW w:w="785" w:type="pct"/>
          </w:tcPr>
          <w:p>
            <w:pPr>
              <w:pStyle w:val="28"/>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根据上述业绩情况，按磋商文件要求附销售或服务合同复印件及评审标准要求的证明材料。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lang w:val="en-US"/>
        </w:rPr>
      </w:pPr>
      <w:r>
        <w:rPr>
          <w:rFonts w:hint="eastAsia"/>
          <w:b/>
          <w:bCs/>
          <w:color w:val="auto"/>
          <w:highlight w:val="none"/>
          <w:lang w:val="en-US"/>
        </w:rPr>
        <w:t>格式十：</w:t>
      </w:r>
    </w:p>
    <w:p>
      <w:pPr>
        <w:jc w:val="center"/>
        <w:rPr>
          <w:b/>
          <w:bCs/>
          <w:color w:val="auto"/>
          <w:sz w:val="24"/>
          <w:szCs w:val="32"/>
          <w:highlight w:val="none"/>
        </w:rPr>
      </w:pPr>
      <w:r>
        <w:rPr>
          <w:b/>
          <w:bCs/>
          <w:color w:val="auto"/>
          <w:sz w:val="24"/>
          <w:szCs w:val="32"/>
          <w:highlight w:val="none"/>
        </w:rPr>
        <w:t>技术要求响应表</w:t>
      </w:r>
    </w:p>
    <w:p>
      <w:pPr>
        <w:pStyle w:val="2"/>
        <w:rPr>
          <w:color w:val="auto"/>
          <w:highlight w:val="none"/>
          <w:lang w:val="en-US"/>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磋商文件规定的技术要求</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响应文件响应的具体内容</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c>
          <w:tcPr>
            <w:tcW w:w="0" w:type="auto"/>
            <w:vAlign w:val="center"/>
          </w:tcPr>
          <w:p>
            <w:pPr>
              <w:pStyle w:val="2"/>
              <w:spacing w:before="0" w:line="360" w:lineRule="auto"/>
              <w:ind w:left="0"/>
              <w:jc w:val="center"/>
              <w:rPr>
                <w:color w:val="auto"/>
                <w:sz w:val="21"/>
                <w:szCs w:val="21"/>
                <w:highlight w:val="none"/>
                <w:lang w:val="en-US"/>
              </w:rPr>
            </w:pPr>
          </w:p>
        </w:tc>
      </w:tr>
    </w:tbl>
    <w:p>
      <w:pPr>
        <w:pStyle w:val="2"/>
        <w:rPr>
          <w:color w:val="auto"/>
          <w:highlight w:val="none"/>
          <w:lang w:val="en-US"/>
        </w:rPr>
      </w:pPr>
    </w:p>
    <w:p>
      <w:pPr>
        <w:rPr>
          <w:color w:val="auto"/>
          <w:highlight w:val="none"/>
        </w:rPr>
      </w:pP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6"/>
        <w:tabs>
          <w:tab w:val="left" w:pos="731"/>
        </w:tabs>
        <w:autoSpaceDE w:val="0"/>
        <w:autoSpaceDN w:val="0"/>
        <w:spacing w:line="360" w:lineRule="auto"/>
        <w:ind w:firstLine="423"/>
        <w:rPr>
          <w:rFonts w:ascii="宋体" w:hAnsi="宋体" w:cs="宋体"/>
          <w:color w:val="auto"/>
          <w:w w:val="101"/>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1.“磋商文件规定的技术要求”项下填写的内容应与磋商文件中用户需求书的 “技术要求”的内容保持一致。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供应商应当如实填写上表“响应文件响应的具体内容”处内容，对磋商文件提出的技术要求和条件作出明确响应，并列明具体响应数值或内容，只注明符合、满足等无具体内容表述的，将视为未实质性满足磋商文件要求。供应商需要说明的内容若需特殊表达，应先在本表中进行相应说明，再另页应答，否则投标</w:t>
      </w:r>
      <w:r>
        <w:rPr>
          <w:color w:val="auto"/>
          <w:sz w:val="21"/>
          <w:szCs w:val="21"/>
          <w:highlight w:val="none"/>
        </w:rPr>
        <w:t>（响应）</w:t>
      </w:r>
      <w:r>
        <w:rPr>
          <w:rFonts w:hint="eastAsia"/>
          <w:color w:val="auto"/>
          <w:sz w:val="21"/>
          <w:szCs w:val="21"/>
          <w:highlight w:val="none"/>
          <w:lang w:val="en-US"/>
        </w:rPr>
        <w:t>无效。</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参数性质栏目按磋商文件有标注的“★”、“▲”号条款进行填写，打“★”号条款为实质性条款，若有任何一条负偏离或不满足则导致投标</w:t>
      </w:r>
      <w:r>
        <w:rPr>
          <w:color w:val="auto"/>
          <w:sz w:val="21"/>
          <w:szCs w:val="21"/>
          <w:highlight w:val="none"/>
        </w:rPr>
        <w:t>（响应）</w:t>
      </w:r>
      <w:r>
        <w:rPr>
          <w:rFonts w:hint="eastAsia"/>
          <w:color w:val="auto"/>
          <w:sz w:val="21"/>
          <w:szCs w:val="21"/>
          <w:highlight w:val="none"/>
        </w:rPr>
        <w:t>无效。打“▲”号条款为重要技术参数（如有），若有部分“▲”条款未响应或不满足，将根据评审要求影响其得分，但不作为无效投标</w:t>
      </w:r>
      <w:r>
        <w:rPr>
          <w:color w:val="auto"/>
          <w:sz w:val="21"/>
          <w:szCs w:val="21"/>
          <w:highlight w:val="none"/>
        </w:rPr>
        <w:t>（响应）</w:t>
      </w:r>
      <w:r>
        <w:rPr>
          <w:rFonts w:hint="eastAsia"/>
          <w:color w:val="auto"/>
          <w:sz w:val="21"/>
          <w:szCs w:val="21"/>
          <w:highlight w:val="none"/>
        </w:rPr>
        <w:t>条款。</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w:t>
      </w:r>
      <w:r>
        <w:rPr>
          <w:rFonts w:hint="eastAsia"/>
          <w:b/>
          <w:bCs/>
          <w:color w:val="auto"/>
          <w:sz w:val="24"/>
          <w:highlight w:val="none"/>
          <w:lang w:val="en-US" w:eastAsia="zh-CN"/>
        </w:rPr>
        <w:t>一</w:t>
      </w:r>
      <w:r>
        <w:rPr>
          <w:rFonts w:hint="eastAsia"/>
          <w:b/>
          <w:bCs/>
          <w:color w:val="auto"/>
          <w:sz w:val="24"/>
          <w:highlight w:val="none"/>
        </w:rPr>
        <w:t>：</w:t>
      </w:r>
    </w:p>
    <w:p>
      <w:pPr>
        <w:pStyle w:val="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磋商文件规定的商务要求</w:t>
            </w:r>
          </w:p>
        </w:tc>
        <w:tc>
          <w:tcPr>
            <w:tcW w:w="1900"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响应文件响应的具体内容</w:t>
            </w:r>
          </w:p>
        </w:tc>
        <w:tc>
          <w:tcPr>
            <w:tcW w:w="647"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2"/>
              <w:spacing w:before="0" w:line="360" w:lineRule="auto"/>
              <w:ind w:left="0"/>
              <w:jc w:val="center"/>
              <w:rPr>
                <w:color w:val="auto"/>
                <w:sz w:val="21"/>
                <w:szCs w:val="21"/>
                <w:highlight w:val="none"/>
                <w:lang w:val="en-US"/>
              </w:rPr>
            </w:pPr>
          </w:p>
        </w:tc>
        <w:tc>
          <w:tcPr>
            <w:tcW w:w="814"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1900" w:type="dxa"/>
            <w:vAlign w:val="center"/>
          </w:tcPr>
          <w:p>
            <w:pPr>
              <w:pStyle w:val="2"/>
              <w:spacing w:before="0" w:line="360" w:lineRule="auto"/>
              <w:ind w:left="0"/>
              <w:jc w:val="center"/>
              <w:rPr>
                <w:color w:val="auto"/>
                <w:sz w:val="21"/>
                <w:szCs w:val="21"/>
                <w:highlight w:val="none"/>
                <w:lang w:val="en-US"/>
              </w:rPr>
            </w:pPr>
          </w:p>
        </w:tc>
        <w:tc>
          <w:tcPr>
            <w:tcW w:w="647" w:type="dxa"/>
            <w:vAlign w:val="center"/>
          </w:tcPr>
          <w:p>
            <w:pPr>
              <w:pStyle w:val="2"/>
              <w:spacing w:before="0" w:line="360" w:lineRule="auto"/>
              <w:ind w:left="0"/>
              <w:jc w:val="center"/>
              <w:rPr>
                <w:color w:val="auto"/>
                <w:sz w:val="21"/>
                <w:szCs w:val="21"/>
                <w:highlight w:val="none"/>
                <w:lang w:val="en-US"/>
              </w:rPr>
            </w:pPr>
          </w:p>
        </w:tc>
        <w:tc>
          <w:tcPr>
            <w:tcW w:w="1386" w:type="dxa"/>
            <w:vAlign w:val="center"/>
          </w:tcPr>
          <w:p>
            <w:pPr>
              <w:pStyle w:val="2"/>
              <w:spacing w:before="0" w:line="360" w:lineRule="auto"/>
              <w:ind w:left="0"/>
              <w:jc w:val="center"/>
              <w:rPr>
                <w:color w:val="auto"/>
                <w:sz w:val="21"/>
                <w:szCs w:val="21"/>
                <w:highlight w:val="none"/>
                <w:lang w:val="en-US"/>
              </w:rPr>
            </w:pPr>
          </w:p>
        </w:tc>
        <w:tc>
          <w:tcPr>
            <w:tcW w:w="529" w:type="dxa"/>
            <w:vAlign w:val="center"/>
          </w:tcPr>
          <w:p>
            <w:pPr>
              <w:pStyle w:val="2"/>
              <w:spacing w:before="0" w:line="360" w:lineRule="auto"/>
              <w:ind w:left="0"/>
              <w:jc w:val="center"/>
              <w:rPr>
                <w:color w:val="auto"/>
                <w:sz w:val="21"/>
                <w:szCs w:val="21"/>
                <w:highlight w:val="none"/>
                <w:lang w:val="en-US"/>
              </w:rPr>
            </w:pPr>
          </w:p>
        </w:tc>
      </w:tr>
    </w:tbl>
    <w:p>
      <w:pPr>
        <w:pStyle w:val="2"/>
        <w:rPr>
          <w:color w:val="auto"/>
          <w:sz w:val="21"/>
          <w:szCs w:val="21"/>
          <w:highlight w:val="none"/>
          <w:lang w:val="en-US"/>
        </w:rPr>
      </w:pPr>
    </w:p>
    <w:p>
      <w:pPr>
        <w:rPr>
          <w:color w:val="auto"/>
          <w:szCs w:val="21"/>
          <w:highlight w:val="none"/>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2"/>
        <w:autoSpaceDE w:val="0"/>
        <w:autoSpaceDN w:val="0"/>
        <w:spacing w:before="0" w:line="360" w:lineRule="auto"/>
        <w:ind w:left="0" w:firstLine="420" w:firstLineChars="200"/>
        <w:rPr>
          <w:color w:val="auto"/>
          <w:sz w:val="21"/>
          <w:szCs w:val="21"/>
          <w:highlight w:val="none"/>
          <w:lang w:val="en-US"/>
        </w:rPr>
      </w:pP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1.“磋商文件规定的商务要求”项下填写的内容应与磋商文件中用户需求书的“商务要求”的内容保持一致。</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供应商应当如实填写上表“响应文件响应的具体内容”处内容，对磋商文件规定的商务要求和条件作出明确响应，并列明具体响应数值或内容，只注明符合、满足等无具体内容表述的，将视为未实质性满足磋商文件要求。供应商需要说明的内容若需特殊表达，应先在本表中进行相应说明，再另页应答，否则投标</w:t>
      </w:r>
      <w:r>
        <w:rPr>
          <w:color w:val="auto"/>
          <w:sz w:val="21"/>
          <w:szCs w:val="21"/>
          <w:highlight w:val="none"/>
        </w:rPr>
        <w:t>（响应）</w:t>
      </w:r>
      <w:r>
        <w:rPr>
          <w:rFonts w:hint="eastAsia"/>
          <w:color w:val="auto"/>
          <w:sz w:val="21"/>
          <w:szCs w:val="21"/>
          <w:highlight w:val="none"/>
          <w:lang w:val="en-US"/>
        </w:rPr>
        <w:t>无效。</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3.参数性质栏目按磋商文件有标注的“★”、“▲”号条款进行填写，打“★”号条款为实质性条款，若有任何一条负偏离或不满足则导致投标</w:t>
      </w:r>
      <w:r>
        <w:rPr>
          <w:color w:val="auto"/>
          <w:sz w:val="21"/>
          <w:szCs w:val="21"/>
          <w:highlight w:val="none"/>
        </w:rPr>
        <w:t>（响应）</w:t>
      </w:r>
      <w:r>
        <w:rPr>
          <w:rFonts w:hint="eastAsia"/>
          <w:color w:val="auto"/>
          <w:sz w:val="21"/>
          <w:szCs w:val="21"/>
          <w:highlight w:val="none"/>
          <w:lang w:val="en-US"/>
        </w:rPr>
        <w:t>无效。打“▲”号条款为重要技术参数（如有），若有部分“▲”条款未响应或不满足，将根据评审要求影响其得分，但不作为无效投标</w:t>
      </w:r>
      <w:r>
        <w:rPr>
          <w:color w:val="auto"/>
          <w:sz w:val="21"/>
          <w:szCs w:val="21"/>
          <w:highlight w:val="none"/>
        </w:rPr>
        <w:t>（响应）</w:t>
      </w:r>
      <w:r>
        <w:rPr>
          <w:rFonts w:hint="eastAsia"/>
          <w:color w:val="auto"/>
          <w:sz w:val="21"/>
          <w:szCs w:val="21"/>
          <w:highlight w:val="none"/>
          <w:lang w:val="en-US"/>
        </w:rPr>
        <w:t>条款。</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w:t>
      </w:r>
      <w:r>
        <w:rPr>
          <w:rFonts w:hint="eastAsia"/>
          <w:b/>
          <w:bCs/>
          <w:color w:val="auto"/>
          <w:sz w:val="24"/>
          <w:highlight w:val="none"/>
          <w:lang w:val="en-US" w:eastAsia="zh-CN"/>
        </w:rPr>
        <w:t>二</w:t>
      </w:r>
      <w:r>
        <w:rPr>
          <w:rFonts w:hint="eastAsia"/>
          <w:b/>
          <w:bCs/>
          <w:color w:val="auto"/>
          <w:sz w:val="24"/>
          <w:highlight w:val="none"/>
        </w:rPr>
        <w:t>：</w:t>
      </w:r>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pPr>
        <w:pStyle w:val="2"/>
        <w:spacing w:before="8"/>
        <w:rPr>
          <w:color w:val="auto"/>
          <w:sz w:val="13"/>
          <w:highlight w:val="none"/>
        </w:rPr>
      </w:pPr>
    </w:p>
    <w:p>
      <w:pPr>
        <w:pStyle w:val="4"/>
        <w:rPr>
          <w:color w:val="auto"/>
          <w:highlight w:val="none"/>
        </w:rPr>
      </w:pPr>
      <w:bookmarkStart w:id="314" w:name="_Toc16713"/>
      <w:bookmarkStart w:id="315" w:name="_Toc20098"/>
      <w:bookmarkStart w:id="316" w:name="_Toc27833"/>
      <w:bookmarkStart w:id="317" w:name="_Toc10424"/>
      <w:r>
        <w:rPr>
          <w:color w:val="auto"/>
          <w:highlight w:val="none"/>
        </w:rPr>
        <w:t>履约进度计划表</w:t>
      </w:r>
      <w:bookmarkEnd w:id="314"/>
      <w:bookmarkEnd w:id="315"/>
      <w:bookmarkEnd w:id="316"/>
      <w:bookmarkEnd w:id="317"/>
    </w:p>
    <w:p>
      <w:pPr>
        <w:pStyle w:val="2"/>
        <w:spacing w:before="2" w:after="1"/>
        <w:rPr>
          <w:b/>
          <w:color w:val="auto"/>
          <w:sz w:val="17"/>
          <w:highlight w:val="none"/>
        </w:rPr>
      </w:pPr>
    </w:p>
    <w:tbl>
      <w:tblPr>
        <w:tblStyle w:val="20"/>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8"/>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8"/>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8"/>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8"/>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8"/>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8"/>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8"/>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8"/>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8"/>
              <w:spacing w:line="360" w:lineRule="auto"/>
              <w:rPr>
                <w:rFonts w:ascii="宋体" w:hAnsi="宋体" w:cs="宋体"/>
                <w:color w:val="auto"/>
                <w:szCs w:val="21"/>
                <w:highlight w:val="none"/>
              </w:rPr>
            </w:pPr>
          </w:p>
        </w:tc>
        <w:tc>
          <w:tcPr>
            <w:tcW w:w="1354" w:type="pct"/>
            <w:shd w:val="clear" w:color="auto" w:fill="FFFFFF" w:themeFill="background1"/>
          </w:tcPr>
          <w:p>
            <w:pPr>
              <w:pStyle w:val="28"/>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8"/>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8"/>
              <w:spacing w:line="360" w:lineRule="auto"/>
              <w:rPr>
                <w:rFonts w:ascii="宋体" w:hAnsi="宋体" w:cs="宋体"/>
                <w:color w:val="auto"/>
                <w:szCs w:val="21"/>
                <w:highlight w:val="none"/>
              </w:rPr>
            </w:pPr>
          </w:p>
        </w:tc>
        <w:tc>
          <w:tcPr>
            <w:tcW w:w="1354" w:type="pct"/>
            <w:shd w:val="clear" w:color="auto" w:fill="FFFFFF" w:themeFill="background1"/>
          </w:tcPr>
          <w:p>
            <w:pPr>
              <w:pStyle w:val="28"/>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8"/>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8"/>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8"/>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318" w:name="_Toc2912"/>
      <w:bookmarkStart w:id="319" w:name="_Toc26415"/>
      <w:bookmarkStart w:id="320" w:name="_Toc7867"/>
      <w:bookmarkStart w:id="321" w:name="_Toc6564"/>
      <w:r>
        <w:rPr>
          <w:rFonts w:hint="eastAsia"/>
          <w:b/>
          <w:bCs/>
          <w:color w:val="auto"/>
          <w:sz w:val="24"/>
          <w:szCs w:val="32"/>
          <w:highlight w:val="none"/>
        </w:rPr>
        <w:t>格式十</w:t>
      </w:r>
      <w:r>
        <w:rPr>
          <w:rFonts w:hint="eastAsia"/>
          <w:b/>
          <w:bCs/>
          <w:color w:val="auto"/>
          <w:sz w:val="24"/>
          <w:szCs w:val="32"/>
          <w:highlight w:val="none"/>
          <w:lang w:val="en-US" w:eastAsia="zh-CN"/>
        </w:rPr>
        <w:t>三</w:t>
      </w:r>
      <w:r>
        <w:rPr>
          <w:rFonts w:hint="eastAsia"/>
          <w:b/>
          <w:bCs/>
          <w:color w:val="auto"/>
          <w:sz w:val="24"/>
          <w:szCs w:val="32"/>
          <w:highlight w:val="none"/>
        </w:rPr>
        <w:t>：</w:t>
      </w:r>
      <w:bookmarkEnd w:id="318"/>
      <w:bookmarkEnd w:id="319"/>
      <w:bookmarkEnd w:id="320"/>
      <w:bookmarkEnd w:id="321"/>
    </w:p>
    <w:p>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pPr>
        <w:rPr>
          <w:color w:val="auto"/>
          <w:sz w:val="20"/>
          <w:szCs w:val="20"/>
          <w:highlight w:val="none"/>
        </w:rPr>
      </w:pPr>
    </w:p>
    <w:p>
      <w:pPr>
        <w:pStyle w:val="2"/>
        <w:jc w:val="center"/>
        <w:rPr>
          <w:b/>
          <w:bCs/>
          <w:color w:val="auto"/>
          <w:highlight w:val="none"/>
        </w:rPr>
      </w:pPr>
      <w:r>
        <w:rPr>
          <w:b/>
          <w:bCs/>
          <w:color w:val="auto"/>
          <w:highlight w:val="none"/>
        </w:rPr>
        <w:t>各类证明材料</w:t>
      </w:r>
    </w:p>
    <w:p>
      <w:pPr>
        <w:pStyle w:val="26"/>
        <w:tabs>
          <w:tab w:val="left" w:pos="673"/>
        </w:tabs>
        <w:spacing w:line="360" w:lineRule="auto"/>
        <w:ind w:firstLine="0" w:firstLineChars="0"/>
        <w:outlineLvl w:val="1"/>
        <w:rPr>
          <w:rFonts w:ascii="宋体" w:hAnsi="宋体" w:cs="宋体"/>
          <w:color w:val="auto"/>
          <w:szCs w:val="21"/>
          <w:highlight w:val="none"/>
        </w:rPr>
      </w:pPr>
      <w:bookmarkStart w:id="322" w:name="_Toc3338"/>
      <w:bookmarkStart w:id="323" w:name="_Toc10497"/>
      <w:bookmarkStart w:id="324" w:name="_Toc14919"/>
      <w:bookmarkStart w:id="325" w:name="_Toc3436"/>
      <w:r>
        <w:rPr>
          <w:rFonts w:hint="eastAsia" w:ascii="宋体" w:hAnsi="宋体" w:cs="宋体"/>
          <w:color w:val="auto"/>
          <w:szCs w:val="21"/>
          <w:highlight w:val="none"/>
        </w:rPr>
        <w:t>1、磋商文件要求提供的其他资料。</w:t>
      </w:r>
      <w:bookmarkEnd w:id="322"/>
      <w:bookmarkEnd w:id="323"/>
      <w:bookmarkEnd w:id="324"/>
      <w:bookmarkEnd w:id="325"/>
    </w:p>
    <w:p>
      <w:pPr>
        <w:pStyle w:val="26"/>
        <w:tabs>
          <w:tab w:val="left" w:pos="673"/>
        </w:tabs>
        <w:spacing w:line="360" w:lineRule="auto"/>
        <w:ind w:firstLine="0" w:firstLineChars="0"/>
        <w:outlineLvl w:val="1"/>
        <w:rPr>
          <w:rFonts w:ascii="宋体" w:hAnsi="宋体" w:cs="宋体"/>
          <w:color w:val="auto"/>
          <w:szCs w:val="21"/>
          <w:highlight w:val="none"/>
        </w:rPr>
      </w:pPr>
      <w:bookmarkStart w:id="326" w:name="_Toc2429"/>
      <w:bookmarkStart w:id="327" w:name="_Toc7938"/>
      <w:bookmarkStart w:id="328" w:name="_Toc26846"/>
      <w:bookmarkStart w:id="329" w:name="_Toc26572"/>
      <w:r>
        <w:rPr>
          <w:rFonts w:hint="eastAsia" w:ascii="宋体" w:hAnsi="宋体" w:cs="宋体"/>
          <w:color w:val="auto"/>
          <w:szCs w:val="21"/>
          <w:highlight w:val="none"/>
        </w:rPr>
        <w:t>2、供应商认为需提供的其他资料。</w:t>
      </w:r>
      <w:bookmarkEnd w:id="326"/>
      <w:bookmarkEnd w:id="327"/>
      <w:bookmarkEnd w:id="328"/>
      <w:bookmarkEnd w:id="329"/>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6"/>
        <w:tabs>
          <w:tab w:val="left" w:pos="673"/>
        </w:tabs>
        <w:spacing w:line="360" w:lineRule="auto"/>
        <w:ind w:firstLine="0" w:firstLineChars="0"/>
        <w:outlineLvl w:val="1"/>
        <w:rPr>
          <w:rFonts w:ascii="宋体" w:hAnsi="宋体" w:cs="宋体"/>
          <w:b/>
          <w:bCs/>
          <w:color w:val="auto"/>
          <w:sz w:val="24"/>
          <w:highlight w:val="none"/>
        </w:rPr>
      </w:pPr>
      <w:bookmarkStart w:id="330" w:name="_Toc30382"/>
      <w:bookmarkStart w:id="331" w:name="_Toc25195"/>
      <w:bookmarkStart w:id="332" w:name="_Toc27193"/>
      <w:bookmarkStart w:id="333" w:name="_Toc2436"/>
      <w:r>
        <w:rPr>
          <w:rFonts w:hint="eastAsia" w:ascii="宋体" w:hAnsi="宋体" w:cs="宋体"/>
          <w:b/>
          <w:bCs/>
          <w:color w:val="auto"/>
          <w:sz w:val="24"/>
          <w:highlight w:val="none"/>
        </w:rPr>
        <w:t>格式十</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w:t>
      </w:r>
      <w:bookmarkEnd w:id="330"/>
      <w:bookmarkEnd w:id="331"/>
      <w:bookmarkEnd w:id="332"/>
      <w:bookmarkEnd w:id="333"/>
    </w:p>
    <w:p>
      <w:pPr>
        <w:pStyle w:val="26"/>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w:t>
      </w:r>
      <w:r>
        <w:rPr>
          <w:rFonts w:hint="eastAsia"/>
          <w:color w:val="auto"/>
          <w:sz w:val="21"/>
          <w:szCs w:val="21"/>
          <w:highlight w:val="none"/>
          <w:lang w:val="en-US"/>
        </w:rPr>
        <w:t>采购</w:t>
      </w:r>
      <w:r>
        <w:rPr>
          <w:rFonts w:hint="eastAsia"/>
          <w:color w:val="auto"/>
          <w:sz w:val="21"/>
          <w:szCs w:val="21"/>
          <w:highlight w:val="none"/>
        </w:rPr>
        <w:t>中获</w:t>
      </w:r>
      <w:r>
        <w:rPr>
          <w:rFonts w:hint="eastAsia"/>
          <w:color w:val="auto"/>
          <w:sz w:val="21"/>
          <w:szCs w:val="21"/>
          <w:highlight w:val="none"/>
          <w:lang w:val="en-US"/>
        </w:rPr>
        <w:t>成交</w:t>
      </w:r>
      <w:r>
        <w:rPr>
          <w:rFonts w:hint="eastAsia"/>
          <w:color w:val="auto"/>
          <w:sz w:val="21"/>
          <w:szCs w:val="21"/>
          <w:highlight w:val="none"/>
        </w:rPr>
        <w:t>（项目编号：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w:t>
      </w:r>
      <w:r>
        <w:rPr>
          <w:rFonts w:hint="eastAsia"/>
          <w:color w:val="auto"/>
          <w:sz w:val="21"/>
          <w:szCs w:val="21"/>
          <w:highlight w:val="none"/>
          <w:lang w:val="en-US"/>
        </w:rPr>
        <w:t>成交</w:t>
      </w:r>
      <w:r>
        <w:rPr>
          <w:rFonts w:hint="eastAsia"/>
          <w:color w:val="auto"/>
          <w:sz w:val="21"/>
          <w:szCs w:val="21"/>
          <w:highlight w:val="none"/>
        </w:rPr>
        <w:t>通知书》时，按磋商文件对代理服务费支付方式的约定，承担本项目代理服务费。</w:t>
      </w:r>
    </w:p>
    <w:p>
      <w:pPr>
        <w:pStyle w:val="26"/>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响应保证金中支付，不足部分由采购人在支付我方的成交合同款中代为扣付；以响应担保函（或保险保函）方式提交响应保证金时，同意和要求响应担保函开立银行或担保机构、保险保函开立的保险机构应国顺招标有限公司的要求办理支付手续。</w:t>
      </w:r>
    </w:p>
    <w:p>
      <w:pPr>
        <w:pStyle w:val="26"/>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供应商法定名称（公章）：</w:t>
      </w:r>
    </w:p>
    <w:p>
      <w:pPr>
        <w:spacing w:line="480" w:lineRule="auto"/>
        <w:ind w:firstLine="420" w:firstLineChars="200"/>
        <w:rPr>
          <w:color w:val="auto"/>
          <w:highlight w:val="none"/>
        </w:rPr>
      </w:pPr>
      <w:r>
        <w:rPr>
          <w:rFonts w:hint="eastAsia"/>
          <w:color w:val="auto"/>
          <w:highlight w:val="none"/>
        </w:rPr>
        <w:t>供应商法定地址：</w:t>
      </w:r>
    </w:p>
    <w:p>
      <w:pPr>
        <w:spacing w:line="480" w:lineRule="auto"/>
        <w:ind w:firstLine="420" w:firstLineChars="200"/>
        <w:rPr>
          <w:color w:val="auto"/>
          <w:highlight w:val="none"/>
        </w:rPr>
      </w:pPr>
      <w:r>
        <w:rPr>
          <w:rFonts w:hint="eastAsia"/>
          <w:color w:val="auto"/>
          <w:highlight w:val="none"/>
        </w:rPr>
        <w:t>供应商授权代表（签字或盖章）：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6"/>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6"/>
        <w:tabs>
          <w:tab w:val="left" w:pos="673"/>
        </w:tabs>
        <w:spacing w:line="360" w:lineRule="auto"/>
        <w:ind w:firstLine="0" w:firstLineChars="0"/>
        <w:outlineLvl w:val="1"/>
        <w:rPr>
          <w:rFonts w:ascii="宋体" w:hAnsi="宋体" w:cs="宋体"/>
          <w:b/>
          <w:bCs/>
          <w:color w:val="auto"/>
          <w:sz w:val="24"/>
          <w:highlight w:val="none"/>
        </w:rPr>
      </w:pPr>
      <w:bookmarkStart w:id="334" w:name="_Toc3970"/>
      <w:bookmarkStart w:id="335" w:name="_Toc28801"/>
      <w:bookmarkStart w:id="336" w:name="_Toc32108"/>
      <w:bookmarkStart w:id="337" w:name="_Toc7693"/>
      <w:r>
        <w:rPr>
          <w:rFonts w:hint="eastAsia" w:ascii="宋体" w:hAnsi="宋体" w:cs="宋体"/>
          <w:b/>
          <w:bCs/>
          <w:color w:val="auto"/>
          <w:sz w:val="24"/>
          <w:highlight w:val="none"/>
        </w:rPr>
        <w:t>格式十五：</w:t>
      </w:r>
      <w:bookmarkEnd w:id="334"/>
      <w:bookmarkEnd w:id="335"/>
      <w:bookmarkEnd w:id="336"/>
      <w:bookmarkEnd w:id="337"/>
    </w:p>
    <w:p>
      <w:pPr>
        <w:pStyle w:val="2"/>
        <w:spacing w:before="0" w:line="360" w:lineRule="auto"/>
        <w:ind w:left="0"/>
        <w:rPr>
          <w:color w:val="auto"/>
          <w:sz w:val="21"/>
          <w:szCs w:val="21"/>
          <w:highlight w:val="none"/>
        </w:rPr>
      </w:pPr>
      <w:r>
        <w:rPr>
          <w:rFonts w:hint="eastAsia"/>
          <w:color w:val="auto"/>
          <w:sz w:val="21"/>
          <w:szCs w:val="21"/>
          <w:highlight w:val="none"/>
        </w:rPr>
        <w:t>（以下格式文件由供应商根据需要选用）</w:t>
      </w:r>
    </w:p>
    <w:p>
      <w:pPr>
        <w:pStyle w:val="2"/>
        <w:spacing w:before="8"/>
        <w:rPr>
          <w:color w:val="auto"/>
          <w:sz w:val="21"/>
          <w:szCs w:val="21"/>
          <w:highlight w:val="none"/>
        </w:rPr>
      </w:pPr>
    </w:p>
    <w:p>
      <w:pPr>
        <w:jc w:val="center"/>
        <w:outlineLvl w:val="1"/>
        <w:rPr>
          <w:rFonts w:ascii="宋体" w:hAnsi="宋体" w:cs="宋体"/>
          <w:b/>
          <w:bCs/>
          <w:color w:val="auto"/>
          <w:szCs w:val="21"/>
          <w:highlight w:val="none"/>
        </w:rPr>
      </w:pPr>
      <w:bookmarkStart w:id="338" w:name="_Toc31849"/>
      <w:bookmarkStart w:id="339" w:name="_Toc4401"/>
      <w:bookmarkStart w:id="340" w:name="_Toc11855"/>
      <w:bookmarkStart w:id="341" w:name="_Toc17430"/>
      <w:r>
        <w:rPr>
          <w:rFonts w:hint="eastAsia" w:ascii="宋体" w:hAnsi="宋体" w:cs="宋体"/>
          <w:b/>
          <w:bCs/>
          <w:color w:val="auto"/>
          <w:szCs w:val="21"/>
          <w:highlight w:val="none"/>
        </w:rPr>
        <w:t>需要采购人提供的附加条件</w:t>
      </w:r>
      <w:bookmarkEnd w:id="338"/>
      <w:bookmarkEnd w:id="339"/>
      <w:bookmarkEnd w:id="340"/>
      <w:bookmarkEnd w:id="341"/>
    </w:p>
    <w:p>
      <w:pPr>
        <w:pStyle w:val="2"/>
        <w:autoSpaceDE w:val="0"/>
        <w:autoSpaceDN w:val="0"/>
        <w:spacing w:before="0" w:line="360" w:lineRule="auto"/>
        <w:ind w:left="0"/>
        <w:rPr>
          <w:b/>
          <w:color w:val="auto"/>
          <w:sz w:val="21"/>
          <w:szCs w:val="21"/>
          <w:highlight w:val="none"/>
        </w:rPr>
      </w:pPr>
    </w:p>
    <w:tbl>
      <w:tblPr>
        <w:tblStyle w:val="20"/>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8"/>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8"/>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供应商需要采购人提供的附加条件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8"/>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8"/>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8"/>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注：供应商完成本项目需要采购人配合或提供的条件必须在上表列出，否则将视为供应商同意按现有条件完成本项目。如上表所列附加条件含有采购人不能接受的，将被视为投标</w:t>
      </w:r>
      <w:r>
        <w:rPr>
          <w:color w:val="auto"/>
          <w:szCs w:val="21"/>
          <w:highlight w:val="none"/>
        </w:rPr>
        <w:t>（响应）</w:t>
      </w:r>
      <w:r>
        <w:rPr>
          <w:rFonts w:hint="eastAsia" w:ascii="宋体" w:hAnsi="宋体" w:cs="宋体"/>
          <w:color w:val="auto"/>
          <w:szCs w:val="21"/>
          <w:highlight w:val="none"/>
        </w:rPr>
        <w:t>无效。</w:t>
      </w:r>
    </w:p>
    <w:p>
      <w:pPr>
        <w:rPr>
          <w:color w:val="auto"/>
          <w:sz w:val="20"/>
          <w:szCs w:val="20"/>
          <w:highlight w:val="none"/>
        </w:rPr>
      </w:pPr>
      <w:r>
        <w:rPr>
          <w:color w:val="auto"/>
          <w:sz w:val="20"/>
          <w:szCs w:val="20"/>
          <w:highlight w:val="none"/>
        </w:rPr>
        <w:br w:type="page"/>
      </w:r>
    </w:p>
    <w:p>
      <w:pPr>
        <w:pStyle w:val="2"/>
        <w:outlineLvl w:val="1"/>
        <w:rPr>
          <w:b/>
          <w:bCs/>
          <w:color w:val="auto"/>
          <w:highlight w:val="none"/>
          <w:lang w:val="en-US"/>
        </w:rPr>
      </w:pPr>
      <w:bookmarkStart w:id="342" w:name="_Toc29916"/>
      <w:bookmarkStart w:id="343" w:name="_Toc25747"/>
      <w:bookmarkStart w:id="344" w:name="_Toc29664"/>
      <w:bookmarkStart w:id="345" w:name="_Toc2879"/>
      <w:r>
        <w:rPr>
          <w:rFonts w:hint="eastAsia"/>
          <w:b/>
          <w:bCs/>
          <w:color w:val="auto"/>
          <w:highlight w:val="none"/>
          <w:lang w:val="en-US"/>
        </w:rPr>
        <w:t>格式十六：</w:t>
      </w:r>
      <w:bookmarkEnd w:id="342"/>
      <w:bookmarkEnd w:id="343"/>
      <w:bookmarkEnd w:id="344"/>
      <w:bookmarkEnd w:id="345"/>
    </w:p>
    <w:p>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供应商</w:t>
      </w:r>
      <w:r>
        <w:rPr>
          <w:color w:val="auto"/>
          <w:sz w:val="21"/>
          <w:szCs w:val="21"/>
          <w:highlight w:val="none"/>
        </w:rPr>
        <w:t>根据需要选用）</w:t>
      </w:r>
    </w:p>
    <w:p>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346" w:name="_Toc12503"/>
      <w:r>
        <w:rPr>
          <w:rFonts w:hint="eastAsia"/>
          <w:color w:val="auto"/>
          <w:highlight w:val="none"/>
        </w:rPr>
        <w:t>第七篇 报价文件格式</w:t>
      </w:r>
      <w:bookmarkEnd w:id="346"/>
    </w:p>
    <w:p>
      <w:pPr>
        <w:jc w:val="center"/>
        <w:outlineLvl w:val="1"/>
        <w:rPr>
          <w:b/>
          <w:bCs/>
          <w:color w:val="auto"/>
          <w:highlight w:val="none"/>
        </w:rPr>
      </w:pPr>
      <w:bookmarkStart w:id="347" w:name="_Toc23654"/>
      <w:bookmarkStart w:id="348" w:name="_Toc11568"/>
      <w:bookmarkStart w:id="349" w:name="_Toc29643"/>
      <w:bookmarkStart w:id="350" w:name="_Toc32249"/>
      <w:r>
        <w:rPr>
          <w:rFonts w:hint="eastAsia"/>
          <w:b/>
          <w:bCs/>
          <w:color w:val="auto"/>
          <w:highlight w:val="none"/>
        </w:rPr>
        <w:t>（封面格式仅供参考）</w:t>
      </w:r>
      <w:bookmarkEnd w:id="347"/>
      <w:bookmarkEnd w:id="348"/>
      <w:bookmarkEnd w:id="349"/>
      <w:bookmarkEnd w:id="350"/>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351" w:name="_Toc31076"/>
      <w:bookmarkStart w:id="352" w:name="_Toc5561"/>
      <w:bookmarkStart w:id="353" w:name="_Toc10015"/>
      <w:bookmarkStart w:id="354" w:name="_Toc24898"/>
      <w:r>
        <w:rPr>
          <w:rFonts w:hint="eastAsia" w:ascii="宋体" w:hAnsi="宋体" w:cs="宋体"/>
          <w:b/>
          <w:color w:val="auto"/>
          <w:spacing w:val="10"/>
          <w:kern w:val="0"/>
          <w:sz w:val="38"/>
          <w:szCs w:val="38"/>
          <w:highlight w:val="none"/>
          <w:lang w:val="zh-CN" w:bidi="zh-CN"/>
        </w:rPr>
        <w:t>报价文件</w:t>
      </w:r>
      <w:r>
        <w:rPr>
          <w:rFonts w:ascii="宋体" w:hAnsi="宋体" w:cs="宋体"/>
          <w:b/>
          <w:color w:val="auto"/>
          <w:spacing w:val="10"/>
          <w:kern w:val="0"/>
          <w:sz w:val="38"/>
          <w:szCs w:val="38"/>
          <w:highlight w:val="none"/>
          <w:lang w:val="zh-CN" w:bidi="zh-CN"/>
        </w:rPr>
        <w:t>封面</w:t>
      </w:r>
      <w:bookmarkEnd w:id="351"/>
      <w:bookmarkEnd w:id="352"/>
      <w:bookmarkEnd w:id="353"/>
      <w:bookmarkEnd w:id="354"/>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355" w:name="_Toc77"/>
      <w:bookmarkStart w:id="356" w:name="_Toc14351"/>
      <w:bookmarkStart w:id="357" w:name="_Toc18186"/>
      <w:bookmarkStart w:id="358" w:name="_Toc28515"/>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355"/>
      <w:bookmarkEnd w:id="356"/>
      <w:bookmarkEnd w:id="357"/>
      <w:bookmarkEnd w:id="358"/>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2"/>
        <w:spacing w:before="0" w:line="360" w:lineRule="auto"/>
        <w:ind w:left="0"/>
        <w:rPr>
          <w:b/>
          <w:bCs/>
          <w:color w:val="auto"/>
          <w:sz w:val="21"/>
          <w:szCs w:val="21"/>
          <w:highlight w:val="none"/>
          <w:lang w:val="en-US"/>
        </w:rPr>
      </w:pPr>
      <w:r>
        <w:rPr>
          <w:rFonts w:hint="eastAsia"/>
          <w:b/>
          <w:bCs/>
          <w:color w:val="auto"/>
          <w:sz w:val="21"/>
          <w:szCs w:val="21"/>
          <w:highlight w:val="none"/>
          <w:lang w:val="en-US"/>
        </w:rPr>
        <w:t>报价文件包括：</w:t>
      </w:r>
    </w:p>
    <w:p>
      <w:pPr>
        <w:pStyle w:val="2"/>
        <w:spacing w:before="0" w:line="360" w:lineRule="auto"/>
        <w:ind w:left="0"/>
        <w:outlineLvl w:val="1"/>
        <w:rPr>
          <w:b/>
          <w:bCs/>
          <w:color w:val="auto"/>
          <w:sz w:val="21"/>
          <w:szCs w:val="21"/>
          <w:highlight w:val="none"/>
          <w:lang w:val="en-US"/>
        </w:rPr>
      </w:pPr>
      <w:bookmarkStart w:id="359" w:name="_Toc31505"/>
      <w:bookmarkStart w:id="360" w:name="_Toc32100"/>
      <w:bookmarkStart w:id="361" w:name="_Toc24484"/>
      <w:bookmarkStart w:id="362" w:name="_Toc7980"/>
      <w:r>
        <w:rPr>
          <w:rFonts w:hint="eastAsia"/>
          <w:b/>
          <w:bCs/>
          <w:color w:val="auto"/>
          <w:sz w:val="21"/>
          <w:szCs w:val="21"/>
          <w:highlight w:val="none"/>
          <w:lang w:val="en-US"/>
        </w:rPr>
        <w:t>1、</w:t>
      </w:r>
      <w:bookmarkEnd w:id="359"/>
      <w:bookmarkEnd w:id="360"/>
      <w:bookmarkEnd w:id="361"/>
      <w:bookmarkEnd w:id="362"/>
      <w:r>
        <w:rPr>
          <w:rFonts w:hint="eastAsia"/>
          <w:b/>
          <w:bCs/>
          <w:color w:val="auto"/>
          <w:sz w:val="21"/>
          <w:szCs w:val="21"/>
          <w:highlight w:val="none"/>
          <w:lang w:val="en-US"/>
        </w:rPr>
        <w:t>首轮报价表</w:t>
      </w:r>
    </w:p>
    <w:p>
      <w:pPr>
        <w:spacing w:line="360" w:lineRule="auto"/>
        <w:outlineLvl w:val="1"/>
        <w:rPr>
          <w:rFonts w:ascii="宋体" w:hAnsi="宋体" w:cs="宋体"/>
          <w:b/>
          <w:bCs/>
          <w:color w:val="auto"/>
          <w:szCs w:val="21"/>
          <w:highlight w:val="none"/>
        </w:rPr>
      </w:pPr>
      <w:bookmarkStart w:id="363" w:name="_Toc20806"/>
      <w:bookmarkStart w:id="364" w:name="_Toc6563"/>
      <w:bookmarkStart w:id="365" w:name="_Toc29661"/>
      <w:bookmarkStart w:id="366" w:name="_Toc8054"/>
      <w:r>
        <w:rPr>
          <w:rFonts w:hint="eastAsia" w:ascii="宋体" w:hAnsi="宋体" w:cs="宋体"/>
          <w:b/>
          <w:bCs/>
          <w:color w:val="auto"/>
          <w:szCs w:val="21"/>
          <w:highlight w:val="none"/>
        </w:rPr>
        <w:t>2、分项报价表</w:t>
      </w:r>
      <w:bookmarkEnd w:id="363"/>
      <w:bookmarkEnd w:id="364"/>
      <w:bookmarkEnd w:id="365"/>
      <w:bookmarkEnd w:id="366"/>
    </w:p>
    <w:p>
      <w:pPr>
        <w:pStyle w:val="2"/>
        <w:spacing w:before="0" w:line="360" w:lineRule="auto"/>
        <w:ind w:left="0"/>
        <w:outlineLvl w:val="1"/>
        <w:rPr>
          <w:b/>
          <w:bCs/>
          <w:color w:val="auto"/>
          <w:sz w:val="21"/>
          <w:szCs w:val="21"/>
          <w:highlight w:val="none"/>
          <w:lang w:val="en-US"/>
        </w:rPr>
      </w:pPr>
      <w:bookmarkStart w:id="367" w:name="_Toc20631"/>
      <w:bookmarkStart w:id="368" w:name="_Toc5011"/>
      <w:bookmarkStart w:id="369" w:name="_Toc3142"/>
      <w:bookmarkStart w:id="370" w:name="_Toc13609"/>
      <w:r>
        <w:rPr>
          <w:rFonts w:hint="eastAsia"/>
          <w:b/>
          <w:bCs/>
          <w:color w:val="auto"/>
          <w:sz w:val="21"/>
          <w:szCs w:val="21"/>
          <w:highlight w:val="none"/>
          <w:lang w:val="en-US"/>
        </w:rPr>
        <w:t>3、法定代表人证明书</w:t>
      </w:r>
      <w:bookmarkEnd w:id="367"/>
      <w:bookmarkEnd w:id="368"/>
      <w:bookmarkEnd w:id="369"/>
      <w:bookmarkEnd w:id="370"/>
    </w:p>
    <w:p>
      <w:pPr>
        <w:pStyle w:val="2"/>
        <w:spacing w:before="0" w:line="360" w:lineRule="auto"/>
        <w:ind w:left="0"/>
        <w:outlineLvl w:val="1"/>
        <w:rPr>
          <w:b/>
          <w:bCs/>
          <w:color w:val="auto"/>
          <w:sz w:val="21"/>
          <w:szCs w:val="21"/>
          <w:highlight w:val="none"/>
          <w:lang w:val="en-US"/>
        </w:rPr>
      </w:pPr>
      <w:bookmarkStart w:id="371" w:name="_Toc31054"/>
      <w:bookmarkStart w:id="372" w:name="_Toc17346"/>
      <w:bookmarkStart w:id="373" w:name="_Toc27439"/>
      <w:bookmarkStart w:id="374" w:name="_Toc31223"/>
      <w:r>
        <w:rPr>
          <w:rFonts w:hint="eastAsia"/>
          <w:b/>
          <w:bCs/>
          <w:color w:val="auto"/>
          <w:sz w:val="21"/>
          <w:szCs w:val="21"/>
          <w:highlight w:val="none"/>
          <w:lang w:val="en-US"/>
        </w:rPr>
        <w:t>4、法定代表人授权书</w:t>
      </w:r>
      <w:bookmarkEnd w:id="371"/>
      <w:bookmarkEnd w:id="372"/>
      <w:bookmarkEnd w:id="373"/>
      <w:bookmarkEnd w:id="374"/>
    </w:p>
    <w:p>
      <w:pPr>
        <w:spacing w:line="360" w:lineRule="auto"/>
        <w:outlineLvl w:val="1"/>
        <w:rPr>
          <w:rFonts w:ascii="宋体" w:hAnsi="宋体" w:cs="宋体"/>
          <w:b/>
          <w:bCs/>
          <w:color w:val="auto"/>
          <w:szCs w:val="21"/>
          <w:highlight w:val="none"/>
        </w:rPr>
      </w:pPr>
      <w:bookmarkStart w:id="375" w:name="_Toc16304"/>
      <w:bookmarkStart w:id="376" w:name="_Toc29210"/>
      <w:bookmarkStart w:id="377" w:name="_Toc20213"/>
      <w:bookmarkStart w:id="378" w:name="_Toc23814"/>
      <w:r>
        <w:rPr>
          <w:rFonts w:hint="eastAsia" w:ascii="宋体" w:hAnsi="宋体" w:cs="宋体"/>
          <w:b/>
          <w:bCs/>
          <w:color w:val="auto"/>
          <w:szCs w:val="21"/>
          <w:highlight w:val="none"/>
        </w:rPr>
        <w:t>5、</w:t>
      </w:r>
      <w:bookmarkEnd w:id="375"/>
      <w:r>
        <w:rPr>
          <w:rFonts w:hint="eastAsia" w:ascii="宋体" w:hAnsi="宋体" w:cs="宋体"/>
          <w:b/>
          <w:bCs/>
          <w:color w:val="auto"/>
          <w:szCs w:val="21"/>
          <w:highlight w:val="none"/>
        </w:rPr>
        <w:t>响应保证金</w:t>
      </w:r>
      <w:bookmarkEnd w:id="376"/>
      <w:bookmarkEnd w:id="377"/>
      <w:bookmarkEnd w:id="378"/>
    </w:p>
    <w:p>
      <w:pPr>
        <w:rPr>
          <w:color w:val="auto"/>
          <w:highlight w:val="none"/>
        </w:rPr>
      </w:pPr>
    </w:p>
    <w:p>
      <w:pPr>
        <w:pStyle w:val="2"/>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供应商应将首轮报价表、分项报价表、法人代表证明书、法定代表人授权书（法人响应无需提交授权书）、响应保证金（加盖公章）和响应保证金支付凭证银行汇款底单（复印件加盖公章）单独密封提交，并在信封上标明“报价文件”字样。“报价文件”份数及签章等要求与响应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若供应商采用担保函形式的，则无需密封在“报价文件”内，供应商需在开标时间截止前将原件提交至采购代理机构。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379" w:name="_Toc30888"/>
      <w:r>
        <w:rPr>
          <w:rFonts w:hint="eastAsia"/>
          <w:color w:val="auto"/>
          <w:highlight w:val="none"/>
        </w:rPr>
        <w:t>第八篇 其它文件格式（如有需要）</w:t>
      </w:r>
      <w:bookmarkEnd w:id="379"/>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w:t>
      </w:r>
      <w:r>
        <w:rPr>
          <w:rFonts w:hint="eastAsia"/>
          <w:color w:val="auto"/>
          <w:sz w:val="21"/>
          <w:szCs w:val="21"/>
          <w:highlight w:val="none"/>
        </w:rPr>
        <w:t>供应商</w:t>
      </w:r>
      <w:r>
        <w:rPr>
          <w:color w:val="auto"/>
          <w:sz w:val="21"/>
          <w:szCs w:val="21"/>
          <w:highlight w:val="none"/>
        </w:rPr>
        <w:t>提交询问函、质疑函时使用，不属于</w:t>
      </w:r>
      <w:r>
        <w:rPr>
          <w:rFonts w:hint="eastAsia"/>
          <w:color w:val="auto"/>
          <w:sz w:val="21"/>
          <w:szCs w:val="21"/>
          <w:highlight w:val="none"/>
        </w:rPr>
        <w:t>响应文件</w:t>
      </w:r>
      <w:r>
        <w:rPr>
          <w:color w:val="auto"/>
          <w:sz w:val="21"/>
          <w:szCs w:val="21"/>
          <w:highlight w:val="none"/>
        </w:rPr>
        <w:t>格式的组成部分。</w:t>
      </w:r>
    </w:p>
    <w:p>
      <w:pPr>
        <w:jc w:val="center"/>
        <w:rPr>
          <w:b/>
          <w:bCs/>
          <w:color w:val="auto"/>
          <w:highlight w:val="none"/>
        </w:rPr>
      </w:pPr>
      <w:r>
        <w:rPr>
          <w:b/>
          <w:bCs/>
          <w:color w:val="auto"/>
          <w:highlight w:val="none"/>
        </w:rPr>
        <w:t>询问函</w:t>
      </w:r>
    </w:p>
    <w:p>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w:t>
      </w:r>
      <w:r>
        <w:rPr>
          <w:rFonts w:hint="eastAsia"/>
          <w:color w:val="auto"/>
          <w:sz w:val="21"/>
          <w:szCs w:val="21"/>
          <w:highlight w:val="none"/>
          <w:lang w:val="en-US"/>
        </w:rPr>
        <w:t>响应</w:t>
      </w:r>
      <w:r>
        <w:rPr>
          <w:color w:val="auto"/>
          <w:sz w:val="21"/>
          <w:szCs w:val="21"/>
          <w:highlight w:val="none"/>
        </w:rPr>
        <w:t>活动，现有以下几个内容（或条款）存在疑问（或无法理解），特提出询问。</w:t>
      </w:r>
    </w:p>
    <w:p>
      <w:pPr>
        <w:pStyle w:val="2"/>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6"/>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6"/>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2"/>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2"/>
        <w:tabs>
          <w:tab w:val="left" w:pos="10713"/>
        </w:tabs>
        <w:autoSpaceDE w:val="0"/>
        <w:autoSpaceDN w:val="0"/>
        <w:spacing w:before="0" w:line="360" w:lineRule="auto"/>
        <w:ind w:left="0" w:firstLine="420" w:firstLineChars="200"/>
        <w:rPr>
          <w:color w:val="auto"/>
          <w:sz w:val="21"/>
          <w:szCs w:val="21"/>
          <w:highlight w:val="none"/>
        </w:rPr>
      </w:pP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2"/>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2"/>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2"/>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2"/>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2"/>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color w:val="auto"/>
          <w:sz w:val="21"/>
          <w:szCs w:val="21"/>
          <w:highlight w:val="none"/>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pPr>
        <w:pStyle w:val="2"/>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2"/>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2"/>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2"/>
        <w:tabs>
          <w:tab w:val="left" w:pos="3165"/>
          <w:tab w:val="left" w:pos="5818"/>
        </w:tabs>
        <w:autoSpaceDE w:val="0"/>
        <w:autoSpaceDN w:val="0"/>
        <w:spacing w:line="360" w:lineRule="auto"/>
        <w:ind w:left="0" w:firstLine="420" w:firstLineChars="200"/>
        <w:rPr>
          <w:color w:val="auto"/>
          <w:sz w:val="21"/>
          <w:szCs w:val="21"/>
          <w:highlight w:val="none"/>
        </w:rPr>
      </w:pPr>
    </w:p>
    <w:p>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2"/>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2"/>
        <w:autoSpaceDE w:val="0"/>
        <w:autoSpaceDN w:val="0"/>
        <w:spacing w:line="360" w:lineRule="auto"/>
        <w:ind w:left="0" w:firstLine="420" w:firstLineChars="200"/>
        <w:rPr>
          <w:color w:val="auto"/>
          <w:sz w:val="21"/>
          <w:szCs w:val="21"/>
          <w:highlight w:val="none"/>
        </w:rPr>
      </w:pPr>
    </w:p>
    <w:p>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6"/>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6"/>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6"/>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6"/>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6"/>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6"/>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2"/>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响应担保函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（采购人或采购代理机构）：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（以下简称“供应商”）拟参加编号为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响应，根据本项目磋商文件，供应商参加响应时应向你方交纳响应保证金，且可以响应担保函的形式交纳响应保证金。应供应商的申请，我方以保证的方式向你方提供如下响应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1．中标后供应商无正当理由不与采购人或者采购代理机构签订合同；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2．磋商文件规定的供应商应当缴纳保证金的其他情形。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），即本项目的响应保证金金额。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个工作日内进行审查，符合应承担保证责任情形的，我方应按照你方的要求代供应商向你方支付响应保证金。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1．依照法律规定或你方与供应商的另行约定，全部或者部分免除供应商响应保证金义务时，我方亦免除相应的保证责任。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2．因你方原因致使供应商发生本保函第一条第（一）款约定情形的，我方不承担保证责任。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3．因不可抗力造成供应商发生本保函第一条约定情形的，我方不承担保证责任。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4．你方或其他有权机关对磋商文件进行任何澄清或修改，加重我方保证责任的，我方对加重部分不承担保证责任，但该澄清或修改经我方事先书面同意的除外。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（1）若供应商不以响应担保函</w:t>
      </w:r>
      <w:r>
        <w:rPr>
          <w:rFonts w:hint="eastAsia" w:ascii="宋体" w:hAnsi="宋体" w:cs="宋体"/>
          <w:color w:val="auto"/>
          <w:szCs w:val="21"/>
          <w:highlight w:val="none"/>
        </w:rPr>
        <w:t>形式</w:t>
      </w:r>
      <w:r>
        <w:rPr>
          <w:rFonts w:hint="eastAsia" w:ascii="宋体" w:hAnsi="宋体"/>
          <w:color w:val="auto"/>
          <w:szCs w:val="21"/>
          <w:highlight w:val="none"/>
        </w:rPr>
        <w:t>提交响应保证金，则无需在响应文件中提供此格式。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（2）若供应商以响应担保函形式提交响应保证金，则应将响应担保函原件交予采购代理机构。</w:t>
      </w:r>
    </w:p>
    <w:p>
      <w:pPr>
        <w:rPr>
          <w:rFonts w:ascii="宋体" w:hAnsi="宋体"/>
          <w:color w:val="auto"/>
          <w:szCs w:val="21"/>
          <w:highlight w:val="none"/>
        </w:rPr>
      </w:pPr>
      <w:r>
        <w:rPr>
          <w:rFonts w:hint="eastAsia" w:ascii="宋体" w:hAnsi="宋体"/>
          <w:color w:val="auto"/>
          <w:szCs w:val="21"/>
          <w:highlight w:val="none"/>
        </w:rPr>
        <w:br w:type="page"/>
      </w:r>
    </w:p>
    <w:p>
      <w:pPr>
        <w:pStyle w:val="2"/>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______________________(采购人)：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1.将中标项目转让给他人，或者在响应文件中未说明，且未经采购招标机构人同意，将中标项目分包给他人的；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联合体共同响应协议书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（甲公司全称）、（乙公司全称）、（……公司全称）自愿组成联合体，以一个响应供应商的身份共同参加（采购项目名称）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响应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1.作为联合体的牵头单位，代表联合体双方负责响应和合同实施阶段的主办、协调工作。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联合体将严格按照文件的各项要求，递交响应文件，切实执行一切合同文件，共同承担合同规定的一切义务和责任，同时按照内部职责的划分，承担自身所负的责任和风险，在法律在承担连带责任。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份，随响应文件装订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注：1．联合响应时需签本协议，联合体各方成员应在本协议上共同盖章确认。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思源黑体 CN Heavy">
    <w:altName w:val="黑体"/>
    <w:panose1 w:val="00000000000000000000"/>
    <w:charset w:val="80"/>
    <w:family w:val="swiss"/>
    <w:pitch w:val="default"/>
    <w:sig w:usb0="00000000" w:usb1="00000000" w:usb2="00000016" w:usb3="00000000" w:csb0="600601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center"/>
      <w:rPr>
        <w:rFonts w:hint="eastAsia" w:eastAsia="宋体"/>
        <w:lang w:eastAsia="zh-CN"/>
      </w:rPr>
    </w:pPr>
    <w:r>
      <w:rPr>
        <w:rFonts w:hint="eastAsia"/>
        <w:lang w:eastAsia="zh-CN"/>
      </w:rPr>
      <w:t>广东省特种设备检测研究院东莞检测院网络安全服务项目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8"/>
  </w:num>
  <w:num w:numId="3">
    <w:abstractNumId w:val="3"/>
  </w:num>
  <w:num w:numId="4">
    <w:abstractNumId w:val="4"/>
  </w:num>
  <w:num w:numId="5">
    <w:abstractNumId w:val="6"/>
  </w:num>
  <w:num w:numId="6">
    <w:abstractNumId w:val="9"/>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29510D"/>
    <w:rsid w:val="00320346"/>
    <w:rsid w:val="003A4951"/>
    <w:rsid w:val="003B344E"/>
    <w:rsid w:val="004E15D5"/>
    <w:rsid w:val="005973B6"/>
    <w:rsid w:val="00611BD6"/>
    <w:rsid w:val="0076580C"/>
    <w:rsid w:val="007B3D37"/>
    <w:rsid w:val="008A35AD"/>
    <w:rsid w:val="008D0DEC"/>
    <w:rsid w:val="009326A3"/>
    <w:rsid w:val="00967CE7"/>
    <w:rsid w:val="009D649A"/>
    <w:rsid w:val="00AB76FF"/>
    <w:rsid w:val="00BD6556"/>
    <w:rsid w:val="00DA07E1"/>
    <w:rsid w:val="02880AAC"/>
    <w:rsid w:val="0548041A"/>
    <w:rsid w:val="05934631"/>
    <w:rsid w:val="07FA5CF3"/>
    <w:rsid w:val="08DB5114"/>
    <w:rsid w:val="0A91124F"/>
    <w:rsid w:val="0B696582"/>
    <w:rsid w:val="0BE32B7B"/>
    <w:rsid w:val="0C5F4556"/>
    <w:rsid w:val="0FA75340"/>
    <w:rsid w:val="10032DD7"/>
    <w:rsid w:val="10760942"/>
    <w:rsid w:val="13256801"/>
    <w:rsid w:val="19397767"/>
    <w:rsid w:val="19C92056"/>
    <w:rsid w:val="1A582588"/>
    <w:rsid w:val="1B046FEA"/>
    <w:rsid w:val="1B7876D0"/>
    <w:rsid w:val="1D091362"/>
    <w:rsid w:val="258A3E07"/>
    <w:rsid w:val="29A20A66"/>
    <w:rsid w:val="2A213986"/>
    <w:rsid w:val="2A905947"/>
    <w:rsid w:val="2B1E24BE"/>
    <w:rsid w:val="2B831207"/>
    <w:rsid w:val="2D31229C"/>
    <w:rsid w:val="2E3F0BA1"/>
    <w:rsid w:val="2EF83FF0"/>
    <w:rsid w:val="304A47CF"/>
    <w:rsid w:val="3320692B"/>
    <w:rsid w:val="339D5B51"/>
    <w:rsid w:val="33E040A0"/>
    <w:rsid w:val="33E12E57"/>
    <w:rsid w:val="389164E2"/>
    <w:rsid w:val="39C27E7C"/>
    <w:rsid w:val="3A123017"/>
    <w:rsid w:val="3CC53723"/>
    <w:rsid w:val="3D5B0F7D"/>
    <w:rsid w:val="404E5AAB"/>
    <w:rsid w:val="414A030F"/>
    <w:rsid w:val="428651CE"/>
    <w:rsid w:val="42F66385"/>
    <w:rsid w:val="44C86AD1"/>
    <w:rsid w:val="44E63202"/>
    <w:rsid w:val="488F14ED"/>
    <w:rsid w:val="49853DCB"/>
    <w:rsid w:val="4AD05C75"/>
    <w:rsid w:val="4C22418B"/>
    <w:rsid w:val="4CBA733E"/>
    <w:rsid w:val="4E6A7DE2"/>
    <w:rsid w:val="4E862B87"/>
    <w:rsid w:val="4E9C6EA6"/>
    <w:rsid w:val="51593AA1"/>
    <w:rsid w:val="51ED4F85"/>
    <w:rsid w:val="549178FF"/>
    <w:rsid w:val="56927ECE"/>
    <w:rsid w:val="57292A79"/>
    <w:rsid w:val="578643A5"/>
    <w:rsid w:val="5A5E7BBE"/>
    <w:rsid w:val="5C505C32"/>
    <w:rsid w:val="5DE26737"/>
    <w:rsid w:val="5DE85889"/>
    <w:rsid w:val="5E2A2E41"/>
    <w:rsid w:val="5E330567"/>
    <w:rsid w:val="5E8B4316"/>
    <w:rsid w:val="5EFC4014"/>
    <w:rsid w:val="627D3FB7"/>
    <w:rsid w:val="64677E69"/>
    <w:rsid w:val="648B4668"/>
    <w:rsid w:val="64D3048A"/>
    <w:rsid w:val="67520D2F"/>
    <w:rsid w:val="67880920"/>
    <w:rsid w:val="697A6D19"/>
    <w:rsid w:val="6AB832FA"/>
    <w:rsid w:val="6B665B06"/>
    <w:rsid w:val="6CE545D2"/>
    <w:rsid w:val="6DCB42B6"/>
    <w:rsid w:val="6E003853"/>
    <w:rsid w:val="6EE927C1"/>
    <w:rsid w:val="70570158"/>
    <w:rsid w:val="735656B0"/>
    <w:rsid w:val="739B0891"/>
    <w:rsid w:val="74951BFB"/>
    <w:rsid w:val="79533EEE"/>
    <w:rsid w:val="7AEF48EE"/>
    <w:rsid w:val="7B350654"/>
    <w:rsid w:val="7BF71504"/>
    <w:rsid w:val="7CE04C07"/>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7"/>
    <w:qFormat/>
    <w:uiPriority w:val="0"/>
    <w:pPr>
      <w:keepNext/>
      <w:keepLines/>
      <w:spacing w:before="340" w:after="330" w:line="576" w:lineRule="auto"/>
      <w:jc w:val="center"/>
      <w:outlineLvl w:val="0"/>
    </w:pPr>
    <w:rPr>
      <w:b/>
      <w:kern w:val="44"/>
      <w:sz w:val="30"/>
    </w:rPr>
  </w:style>
  <w:style w:type="paragraph" w:styleId="4">
    <w:name w:val="heading 2"/>
    <w:basedOn w:val="1"/>
    <w:next w:val="1"/>
    <w:unhideWhenUsed/>
    <w:qFormat/>
    <w:uiPriority w:val="0"/>
    <w:pPr>
      <w:keepNext/>
      <w:keepLines/>
      <w:spacing w:before="260" w:after="260"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line="360" w:lineRule="auto"/>
      <w:outlineLvl w:val="2"/>
    </w:pPr>
    <w:rPr>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styleId="7">
    <w:name w:val="annotation text"/>
    <w:basedOn w:val="1"/>
    <w:qFormat/>
    <w:uiPriority w:val="0"/>
  </w:style>
  <w:style w:type="paragraph" w:styleId="8">
    <w:name w:val="Body Text Indent"/>
    <w:basedOn w:val="1"/>
    <w:qFormat/>
    <w:uiPriority w:val="0"/>
    <w:pPr>
      <w:spacing w:after="120" w:afterLines="0"/>
      <w:ind w:left="420" w:leftChars="200"/>
    </w:p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eastAsiaTheme="minorEastAsia"/>
      <w:szCs w:val="22"/>
    </w:rPr>
  </w:style>
  <w:style w:type="paragraph" w:styleId="11">
    <w:name w:val="Body Text Indent 2"/>
    <w:basedOn w:val="1"/>
    <w:link w:val="43"/>
    <w:qFormat/>
    <w:uiPriority w:val="0"/>
    <w:pPr>
      <w:spacing w:after="120" w:line="480" w:lineRule="auto"/>
      <w:ind w:left="420" w:leftChars="200"/>
    </w:pPr>
  </w:style>
  <w:style w:type="paragraph" w:styleId="12">
    <w:name w:val="Balloon Text"/>
    <w:basedOn w:val="1"/>
    <w:link w:val="42"/>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0"/>
  </w:style>
  <w:style w:type="paragraph" w:styleId="16">
    <w:name w:val="Body Text Indent 3"/>
    <w:basedOn w:val="1"/>
    <w:qFormat/>
    <w:uiPriority w:val="0"/>
    <w:pPr>
      <w:spacing w:after="120"/>
      <w:ind w:left="420" w:leftChars="200"/>
    </w:pPr>
    <w:rPr>
      <w:sz w:val="16"/>
      <w:szCs w:val="16"/>
    </w:rPr>
  </w:style>
  <w:style w:type="paragraph" w:styleId="17">
    <w:name w:val="toc 2"/>
    <w:basedOn w:val="1"/>
    <w:next w:val="1"/>
    <w:qFormat/>
    <w:uiPriority w:val="0"/>
    <w:pPr>
      <w:ind w:left="420" w:leftChars="200"/>
    </w:pPr>
  </w:style>
  <w:style w:type="paragraph" w:styleId="18">
    <w:name w:val="Body Text First Indent"/>
    <w:basedOn w:val="1"/>
    <w:next w:val="19"/>
    <w:qFormat/>
    <w:uiPriority w:val="0"/>
    <w:pPr>
      <w:ind w:firstLine="420" w:firstLineChars="100"/>
    </w:pPr>
    <w:rPr>
      <w:rFonts w:ascii="Times New Roman" w:hAnsi="Times New Roman"/>
    </w:rPr>
  </w:style>
  <w:style w:type="paragraph" w:customStyle="1" w:styleId="19">
    <w:name w:val="样式 正文首行缩进 + 首行缩进:  1 字符"/>
    <w:basedOn w:val="1"/>
    <w:next w:val="1"/>
    <w:qFormat/>
    <w:uiPriority w:val="0"/>
    <w:pPr>
      <w:spacing w:line="360" w:lineRule="auto"/>
      <w:ind w:firstLine="200" w:firstLineChars="200"/>
    </w:pPr>
    <w:rPr>
      <w:rFonts w:cs="宋体"/>
      <w:sz w:val="24"/>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qFormat/>
    <w:uiPriority w:val="99"/>
    <w:rPr>
      <w:color w:val="0000FF"/>
      <w:u w:val="single"/>
    </w:rPr>
  </w:style>
  <w:style w:type="character" w:styleId="24">
    <w:name w:val="annotation reference"/>
    <w:qFormat/>
    <w:uiPriority w:val="0"/>
    <w:rPr>
      <w:rFonts w:ascii="Times New Roman" w:hAnsi="Times New Roman" w:eastAsia="宋体" w:cs="Times New Roman"/>
      <w:sz w:val="21"/>
      <w:szCs w:val="21"/>
    </w:rPr>
  </w:style>
  <w:style w:type="paragraph" w:customStyle="1" w:styleId="25">
    <w:name w:val="_Style 3"/>
    <w:next w:val="16"/>
    <w:qFormat/>
    <w:uiPriority w:val="0"/>
    <w:pPr>
      <w:widowControl w:val="0"/>
      <w:autoSpaceDE w:val="0"/>
      <w:autoSpaceDN w:val="0"/>
      <w:adjustRightInd w:val="0"/>
      <w:spacing w:line="480" w:lineRule="exact"/>
      <w:ind w:firstLine="560"/>
    </w:pPr>
    <w:rPr>
      <w:rFonts w:ascii="宋体" w:hAnsi="宋体" w:eastAsia="宋体" w:cs="Times New Roman"/>
      <w:color w:val="000000"/>
      <w:sz w:val="28"/>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link w:val="3"/>
    <w:qFormat/>
    <w:uiPriority w:val="0"/>
    <w:rPr>
      <w:b/>
      <w:kern w:val="44"/>
      <w:sz w:val="30"/>
    </w:rPr>
  </w:style>
  <w:style w:type="paragraph" w:customStyle="1" w:styleId="28">
    <w:name w:val="Table Paragraph"/>
    <w:basedOn w:val="1"/>
    <w:qFormat/>
    <w:uiPriority w:val="1"/>
  </w:style>
  <w:style w:type="paragraph" w:customStyle="1" w:styleId="29">
    <w:name w:val="正文缩进2格"/>
    <w:basedOn w:val="30"/>
    <w:next w:val="1"/>
    <w:qFormat/>
    <w:uiPriority w:val="0"/>
    <w:pPr>
      <w:spacing w:line="600" w:lineRule="exact"/>
      <w:ind w:firstLine="639" w:firstLineChars="206"/>
    </w:pPr>
    <w:rPr>
      <w:rFonts w:ascii="仿宋_GB2312" w:hAnsi="宋体" w:eastAsia="仿宋_GB2312"/>
      <w:sz w:val="31"/>
    </w:rPr>
  </w:style>
  <w:style w:type="paragraph" w:customStyle="1" w:styleId="30">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4">
    <w:name w:val="_Style 4"/>
    <w:basedOn w:val="1"/>
    <w:qFormat/>
    <w:uiPriority w:val="0"/>
    <w:pPr>
      <w:spacing w:line="360" w:lineRule="auto"/>
      <w:ind w:firstLine="420" w:firstLineChars="200"/>
    </w:pPr>
    <w:rPr>
      <w:rFonts w:ascii="Calibri" w:hAnsi="Calibri"/>
      <w:szCs w:val="22"/>
    </w:rPr>
  </w:style>
  <w:style w:type="character" w:customStyle="1" w:styleId="35">
    <w:name w:val="font61"/>
    <w:basedOn w:val="22"/>
    <w:qFormat/>
    <w:uiPriority w:val="0"/>
    <w:rPr>
      <w:rFonts w:hint="default" w:ascii="Times New Roman" w:hAnsi="Times New Roman" w:cs="Times New Roman"/>
      <w:color w:val="000000"/>
      <w:sz w:val="20"/>
      <w:szCs w:val="20"/>
      <w:u w:val="none"/>
    </w:rPr>
  </w:style>
  <w:style w:type="character" w:customStyle="1" w:styleId="36">
    <w:name w:val="font41"/>
    <w:basedOn w:val="22"/>
    <w:qFormat/>
    <w:uiPriority w:val="0"/>
    <w:rPr>
      <w:rFonts w:hint="eastAsia" w:ascii="宋体" w:hAnsi="宋体" w:eastAsia="宋体" w:cs="宋体"/>
      <w:color w:val="000000"/>
      <w:sz w:val="20"/>
      <w:szCs w:val="20"/>
      <w:u w:val="none"/>
    </w:rPr>
  </w:style>
  <w:style w:type="character" w:customStyle="1" w:styleId="37">
    <w:name w:val="font71"/>
    <w:basedOn w:val="22"/>
    <w:qFormat/>
    <w:uiPriority w:val="0"/>
    <w:rPr>
      <w:rFonts w:hint="eastAsia" w:ascii="宋体" w:hAnsi="宋体" w:eastAsia="宋体" w:cs="宋体"/>
      <w:color w:val="000000"/>
      <w:sz w:val="20"/>
      <w:szCs w:val="20"/>
      <w:u w:val="none"/>
      <w:vertAlign w:val="superscript"/>
    </w:rPr>
  </w:style>
  <w:style w:type="character" w:customStyle="1" w:styleId="38">
    <w:name w:val="font31"/>
    <w:basedOn w:val="22"/>
    <w:qFormat/>
    <w:uiPriority w:val="0"/>
    <w:rPr>
      <w:rFonts w:hint="eastAsia" w:ascii="宋体" w:hAnsi="宋体" w:eastAsia="宋体" w:cs="宋体"/>
      <w:color w:val="000000"/>
      <w:sz w:val="20"/>
      <w:szCs w:val="20"/>
      <w:u w:val="none"/>
    </w:rPr>
  </w:style>
  <w:style w:type="character" w:customStyle="1" w:styleId="39">
    <w:name w:val="font01"/>
    <w:basedOn w:val="22"/>
    <w:qFormat/>
    <w:uiPriority w:val="0"/>
    <w:rPr>
      <w:rFonts w:hint="default" w:ascii="Times New Roman" w:hAnsi="Times New Roman" w:cs="Times New Roman"/>
      <w:color w:val="000000"/>
      <w:sz w:val="20"/>
      <w:szCs w:val="20"/>
      <w:u w:val="none"/>
      <w:vertAlign w:val="superscript"/>
    </w:rPr>
  </w:style>
  <w:style w:type="paragraph" w:customStyle="1" w:styleId="40">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1">
    <w:name w:val="正文（深信服）"/>
    <w:qFormat/>
    <w:uiPriority w:val="0"/>
    <w:pPr>
      <w:spacing w:line="300" w:lineRule="auto"/>
    </w:pPr>
    <w:rPr>
      <w:rFonts w:ascii="Arial" w:hAnsi="Arial" w:eastAsia="宋体" w:cs="Times New Roman"/>
      <w:sz w:val="24"/>
      <w:szCs w:val="21"/>
      <w:lang w:val="en-US" w:eastAsia="zh-CN" w:bidi="ar-SA"/>
    </w:rPr>
  </w:style>
  <w:style w:type="character" w:customStyle="1" w:styleId="42">
    <w:name w:val="批注框文本 Char"/>
    <w:basedOn w:val="22"/>
    <w:link w:val="12"/>
    <w:qFormat/>
    <w:uiPriority w:val="0"/>
    <w:rPr>
      <w:rFonts w:asciiTheme="minorHAnsi" w:hAnsiTheme="minorHAnsi" w:cstheme="minorBidi"/>
      <w:kern w:val="2"/>
      <w:sz w:val="18"/>
      <w:szCs w:val="18"/>
    </w:rPr>
  </w:style>
  <w:style w:type="character" w:customStyle="1" w:styleId="43">
    <w:name w:val="正文文本缩进 2 Char"/>
    <w:basedOn w:val="22"/>
    <w:link w:val="11"/>
    <w:qFormat/>
    <w:uiPriority w:val="0"/>
    <w:rPr>
      <w:rFonts w:asciiTheme="minorHAnsi" w:hAnsiTheme="minorHAnsi" w:cstheme="minorBidi"/>
      <w:kern w:val="2"/>
      <w:sz w:val="21"/>
      <w:szCs w:val="24"/>
    </w:rPr>
  </w:style>
  <w:style w:type="character" w:customStyle="1" w:styleId="44">
    <w:name w:val="xdrichtextbox"/>
    <w:qFormat/>
    <w:uiPriority w:val="0"/>
  </w:style>
  <w:style w:type="character" w:customStyle="1" w:styleId="45">
    <w:name w:val="font11"/>
    <w:basedOn w:val="22"/>
    <w:qFormat/>
    <w:uiPriority w:val="0"/>
    <w:rPr>
      <w:rFonts w:hint="eastAsia" w:ascii="宋体" w:hAnsi="宋体" w:eastAsia="宋体" w:cs="宋体"/>
      <w:b/>
      <w:bCs/>
      <w:color w:val="000000"/>
      <w:sz w:val="21"/>
      <w:szCs w:val="21"/>
      <w:u w:val="none"/>
    </w:rPr>
  </w:style>
  <w:style w:type="character" w:customStyle="1" w:styleId="46">
    <w:name w:val="font21"/>
    <w:basedOn w:val="2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92</Pages>
  <Words>8225</Words>
  <Characters>46889</Characters>
  <Lines>390</Lines>
  <Paragraphs>110</Paragraphs>
  <TotalTime>7</TotalTime>
  <ScaleCrop>false</ScaleCrop>
  <LinksUpToDate>false</LinksUpToDate>
  <CharactersWithSpaces>55004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2023-12-05T06:48:03Z</cp:lastPrinted>
  <dcterms:modified xsi:type="dcterms:W3CDTF">2023-12-05T06:56:55Z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6AC01DC416BF48A994D82BA0F89E72C3_13</vt:lpwstr>
  </property>
</Properties>
</file>