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东莞矽孚复合材料有限公司630kVA变压器采购及安装项目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东莞市石排镇谷吓石井股份经济合作社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20</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东莞矽孚复合材料有限公司630kVA变压器采购及安装项目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bookmarkStart w:id="180" w:name="_GoBack"/>
      <w:bookmarkEnd w:id="180"/>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169"/>
      <w:bookmarkStart w:id="5" w:name="_Toc28359002"/>
      <w:bookmarkStart w:id="6" w:name="_Toc35393790"/>
      <w:bookmarkStart w:id="7" w:name="_Toc28359079"/>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GSDG2023-044A</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东莞矽孚复合材料有限公司630kVA变压器采购及安装项目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490,300.79</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完工</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东莞矽孚复合材料有限公司630kVA变压器</w:t>
            </w:r>
            <w:r>
              <w:rPr>
                <w:rFonts w:hint="eastAsia" w:hAnsi="宋体"/>
                <w:color w:val="auto"/>
                <w:szCs w:val="21"/>
                <w:highlight w:val="none"/>
              </w:rPr>
              <w:t>采购及安装采购一项</w:t>
            </w:r>
          </w:p>
        </w:tc>
        <w:tc>
          <w:tcPr>
            <w:tcW w:w="3628" w:type="dxa"/>
            <w:vAlign w:val="center"/>
          </w:tcPr>
          <w:p>
            <w:pPr>
              <w:spacing w:line="360" w:lineRule="auto"/>
              <w:jc w:val="left"/>
              <w:rPr>
                <w:rFonts w:hAnsi="宋体"/>
                <w:color w:val="auto"/>
                <w:szCs w:val="21"/>
                <w:highlight w:val="none"/>
              </w:rPr>
            </w:pPr>
            <w:r>
              <w:rPr>
                <w:rFonts w:hint="eastAsia" w:ascii="宋体" w:hAnsi="宋体" w:cs="宋体"/>
                <w:b w:val="0"/>
                <w:bCs/>
                <w:color w:val="auto"/>
                <w:kern w:val="2"/>
                <w:sz w:val="21"/>
                <w:szCs w:val="21"/>
                <w:highlight w:val="none"/>
                <w:lang w:val="en-US" w:eastAsia="zh-CN" w:bidi="ar-SA"/>
              </w:rPr>
              <w:t>签订合同后，</w:t>
            </w:r>
            <w:r>
              <w:rPr>
                <w:rFonts w:hint="default" w:ascii="宋体" w:hAnsi="宋体" w:cs="宋体"/>
                <w:b w:val="0"/>
                <w:bCs/>
                <w:color w:val="auto"/>
                <w:kern w:val="2"/>
                <w:sz w:val="21"/>
                <w:szCs w:val="21"/>
                <w:highlight w:val="none"/>
                <w:lang w:val="en-US" w:eastAsia="zh-CN" w:bidi="ar-SA"/>
              </w:rPr>
              <w:t>30天内</w:t>
            </w:r>
            <w:r>
              <w:rPr>
                <w:rFonts w:hint="eastAsia" w:ascii="宋体" w:hAnsi="宋体" w:cs="宋体"/>
                <w:b w:val="0"/>
                <w:bCs/>
                <w:color w:val="auto"/>
                <w:kern w:val="2"/>
                <w:sz w:val="21"/>
                <w:szCs w:val="21"/>
                <w:highlight w:val="none"/>
                <w:lang w:val="en-US" w:eastAsia="zh-CN" w:bidi="ar-SA"/>
              </w:rPr>
              <w:t>完成（包括供货、施工、安装、调试、验收工作）。</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03"/>
      <w:bookmarkStart w:id="11" w:name="_Toc25198"/>
      <w:bookmarkStart w:id="12" w:name="_Toc35393791"/>
      <w:bookmarkStart w:id="13" w:name="_Toc35393622"/>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792"/>
      <w:bookmarkStart w:id="20" w:name="_Toc173"/>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793"/>
      <w:bookmarkStart w:id="25" w:name="_Toc28585"/>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pPr>
        <w:pStyle w:val="4"/>
        <w:spacing w:line="360" w:lineRule="auto"/>
        <w:jc w:val="left"/>
        <w:rPr>
          <w:rFonts w:ascii="宋体" w:hAnsi="宋体" w:cs="宋体"/>
          <w:bCs/>
          <w:color w:val="auto"/>
          <w:sz w:val="21"/>
          <w:szCs w:val="21"/>
          <w:highlight w:val="none"/>
        </w:rPr>
      </w:pPr>
      <w:bookmarkStart w:id="27" w:name="_Toc35393625"/>
      <w:bookmarkStart w:id="28" w:name="_Toc35393794"/>
      <w:bookmarkStart w:id="29" w:name="_Toc28359007"/>
      <w:bookmarkStart w:id="30" w:name="_Toc28359084"/>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35393627"/>
      <w:bookmarkStart w:id="37" w:name="_Toc28359008"/>
      <w:bookmarkStart w:id="38" w:name="_Toc35393796"/>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东莞市石排镇谷吓石井股份经济合作社</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址：广东省东莞市石排镇</w:t>
      </w:r>
    </w:p>
    <w:p>
      <w:pPr>
        <w:spacing w:line="360" w:lineRule="auto"/>
        <w:ind w:left="263" w:hanging="262" w:hangingChars="125"/>
        <w:rPr>
          <w:rFonts w:hint="default"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曾生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联系方式：0769-81370222</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4580"/>
      <w:bookmarkStart w:id="43" w:name="_Toc28359086"/>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652"/>
      <w:bookmarkStart w:id="49" w:name="_Toc497983494"/>
      <w:bookmarkStart w:id="50" w:name="_Toc413402429"/>
      <w:bookmarkStart w:id="51" w:name="_Toc396137231"/>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382049092"/>
      <w:bookmarkStart w:id="58" w:name="_Toc298847174"/>
      <w:bookmarkStart w:id="59" w:name="_Toc1530"/>
      <w:bookmarkStart w:id="60" w:name="_Toc303084246"/>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3" w:name="_Toc32610"/>
      <w:bookmarkStart w:id="64" w:name="_Toc16909"/>
      <w:r>
        <w:rPr>
          <w:rFonts w:hint="eastAsia"/>
          <w:color w:val="auto"/>
          <w:highlight w:val="none"/>
        </w:rPr>
        <w:t>4.投标费用</w:t>
      </w:r>
      <w:bookmarkEnd w:id="63"/>
      <w:bookmarkEnd w:id="6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5" w:name="_Toc13316"/>
      <w:bookmarkStart w:id="66" w:name="_Toc24409"/>
      <w:r>
        <w:rPr>
          <w:rFonts w:hint="eastAsia"/>
          <w:color w:val="auto"/>
          <w:highlight w:val="none"/>
        </w:rPr>
        <w:t>5.知识产权</w:t>
      </w:r>
      <w:bookmarkEnd w:id="65"/>
      <w:bookmarkEnd w:id="6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9" w:name="_Toc24312"/>
      <w:bookmarkStart w:id="70" w:name="_Toc27528"/>
      <w:r>
        <w:rPr>
          <w:rFonts w:hint="eastAsia"/>
          <w:color w:val="auto"/>
          <w:highlight w:val="none"/>
        </w:rPr>
        <w:t>7.关于分支机构投标</w:t>
      </w:r>
      <w:bookmarkEnd w:id="69"/>
      <w:bookmarkEnd w:id="70"/>
    </w:p>
    <w:p>
      <w:pPr>
        <w:pStyle w:val="20"/>
        <w:numPr>
          <w:ilvl w:val="0"/>
          <w:numId w:val="6"/>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5"/>
        <w:rPr>
          <w:color w:val="auto"/>
          <w:highlight w:val="none"/>
        </w:rPr>
      </w:pPr>
      <w:bookmarkStart w:id="72" w:name="_Toc15490"/>
      <w:bookmarkStart w:id="73" w:name="_Toc13645"/>
      <w:r>
        <w:rPr>
          <w:rFonts w:hint="eastAsia"/>
          <w:color w:val="auto"/>
          <w:highlight w:val="none"/>
        </w:rPr>
        <w:t>8.招标文件的组成</w:t>
      </w:r>
      <w:bookmarkEnd w:id="72"/>
      <w:bookmarkEnd w:id="73"/>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4" w:name="_Toc644"/>
      <w:bookmarkStart w:id="75" w:name="_Toc7789"/>
      <w:r>
        <w:rPr>
          <w:rFonts w:hint="eastAsia"/>
          <w:color w:val="auto"/>
          <w:highlight w:val="none"/>
        </w:rPr>
        <w:t>9.招标文件的澄清或修改</w:t>
      </w:r>
      <w:bookmarkEnd w:id="74"/>
      <w:bookmarkEnd w:id="7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6" w:name="_Toc708"/>
      <w:bookmarkStart w:id="77" w:name="_Toc6458"/>
      <w:r>
        <w:rPr>
          <w:rFonts w:hint="eastAsia"/>
          <w:color w:val="auto"/>
          <w:highlight w:val="none"/>
        </w:rPr>
        <w:t>10.投标文件的语言及度量衡单位</w:t>
      </w:r>
      <w:bookmarkEnd w:id="76"/>
      <w:bookmarkEnd w:id="7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8" w:name="_Toc307934854"/>
      <w:bookmarkStart w:id="79" w:name="_Toc8246"/>
      <w:bookmarkStart w:id="80" w:name="_Toc29420"/>
      <w:bookmarkStart w:id="81" w:name="_Toc303084256"/>
      <w:bookmarkStart w:id="82" w:name="_Toc382049103"/>
      <w:bookmarkStart w:id="83" w:name="_Toc28866"/>
      <w:r>
        <w:rPr>
          <w:rFonts w:hint="eastAsia"/>
          <w:color w:val="auto"/>
          <w:highlight w:val="none"/>
        </w:rPr>
        <w:t>11.投标文件的组成</w:t>
      </w:r>
      <w:bookmarkEnd w:id="78"/>
      <w:bookmarkEnd w:id="79"/>
      <w:bookmarkEnd w:id="80"/>
      <w:bookmarkEnd w:id="81"/>
      <w:bookmarkEnd w:id="82"/>
      <w:bookmarkEnd w:id="8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4" w:name="_Toc11356"/>
      <w:bookmarkStart w:id="85" w:name="_Toc5980"/>
      <w:r>
        <w:rPr>
          <w:rFonts w:hint="eastAsia"/>
          <w:color w:val="auto"/>
          <w:highlight w:val="none"/>
        </w:rPr>
        <w:t>12.投标文件编制</w:t>
      </w:r>
      <w:bookmarkEnd w:id="84"/>
      <w:bookmarkEnd w:id="85"/>
    </w:p>
    <w:p>
      <w:pPr>
        <w:pStyle w:val="20"/>
        <w:numPr>
          <w:ilvl w:val="0"/>
          <w:numId w:val="6"/>
        </w:numPr>
        <w:spacing w:line="400" w:lineRule="exact"/>
        <w:ind w:firstLineChars="0"/>
        <w:jc w:val="both"/>
        <w:rPr>
          <w:rFonts w:ascii="宋体" w:hAnsi="宋体" w:cs="宋体"/>
          <w:vanish/>
          <w:color w:val="auto"/>
          <w:szCs w:val="21"/>
          <w:highlight w:val="none"/>
        </w:rPr>
      </w:pPr>
      <w:bookmarkStart w:id="86"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7" w:name="_Toc28034"/>
      <w:bookmarkStart w:id="88" w:name="_Toc1355"/>
      <w:r>
        <w:rPr>
          <w:rFonts w:hint="eastAsia"/>
          <w:color w:val="auto"/>
          <w:highlight w:val="none"/>
        </w:rPr>
        <w:t>13.投标报价说明</w:t>
      </w:r>
      <w:bookmarkEnd w:id="87"/>
      <w:bookmarkEnd w:id="8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7"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8" w:name="_Toc24997"/>
      <w:bookmarkStart w:id="99" w:name="_Toc382049111"/>
      <w:bookmarkStart w:id="100" w:name="_Toc16286"/>
      <w:bookmarkStart w:id="101" w:name="_Toc303084264"/>
      <w:bookmarkStart w:id="102" w:name="_Toc16724"/>
      <w:r>
        <w:rPr>
          <w:rFonts w:hint="eastAsia"/>
          <w:color w:val="auto"/>
          <w:highlight w:val="none"/>
        </w:rPr>
        <w:t>17.投标文件的装订，签署，密封和标记</w:t>
      </w:r>
      <w:bookmarkEnd w:id="98"/>
      <w:bookmarkEnd w:id="99"/>
      <w:bookmarkEnd w:id="100"/>
      <w:bookmarkEnd w:id="101"/>
      <w:bookmarkEnd w:id="10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3" w:name="_Toc17636"/>
      <w:bookmarkStart w:id="104" w:name="_Toc30088"/>
      <w:r>
        <w:rPr>
          <w:rFonts w:hint="eastAsia"/>
          <w:color w:val="auto"/>
          <w:highlight w:val="none"/>
        </w:rPr>
        <w:t>18.迟交的投标文件</w:t>
      </w:r>
      <w:bookmarkEnd w:id="103"/>
      <w:bookmarkEnd w:id="10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7" w:name="_Toc382049112"/>
      <w:bookmarkStart w:id="108" w:name="_Toc9777"/>
      <w:bookmarkStart w:id="109" w:name="_Toc303084265"/>
      <w:bookmarkStart w:id="110" w:name="_Toc28098"/>
      <w:bookmarkStart w:id="111" w:name="_Toc22355"/>
      <w:r>
        <w:rPr>
          <w:rFonts w:hint="eastAsia"/>
          <w:color w:val="auto"/>
          <w:highlight w:val="none"/>
        </w:rPr>
        <w:t>20.投标截止期</w:t>
      </w:r>
      <w:bookmarkEnd w:id="107"/>
      <w:bookmarkEnd w:id="108"/>
      <w:bookmarkEnd w:id="109"/>
      <w:bookmarkEnd w:id="110"/>
      <w:bookmarkEnd w:id="11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5" w:name="_Toc23244"/>
      <w:bookmarkStart w:id="116" w:name="_Toc318"/>
      <w:r>
        <w:rPr>
          <w:rFonts w:hint="eastAsia"/>
          <w:color w:val="auto"/>
          <w:highlight w:val="none"/>
        </w:rPr>
        <w:t>23.评标委员会及评标方法</w:t>
      </w:r>
      <w:bookmarkEnd w:id="115"/>
      <w:bookmarkEnd w:id="11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7" w:name="_Toc21911"/>
      <w:bookmarkStart w:id="118" w:name="_Toc15635"/>
      <w:r>
        <w:rPr>
          <w:rFonts w:hint="eastAsia"/>
          <w:color w:val="auto"/>
          <w:highlight w:val="none"/>
        </w:rPr>
        <w:t>24.评审原则及评标过程的保密</w:t>
      </w:r>
      <w:bookmarkEnd w:id="117"/>
      <w:bookmarkEnd w:id="11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19" w:name="_Toc10950"/>
      <w:bookmarkStart w:id="120" w:name="_Toc12318"/>
      <w:r>
        <w:rPr>
          <w:rFonts w:hint="eastAsia"/>
          <w:color w:val="auto"/>
          <w:highlight w:val="none"/>
        </w:rPr>
        <w:t>25.投标文件的初审</w:t>
      </w:r>
      <w:bookmarkEnd w:id="119"/>
      <w:bookmarkEnd w:id="12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3" w:name="_Toc316375620"/>
      <w:bookmarkStart w:id="124" w:name="_Toc382049120"/>
      <w:bookmarkStart w:id="125" w:name="_Toc20328"/>
      <w:bookmarkStart w:id="126" w:name="_Toc5898"/>
      <w:bookmarkStart w:id="127" w:name="_Toc19304"/>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8" w:name="_Toc4954"/>
      <w:bookmarkStart w:id="129" w:name="_Toc508284011"/>
      <w:bookmarkStart w:id="130" w:name="_Toc1994"/>
      <w:r>
        <w:rPr>
          <w:rFonts w:hint="eastAsia"/>
          <w:color w:val="auto"/>
          <w:highlight w:val="none"/>
        </w:rPr>
        <w:t>28.合同授予标准</w:t>
      </w:r>
      <w:bookmarkEnd w:id="128"/>
      <w:bookmarkEnd w:id="129"/>
      <w:bookmarkEnd w:id="13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1" w:name="_Toc508284013"/>
      <w:bookmarkStart w:id="132" w:name="_Toc14141"/>
      <w:bookmarkStart w:id="133" w:name="_Toc22043"/>
      <w:r>
        <w:rPr>
          <w:rFonts w:hint="eastAsia"/>
          <w:color w:val="auto"/>
          <w:highlight w:val="none"/>
        </w:rPr>
        <w:t>30.发布采购结果</w:t>
      </w:r>
      <w:bookmarkEnd w:id="131"/>
      <w:bookmarkEnd w:id="132"/>
      <w:bookmarkEnd w:id="13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4" w:name="_Toc11977"/>
      <w:bookmarkStart w:id="135" w:name="_Toc8411"/>
      <w:r>
        <w:rPr>
          <w:rFonts w:hint="eastAsia"/>
          <w:color w:val="auto"/>
          <w:highlight w:val="none"/>
        </w:rPr>
        <w:t>30.合同的签订与履行</w:t>
      </w:r>
      <w:bookmarkEnd w:id="134"/>
      <w:bookmarkEnd w:id="135"/>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6" w:name="_Toc23400"/>
      <w:bookmarkStart w:id="137" w:name="_Toc19434"/>
      <w:r>
        <w:rPr>
          <w:rFonts w:hint="eastAsia"/>
          <w:color w:val="auto"/>
          <w:highlight w:val="none"/>
        </w:rPr>
        <w:t>31.招标文件的解释权</w:t>
      </w:r>
      <w:bookmarkEnd w:id="136"/>
      <w:bookmarkEnd w:id="13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完工期</w:t>
            </w:r>
          </w:p>
        </w:tc>
        <w:tc>
          <w:tcPr>
            <w:tcW w:w="6724" w:type="dxa"/>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b w:val="0"/>
                <w:bCs/>
                <w:color w:val="auto"/>
                <w:kern w:val="2"/>
                <w:sz w:val="21"/>
                <w:szCs w:val="21"/>
                <w:highlight w:val="none"/>
                <w:lang w:val="en-US" w:eastAsia="zh-CN" w:bidi="ar-SA"/>
              </w:rPr>
              <w:t>签订合同后，</w:t>
            </w:r>
            <w:r>
              <w:rPr>
                <w:rFonts w:hint="default" w:ascii="宋体" w:hAnsi="宋体" w:cs="宋体"/>
                <w:b w:val="0"/>
                <w:bCs/>
                <w:color w:val="auto"/>
                <w:kern w:val="2"/>
                <w:sz w:val="21"/>
                <w:szCs w:val="21"/>
                <w:highlight w:val="none"/>
                <w:lang w:val="en-US" w:eastAsia="zh-CN" w:bidi="ar-SA"/>
              </w:rPr>
              <w:t>30天内</w:t>
            </w:r>
            <w:r>
              <w:rPr>
                <w:rFonts w:hint="eastAsia" w:ascii="宋体" w:hAnsi="宋体" w:cs="宋体"/>
                <w:b w:val="0"/>
                <w:bCs/>
                <w:color w:val="auto"/>
                <w:kern w:val="2"/>
                <w:sz w:val="21"/>
                <w:szCs w:val="21"/>
                <w:highlight w:val="none"/>
                <w:lang w:val="en-US" w:eastAsia="zh-CN" w:bidi="ar-SA"/>
              </w:rPr>
              <w:t>完成（包括供货、施工、安装、调试、验收工作）。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w:t>
            </w:r>
            <w:r>
              <w:rPr>
                <w:rFonts w:ascii="宋体" w:hAnsi="宋体" w:eastAsia="宋体"/>
                <w:color w:val="auto"/>
                <w:sz w:val="21"/>
                <w:szCs w:val="21"/>
                <w:highlight w:val="none"/>
              </w:rPr>
              <w:t>质保期</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lang w:val="en-US" w:eastAsia="zh-CN" w:bidi="ar-SA"/>
              </w:rPr>
              <w:t>质保期为一年。供货并安装完毕，并经招标人验收合格之日起进入质保期。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1、设备安装及工程施工完成后，经试运行及相关主管部门验收合格后支付合同金额的100%。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2、货款按约定的方式支付，成交单位凭以下有效的文件向采购人提出支付货款的申请：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①合同；②成交单位开具的正式发票；③中标通知书；④验收资料。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Cs w:val="21"/>
                <w:highlight w:val="none"/>
                <w:lang w:val="zh-CN" w:eastAsia="zh-CN" w:bidi="zh-CN"/>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r>
              <w:rPr>
                <w:rFonts w:hint="eastAsia" w:ascii="宋体" w:hAnsi="宋体"/>
                <w:color w:val="auto"/>
                <w:szCs w:val="21"/>
                <w:highlight w:val="none"/>
                <w:lang w:eastAsia="zh-CN"/>
              </w:rPr>
              <w:t>，不含市发电转换。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pStyle w:val="22"/>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6724" w:type="dxa"/>
            <w:vAlign w:val="center"/>
          </w:tcPr>
          <w:p>
            <w:pPr>
              <w:pStyle w:val="22"/>
              <w:autoSpaceDE w:val="0"/>
              <w:autoSpaceDN w:val="0"/>
              <w:spacing w:line="360" w:lineRule="auto"/>
              <w:ind w:firstLine="420" w:firstLineChars="200"/>
              <w:jc w:val="both"/>
              <w:rPr>
                <w:rFonts w:hint="eastAsia" w:ascii="宋体" w:hAnsi="宋体" w:eastAsia="宋体"/>
                <w:color w:val="auto"/>
                <w:szCs w:val="21"/>
                <w:highlight w:val="none"/>
                <w:lang w:eastAsia="zh-CN"/>
              </w:rPr>
            </w:pPr>
            <w:r>
              <w:rPr>
                <w:rFonts w:hint="eastAsia" w:ascii="宋体" w:hAnsi="宋体" w:cs="宋体"/>
                <w:color w:val="auto"/>
                <w:szCs w:val="21"/>
                <w:highlight w:val="none"/>
              </w:rPr>
              <w:t>按国家及行业相关标准验收。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w:t>
            </w:r>
            <w:r>
              <w:rPr>
                <w:rFonts w:hint="eastAsia" w:ascii="宋体" w:hAnsi="宋体" w:eastAsia="宋体"/>
                <w:color w:val="auto"/>
                <w:szCs w:val="21"/>
                <w:highlight w:val="none"/>
              </w:rPr>
              <w:t>应充分结合本</w:t>
            </w:r>
            <w:r>
              <w:rPr>
                <w:rFonts w:hint="eastAsia" w:ascii="宋体" w:hAnsi="宋体"/>
                <w:color w:val="auto"/>
                <w:szCs w:val="21"/>
                <w:highlight w:val="none"/>
                <w:lang w:val="en-US" w:eastAsia="zh-CN"/>
              </w:rPr>
              <w:t>招标</w:t>
            </w:r>
            <w:r>
              <w:rPr>
                <w:rFonts w:hint="eastAsia" w:ascii="宋体" w:hAnsi="宋体" w:eastAsia="宋体"/>
                <w:color w:val="auto"/>
                <w:szCs w:val="21"/>
                <w:highlight w:val="none"/>
              </w:rPr>
              <w:t>文件上下文了解项目</w:t>
            </w:r>
            <w:r>
              <w:rPr>
                <w:rFonts w:hint="eastAsia" w:ascii="宋体" w:hAnsi="宋体"/>
                <w:color w:val="auto"/>
                <w:szCs w:val="21"/>
                <w:highlight w:val="none"/>
                <w:lang w:val="en-US" w:eastAsia="zh-CN"/>
              </w:rPr>
              <w:t>采购</w:t>
            </w:r>
            <w:r>
              <w:rPr>
                <w:rFonts w:hint="eastAsia" w:ascii="宋体" w:hAnsi="宋体" w:eastAsia="宋体"/>
                <w:color w:val="auto"/>
                <w:szCs w:val="21"/>
                <w:highlight w:val="none"/>
              </w:rPr>
              <w:t>需求、</w:t>
            </w:r>
            <w:r>
              <w:rPr>
                <w:rFonts w:hint="eastAsia" w:ascii="宋体" w:hAnsi="宋体"/>
                <w:color w:val="auto"/>
                <w:szCs w:val="21"/>
                <w:highlight w:val="none"/>
                <w:lang w:val="en-US" w:eastAsia="zh-CN"/>
              </w:rPr>
              <w:t>招标</w:t>
            </w:r>
            <w:r>
              <w:rPr>
                <w:rFonts w:hint="eastAsia" w:ascii="宋体" w:hAnsi="宋体" w:eastAsia="宋体"/>
                <w:color w:val="auto"/>
                <w:szCs w:val="21"/>
                <w:highlight w:val="none"/>
              </w:rPr>
              <w:t>文件未尽事宜，将在合同签订或项目执行过程中双方协商确定，</w:t>
            </w:r>
            <w:r>
              <w:rPr>
                <w:rFonts w:hint="eastAsia" w:ascii="宋体" w:hAnsi="宋体"/>
                <w:color w:val="auto"/>
                <w:szCs w:val="21"/>
                <w:highlight w:val="none"/>
                <w:lang w:val="en-US" w:eastAsia="zh-CN"/>
              </w:rPr>
              <w:t>投标人</w:t>
            </w:r>
            <w:r>
              <w:rPr>
                <w:rFonts w:hint="eastAsia" w:ascii="宋体" w:hAnsi="宋体" w:eastAsia="宋体"/>
                <w:color w:val="auto"/>
                <w:szCs w:val="21"/>
                <w:highlight w:val="none"/>
              </w:rPr>
              <w:t>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一、项目清单</w:t>
      </w:r>
    </w:p>
    <w:p>
      <w:pPr>
        <w:pStyle w:val="2"/>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文件的技术规格中指出的工艺、材料和设备的标准以及参照的品牌或型号仅起说明作用，并没有任何限制性。供应商可以选用替代标准、品牌或型号，但这些替代要实质上满足或超过文件的要求。</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0"/>
        <w:gridCol w:w="2719"/>
        <w:gridCol w:w="2494"/>
        <w:gridCol w:w="706"/>
        <w:gridCol w:w="917"/>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95"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463"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w:t>
            </w:r>
          </w:p>
        </w:tc>
        <w:tc>
          <w:tcPr>
            <w:tcW w:w="414"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38"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688"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油式变压器（核心产品）</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S11-630/10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高压进线柜</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G01</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XGN15-12</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高压出线柜</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G03</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XGN15-12</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高压计量柜</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G02</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XGN15-12-J</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低压进线柜</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P01</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630KVA-GCK</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不含市发电转换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低压补偿柜</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P02</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630KVA-GCJ</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低压出线柜</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P03</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630KVA-GCK</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铜芯电力电缆</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ZRYJV-185mm</w:t>
            </w:r>
            <w:r>
              <w:rPr>
                <w:rFonts w:hint="eastAsia" w:ascii="宋体" w:hAnsi="宋体" w:eastAsia="宋体" w:cs="宋体"/>
                <w:i w:val="0"/>
                <w:iCs w:val="0"/>
                <w:color w:val="auto"/>
                <w:kern w:val="0"/>
                <w:sz w:val="20"/>
                <w:szCs w:val="20"/>
                <w:highlight w:val="none"/>
                <w:u w:val="none"/>
                <w:vertAlign w:val="superscript"/>
                <w:lang w:val="en-US" w:eastAsia="zh-CN" w:bidi="ar"/>
              </w:rPr>
              <w:t>2</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196.00 </w:t>
            </w:r>
          </w:p>
        </w:tc>
        <w:tc>
          <w:tcPr>
            <w:tcW w:w="688" w:type="pct"/>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3（4*185）+2*185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10KV</w:t>
            </w:r>
            <w:r>
              <w:rPr>
                <w:rFonts w:hint="eastAsia" w:ascii="宋体" w:hAnsi="宋体" w:eastAsia="宋体" w:cs="宋体"/>
                <w:i w:val="0"/>
                <w:iCs w:val="0"/>
                <w:color w:val="auto"/>
                <w:kern w:val="0"/>
                <w:sz w:val="20"/>
                <w:szCs w:val="20"/>
                <w:highlight w:val="none"/>
                <w:u w:val="none"/>
                <w:lang w:val="en-US" w:eastAsia="zh-CN" w:bidi="ar"/>
              </w:rPr>
              <w:t>高压电缆</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YJV22-3*70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户内电缆终端头</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电缆冷缩中间接头</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0.4KV</w:t>
            </w:r>
            <w:r>
              <w:rPr>
                <w:rFonts w:hint="eastAsia" w:ascii="宋体" w:hAnsi="宋体" w:eastAsia="宋体" w:cs="宋体"/>
                <w:i w:val="0"/>
                <w:iCs w:val="0"/>
                <w:color w:val="auto"/>
                <w:kern w:val="0"/>
                <w:sz w:val="20"/>
                <w:szCs w:val="20"/>
                <w:highlight w:val="none"/>
                <w:u w:val="none"/>
                <w:lang w:val="en-US" w:eastAsia="zh-CN" w:bidi="ar"/>
              </w:rPr>
              <w:t>低压避雷器</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YH5W--0.5/2.6</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接地引铁</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φ16*6000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低压出线支承架</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高压出线支承架</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低压触头接线铜板</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户内式支持绝缘子</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绝缘胶</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灭火器</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绝缘棒</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验电笔</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绝缘鞋</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绝缘手套</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安全标牌</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绝缘工具箱</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铜母排</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铜排夹具</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MNP-101</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595" w:type="pct"/>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0.4KV</w:t>
            </w:r>
            <w:r>
              <w:rPr>
                <w:rFonts w:hint="eastAsia" w:ascii="宋体" w:hAnsi="宋体" w:eastAsia="宋体" w:cs="宋体"/>
                <w:i w:val="0"/>
                <w:iCs w:val="0"/>
                <w:color w:val="auto"/>
                <w:kern w:val="0"/>
                <w:sz w:val="20"/>
                <w:szCs w:val="20"/>
                <w:highlight w:val="none"/>
                <w:u w:val="none"/>
                <w:lang w:val="en-US" w:eastAsia="zh-CN" w:bidi="ar"/>
              </w:rPr>
              <w:t>铜芯双塑线</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BVR-2.5mm</w:t>
            </w:r>
            <w:r>
              <w:rPr>
                <w:rFonts w:hint="eastAsia" w:ascii="宋体" w:hAnsi="宋体" w:eastAsia="宋体" w:cs="宋体"/>
                <w:i w:val="0"/>
                <w:iCs w:val="0"/>
                <w:color w:val="auto"/>
                <w:kern w:val="0"/>
                <w:sz w:val="20"/>
                <w:szCs w:val="20"/>
                <w:highlight w:val="none"/>
                <w:u w:val="none"/>
                <w:vertAlign w:val="superscript"/>
                <w:lang w:val="en-US" w:eastAsia="zh-CN" w:bidi="ar"/>
              </w:rPr>
              <w:t>2</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难燃塑料线槽</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14*24（4分）</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双联单按钮开关</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10A  250V</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3扁  10A</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2+3带开关  10A</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底盒</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温控开关</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光管支架</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光管</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排气扇</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400厘</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白铁防雨罩</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400厘</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应急灯</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防沙网及围栏</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热缩绝缘防护套(室内)</w:t>
            </w:r>
          </w:p>
        </w:tc>
        <w:tc>
          <w:tcPr>
            <w:tcW w:w="146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台班费</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电力变压器系统调试 </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630(容量kV·A以下）</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送配电装置系统调试</w:t>
            </w:r>
          </w:p>
        </w:tc>
        <w:tc>
          <w:tcPr>
            <w:tcW w:w="146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1kV以下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交流供电 (综合）</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送配电装置系统调试 </w:t>
            </w:r>
          </w:p>
        </w:tc>
        <w:tc>
          <w:tcPr>
            <w:tcW w:w="146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交流供电 (综合）</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母线系统调试 </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(1kV以下)</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母线系统调试</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(10kV以下)</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避雷器调试</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(10kV以下)</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电容器调试 </w:t>
            </w:r>
          </w:p>
        </w:tc>
        <w:tc>
          <w:tcPr>
            <w:tcW w:w="14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(1kV以下)</w:t>
            </w: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59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调试 接地网</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10kV电缆交流耐试验</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回路</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10kV电缆局放试验</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回路</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电缆沟</w:t>
            </w:r>
          </w:p>
        </w:tc>
        <w:tc>
          <w:tcPr>
            <w:tcW w:w="1463" w:type="pct"/>
            <w:shd w:val="clear" w:color="auto" w:fill="auto"/>
            <w:noWrap/>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接地网</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开挖混凝土路面及修复</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59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原低压室电缆沟盖板修复</w:t>
            </w:r>
          </w:p>
        </w:tc>
        <w:tc>
          <w:tcPr>
            <w:tcW w:w="1463" w:type="pct"/>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4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538"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688" w:type="pct"/>
            <w:shd w:val="clear" w:color="FFFFFF" w:fill="FFFFFF"/>
            <w:vAlign w:val="center"/>
          </w:tcPr>
          <w:p>
            <w:pPr>
              <w:jc w:val="left"/>
              <w:rPr>
                <w:rFonts w:hint="eastAsia" w:ascii="宋体" w:hAnsi="宋体" w:eastAsia="宋体" w:cs="宋体"/>
                <w:i w:val="0"/>
                <w:iCs w:val="0"/>
                <w:color w:val="auto"/>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en-US" w:eastAsia="zh-CN"/>
        </w:rPr>
        <w:t>低压出线柜共五回路出线开关，分别是800A，630A，630A，400A，200A。</w:t>
      </w:r>
      <w:r>
        <w:rPr>
          <w:rFonts w:hint="eastAsia" w:ascii="宋体" w:hAnsi="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2、配置说明：变压器选用S11-630/10油式变压器，高压断路器柜、负荷开关柜采用全绝缘柜；低压柜采用GCK系列；低压断路器采用国优品牌；补偿柜采用静态补偿方式（300kVAR），按熔断器+限流电抗器+交流接触器+热继电器+电容器配置。  </w:t>
      </w:r>
    </w:p>
    <w:p>
      <w:pPr>
        <w:autoSpaceDE w:val="0"/>
        <w:autoSpaceDN w:val="0"/>
        <w:spacing w:line="360" w:lineRule="auto"/>
        <w:ind w:left="632" w:right="565" w:rightChars="269" w:hanging="632" w:hangingChars="300"/>
        <w:rPr>
          <w:rFonts w:hint="eastAsia" w:ascii="宋体" w:hAnsi="宋体" w:eastAsia="宋体" w:cs="宋体"/>
          <w:b/>
          <w:bCs/>
          <w:color w:val="auto"/>
          <w:kern w:val="0"/>
          <w:sz w:val="21"/>
          <w:szCs w:val="21"/>
          <w:highlight w:val="none"/>
          <w:lang w:val="en-US" w:bidi="zh-CN"/>
        </w:rPr>
      </w:pPr>
    </w:p>
    <w:p>
      <w:pP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9"/>
        <w:rPr>
          <w:rFonts w:hint="eastAsia" w:ascii="宋体" w:hAnsi="宋体" w:eastAsia="宋体" w:cs="宋体"/>
          <w:b/>
          <w:color w:val="auto"/>
          <w:sz w:val="21"/>
          <w:szCs w:val="21"/>
          <w:highlight w:val="none"/>
          <w:lang w:eastAsia="zh-CN"/>
        </w:rPr>
      </w:pPr>
    </w:p>
    <w:p>
      <w:pP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三、质保要求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outlineLvl w:val="0"/>
        <w:rPr>
          <w:rFonts w:hint="eastAsia" w:ascii="宋体" w:hAnsi="宋体" w:eastAsia="宋体" w:cs="宋体"/>
          <w:b/>
          <w:color w:val="auto"/>
          <w:sz w:val="21"/>
          <w:szCs w:val="21"/>
          <w:highlight w:val="none"/>
          <w:lang w:eastAsia="zh-CN"/>
        </w:rPr>
      </w:pPr>
    </w:p>
    <w:p>
      <w:pPr>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outlineLvl w:val="0"/>
        <w:rPr>
          <w:rFonts w:hint="eastAsia" w:ascii="宋体" w:hAnsi="宋体" w:eastAsia="宋体" w:cs="宋体"/>
          <w:b/>
          <w:color w:val="auto"/>
          <w:sz w:val="21"/>
          <w:szCs w:val="21"/>
          <w:highlight w:val="none"/>
          <w:lang w:val="en-US" w:eastAsia="zh-CN"/>
        </w:rPr>
      </w:pPr>
    </w:p>
    <w:p>
      <w:pPr>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的报建，施工资质审核，施工方案审核，报停电计划，项目图纸电子化移交，施工前安全技术交底，工作票签发和验收等，在施工过程中完成电力电缆的试验，保证通电且取得验收合格证, 并完成</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12、项目服务期间，中标人如不具备项目实施过程中的施工类资质，可与采购人协商进行专业分包，经采购人同意后委托符合资质的企业承接本项目的非主体、非关键性工作，费用由中标人自行解决。</w:t>
      </w:r>
    </w:p>
    <w:p>
      <w:pPr>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变压器</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eastAsia="zh-CN"/>
              </w:rPr>
              <w:t>或配电类</w:t>
            </w:r>
            <w:r>
              <w:rPr>
                <w:rFonts w:hint="eastAsia" w:ascii="宋体" w:hAnsi="宋体" w:eastAsia="宋体" w:cs="宋体"/>
                <w:bCs/>
                <w:color w:val="auto"/>
                <w:sz w:val="21"/>
                <w:szCs w:val="21"/>
                <w:highlight w:val="none"/>
              </w:rPr>
              <w:t>业绩，每提供一个合同业绩得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注：须提供有效业绩合同复印件加盖</w:t>
            </w: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w:t>
            </w:r>
            <w:r>
              <w:rPr>
                <w:rFonts w:hint="eastAsia" w:ascii="宋体" w:hAnsi="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时间承诺进行评分。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承诺在接到采购人通知后超过</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小时到现场，不得分。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提供服务承诺书并加盖</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总体</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所提供</w:t>
            </w: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方案的详细性、合理性、针对性等进行综合评审：</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方案详细完整合理，方案针对性高，切合本项目需求，得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方案存在缺漏，方案针对性和合理性一般，基本满足本项目需求，得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方案缺漏较多，方案针对性和合理性较差，得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进度保障计划方案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制定的进度保障计划方案进行评分：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安全文明制度及保障措施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制定的安全文明制度及保障措施进行评分：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项目质量控制和检验方法</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en-US" w:eastAsia="zh-CN"/>
              </w:rPr>
              <w:t>招标</w:t>
            </w:r>
            <w:r>
              <w:rPr>
                <w:rFonts w:hint="eastAsia" w:ascii="宋体" w:hAnsi="宋体" w:cs="宋体"/>
                <w:color w:val="auto"/>
                <w:kern w:val="2"/>
                <w:sz w:val="21"/>
                <w:szCs w:val="21"/>
                <w:highlight w:val="none"/>
                <w:lang w:val="zh-CN"/>
              </w:rPr>
              <w:t>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投标人</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4" w:name="_Toc864"/>
      <w:r>
        <w:rPr>
          <w:rFonts w:hint="eastAsia"/>
          <w:b/>
          <w:bCs/>
          <w:color w:val="auto"/>
          <w:highlight w:val="none"/>
        </w:rPr>
        <w:t>一、合同金额</w:t>
      </w:r>
      <w:bookmarkEnd w:id="144"/>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7" w:name="_Toc31228"/>
      <w:r>
        <w:rPr>
          <w:rFonts w:hint="eastAsia"/>
          <w:b/>
          <w:bCs/>
          <w:color w:val="auto"/>
          <w:highlight w:val="none"/>
        </w:rPr>
        <w:t>四、服务期间（项目完成期限）</w:t>
      </w:r>
      <w:bookmarkEnd w:id="147"/>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49" w:name="_Toc29016"/>
      <w:r>
        <w:rPr>
          <w:rFonts w:hint="eastAsia"/>
          <w:b/>
          <w:bCs/>
          <w:color w:val="auto"/>
          <w:highlight w:val="none"/>
        </w:rPr>
        <w:t>六、知识产权归属</w:t>
      </w:r>
      <w:bookmarkEnd w:id="149"/>
    </w:p>
    <w:p>
      <w:pPr>
        <w:spacing w:line="360" w:lineRule="auto"/>
        <w:outlineLvl w:val="1"/>
        <w:rPr>
          <w:b/>
          <w:bCs/>
          <w:color w:val="auto"/>
          <w:highlight w:val="none"/>
        </w:rPr>
      </w:pPr>
      <w:bookmarkStart w:id="150" w:name="_Toc491"/>
      <w:r>
        <w:rPr>
          <w:rFonts w:hint="eastAsia"/>
          <w:b/>
          <w:bCs/>
          <w:color w:val="auto"/>
          <w:highlight w:val="none"/>
        </w:rPr>
        <w:t>七、保密</w:t>
      </w:r>
      <w:bookmarkEnd w:id="150"/>
    </w:p>
    <w:p>
      <w:pPr>
        <w:spacing w:line="360" w:lineRule="auto"/>
        <w:outlineLvl w:val="1"/>
        <w:rPr>
          <w:b/>
          <w:bCs/>
          <w:color w:val="auto"/>
          <w:highlight w:val="none"/>
        </w:rPr>
      </w:pPr>
      <w:bookmarkStart w:id="151" w:name="_Toc5642"/>
      <w:r>
        <w:rPr>
          <w:rFonts w:hint="eastAsia"/>
          <w:b/>
          <w:bCs/>
          <w:color w:val="auto"/>
          <w:highlight w:val="none"/>
        </w:rPr>
        <w:t>八、违约责任与赔偿损失</w:t>
      </w:r>
      <w:bookmarkEnd w:id="151"/>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pPr>
        <w:spacing w:line="360" w:lineRule="auto"/>
        <w:outlineLvl w:val="1"/>
        <w:rPr>
          <w:b/>
          <w:bCs/>
          <w:color w:val="auto"/>
          <w:highlight w:val="none"/>
        </w:rPr>
      </w:pPr>
      <w:bookmarkStart w:id="152" w:name="_Toc30679"/>
      <w:r>
        <w:rPr>
          <w:rFonts w:hint="eastAsia"/>
          <w:b/>
          <w:bCs/>
          <w:color w:val="auto"/>
          <w:highlight w:val="none"/>
        </w:rPr>
        <w:t>九、争议的解决</w:t>
      </w:r>
      <w:bookmarkEnd w:id="152"/>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3" w:name="_Toc26856"/>
      <w:r>
        <w:rPr>
          <w:rFonts w:hint="eastAsia"/>
          <w:b/>
          <w:bCs/>
          <w:color w:val="auto"/>
          <w:highlight w:val="none"/>
        </w:rPr>
        <w:t>十、不可抗力</w:t>
      </w:r>
      <w:bookmarkEnd w:id="15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4" w:name="_Toc16247"/>
      <w:r>
        <w:rPr>
          <w:rFonts w:hint="eastAsia"/>
          <w:b/>
          <w:bCs/>
          <w:color w:val="auto"/>
          <w:highlight w:val="none"/>
        </w:rPr>
        <w:t>十一、税费</w:t>
      </w:r>
      <w:bookmarkEnd w:id="154"/>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5" w:name="_Toc14065"/>
      <w:r>
        <w:rPr>
          <w:rFonts w:hint="eastAsia"/>
          <w:b/>
          <w:bCs/>
          <w:color w:val="auto"/>
          <w:highlight w:val="none"/>
        </w:rPr>
        <w:t>十二、其它</w:t>
      </w:r>
      <w:bookmarkEnd w:id="155"/>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6" w:name="_Toc13763"/>
      <w:r>
        <w:rPr>
          <w:rFonts w:hint="eastAsia"/>
          <w:b/>
          <w:bCs/>
          <w:color w:val="auto"/>
          <w:highlight w:val="none"/>
        </w:rPr>
        <w:t>十三、合同生效</w:t>
      </w:r>
      <w:bookmarkEnd w:id="156"/>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8" w:name="_Toc32213"/>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1" w:name="_Toc23039"/>
      <w:r>
        <w:rPr>
          <w:color w:val="auto"/>
          <w:sz w:val="24"/>
          <w:highlight w:val="none"/>
        </w:rPr>
        <w:t>法定代表人证明书</w:t>
      </w:r>
      <w:bookmarkEnd w:id="161"/>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2" w:name="_Toc20098"/>
      <w:r>
        <w:rPr>
          <w:color w:val="auto"/>
          <w:highlight w:val="none"/>
        </w:rPr>
        <w:t>履约进度计划表</w:t>
      </w:r>
      <w:bookmarkEnd w:id="162"/>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69" w:name="_Toc25747"/>
      <w:r>
        <w:rPr>
          <w:rFonts w:hint="eastAsia"/>
          <w:b/>
          <w:bCs/>
          <w:color w:val="auto"/>
          <w:highlight w:val="none"/>
          <w:lang w:val="en-US"/>
        </w:rPr>
        <w:t>格式十六：</w:t>
      </w:r>
      <w:bookmarkEnd w:id="169"/>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2"/>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2"/>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东莞矽孚复合材料有限公司630kVA变压器采购及安装项目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7342FC6"/>
    <w:rsid w:val="08F278CA"/>
    <w:rsid w:val="0AAB1D08"/>
    <w:rsid w:val="0B5B7E94"/>
    <w:rsid w:val="0B696582"/>
    <w:rsid w:val="0C502C33"/>
    <w:rsid w:val="0CD41D0B"/>
    <w:rsid w:val="0DE142A9"/>
    <w:rsid w:val="0F1622A5"/>
    <w:rsid w:val="121918AE"/>
    <w:rsid w:val="126E350F"/>
    <w:rsid w:val="131751AB"/>
    <w:rsid w:val="15380D0C"/>
    <w:rsid w:val="161909DD"/>
    <w:rsid w:val="178164D0"/>
    <w:rsid w:val="18062A99"/>
    <w:rsid w:val="1BBB674D"/>
    <w:rsid w:val="1BE705BF"/>
    <w:rsid w:val="1DB725C0"/>
    <w:rsid w:val="1E440D57"/>
    <w:rsid w:val="20332F5E"/>
    <w:rsid w:val="209314D4"/>
    <w:rsid w:val="23477A98"/>
    <w:rsid w:val="244868B3"/>
    <w:rsid w:val="269A0871"/>
    <w:rsid w:val="2A213986"/>
    <w:rsid w:val="2A6C3AA2"/>
    <w:rsid w:val="2B57233C"/>
    <w:rsid w:val="2D3A4F1C"/>
    <w:rsid w:val="2DE33D62"/>
    <w:rsid w:val="2E462ABD"/>
    <w:rsid w:val="2F4F681A"/>
    <w:rsid w:val="2FE55D43"/>
    <w:rsid w:val="30C474C2"/>
    <w:rsid w:val="3158095E"/>
    <w:rsid w:val="31ED0D4A"/>
    <w:rsid w:val="34BE4BEB"/>
    <w:rsid w:val="35C1129C"/>
    <w:rsid w:val="372D3A3D"/>
    <w:rsid w:val="373F6180"/>
    <w:rsid w:val="37423885"/>
    <w:rsid w:val="37A82279"/>
    <w:rsid w:val="3B2A432E"/>
    <w:rsid w:val="3C8E00EA"/>
    <w:rsid w:val="3E0202C6"/>
    <w:rsid w:val="3F0A76BA"/>
    <w:rsid w:val="401711CC"/>
    <w:rsid w:val="422E2420"/>
    <w:rsid w:val="42D6466E"/>
    <w:rsid w:val="43143B39"/>
    <w:rsid w:val="43585670"/>
    <w:rsid w:val="438833C2"/>
    <w:rsid w:val="468A6BFD"/>
    <w:rsid w:val="47735BD0"/>
    <w:rsid w:val="47BB609D"/>
    <w:rsid w:val="47CA196A"/>
    <w:rsid w:val="481D3236"/>
    <w:rsid w:val="498145E0"/>
    <w:rsid w:val="4BE07E65"/>
    <w:rsid w:val="4C0672A7"/>
    <w:rsid w:val="4C573AD4"/>
    <w:rsid w:val="4DAA2866"/>
    <w:rsid w:val="4F2676D5"/>
    <w:rsid w:val="5112378D"/>
    <w:rsid w:val="525B07C5"/>
    <w:rsid w:val="52E14EC4"/>
    <w:rsid w:val="53710418"/>
    <w:rsid w:val="53F51E89"/>
    <w:rsid w:val="54D338A8"/>
    <w:rsid w:val="57106398"/>
    <w:rsid w:val="57EE60DD"/>
    <w:rsid w:val="5B812734"/>
    <w:rsid w:val="5BE04967"/>
    <w:rsid w:val="5C015C21"/>
    <w:rsid w:val="5D744988"/>
    <w:rsid w:val="5E720F58"/>
    <w:rsid w:val="622349C8"/>
    <w:rsid w:val="64344366"/>
    <w:rsid w:val="64D3048A"/>
    <w:rsid w:val="65851F87"/>
    <w:rsid w:val="665212BA"/>
    <w:rsid w:val="66CA48D2"/>
    <w:rsid w:val="687065DC"/>
    <w:rsid w:val="69FB3BA8"/>
    <w:rsid w:val="6E003853"/>
    <w:rsid w:val="6ECE5FF3"/>
    <w:rsid w:val="6ED74C74"/>
    <w:rsid w:val="6F566CB3"/>
    <w:rsid w:val="70832ED7"/>
    <w:rsid w:val="7152191D"/>
    <w:rsid w:val="717F42C4"/>
    <w:rsid w:val="74951BFB"/>
    <w:rsid w:val="74F71418"/>
    <w:rsid w:val="7B507070"/>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qFormat/>
    <w:uiPriority w:val="0"/>
    <w:rPr>
      <w:rFonts w:ascii="宋体" w:hAnsi="宋体" w:eastAsia="宋体" w:cs="宋体"/>
      <w:color w:val="000000"/>
      <w:sz w:val="18"/>
      <w:szCs w:val="18"/>
      <w:u w:val="none"/>
    </w:rPr>
  </w:style>
  <w:style w:type="character" w:customStyle="1" w:styleId="33">
    <w:name w:val="font41"/>
    <w:basedOn w:val="17"/>
    <w:qFormat/>
    <w:uiPriority w:val="0"/>
    <w:rPr>
      <w:rFonts w:hint="default" w:ascii="Times New Roman" w:hAnsi="Times New Roman" w:cs="Times New Roman"/>
      <w:color w:val="000000"/>
      <w:sz w:val="20"/>
      <w:szCs w:val="20"/>
      <w:u w:val="none"/>
    </w:rPr>
  </w:style>
  <w:style w:type="character" w:customStyle="1" w:styleId="34">
    <w:name w:val="font51"/>
    <w:basedOn w:val="17"/>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qFormat/>
    <w:uiPriority w:val="0"/>
    <w:rPr>
      <w:rFonts w:hint="eastAsia" w:ascii="宋体" w:hAnsi="宋体" w:eastAsia="宋体" w:cs="宋体"/>
      <w:color w:val="000000"/>
      <w:sz w:val="20"/>
      <w:szCs w:val="20"/>
      <w:u w:val="none"/>
    </w:rPr>
  </w:style>
  <w:style w:type="character" w:customStyle="1" w:styleId="36">
    <w:name w:val="font61"/>
    <w:basedOn w:val="1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31708</Words>
  <Characters>33595</Characters>
  <Lines>343</Lines>
  <Paragraphs>96</Paragraphs>
  <TotalTime>2</TotalTime>
  <ScaleCrop>false</ScaleCrop>
  <LinksUpToDate>false</LinksUpToDate>
  <CharactersWithSpaces>35223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2023-12-20T08:29:15Z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4E009271461848AC9C0820B12E35656A_13</vt:lpwstr>
  </property>
</Properties>
</file>