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000000" w:themeColor="text1"/>
          <w:highlight w:val="none"/>
          <w14:textFill>
            <w14:solidFill>
              <w14:schemeClr w14:val="tx1"/>
            </w14:solidFill>
          </w14:textFill>
        </w:rPr>
      </w:pPr>
    </w:p>
    <w:p>
      <w:pPr>
        <w:jc w:val="center"/>
        <w:rPr>
          <w:color w:val="000000" w:themeColor="text1"/>
          <w:highlight w:val="none"/>
          <w14:textFill>
            <w14:solidFill>
              <w14:schemeClr w14:val="tx1"/>
            </w14:solidFill>
          </w14:textFill>
        </w:rPr>
      </w:pPr>
    </w:p>
    <w:p>
      <w:pPr>
        <w:jc w:val="center"/>
        <w:rPr>
          <w:color w:val="000000" w:themeColor="text1"/>
          <w:highlight w:val="none"/>
          <w14:textFill>
            <w14:solidFill>
              <w14:schemeClr w14:val="tx1"/>
            </w14:solidFill>
          </w14:textFill>
        </w:rPr>
      </w:pPr>
    </w:p>
    <w:p>
      <w:pPr>
        <w:spacing w:before="156" w:beforeLines="50" w:after="156" w:afterLines="50"/>
        <w:jc w:val="center"/>
        <w:outlineLvl w:val="0"/>
        <w:rPr>
          <w:b/>
          <w:bCs/>
          <w:color w:val="000000" w:themeColor="text1"/>
          <w:sz w:val="52"/>
          <w:szCs w:val="72"/>
          <w:highlight w:val="none"/>
          <w14:textFill>
            <w14:solidFill>
              <w14:schemeClr w14:val="tx1"/>
            </w14:solidFill>
          </w14:textFill>
        </w:rPr>
      </w:pPr>
      <w:bookmarkStart w:id="0" w:name="_Toc7243"/>
      <w:r>
        <w:rPr>
          <w:rFonts w:hint="eastAsia"/>
          <w:b/>
          <w:bCs/>
          <w:color w:val="000000" w:themeColor="text1"/>
          <w:sz w:val="52"/>
          <w:szCs w:val="72"/>
          <w:highlight w:val="none"/>
          <w14:textFill>
            <w14:solidFill>
              <w14:schemeClr w14:val="tx1"/>
            </w14:solidFill>
          </w14:textFill>
        </w:rPr>
        <w:t>国内采购</w:t>
      </w:r>
      <w:bookmarkEnd w:id="0"/>
    </w:p>
    <w:p>
      <w:pPr>
        <w:spacing w:before="156" w:beforeLines="50" w:after="156" w:afterLines="50"/>
        <w:jc w:val="center"/>
        <w:outlineLvl w:val="0"/>
        <w:rPr>
          <w:b/>
          <w:bCs/>
          <w:color w:val="000000" w:themeColor="text1"/>
          <w:sz w:val="52"/>
          <w:szCs w:val="72"/>
          <w:highlight w:val="none"/>
          <w14:textFill>
            <w14:solidFill>
              <w14:schemeClr w14:val="tx1"/>
            </w14:solidFill>
          </w14:textFill>
        </w:rPr>
      </w:pPr>
      <w:bookmarkStart w:id="1" w:name="_Toc8734"/>
      <w:r>
        <w:rPr>
          <w:rFonts w:hint="eastAsia"/>
          <w:b/>
          <w:bCs/>
          <w:color w:val="000000" w:themeColor="text1"/>
          <w:sz w:val="52"/>
          <w:szCs w:val="72"/>
          <w:highlight w:val="none"/>
          <w14:textFill>
            <w14:solidFill>
              <w14:schemeClr w14:val="tx1"/>
            </w14:solidFill>
          </w14:textFill>
        </w:rPr>
        <w:t>公开招标文件</w:t>
      </w:r>
      <w:bookmarkEnd w:id="1"/>
    </w:p>
    <w:p>
      <w:pPr>
        <w:spacing w:before="156" w:beforeLines="50" w:after="156" w:afterLines="50"/>
        <w:jc w:val="center"/>
        <w:rPr>
          <w:b/>
          <w:bCs/>
          <w:color w:val="000000" w:themeColor="text1"/>
          <w:sz w:val="96"/>
          <w:szCs w:val="160"/>
          <w:highlight w:val="none"/>
          <w14:textFill>
            <w14:solidFill>
              <w14:schemeClr w14:val="tx1"/>
            </w14:solidFill>
          </w14:textFill>
        </w:rPr>
      </w:pPr>
      <w:r>
        <w:rPr>
          <w:b/>
          <w:bCs/>
          <w:color w:val="000000" w:themeColor="text1"/>
          <w:sz w:val="96"/>
          <w:szCs w:val="160"/>
          <w:highlight w:val="none"/>
          <w14:textFill>
            <w14:solidFill>
              <w14:schemeClr w14:val="tx1"/>
            </w14:solidFill>
          </w14:textFill>
        </w:rPr>
        <w:drawing>
          <wp:inline distT="0" distB="0" distL="114300" distR="114300">
            <wp:extent cx="1563370" cy="1588135"/>
            <wp:effectExtent l="0" t="0" r="17780" b="12065"/>
            <wp:docPr id="1" name="图片 1" descr="国顺图形logo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顺图形logo_00"/>
                    <pic:cNvPicPr>
                      <a:picLocks noChangeAspect="1"/>
                    </pic:cNvPicPr>
                  </pic:nvPicPr>
                  <pic:blipFill>
                    <a:blip r:embed="rId8" cstate="print"/>
                    <a:stretch>
                      <a:fillRect/>
                    </a:stretch>
                  </pic:blipFill>
                  <pic:spPr>
                    <a:xfrm>
                      <a:off x="0" y="0"/>
                      <a:ext cx="1563370" cy="1588135"/>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5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exact"/>
        </w:trPr>
        <w:tc>
          <w:tcPr>
            <w:tcW w:w="1629" w:type="pct"/>
            <w:tcBorders>
              <w:top w:val="nil"/>
              <w:left w:val="nil"/>
              <w:bottom w:val="nil"/>
              <w:right w:val="nil"/>
            </w:tcBorders>
            <w:vAlign w:val="center"/>
          </w:tcPr>
          <w:p>
            <w:pPr>
              <w:jc w:val="both"/>
              <w:rPr>
                <w:rFonts w:ascii="黑体" w:hAnsi="黑体" w:eastAsia="黑体" w:cs="黑体"/>
                <w:color w:val="000000" w:themeColor="text1"/>
                <w:sz w:val="30"/>
                <w:szCs w:val="30"/>
                <w:highlight w:val="none"/>
                <w14:textFill>
                  <w14:solidFill>
                    <w14:schemeClr w14:val="tx1"/>
                  </w14:solidFill>
                </w14:textFill>
              </w:rPr>
            </w:pPr>
            <w:r>
              <w:rPr>
                <w:rFonts w:hint="eastAsia" w:ascii="黑体" w:hAnsi="黑体" w:eastAsia="黑体" w:cs="黑体"/>
                <w:color w:val="000000" w:themeColor="text1"/>
                <w:sz w:val="30"/>
                <w:szCs w:val="30"/>
                <w:highlight w:val="none"/>
                <w14:textFill>
                  <w14:solidFill>
                    <w14:schemeClr w14:val="tx1"/>
                  </w14:solidFill>
                </w14:textFill>
              </w:rPr>
              <w:t>项目名称：</w:t>
            </w:r>
          </w:p>
        </w:tc>
        <w:tc>
          <w:tcPr>
            <w:tcW w:w="3370" w:type="pct"/>
            <w:tcBorders>
              <w:top w:val="nil"/>
              <w:left w:val="nil"/>
              <w:bottom w:val="nil"/>
              <w:right w:val="nil"/>
            </w:tcBorders>
            <w:vAlign w:val="center"/>
          </w:tcPr>
          <w:p>
            <w:pPr>
              <w:jc w:val="both"/>
              <w:rPr>
                <w:rFonts w:ascii="黑体" w:hAnsi="黑体" w:eastAsia="黑体" w:cs="黑体"/>
                <w:color w:val="000000" w:themeColor="text1"/>
                <w:sz w:val="30"/>
                <w:szCs w:val="30"/>
                <w:highlight w:val="none"/>
                <w14:textFill>
                  <w14:solidFill>
                    <w14:schemeClr w14:val="tx1"/>
                  </w14:solidFill>
                </w14:textFill>
              </w:rPr>
            </w:pPr>
            <w:r>
              <w:rPr>
                <w:rFonts w:ascii="黑体" w:hAnsi="黑体" w:eastAsia="黑体" w:cs="黑体"/>
                <w:color w:val="000000" w:themeColor="text1"/>
                <w:sz w:val="30"/>
                <w:szCs w:val="30"/>
                <w:highlight w:val="none"/>
                <w14:textFill>
                  <w14:solidFill>
                    <w14:schemeClr w14:val="tx1"/>
                  </w14:solidFill>
                </w14:textFill>
              </w:rPr>
              <w:t>东莞市长安镇厦岗社区环卫保洁服务项目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1629" w:type="pct"/>
            <w:tcBorders>
              <w:top w:val="nil"/>
              <w:left w:val="nil"/>
              <w:bottom w:val="nil"/>
              <w:right w:val="nil"/>
            </w:tcBorders>
            <w:vAlign w:val="center"/>
          </w:tcPr>
          <w:p>
            <w:pPr>
              <w:jc w:val="both"/>
              <w:rPr>
                <w:rFonts w:ascii="黑体" w:hAnsi="黑体" w:eastAsia="黑体" w:cs="黑体"/>
                <w:color w:val="000000" w:themeColor="text1"/>
                <w:sz w:val="30"/>
                <w:szCs w:val="30"/>
                <w:highlight w:val="none"/>
                <w14:textFill>
                  <w14:solidFill>
                    <w14:schemeClr w14:val="tx1"/>
                  </w14:solidFill>
                </w14:textFill>
              </w:rPr>
            </w:pPr>
            <w:r>
              <w:rPr>
                <w:rFonts w:hint="eastAsia" w:ascii="黑体" w:hAnsi="黑体" w:eastAsia="黑体" w:cs="黑体"/>
                <w:color w:val="000000" w:themeColor="text1"/>
                <w:sz w:val="30"/>
                <w:szCs w:val="30"/>
                <w:highlight w:val="none"/>
                <w14:textFill>
                  <w14:solidFill>
                    <w14:schemeClr w14:val="tx1"/>
                  </w14:solidFill>
                </w14:textFill>
              </w:rPr>
              <w:t>项目编号：</w:t>
            </w:r>
          </w:p>
        </w:tc>
        <w:tc>
          <w:tcPr>
            <w:tcW w:w="3370" w:type="pct"/>
            <w:tcBorders>
              <w:top w:val="nil"/>
              <w:left w:val="nil"/>
              <w:bottom w:val="nil"/>
              <w:right w:val="nil"/>
            </w:tcBorders>
            <w:vAlign w:val="center"/>
          </w:tcPr>
          <w:p>
            <w:pPr>
              <w:jc w:val="both"/>
              <w:rPr>
                <w:rFonts w:ascii="黑体" w:hAnsi="黑体" w:eastAsia="黑体" w:cs="黑体"/>
                <w:color w:val="000000" w:themeColor="text1"/>
                <w:sz w:val="30"/>
                <w:szCs w:val="30"/>
                <w:highlight w:val="none"/>
                <w14:textFill>
                  <w14:solidFill>
                    <w14:schemeClr w14:val="tx1"/>
                  </w14:solidFill>
                </w14:textFill>
              </w:rPr>
            </w:pPr>
            <w:r>
              <w:rPr>
                <w:rFonts w:ascii="黑体" w:hAnsi="黑体" w:eastAsia="黑体" w:cs="黑体"/>
                <w:color w:val="000000" w:themeColor="text1"/>
                <w:sz w:val="30"/>
                <w:szCs w:val="30"/>
                <w:highlight w:val="none"/>
                <w14:textFill>
                  <w14:solidFill>
                    <w14:schemeClr w14:val="tx1"/>
                  </w14:solidFill>
                </w14:textFill>
              </w:rPr>
              <w:t>GSDG2023-045C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1629" w:type="pct"/>
            <w:tcBorders>
              <w:top w:val="nil"/>
              <w:left w:val="nil"/>
              <w:bottom w:val="nil"/>
              <w:right w:val="nil"/>
            </w:tcBorders>
            <w:vAlign w:val="center"/>
          </w:tcPr>
          <w:p>
            <w:pPr>
              <w:jc w:val="both"/>
              <w:rPr>
                <w:rFonts w:ascii="黑体" w:hAnsi="黑体" w:eastAsia="黑体" w:cs="黑体"/>
                <w:color w:val="000000" w:themeColor="text1"/>
                <w:sz w:val="30"/>
                <w:szCs w:val="30"/>
                <w:highlight w:val="none"/>
                <w14:textFill>
                  <w14:solidFill>
                    <w14:schemeClr w14:val="tx1"/>
                  </w14:solidFill>
                </w14:textFill>
              </w:rPr>
            </w:pPr>
            <w:r>
              <w:rPr>
                <w:rFonts w:hint="eastAsia" w:ascii="黑体" w:hAnsi="黑体" w:eastAsia="黑体" w:cs="黑体"/>
                <w:color w:val="000000" w:themeColor="text1"/>
                <w:sz w:val="30"/>
                <w:szCs w:val="30"/>
                <w:highlight w:val="none"/>
                <w14:textFill>
                  <w14:solidFill>
                    <w14:schemeClr w14:val="tx1"/>
                  </w14:solidFill>
                </w14:textFill>
              </w:rPr>
              <w:t>招标人：</w:t>
            </w:r>
          </w:p>
        </w:tc>
        <w:tc>
          <w:tcPr>
            <w:tcW w:w="3370" w:type="pct"/>
            <w:tcBorders>
              <w:top w:val="nil"/>
              <w:left w:val="nil"/>
              <w:bottom w:val="nil"/>
              <w:right w:val="nil"/>
            </w:tcBorders>
            <w:vAlign w:val="center"/>
          </w:tcPr>
          <w:p>
            <w:pPr>
              <w:jc w:val="both"/>
              <w:rPr>
                <w:rFonts w:ascii="黑体" w:hAnsi="黑体" w:eastAsia="黑体" w:cs="黑体"/>
                <w:color w:val="000000" w:themeColor="text1"/>
                <w:sz w:val="30"/>
                <w:szCs w:val="30"/>
                <w:highlight w:val="none"/>
                <w14:textFill>
                  <w14:solidFill>
                    <w14:schemeClr w14:val="tx1"/>
                  </w14:solidFill>
                </w14:textFill>
              </w:rPr>
            </w:pPr>
            <w:r>
              <w:rPr>
                <w:rFonts w:ascii="黑体" w:hAnsi="黑体" w:eastAsia="黑体" w:cs="黑体"/>
                <w:color w:val="000000" w:themeColor="text1"/>
                <w:sz w:val="30"/>
                <w:szCs w:val="30"/>
                <w:highlight w:val="none"/>
                <w14:textFill>
                  <w14:solidFill>
                    <w14:schemeClr w14:val="tx1"/>
                  </w14:solidFill>
                </w14:textFill>
              </w:rPr>
              <w:t>东莞市长安镇厦岗社区居民委员会</w:t>
            </w:r>
            <w:r>
              <w:rPr>
                <w:rFonts w:hint="eastAsia" w:ascii="黑体" w:hAnsi="黑体" w:eastAsia="黑体" w:cs="黑体"/>
                <w:color w:val="000000" w:themeColor="text1"/>
                <w:sz w:val="30"/>
                <w:szCs w:val="30"/>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1629" w:type="pct"/>
            <w:tcBorders>
              <w:top w:val="nil"/>
              <w:left w:val="nil"/>
              <w:bottom w:val="nil"/>
              <w:right w:val="nil"/>
            </w:tcBorders>
            <w:vAlign w:val="center"/>
          </w:tcPr>
          <w:p>
            <w:pPr>
              <w:jc w:val="both"/>
              <w:rPr>
                <w:rFonts w:ascii="黑体" w:hAnsi="黑体" w:eastAsia="黑体" w:cs="黑体"/>
                <w:color w:val="000000" w:themeColor="text1"/>
                <w:sz w:val="30"/>
                <w:szCs w:val="30"/>
                <w:highlight w:val="none"/>
                <w14:textFill>
                  <w14:solidFill>
                    <w14:schemeClr w14:val="tx1"/>
                  </w14:solidFill>
                </w14:textFill>
              </w:rPr>
            </w:pPr>
            <w:r>
              <w:rPr>
                <w:rFonts w:hint="eastAsia" w:ascii="黑体" w:hAnsi="黑体" w:eastAsia="黑体" w:cs="黑体"/>
                <w:color w:val="000000" w:themeColor="text1"/>
                <w:sz w:val="30"/>
                <w:szCs w:val="30"/>
                <w:highlight w:val="none"/>
                <w14:textFill>
                  <w14:solidFill>
                    <w14:schemeClr w14:val="tx1"/>
                  </w14:solidFill>
                </w14:textFill>
              </w:rPr>
              <w:t>招标代理机构：</w:t>
            </w:r>
          </w:p>
        </w:tc>
        <w:tc>
          <w:tcPr>
            <w:tcW w:w="3370" w:type="pct"/>
            <w:tcBorders>
              <w:top w:val="nil"/>
              <w:left w:val="nil"/>
              <w:bottom w:val="nil"/>
              <w:right w:val="nil"/>
            </w:tcBorders>
            <w:vAlign w:val="center"/>
          </w:tcPr>
          <w:p>
            <w:pPr>
              <w:jc w:val="both"/>
              <w:rPr>
                <w:rFonts w:ascii="黑体" w:hAnsi="黑体" w:eastAsia="黑体" w:cs="黑体"/>
                <w:color w:val="000000" w:themeColor="text1"/>
                <w:sz w:val="30"/>
                <w:szCs w:val="30"/>
                <w:highlight w:val="none"/>
                <w14:textFill>
                  <w14:solidFill>
                    <w14:schemeClr w14:val="tx1"/>
                  </w14:solidFill>
                </w14:textFill>
              </w:rPr>
            </w:pPr>
            <w:r>
              <w:rPr>
                <w:rFonts w:hint="eastAsia" w:ascii="黑体" w:hAnsi="黑体" w:eastAsia="黑体" w:cs="黑体"/>
                <w:color w:val="000000" w:themeColor="text1"/>
                <w:sz w:val="30"/>
                <w:szCs w:val="30"/>
                <w:highlight w:val="none"/>
                <w14:textFill>
                  <w14:solidFill>
                    <w14:schemeClr w14:val="tx1"/>
                  </w14:solidFill>
                </w14:textFill>
              </w:rPr>
              <w:t>国顺招标有限公司</w:t>
            </w: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jc w:val="center"/>
        <w:rPr>
          <w:color w:val="000000" w:themeColor="text1"/>
          <w:sz w:val="24"/>
          <w:szCs w:val="32"/>
          <w:highlight w:val="none"/>
          <w14:textFill>
            <w14:solidFill>
              <w14:schemeClr w14:val="tx1"/>
            </w14:solidFill>
          </w14:textFill>
        </w:rPr>
      </w:pPr>
    </w:p>
    <w:p>
      <w:pPr>
        <w:jc w:val="center"/>
        <w:rPr>
          <w:color w:val="000000" w:themeColor="text1"/>
          <w:sz w:val="24"/>
          <w:szCs w:val="32"/>
          <w:highlight w:val="none"/>
          <w14:textFill>
            <w14:solidFill>
              <w14:schemeClr w14:val="tx1"/>
            </w14:solidFill>
          </w14:textFill>
        </w:rPr>
      </w:pPr>
    </w:p>
    <w:p>
      <w:pPr>
        <w:jc w:val="center"/>
        <w:outlineLvl w:val="0"/>
        <w:rPr>
          <w:rFonts w:ascii="黑体" w:hAnsi="黑体" w:eastAsia="黑体" w:cs="黑体"/>
          <w:color w:val="000000" w:themeColor="text1"/>
          <w:sz w:val="30"/>
          <w:szCs w:val="30"/>
          <w:highlight w:val="none"/>
          <w14:textFill>
            <w14:solidFill>
              <w14:schemeClr w14:val="tx1"/>
            </w14:solidFill>
          </w14:textFill>
        </w:rPr>
        <w:sectPr>
          <w:headerReference r:id="rId3" w:type="default"/>
          <w:pgSz w:w="11906" w:h="16838"/>
          <w:pgMar w:top="1440" w:right="1800" w:bottom="1440" w:left="1800" w:header="851" w:footer="992" w:gutter="0"/>
          <w:cols w:space="425" w:num="1"/>
          <w:titlePg/>
          <w:docGrid w:type="lines" w:linePitch="312" w:charSpace="0"/>
        </w:sectPr>
      </w:pPr>
      <w:bookmarkStart w:id="2" w:name="_Toc5265"/>
      <w:r>
        <w:rPr>
          <w:rFonts w:hint="eastAsia" w:ascii="黑体" w:hAnsi="黑体" w:eastAsia="黑体" w:cs="黑体"/>
          <w:color w:val="000000" w:themeColor="text1"/>
          <w:sz w:val="30"/>
          <w:szCs w:val="30"/>
          <w:highlight w:val="none"/>
          <w14:textFill>
            <w14:solidFill>
              <w14:schemeClr w14:val="tx1"/>
            </w14:solidFill>
          </w14:textFill>
        </w:rPr>
        <w:t>2023年</w:t>
      </w:r>
      <w:r>
        <w:rPr>
          <w:rFonts w:hint="eastAsia" w:ascii="黑体" w:hAnsi="黑体" w:eastAsia="黑体" w:cs="黑体"/>
          <w:color w:val="000000" w:themeColor="text1"/>
          <w:sz w:val="30"/>
          <w:szCs w:val="30"/>
          <w:highlight w:val="none"/>
          <w:lang w:val="en-US" w:eastAsia="zh-CN"/>
          <w14:textFill>
            <w14:solidFill>
              <w14:schemeClr w14:val="tx1"/>
            </w14:solidFill>
          </w14:textFill>
        </w:rPr>
        <w:t>12</w:t>
      </w:r>
      <w:r>
        <w:rPr>
          <w:rFonts w:hint="eastAsia" w:ascii="黑体" w:hAnsi="黑体" w:eastAsia="黑体" w:cs="黑体"/>
          <w:color w:val="000000" w:themeColor="text1"/>
          <w:sz w:val="30"/>
          <w:szCs w:val="30"/>
          <w:highlight w:val="none"/>
          <w14:textFill>
            <w14:solidFill>
              <w14:schemeClr w14:val="tx1"/>
            </w14:solidFill>
          </w14:textFill>
        </w:rPr>
        <w:t>月</w:t>
      </w:r>
      <w:r>
        <w:rPr>
          <w:rFonts w:hint="eastAsia" w:ascii="黑体" w:hAnsi="黑体" w:eastAsia="黑体" w:cs="黑体"/>
          <w:color w:val="000000" w:themeColor="text1"/>
          <w:sz w:val="30"/>
          <w:szCs w:val="30"/>
          <w:highlight w:val="none"/>
          <w:lang w:val="en-US" w:eastAsia="zh-CN"/>
          <w14:textFill>
            <w14:solidFill>
              <w14:schemeClr w14:val="tx1"/>
            </w14:solidFill>
          </w14:textFill>
        </w:rPr>
        <w:t>25</w:t>
      </w:r>
      <w:r>
        <w:rPr>
          <w:rFonts w:hint="eastAsia" w:ascii="黑体" w:hAnsi="黑体" w:eastAsia="黑体" w:cs="黑体"/>
          <w:color w:val="000000" w:themeColor="text1"/>
          <w:sz w:val="30"/>
          <w:szCs w:val="30"/>
          <w:highlight w:val="none"/>
          <w14:textFill>
            <w14:solidFill>
              <w14:schemeClr w14:val="tx1"/>
            </w14:solidFill>
          </w14:textFill>
        </w:rPr>
        <w:t>日</w:t>
      </w:r>
      <w:bookmarkEnd w:id="2"/>
    </w:p>
    <w:sdt>
      <w:sdtPr>
        <w:rPr>
          <w:rFonts w:ascii="宋体" w:hAnsi="宋体"/>
          <w:b/>
          <w:bCs/>
          <w:color w:val="000000" w:themeColor="text1"/>
          <w:sz w:val="24"/>
          <w:szCs w:val="32"/>
          <w:highlight w:val="none"/>
          <w14:textFill>
            <w14:solidFill>
              <w14:schemeClr w14:val="tx1"/>
            </w14:solidFill>
          </w14:textFill>
        </w:rPr>
        <w:id w:val="147458796"/>
        <w:docPartObj>
          <w:docPartGallery w:val="Table of Contents"/>
          <w:docPartUnique/>
        </w:docPartObj>
      </w:sdtPr>
      <w:sdtEndPr>
        <w:rPr>
          <w:rFonts w:hint="eastAsia" w:ascii="黑体" w:hAnsi="黑体" w:eastAsia="黑体" w:cs="黑体"/>
          <w:b/>
          <w:bCs/>
          <w:color w:val="000000" w:themeColor="text1"/>
          <w:sz w:val="21"/>
          <w:szCs w:val="30"/>
          <w:highlight w:val="none"/>
          <w14:textFill>
            <w14:solidFill>
              <w14:schemeClr w14:val="tx1"/>
            </w14:solidFill>
          </w14:textFill>
        </w:rPr>
      </w:sdtEndPr>
      <w:sdtContent>
        <w:p>
          <w:pPr>
            <w:jc w:val="center"/>
            <w:rPr>
              <w:b/>
              <w:bCs/>
              <w:color w:val="000000" w:themeColor="text1"/>
              <w:sz w:val="24"/>
              <w:szCs w:val="32"/>
              <w:highlight w:val="none"/>
              <w14:textFill>
                <w14:solidFill>
                  <w14:schemeClr w14:val="tx1"/>
                </w14:solidFill>
              </w14:textFill>
            </w:rPr>
          </w:pPr>
          <w:r>
            <w:rPr>
              <w:rFonts w:ascii="宋体" w:hAnsi="宋体"/>
              <w:b/>
              <w:bCs/>
              <w:color w:val="000000" w:themeColor="text1"/>
              <w:sz w:val="24"/>
              <w:szCs w:val="32"/>
              <w:highlight w:val="none"/>
              <w14:textFill>
                <w14:solidFill>
                  <w14:schemeClr w14:val="tx1"/>
                </w14:solidFill>
              </w14:textFill>
            </w:rPr>
            <w:t>目录</w:t>
          </w:r>
        </w:p>
        <w:p>
          <w:pPr>
            <w:pStyle w:val="26"/>
            <w:tabs>
              <w:tab w:val="right" w:leader="dot" w:pos="8306"/>
            </w:tabs>
            <w:rPr>
              <w:color w:val="000000" w:themeColor="text1"/>
              <w:highlight w:val="none"/>
              <w14:textFill>
                <w14:solidFill>
                  <w14:schemeClr w14:val="tx1"/>
                </w14:solidFill>
              </w14:textFill>
            </w:rPr>
          </w:pPr>
          <w:r>
            <w:rPr>
              <w:rFonts w:hint="eastAsia" w:ascii="黑体" w:hAnsi="黑体" w:eastAsia="黑体" w:cs="黑体"/>
              <w:color w:val="000000" w:themeColor="text1"/>
              <w:sz w:val="30"/>
              <w:szCs w:val="30"/>
              <w:highlight w:val="none"/>
              <w14:textFill>
                <w14:solidFill>
                  <w14:schemeClr w14:val="tx1"/>
                </w14:solidFill>
              </w14:textFill>
            </w:rPr>
            <w:fldChar w:fldCharType="begin"/>
          </w:r>
          <w:r>
            <w:rPr>
              <w:rFonts w:hint="eastAsia" w:ascii="黑体" w:hAnsi="黑体" w:eastAsia="黑体" w:cs="黑体"/>
              <w:color w:val="000000" w:themeColor="text1"/>
              <w:sz w:val="30"/>
              <w:szCs w:val="30"/>
              <w:highlight w:val="none"/>
              <w14:textFill>
                <w14:solidFill>
                  <w14:schemeClr w14:val="tx1"/>
                </w14:solidFill>
              </w14:textFill>
            </w:rPr>
            <w:instrText xml:space="preserve">TOC \o "1-3" \h \u </w:instrText>
          </w:r>
          <w:r>
            <w:rPr>
              <w:rFonts w:hint="eastAsia" w:ascii="黑体" w:hAnsi="黑体" w:eastAsia="黑体" w:cs="黑体"/>
              <w:color w:val="000000" w:themeColor="text1"/>
              <w:sz w:val="30"/>
              <w:szCs w:val="30"/>
              <w:highlight w:val="none"/>
              <w14:textFill>
                <w14:solidFill>
                  <w14:schemeClr w14:val="tx1"/>
                </w14:solidFill>
              </w14:textFill>
            </w:rPr>
            <w:fldChar w:fldCharType="separate"/>
          </w:r>
        </w:p>
        <w:p>
          <w:pPr>
            <w:pStyle w:val="26"/>
            <w:tabs>
              <w:tab w:val="right" w:leader="dot" w:pos="830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"_Toc6185"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第一篇 投标邀请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_Toc6185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6"/>
            <w:tabs>
              <w:tab w:val="right" w:leader="dot" w:pos="830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"_Toc29954"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第二篇 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7"/>
            <w:tabs>
              <w:tab w:val="right" w:leader="dot" w:pos="8306"/>
            </w:tabs>
            <w:ind w:left="210" w:leftChars="1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"_Toc652" </w:instrText>
          </w:r>
          <w:r>
            <w:rPr>
              <w:color w:val="000000" w:themeColor="text1"/>
              <w:highlight w:val="none"/>
              <w14:textFill>
                <w14:solidFill>
                  <w14:schemeClr w14:val="tx1"/>
                </w14:solidFill>
              </w14:textFill>
            </w:rPr>
            <w:fldChar w:fldCharType="separate"/>
          </w:r>
          <w:r>
            <w:rPr>
              <w:rFonts w:hint="eastAsia"/>
              <w:color w:val="000000" w:themeColor="text1"/>
              <w:highlight w:val="none"/>
              <w:lang w:val="zh-CN"/>
              <w14:textFill>
                <w14:solidFill>
                  <w14:schemeClr w14:val="tx1"/>
                </w14:solidFill>
              </w14:textFill>
            </w:rPr>
            <w:t>一、投标须知前附表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7"/>
            <w:tabs>
              <w:tab w:val="right" w:leader="dot" w:pos="8306"/>
            </w:tabs>
            <w:ind w:left="210" w:leftChars="1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"_Toc21639"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二、 投标须知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_Toc21639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"_Toc20860"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1.适用范围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_Toc20860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"_Toc6621"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2.定义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_Toc6621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"_Toc31531"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3.货物和服务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_Toc31531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"_Toc32610"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4.投标费用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_Toc32610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"_Toc13316"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5.知识产权</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_Toc13316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"_Toc25911"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6.关于联合体投标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_Toc25911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"_Toc27528"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7.关于分支机构投标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_Toc27528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"_Toc13645"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8.招标文件的组成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_Toc13645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"_Toc644"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9.招标文件的澄清或修改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"_Toc6458"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10.投标文件的语言及度量衡单位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_Toc6458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"_Toc8246"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11.投标文件的组成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_Toc8246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"_Toc5980"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12.投标文件编制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_Toc5980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"_Toc1355"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13.投标报价说明</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"_Toc6729"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14.投标人所提供的服务或货物的证明文件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_Toc6729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"_Toc29725"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15.★投标有效期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_Toc29725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"_Toc15529"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16.★投标保证金（本项目不收取）</w:t>
          </w:r>
          <w:bookmarkStart w:id="174" w:name="_GoBack"/>
          <w:bookmarkEnd w:id="174"/>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_Toc15529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"_Toc16286"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17.投标文件的装订，签署，密封和标记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_Toc16286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"_Toc17636"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18.迟交的投标文件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_Toc17636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"_Toc24269"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19.投标样品、投标演示（如有要求）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_Toc24269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"_Toc22355"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20.投标截止期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_Toc22355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"_Toc4270"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21.投标文件的补充、修改与撤回</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_Toc4270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"_Toc23244"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23.评标委员会及评标方法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_Toc23244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"_Toc15635"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24.评审原则及评标过程的保密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_Toc15635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"_Toc10950"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25.投标文件的初审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_Toc10950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"_Toc24775"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26.商务、技术、价格评审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_Toc24775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"_Toc19304"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27.纪律和保密事项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_Toc19304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"_Toc1994"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28.合同授予标准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"_Toc14141"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30.发布采购结果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_Toc14141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"_Toc11977"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30.合同的签订与履行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_Toc11977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8"/>
            <w:tabs>
              <w:tab w:val="right" w:leader="dot" w:pos="8306"/>
            </w:tabs>
            <w:ind w:left="630" w:leftChars="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"_Toc23400"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31.招标文件的解释权</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_Toc23400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6"/>
            <w:tabs>
              <w:tab w:val="right" w:leader="dot" w:pos="830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"_Toc27892"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第三篇 用户需求书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_Toc27892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6"/>
            <w:tabs>
              <w:tab w:val="right" w:leader="dot" w:pos="830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"_Toc28584"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第四篇 详细评审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_Toc28584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6"/>
            <w:tabs>
              <w:tab w:val="right" w:leader="dot" w:pos="830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"_Toc32522"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第五篇 合同文本参考格式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_Toc32522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6"/>
            <w:tabs>
              <w:tab w:val="right" w:leader="dot" w:pos="830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"_Toc17794"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第六篇 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_Toc17794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6"/>
            <w:tabs>
              <w:tab w:val="right" w:leader="dot" w:pos="830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"_Toc27211"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第七篇 开标文件格式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_Toc27211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6"/>
            <w:tabs>
              <w:tab w:val="right" w:leader="dot" w:pos="8306"/>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"_Toc2722"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第八篇 其它文件格式（如有需要）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rPr>
              <w:rFonts w:ascii="黑体" w:hAnsi="黑体" w:eastAsia="黑体" w:cs="黑体"/>
              <w:color w:val="000000" w:themeColor="text1"/>
              <w:sz w:val="30"/>
              <w:szCs w:val="30"/>
              <w:highlight w:val="none"/>
              <w14:textFill>
                <w14:solidFill>
                  <w14:schemeClr w14:val="tx1"/>
                </w14:solidFill>
              </w14:textFill>
            </w:rPr>
          </w:pPr>
          <w:r>
            <w:rPr>
              <w:rFonts w:hint="eastAsia" w:ascii="黑体" w:hAnsi="黑体" w:eastAsia="黑体" w:cs="黑体"/>
              <w:color w:val="000000" w:themeColor="text1"/>
              <w:szCs w:val="30"/>
              <w:highlight w:val="none"/>
              <w14:textFill>
                <w14:solidFill>
                  <w14:schemeClr w14:val="tx1"/>
                </w14:solidFill>
              </w14:textFill>
            </w:rPr>
            <w:fldChar w:fldCharType="end"/>
          </w:r>
        </w:p>
      </w:sdtContent>
    </w:sdt>
    <w:p>
      <w:pPr>
        <w:rPr>
          <w:rFonts w:ascii="黑体" w:hAnsi="黑体" w:eastAsia="黑体" w:cs="黑体"/>
          <w:color w:val="000000" w:themeColor="text1"/>
          <w:sz w:val="30"/>
          <w:szCs w:val="30"/>
          <w:highlight w:val="none"/>
          <w14:textFill>
            <w14:solidFill>
              <w14:schemeClr w14:val="tx1"/>
            </w14:solidFill>
          </w14:textFill>
        </w:rPr>
      </w:pPr>
      <w:r>
        <w:rPr>
          <w:rFonts w:hint="eastAsia" w:ascii="黑体" w:hAnsi="黑体" w:eastAsia="黑体" w:cs="黑体"/>
          <w:color w:val="000000" w:themeColor="text1"/>
          <w:sz w:val="30"/>
          <w:szCs w:val="30"/>
          <w:highlight w:val="none"/>
          <w14:textFill>
            <w14:solidFill>
              <w14:schemeClr w14:val="tx1"/>
            </w14:solidFill>
          </w14:textFill>
        </w:rPr>
        <w:br w:type="page"/>
      </w:r>
    </w:p>
    <w:p>
      <w:pPr>
        <w:pStyle w:val="3"/>
        <w:numPr>
          <w:ilvl w:val="0"/>
          <w:numId w:val="1"/>
        </w:numPr>
        <w:rPr>
          <w:color w:val="000000" w:themeColor="text1"/>
          <w:highlight w:val="none"/>
          <w14:textFill>
            <w14:solidFill>
              <w14:schemeClr w14:val="tx1"/>
            </w14:solidFill>
          </w14:textFill>
        </w:rPr>
      </w:pPr>
      <w:bookmarkStart w:id="3" w:name="_Toc6185"/>
      <w:r>
        <w:rPr>
          <w:rFonts w:hint="eastAsia"/>
          <w:color w:val="000000" w:themeColor="text1"/>
          <w:highlight w:val="none"/>
          <w14:textFill>
            <w14:solidFill>
              <w14:schemeClr w14:val="tx1"/>
            </w14:solidFill>
          </w14:textFill>
        </w:rPr>
        <w:t>投标邀请</w:t>
      </w:r>
      <w:bookmarkEnd w:id="3"/>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360" w:lineRule="auto"/>
        <w:ind w:firstLine="422" w:firstLineChars="200"/>
        <w:rPr>
          <w:rFonts w:ascii="宋体" w:hAnsi="宋体" w:cs="宋体"/>
          <w:color w:val="000000" w:themeColor="text1"/>
          <w:szCs w:val="21"/>
          <w:highlight w:val="none"/>
          <w14:textFill>
            <w14:solidFill>
              <w14:schemeClr w14:val="tx1"/>
            </w14:solidFill>
          </w14:textFill>
        </w:rPr>
      </w:pPr>
      <w:r>
        <w:rPr>
          <w:rFonts w:ascii="宋体" w:hAnsi="宋体" w:cs="宋体"/>
          <w:b/>
          <w:bCs/>
          <w:color w:val="000000" w:themeColor="text1"/>
          <w:szCs w:val="21"/>
          <w:highlight w:val="none"/>
          <w:u w:val="single"/>
          <w14:textFill>
            <w14:solidFill>
              <w14:schemeClr w14:val="tx1"/>
            </w14:solidFill>
          </w14:textFill>
        </w:rPr>
        <w:t>东莞市长安镇厦岗社区环卫保洁服务项目</w:t>
      </w:r>
      <w:r>
        <w:rPr>
          <w:rFonts w:hint="eastAsia" w:ascii="宋体" w:hAnsi="宋体" w:cs="宋体"/>
          <w:color w:val="000000" w:themeColor="text1"/>
          <w:szCs w:val="21"/>
          <w:highlight w:val="none"/>
          <w14:textFill>
            <w14:solidFill>
              <w14:schemeClr w14:val="tx1"/>
            </w14:solidFill>
          </w14:textFill>
        </w:rPr>
        <w:t>招标项目的潜在投标人应在</w:t>
      </w:r>
      <w:r>
        <w:rPr>
          <w:rFonts w:hint="eastAsia" w:ascii="宋体" w:hAnsi="宋体" w:cs="宋体"/>
          <w:b/>
          <w:bCs/>
          <w:color w:val="000000" w:themeColor="text1"/>
          <w:szCs w:val="21"/>
          <w:highlight w:val="none"/>
          <w:u w:val="single"/>
          <w14:textFill>
            <w14:solidFill>
              <w14:schemeClr w14:val="tx1"/>
            </w14:solidFill>
          </w14:textFill>
        </w:rPr>
        <w:t>东莞市南城街道鸿福西路81号国际商会大厦13A层01室</w:t>
      </w:r>
      <w:r>
        <w:rPr>
          <w:rFonts w:hint="eastAsia" w:ascii="宋体" w:hAnsi="宋体" w:cs="宋体"/>
          <w:color w:val="000000" w:themeColor="text1"/>
          <w:szCs w:val="21"/>
          <w:highlight w:val="none"/>
          <w14:textFill>
            <w14:solidFill>
              <w14:schemeClr w14:val="tx1"/>
            </w14:solidFill>
          </w14:textFill>
        </w:rPr>
        <w:t>获取招标文件，并于</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u w:val="single"/>
          <w14:textFill>
            <w14:solidFill>
              <w14:schemeClr w14:val="tx1"/>
            </w14:solidFill>
          </w14:textFill>
        </w:rPr>
        <w:t>2024年</w:t>
      </w:r>
      <w:r>
        <w:rPr>
          <w:rFonts w:hint="eastAsia" w:ascii="宋体" w:hAnsi="宋体" w:cs="宋体"/>
          <w:b/>
          <w:bCs/>
          <w:color w:val="000000" w:themeColor="text1"/>
          <w:szCs w:val="21"/>
          <w:highlight w:val="none"/>
          <w:u w:val="single"/>
          <w:lang w:val="en-US" w:eastAsia="zh-CN"/>
          <w14:textFill>
            <w14:solidFill>
              <w14:schemeClr w14:val="tx1"/>
            </w14:solidFill>
          </w14:textFill>
        </w:rPr>
        <w:t>1</w:t>
      </w:r>
      <w:r>
        <w:rPr>
          <w:rFonts w:hint="eastAsia" w:ascii="宋体" w:hAnsi="宋体" w:cs="宋体"/>
          <w:b/>
          <w:bCs/>
          <w:color w:val="000000" w:themeColor="text1"/>
          <w:szCs w:val="21"/>
          <w:highlight w:val="none"/>
          <w:u w:val="single"/>
          <w14:textFill>
            <w14:solidFill>
              <w14:schemeClr w14:val="tx1"/>
            </w14:solidFill>
          </w14:textFill>
        </w:rPr>
        <w:t>月</w:t>
      </w:r>
      <w:r>
        <w:rPr>
          <w:rFonts w:hint="eastAsia" w:ascii="宋体" w:hAnsi="宋体" w:cs="宋体"/>
          <w:b/>
          <w:bCs/>
          <w:color w:val="000000" w:themeColor="text1"/>
          <w:szCs w:val="21"/>
          <w:highlight w:val="none"/>
          <w:u w:val="single"/>
          <w:lang w:val="en-US" w:eastAsia="zh-CN"/>
          <w14:textFill>
            <w14:solidFill>
              <w14:schemeClr w14:val="tx1"/>
            </w14:solidFill>
          </w14:textFill>
        </w:rPr>
        <w:t>15</w:t>
      </w:r>
      <w:r>
        <w:rPr>
          <w:rFonts w:hint="eastAsia" w:ascii="宋体" w:hAnsi="宋体" w:cs="宋体"/>
          <w:b/>
          <w:bCs/>
          <w:color w:val="000000" w:themeColor="text1"/>
          <w:szCs w:val="21"/>
          <w:highlight w:val="none"/>
          <w:u w:val="single"/>
          <w14:textFill>
            <w14:solidFill>
              <w14:schemeClr w14:val="tx1"/>
            </w14:solidFill>
          </w14:textFill>
        </w:rPr>
        <w:t>日</w:t>
      </w:r>
      <w:r>
        <w:rPr>
          <w:rFonts w:hint="eastAsia" w:ascii="宋体" w:hAnsi="宋体" w:cs="宋体"/>
          <w:b/>
          <w:bCs/>
          <w:color w:val="000000" w:themeColor="text1"/>
          <w:szCs w:val="21"/>
          <w:highlight w:val="none"/>
          <w:u w:val="single"/>
          <w:lang w:val="en-US" w:eastAsia="zh-CN"/>
          <w14:textFill>
            <w14:solidFill>
              <w14:schemeClr w14:val="tx1"/>
            </w14:solidFill>
          </w14:textFill>
        </w:rPr>
        <w:t>14</w:t>
      </w:r>
      <w:r>
        <w:rPr>
          <w:rFonts w:hint="eastAsia" w:ascii="宋体" w:hAnsi="宋体" w:cs="宋体"/>
          <w:b/>
          <w:bCs/>
          <w:color w:val="000000" w:themeColor="text1"/>
          <w:szCs w:val="21"/>
          <w:highlight w:val="none"/>
          <w:u w:val="single"/>
          <w14:textFill>
            <w14:solidFill>
              <w14:schemeClr w14:val="tx1"/>
            </w14:solidFill>
          </w14:textFill>
        </w:rPr>
        <w:t>点</w:t>
      </w:r>
      <w:r>
        <w:rPr>
          <w:rFonts w:hint="eastAsia" w:ascii="宋体" w:hAnsi="宋体" w:cs="宋体"/>
          <w:b/>
          <w:bCs/>
          <w:color w:val="000000" w:themeColor="text1"/>
          <w:szCs w:val="21"/>
          <w:highlight w:val="none"/>
          <w:u w:val="single"/>
          <w:lang w:val="en-US" w:eastAsia="zh-CN"/>
          <w14:textFill>
            <w14:solidFill>
              <w14:schemeClr w14:val="tx1"/>
            </w14:solidFill>
          </w14:textFill>
        </w:rPr>
        <w:t>30</w:t>
      </w:r>
      <w:r>
        <w:rPr>
          <w:rFonts w:hint="eastAsia" w:ascii="宋体" w:hAnsi="宋体" w:cs="宋体"/>
          <w:b/>
          <w:bCs/>
          <w:color w:val="000000" w:themeColor="text1"/>
          <w:szCs w:val="21"/>
          <w:highlight w:val="none"/>
          <w:u w:val="single"/>
          <w14:textFill>
            <w14:solidFill>
              <w14:schemeClr w14:val="tx1"/>
            </w14:solidFill>
          </w14:textFill>
        </w:rPr>
        <w:t>分</w:t>
      </w:r>
      <w:r>
        <w:rPr>
          <w:rFonts w:hint="eastAsia" w:ascii="宋体" w:hAnsi="宋体" w:cs="宋体"/>
          <w:bCs/>
          <w:color w:val="000000" w:themeColor="text1"/>
          <w:szCs w:val="21"/>
          <w:highlight w:val="none"/>
          <w:u w:val="single"/>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北京时间）前递交投标文件</w:t>
      </w:r>
      <w:r>
        <w:rPr>
          <w:rFonts w:hint="eastAsia" w:ascii="宋体" w:hAnsi="宋体" w:cs="宋体"/>
          <w:color w:val="000000" w:themeColor="text1"/>
          <w:szCs w:val="21"/>
          <w:highlight w:val="none"/>
          <w14:textFill>
            <w14:solidFill>
              <w14:schemeClr w14:val="tx1"/>
            </w14:solidFill>
          </w14:textFill>
        </w:rPr>
        <w:t>。</w:t>
      </w:r>
    </w:p>
    <w:p>
      <w:pPr>
        <w:spacing w:line="360" w:lineRule="auto"/>
        <w:rPr>
          <w:rFonts w:ascii="宋体" w:hAnsi="宋体" w:cs="宋体"/>
          <w:color w:val="000000" w:themeColor="text1"/>
          <w:szCs w:val="21"/>
          <w:highlight w:val="none"/>
          <w14:textFill>
            <w14:solidFill>
              <w14:schemeClr w14:val="tx1"/>
            </w14:solidFill>
          </w14:textFill>
        </w:rPr>
      </w:pPr>
    </w:p>
    <w:p>
      <w:pPr>
        <w:pStyle w:val="4"/>
        <w:spacing w:line="360" w:lineRule="auto"/>
        <w:jc w:val="left"/>
        <w:rPr>
          <w:rFonts w:ascii="宋体" w:hAnsi="宋体" w:cs="宋体"/>
          <w:bCs/>
          <w:color w:val="000000" w:themeColor="text1"/>
          <w:sz w:val="21"/>
          <w:szCs w:val="21"/>
          <w:highlight w:val="none"/>
          <w14:textFill>
            <w14:solidFill>
              <w14:schemeClr w14:val="tx1"/>
            </w14:solidFill>
          </w14:textFill>
        </w:rPr>
      </w:pPr>
      <w:bookmarkStart w:id="4" w:name="_Toc35393621"/>
      <w:bookmarkStart w:id="5" w:name="_Toc35393790"/>
      <w:bookmarkStart w:id="6" w:name="_Toc28359079"/>
      <w:bookmarkStart w:id="7" w:name="_Toc28359002"/>
      <w:bookmarkStart w:id="8" w:name="_Toc2169"/>
      <w:bookmarkStart w:id="9" w:name="_Hlk24379207"/>
      <w:r>
        <w:rPr>
          <w:rFonts w:hint="eastAsia" w:ascii="宋体" w:hAnsi="宋体" w:cs="宋体"/>
          <w:bCs/>
          <w:color w:val="000000" w:themeColor="text1"/>
          <w:sz w:val="21"/>
          <w:szCs w:val="21"/>
          <w:highlight w:val="none"/>
          <w14:textFill>
            <w14:solidFill>
              <w14:schemeClr w14:val="tx1"/>
            </w14:solidFill>
          </w14:textFill>
        </w:rPr>
        <w:t>一、项目基本情况</w:t>
      </w:r>
      <w:bookmarkEnd w:id="4"/>
      <w:bookmarkEnd w:id="5"/>
      <w:bookmarkEnd w:id="6"/>
      <w:bookmarkEnd w:id="7"/>
      <w:bookmarkEnd w:id="8"/>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项目编号：</w:t>
      </w:r>
      <w:r>
        <w:rPr>
          <w:rFonts w:ascii="宋体" w:hAnsi="宋体" w:cs="宋体"/>
          <w:color w:val="000000" w:themeColor="text1"/>
          <w:szCs w:val="21"/>
          <w:highlight w:val="none"/>
          <w14:textFill>
            <w14:solidFill>
              <w14:schemeClr w14:val="tx1"/>
            </w14:solidFill>
          </w14:textFill>
        </w:rPr>
        <w:t>GSDG2023-045C</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w:t>
      </w:r>
      <w:r>
        <w:rPr>
          <w:rFonts w:ascii="宋体" w:hAnsi="宋体" w:cs="宋体"/>
          <w:color w:val="000000" w:themeColor="text1"/>
          <w:szCs w:val="21"/>
          <w:highlight w:val="none"/>
          <w14:textFill>
            <w14:solidFill>
              <w14:schemeClr w14:val="tx1"/>
            </w14:solidFill>
          </w14:textFill>
        </w:rPr>
        <w:t>东莞市长安镇厦岗社区环卫保洁服务项目</w:t>
      </w:r>
    </w:p>
    <w:bookmarkEnd w:id="9"/>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项目预算：¥40,276,946.16元</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采购需求：</w:t>
      </w:r>
    </w:p>
    <w:p>
      <w:pPr>
        <w:numPr>
          <w:ilvl w:val="0"/>
          <w:numId w:val="2"/>
        </w:num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标的内容：</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4855"/>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9" w:type="dxa"/>
            <w:vAlign w:val="center"/>
          </w:tcPr>
          <w:p>
            <w:pPr>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包号</w:t>
            </w:r>
          </w:p>
        </w:tc>
        <w:tc>
          <w:tcPr>
            <w:tcW w:w="4855" w:type="dxa"/>
            <w:vAlign w:val="center"/>
          </w:tcPr>
          <w:p>
            <w:pPr>
              <w:spacing w:line="360" w:lineRule="auto"/>
              <w:jc w:val="center"/>
              <w:rPr>
                <w:rFonts w:hAnsi="宋体"/>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项目内容</w:t>
            </w:r>
          </w:p>
        </w:tc>
        <w:tc>
          <w:tcPr>
            <w:tcW w:w="2500" w:type="dxa"/>
            <w:vAlign w:val="center"/>
          </w:tcPr>
          <w:p>
            <w:pPr>
              <w:spacing w:line="360" w:lineRule="auto"/>
              <w:jc w:val="center"/>
              <w:rPr>
                <w:rFonts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1059" w:type="dxa"/>
            <w:vAlign w:val="center"/>
          </w:tcPr>
          <w:p>
            <w:pPr>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包A</w:t>
            </w:r>
          </w:p>
        </w:tc>
        <w:tc>
          <w:tcPr>
            <w:tcW w:w="4855" w:type="dxa"/>
            <w:vAlign w:val="center"/>
          </w:tcPr>
          <w:p>
            <w:pPr>
              <w:spacing w:line="360" w:lineRule="auto"/>
              <w:jc w:val="center"/>
              <w:rPr>
                <w:rFonts w:hAnsi="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东莞市长安镇厦岗社区环卫保洁服务项目</w:t>
            </w:r>
            <w:r>
              <w:rPr>
                <w:rFonts w:hint="eastAsia" w:hAnsi="宋体"/>
                <w:color w:val="000000" w:themeColor="text1"/>
                <w:szCs w:val="21"/>
                <w:highlight w:val="none"/>
                <w14:textFill>
                  <w14:solidFill>
                    <w14:schemeClr w14:val="tx1"/>
                  </w14:solidFill>
                </w14:textFill>
              </w:rPr>
              <w:t>采购一项</w:t>
            </w:r>
          </w:p>
        </w:tc>
        <w:tc>
          <w:tcPr>
            <w:tcW w:w="2500" w:type="dxa"/>
            <w:vAlign w:val="center"/>
          </w:tcPr>
          <w:p>
            <w:pPr>
              <w:spacing w:line="360" w:lineRule="auto"/>
              <w:jc w:val="center"/>
              <w:rPr>
                <w:rFonts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服务期为3年。</w:t>
            </w:r>
          </w:p>
        </w:tc>
      </w:tr>
    </w:tbl>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简要技术要求或招标项目的性质：详细内容请参阅招标文件第三篇《用户需求书》</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本项目不接受联合体投标。</w:t>
      </w:r>
    </w:p>
    <w:p>
      <w:pPr>
        <w:pStyle w:val="4"/>
        <w:spacing w:line="360" w:lineRule="auto"/>
        <w:jc w:val="left"/>
        <w:rPr>
          <w:rFonts w:ascii="宋体" w:hAnsi="宋体" w:cs="宋体"/>
          <w:b w:val="0"/>
          <w:color w:val="000000" w:themeColor="text1"/>
          <w:sz w:val="21"/>
          <w:szCs w:val="21"/>
          <w:highlight w:val="none"/>
          <w14:textFill>
            <w14:solidFill>
              <w14:schemeClr w14:val="tx1"/>
            </w14:solidFill>
          </w14:textFill>
        </w:rPr>
      </w:pPr>
      <w:bookmarkStart w:id="10" w:name="_Toc35393622"/>
      <w:bookmarkStart w:id="11" w:name="_Toc35393791"/>
      <w:bookmarkStart w:id="12" w:name="_Toc28359080"/>
      <w:bookmarkStart w:id="13" w:name="_Toc25198"/>
      <w:bookmarkStart w:id="14" w:name="_Toc28359003"/>
      <w:r>
        <w:rPr>
          <w:rFonts w:hint="eastAsia" w:ascii="宋体" w:hAnsi="宋体" w:cs="宋体"/>
          <w:bCs/>
          <w:color w:val="000000" w:themeColor="text1"/>
          <w:sz w:val="21"/>
          <w:szCs w:val="21"/>
          <w:highlight w:val="none"/>
          <w14:textFill>
            <w14:solidFill>
              <w14:schemeClr w14:val="tx1"/>
            </w14:solidFill>
          </w14:textFill>
        </w:rPr>
        <w:t>二、申请人的资格要求：</w:t>
      </w:r>
      <w:bookmarkEnd w:id="10"/>
      <w:bookmarkEnd w:id="11"/>
      <w:bookmarkEnd w:id="12"/>
      <w:bookmarkEnd w:id="13"/>
      <w:bookmarkEnd w:id="14"/>
    </w:p>
    <w:p>
      <w:pPr>
        <w:widowControl/>
        <w:spacing w:line="360" w:lineRule="auto"/>
        <w:ind w:firstLine="420" w:firstLineChars="200"/>
        <w:outlineLvl w:val="2"/>
        <w:rPr>
          <w:rFonts w:ascii="宋体" w:hAnsi="宋体"/>
          <w:color w:val="000000" w:themeColor="text1"/>
          <w:szCs w:val="21"/>
          <w:highlight w:val="none"/>
          <w14:textFill>
            <w14:solidFill>
              <w14:schemeClr w14:val="tx1"/>
            </w14:solidFill>
          </w14:textFill>
        </w:rPr>
      </w:pPr>
      <w:bookmarkStart w:id="15" w:name="_Toc16211"/>
      <w:bookmarkStart w:id="16" w:name="_Toc28359081"/>
      <w:bookmarkStart w:id="17" w:name="_Toc28359004"/>
      <w:r>
        <w:rPr>
          <w:rFonts w:hint="eastAsia" w:ascii="宋体" w:hAnsi="宋体"/>
          <w:color w:val="000000" w:themeColor="text1"/>
          <w:szCs w:val="21"/>
          <w:highlight w:val="none"/>
          <w14:textFill>
            <w14:solidFill>
              <w14:schemeClr w14:val="tx1"/>
            </w14:solidFill>
          </w14:textFill>
        </w:rPr>
        <w:t>1.投标供应商应具备《政府采购法》第二十二条规定的条件，提供下列材料：</w:t>
      </w:r>
      <w:bookmarkEnd w:id="15"/>
    </w:p>
    <w:p>
      <w:pPr>
        <w:widowControl/>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具有独立承担民事责任的能力：在中华人民共和国境内注册的法人或其他组织或自然人，投标（响应）时提交有效的营业执照（或事业法人登记证或身份证等相关证明）副本复印件。分支机构投标的，须提供总公司和分公司营业执照副本复印件，总公司出具给分支机构的授权书。</w:t>
      </w:r>
    </w:p>
    <w:p>
      <w:pPr>
        <w:widowControl/>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有依法缴纳税收和社会保障资金的良好记录：提供投标截止日前6个月内任意1个月依法缴纳税收和社会保障资金的相关材料。如依法免税或不需要缴纳社会保障资金的，提供相应证明材料。（提供相关证明资料或参考投标文件格式“资格条件声明函”作相关承诺）</w:t>
      </w:r>
    </w:p>
    <w:p>
      <w:pPr>
        <w:widowControl/>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具有良好的商业信誉和健全的财务会计制度：供应商必须具有良好的商业信誉和健全的财务会计制度（提供2021年度或2022年度财务状况报告或基本开户行出具的资信证明）。（提供相关证明资料或参考投标文件格式“资格条件声明函”作相关承诺）</w:t>
      </w:r>
    </w:p>
    <w:p>
      <w:pPr>
        <w:widowControl/>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4）履行合同所必需的设备和专业技术能力：填报设备及专业技术能力情况，格式自拟。（提供相关证明资料或参考投标文件格式“资格条件声明函”作相关承诺）</w:t>
      </w:r>
    </w:p>
    <w:p>
      <w:pPr>
        <w:widowControl/>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参加采购活动前3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widowControl/>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6）信用记录：供应商未被列入“信用中国”网站（www.creditchina.gov.cn)“记录失信被执行人或税收违法黑名单”记录名单；不处于中国政府采购网（www.ccgp.gov.cn)“政府采购严重违法失信行为信息记录”中的禁止参加政府采购活动期间。（以招标代理机构于投标截止时间当天在“信用中国”网站（www.creditchina.gov.cn）及中国政府采购网（http://www.ccgp.gov.cn/）查询结果为准，如相关失信记录已失效，供应商需提供相关证明资料）。 </w:t>
      </w:r>
    </w:p>
    <w:p>
      <w:pPr>
        <w:widowControl/>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供应商必须符合法律、行政法规规定的其他条件：单位负责人为同一人或者存在直接控股、管理关系的不同供应商，不得同时参加本采购项目投标。为本项目提供整体设计、规范编制或者项目管理、监理、检测等服务的供应商，不得再参与本项目投标。</w:t>
      </w:r>
    </w:p>
    <w:p>
      <w:pPr>
        <w:widowControl/>
        <w:spacing w:line="360" w:lineRule="auto"/>
        <w:ind w:firstLine="420" w:firstLineChars="200"/>
        <w:outlineLvl w:val="2"/>
        <w:rPr>
          <w:rFonts w:ascii="宋体" w:hAnsi="宋体"/>
          <w:color w:val="000000" w:themeColor="text1"/>
          <w:szCs w:val="21"/>
          <w:highlight w:val="none"/>
          <w14:textFill>
            <w14:solidFill>
              <w14:schemeClr w14:val="tx1"/>
            </w14:solidFill>
          </w14:textFill>
        </w:rPr>
      </w:pPr>
      <w:bookmarkStart w:id="18" w:name="_Toc26119"/>
      <w:r>
        <w:rPr>
          <w:rFonts w:hint="eastAsia" w:ascii="宋体" w:hAnsi="宋体"/>
          <w:color w:val="000000" w:themeColor="text1"/>
          <w:szCs w:val="21"/>
          <w:highlight w:val="none"/>
          <w14:textFill>
            <w14:solidFill>
              <w14:schemeClr w14:val="tx1"/>
            </w14:solidFill>
          </w14:textFill>
        </w:rPr>
        <w:t>2.本项目的特定资格要求：</w:t>
      </w:r>
      <w:bookmarkEnd w:id="18"/>
    </w:p>
    <w:p>
      <w:pPr>
        <w:spacing w:line="360" w:lineRule="auto"/>
        <w:ind w:firstLine="420" w:firstLineChars="200"/>
        <w:rPr>
          <w:rFonts w:ascii="宋体" w:hAnsi="宋体" w:cs="宋体"/>
          <w:i/>
          <w:iCs/>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（1）无。</w:t>
      </w:r>
    </w:p>
    <w:p>
      <w:pPr>
        <w:pStyle w:val="4"/>
        <w:spacing w:line="360" w:lineRule="auto"/>
        <w:jc w:val="left"/>
        <w:rPr>
          <w:rFonts w:ascii="宋体" w:hAnsi="宋体" w:cs="宋体"/>
          <w:bCs/>
          <w:color w:val="000000" w:themeColor="text1"/>
          <w:sz w:val="21"/>
          <w:szCs w:val="21"/>
          <w:highlight w:val="none"/>
          <w14:textFill>
            <w14:solidFill>
              <w14:schemeClr w14:val="tx1"/>
            </w14:solidFill>
          </w14:textFill>
        </w:rPr>
      </w:pPr>
      <w:bookmarkStart w:id="19" w:name="_Toc35393792"/>
      <w:bookmarkStart w:id="20" w:name="_Toc35393623"/>
      <w:bookmarkStart w:id="21" w:name="_Toc173"/>
      <w:r>
        <w:rPr>
          <w:rFonts w:hint="eastAsia" w:ascii="宋体" w:hAnsi="宋体" w:cs="宋体"/>
          <w:bCs/>
          <w:color w:val="000000" w:themeColor="text1"/>
          <w:sz w:val="21"/>
          <w:szCs w:val="21"/>
          <w:highlight w:val="none"/>
          <w14:textFill>
            <w14:solidFill>
              <w14:schemeClr w14:val="tx1"/>
            </w14:solidFill>
          </w14:textFill>
        </w:rPr>
        <w:t>三、获取招标文件</w:t>
      </w:r>
      <w:bookmarkEnd w:id="16"/>
      <w:bookmarkEnd w:id="17"/>
      <w:bookmarkEnd w:id="19"/>
      <w:bookmarkEnd w:id="20"/>
      <w:bookmarkEnd w:id="21"/>
    </w:p>
    <w:p>
      <w:pPr>
        <w:pStyle w:val="22"/>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1、项目公示时间：2023年</w:t>
      </w:r>
      <w:r>
        <w:rPr>
          <w:rFonts w:hint="eastAsia" w:ascii="宋体" w:hAnsi="宋体" w:cs="宋体"/>
          <w:color w:val="000000" w:themeColor="text1"/>
          <w:szCs w:val="21"/>
          <w:highlight w:val="none"/>
          <w:lang w:val="en-US" w:eastAsia="zh-CN"/>
          <w14:textFill>
            <w14:solidFill>
              <w14:schemeClr w14:val="tx1"/>
            </w14:solidFill>
          </w14:textFill>
        </w:rPr>
        <w:t>12</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25</w:t>
      </w:r>
      <w:r>
        <w:rPr>
          <w:rFonts w:hint="eastAsia" w:ascii="宋体" w:hAnsi="宋体" w:cs="宋体"/>
          <w:color w:val="000000" w:themeColor="text1"/>
          <w:szCs w:val="21"/>
          <w:highlight w:val="none"/>
          <w14:textFill>
            <w14:solidFill>
              <w14:schemeClr w14:val="tx1"/>
            </w14:solidFill>
          </w14:textFill>
        </w:rPr>
        <w:t>日起至202</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日</w:t>
      </w:r>
    </w:p>
    <w:p>
      <w:pPr>
        <w:pStyle w:val="22"/>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2、获取招标文件时间：2023年</w:t>
      </w:r>
      <w:r>
        <w:rPr>
          <w:rFonts w:hint="eastAsia" w:ascii="宋体" w:hAnsi="宋体" w:cs="宋体"/>
          <w:color w:val="000000" w:themeColor="text1"/>
          <w:szCs w:val="21"/>
          <w:highlight w:val="none"/>
          <w:lang w:val="en-US" w:eastAsia="zh-CN"/>
          <w14:textFill>
            <w14:solidFill>
              <w14:schemeClr w14:val="tx1"/>
            </w14:solidFill>
          </w14:textFill>
        </w:rPr>
        <w:t>12</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25</w:t>
      </w:r>
      <w:r>
        <w:rPr>
          <w:rFonts w:hint="eastAsia" w:ascii="宋体" w:hAnsi="宋体" w:cs="宋体"/>
          <w:color w:val="000000" w:themeColor="text1"/>
          <w:szCs w:val="21"/>
          <w:highlight w:val="none"/>
          <w14:textFill>
            <w14:solidFill>
              <w14:schemeClr w14:val="tx1"/>
            </w14:solidFill>
          </w14:textFill>
        </w:rPr>
        <w:t>日起至202</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 xml:space="preserve">日（节假日除外），上午9：00～12：00，下午14：30～17：30（北京时间）； </w:t>
      </w:r>
    </w:p>
    <w:p>
      <w:pPr>
        <w:pStyle w:val="22"/>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注：（1）现场支持现金支付、微信支付、支付宝支付等支付方式，现场填写“获取招标文件登记表”并将相应表格交予我司简小姐。</w:t>
      </w:r>
    </w:p>
    <w:p>
      <w:pPr>
        <w:pStyle w:val="22"/>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（2）招标文件电子版可在中国政府采购网以及国顺招标网相关招标信息公告下自行下载。</w:t>
      </w:r>
    </w:p>
    <w:p>
      <w:pPr>
        <w:pStyle w:val="22"/>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3、获取招标文件地点：东莞市南城街道鸿福西路81号国际商会大厦13A层01室；</w:t>
      </w:r>
    </w:p>
    <w:p>
      <w:pPr>
        <w:pStyle w:val="22"/>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联系人：简海欣</w:t>
      </w:r>
    </w:p>
    <w:p>
      <w:pPr>
        <w:pStyle w:val="22"/>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联系电话：0769-22980090</w:t>
      </w:r>
    </w:p>
    <w:p>
      <w:pPr>
        <w:pStyle w:val="22"/>
        <w:tabs>
          <w:tab w:val="left" w:pos="804"/>
        </w:tabs>
        <w:autoSpaceDE w:val="0"/>
        <w:autoSpaceDN w:val="0"/>
        <w:spacing w:line="360" w:lineRule="auto"/>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4、获取方式：现场领购。投标人在领购招标文件时须提供如下证明材料：《营业执照》复印件（加盖公章）或《事业单位法人证书》复印件（加盖公章）或其他主体证书复印件（加盖公章），自然人参加投标须提供自然人的身份证明材料（未按上述方式获取招标文件的供应商，其投标资格将被视为无效）。</w:t>
      </w:r>
    </w:p>
    <w:p>
      <w:pPr>
        <w:spacing w:line="360" w:lineRule="auto"/>
        <w:ind w:firstLine="54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售价：300.00元</w:t>
      </w:r>
    </w:p>
    <w:p>
      <w:pPr>
        <w:pStyle w:val="4"/>
        <w:spacing w:line="360" w:lineRule="auto"/>
        <w:jc w:val="left"/>
        <w:rPr>
          <w:rFonts w:ascii="宋体" w:hAnsi="宋体" w:cs="宋体"/>
          <w:bCs/>
          <w:color w:val="000000" w:themeColor="text1"/>
          <w:sz w:val="21"/>
          <w:szCs w:val="21"/>
          <w:highlight w:val="none"/>
          <w14:textFill>
            <w14:solidFill>
              <w14:schemeClr w14:val="tx1"/>
            </w14:solidFill>
          </w14:textFill>
        </w:rPr>
      </w:pPr>
      <w:bookmarkStart w:id="22" w:name="_Toc28359005"/>
      <w:bookmarkStart w:id="23" w:name="_Toc28359082"/>
      <w:bookmarkStart w:id="24" w:name="_Toc35393793"/>
      <w:bookmarkStart w:id="25" w:name="_Toc35393624"/>
      <w:bookmarkStart w:id="26" w:name="_Toc28585"/>
      <w:r>
        <w:rPr>
          <w:rFonts w:hint="eastAsia" w:ascii="宋体" w:hAnsi="宋体" w:cs="宋体"/>
          <w:bCs/>
          <w:color w:val="000000" w:themeColor="text1"/>
          <w:sz w:val="21"/>
          <w:szCs w:val="21"/>
          <w:highlight w:val="none"/>
          <w14:textFill>
            <w14:solidFill>
              <w14:schemeClr w14:val="tx1"/>
            </w14:solidFill>
          </w14:textFill>
        </w:rPr>
        <w:t>四、提交投标文件</w:t>
      </w:r>
      <w:bookmarkEnd w:id="22"/>
      <w:bookmarkEnd w:id="23"/>
      <w:r>
        <w:rPr>
          <w:rFonts w:hint="eastAsia" w:ascii="宋体" w:hAnsi="宋体" w:cs="宋体"/>
          <w:bCs/>
          <w:color w:val="000000" w:themeColor="text1"/>
          <w:sz w:val="21"/>
          <w:szCs w:val="21"/>
          <w:highlight w:val="none"/>
          <w14:textFill>
            <w14:solidFill>
              <w14:schemeClr w14:val="tx1"/>
            </w14:solidFill>
          </w14:textFill>
        </w:rPr>
        <w:t>截止时间、开标时间和地点</w:t>
      </w:r>
      <w:bookmarkEnd w:id="24"/>
      <w:bookmarkEnd w:id="25"/>
      <w:bookmarkEnd w:id="26"/>
    </w:p>
    <w:p>
      <w:pPr>
        <w:spacing w:line="360" w:lineRule="auto"/>
        <w:ind w:firstLine="420" w:firstLineChars="200"/>
        <w:rPr>
          <w:rFonts w:ascii="宋体" w:hAnsi="宋体" w:cs="宋体"/>
          <w:bCs/>
          <w:color w:val="000000" w:themeColor="text1"/>
          <w:szCs w:val="21"/>
          <w:highlight w:val="none"/>
          <w:u w:val="single"/>
          <w14:textFill>
            <w14:solidFill>
              <w14:schemeClr w14:val="tx1"/>
            </w14:solidFill>
          </w14:textFill>
        </w:rPr>
      </w:pPr>
      <w:r>
        <w:rPr>
          <w:rFonts w:hint="eastAsia" w:ascii="宋体" w:hAnsi="宋体" w:cs="宋体"/>
          <w:bCs/>
          <w:color w:val="000000" w:themeColor="text1"/>
          <w:szCs w:val="21"/>
          <w:highlight w:val="none"/>
          <w:u w:val="single"/>
          <w14:textFill>
            <w14:solidFill>
              <w14:schemeClr w14:val="tx1"/>
            </w14:solidFill>
          </w14:textFill>
        </w:rPr>
        <w:t>2024年</w:t>
      </w:r>
      <w:r>
        <w:rPr>
          <w:rFonts w:hint="eastAsia" w:ascii="宋体" w:hAnsi="宋体" w:cs="宋体"/>
          <w:bCs/>
          <w:color w:val="000000" w:themeColor="text1"/>
          <w:szCs w:val="21"/>
          <w:highlight w:val="none"/>
          <w:u w:val="single"/>
          <w:lang w:val="en-US" w:eastAsia="zh-CN"/>
          <w14:textFill>
            <w14:solidFill>
              <w14:schemeClr w14:val="tx1"/>
            </w14:solidFill>
          </w14:textFill>
        </w:rPr>
        <w:t>1</w:t>
      </w:r>
      <w:r>
        <w:rPr>
          <w:rFonts w:hint="eastAsia" w:ascii="宋体" w:hAnsi="宋体" w:cs="宋体"/>
          <w:bCs/>
          <w:color w:val="000000" w:themeColor="text1"/>
          <w:szCs w:val="21"/>
          <w:highlight w:val="none"/>
          <w:u w:val="single"/>
          <w14:textFill>
            <w14:solidFill>
              <w14:schemeClr w14:val="tx1"/>
            </w14:solidFill>
          </w14:textFill>
        </w:rPr>
        <w:t>月</w:t>
      </w:r>
      <w:r>
        <w:rPr>
          <w:rFonts w:hint="eastAsia" w:ascii="宋体" w:hAnsi="宋体" w:cs="宋体"/>
          <w:bCs/>
          <w:color w:val="000000" w:themeColor="text1"/>
          <w:szCs w:val="21"/>
          <w:highlight w:val="none"/>
          <w:u w:val="single"/>
          <w:lang w:val="en-US" w:eastAsia="zh-CN"/>
          <w14:textFill>
            <w14:solidFill>
              <w14:schemeClr w14:val="tx1"/>
            </w14:solidFill>
          </w14:textFill>
        </w:rPr>
        <w:t>15</w:t>
      </w:r>
      <w:r>
        <w:rPr>
          <w:rFonts w:hint="eastAsia" w:ascii="宋体" w:hAnsi="宋体" w:cs="宋体"/>
          <w:bCs/>
          <w:color w:val="000000" w:themeColor="text1"/>
          <w:szCs w:val="21"/>
          <w:highlight w:val="none"/>
          <w:u w:val="single"/>
          <w14:textFill>
            <w14:solidFill>
              <w14:schemeClr w14:val="tx1"/>
            </w14:solidFill>
          </w14:textFill>
        </w:rPr>
        <w:t>日</w:t>
      </w:r>
      <w:r>
        <w:rPr>
          <w:rFonts w:hint="eastAsia" w:ascii="宋体" w:hAnsi="宋体" w:cs="宋体"/>
          <w:bCs/>
          <w:color w:val="000000" w:themeColor="text1"/>
          <w:szCs w:val="21"/>
          <w:highlight w:val="none"/>
          <w:u w:val="single"/>
          <w:lang w:val="en-US" w:eastAsia="zh-CN"/>
          <w14:textFill>
            <w14:solidFill>
              <w14:schemeClr w14:val="tx1"/>
            </w14:solidFill>
          </w14:textFill>
        </w:rPr>
        <w:t>14</w:t>
      </w:r>
      <w:r>
        <w:rPr>
          <w:rFonts w:hint="eastAsia" w:ascii="宋体" w:hAnsi="宋体" w:cs="宋体"/>
          <w:bCs/>
          <w:color w:val="000000" w:themeColor="text1"/>
          <w:szCs w:val="21"/>
          <w:highlight w:val="none"/>
          <w:u w:val="single"/>
          <w14:textFill>
            <w14:solidFill>
              <w14:schemeClr w14:val="tx1"/>
            </w14:solidFill>
          </w14:textFill>
        </w:rPr>
        <w:t>点</w:t>
      </w:r>
      <w:r>
        <w:rPr>
          <w:rFonts w:hint="eastAsia" w:ascii="宋体" w:hAnsi="宋体" w:cs="宋体"/>
          <w:bCs/>
          <w:color w:val="000000" w:themeColor="text1"/>
          <w:szCs w:val="21"/>
          <w:highlight w:val="none"/>
          <w:u w:val="single"/>
          <w:lang w:val="en-US" w:eastAsia="zh-CN"/>
          <w14:textFill>
            <w14:solidFill>
              <w14:schemeClr w14:val="tx1"/>
            </w14:solidFill>
          </w14:textFill>
        </w:rPr>
        <w:t>30</w:t>
      </w:r>
      <w:r>
        <w:rPr>
          <w:rFonts w:hint="eastAsia" w:ascii="宋体" w:hAnsi="宋体" w:cs="宋体"/>
          <w:bCs/>
          <w:color w:val="000000" w:themeColor="text1"/>
          <w:szCs w:val="21"/>
          <w:highlight w:val="none"/>
          <w:u w:val="single"/>
          <w14:textFill>
            <w14:solidFill>
              <w14:schemeClr w14:val="tx1"/>
            </w14:solidFill>
          </w14:textFill>
        </w:rPr>
        <w:t>分</w:t>
      </w:r>
      <w:r>
        <w:rPr>
          <w:rFonts w:hint="eastAsia" w:ascii="宋体" w:hAnsi="宋体" w:cs="宋体"/>
          <w:bCs/>
          <w:color w:val="000000" w:themeColor="text1"/>
          <w:szCs w:val="21"/>
          <w:highlight w:val="none"/>
          <w14:textFill>
            <w14:solidFill>
              <w14:schemeClr w14:val="tx1"/>
            </w14:solidFill>
          </w14:textFill>
        </w:rPr>
        <w:t>（北京时间）</w:t>
      </w:r>
    </w:p>
    <w:p>
      <w:pPr>
        <w:spacing w:line="360" w:lineRule="auto"/>
        <w:ind w:firstLine="420" w:firstLineChars="200"/>
        <w:rPr>
          <w:rFonts w:ascii="宋体" w:hAnsi="宋体" w:cs="宋体"/>
          <w:bCs/>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地点：</w:t>
      </w:r>
      <w:r>
        <w:rPr>
          <w:rFonts w:hint="eastAsia" w:ascii="宋体" w:hAnsi="宋体"/>
          <w:bCs/>
          <w:color w:val="000000" w:themeColor="text1"/>
          <w:szCs w:val="21"/>
          <w:highlight w:val="none"/>
          <w14:textFill>
            <w14:solidFill>
              <w14:schemeClr w14:val="tx1"/>
            </w14:solidFill>
          </w14:textFill>
        </w:rPr>
        <w:t>东莞市长安镇体育路18号智慧大厦四楼一单元401室</w:t>
      </w:r>
    </w:p>
    <w:p>
      <w:pPr>
        <w:pStyle w:val="4"/>
        <w:spacing w:line="360" w:lineRule="auto"/>
        <w:jc w:val="left"/>
        <w:rPr>
          <w:rFonts w:ascii="宋体" w:hAnsi="宋体" w:cs="宋体"/>
          <w:bCs/>
          <w:color w:val="000000" w:themeColor="text1"/>
          <w:sz w:val="21"/>
          <w:szCs w:val="21"/>
          <w:highlight w:val="none"/>
          <w14:textFill>
            <w14:solidFill>
              <w14:schemeClr w14:val="tx1"/>
            </w14:solidFill>
          </w14:textFill>
        </w:rPr>
      </w:pPr>
      <w:bookmarkStart w:id="27" w:name="_Toc35393625"/>
      <w:bookmarkStart w:id="28" w:name="_Toc28359084"/>
      <w:bookmarkStart w:id="29" w:name="_Toc35393794"/>
      <w:bookmarkStart w:id="30" w:name="_Toc28359007"/>
      <w:bookmarkStart w:id="31" w:name="_Toc25695"/>
      <w:r>
        <w:rPr>
          <w:rFonts w:hint="eastAsia" w:ascii="宋体" w:hAnsi="宋体" w:cs="宋体"/>
          <w:bCs/>
          <w:color w:val="000000" w:themeColor="text1"/>
          <w:sz w:val="21"/>
          <w:szCs w:val="21"/>
          <w:highlight w:val="none"/>
          <w14:textFill>
            <w14:solidFill>
              <w14:schemeClr w14:val="tx1"/>
            </w14:solidFill>
          </w14:textFill>
        </w:rPr>
        <w:t>五、公告期限</w:t>
      </w:r>
      <w:bookmarkEnd w:id="27"/>
      <w:bookmarkEnd w:id="28"/>
      <w:bookmarkEnd w:id="29"/>
      <w:bookmarkEnd w:id="30"/>
      <w:bookmarkEnd w:id="31"/>
    </w:p>
    <w:p>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自本公告发布之日起5个工作日。</w:t>
      </w:r>
    </w:p>
    <w:p>
      <w:pPr>
        <w:pStyle w:val="4"/>
        <w:spacing w:line="360" w:lineRule="auto"/>
        <w:jc w:val="left"/>
        <w:rPr>
          <w:rFonts w:ascii="宋体" w:hAnsi="宋体" w:cs="宋体"/>
          <w:bCs/>
          <w:color w:val="000000" w:themeColor="text1"/>
          <w:sz w:val="21"/>
          <w:szCs w:val="21"/>
          <w:highlight w:val="none"/>
          <w14:textFill>
            <w14:solidFill>
              <w14:schemeClr w14:val="tx1"/>
            </w14:solidFill>
          </w14:textFill>
        </w:rPr>
      </w:pPr>
      <w:bookmarkStart w:id="32" w:name="_Toc35393626"/>
      <w:bookmarkStart w:id="33" w:name="_Toc35393795"/>
      <w:bookmarkStart w:id="34" w:name="_Toc1519"/>
      <w:r>
        <w:rPr>
          <w:rFonts w:hint="eastAsia" w:ascii="宋体" w:hAnsi="宋体" w:cs="宋体"/>
          <w:bCs/>
          <w:color w:val="000000" w:themeColor="text1"/>
          <w:sz w:val="21"/>
          <w:szCs w:val="21"/>
          <w:highlight w:val="none"/>
          <w14:textFill>
            <w14:solidFill>
              <w14:schemeClr w14:val="tx1"/>
            </w14:solidFill>
          </w14:textFill>
        </w:rPr>
        <w:t>六、其他补充事宜</w:t>
      </w:r>
      <w:bookmarkEnd w:id="32"/>
      <w:bookmarkEnd w:id="33"/>
      <w:bookmarkEnd w:id="34"/>
    </w:p>
    <w:p>
      <w:pPr>
        <w:widowControl/>
        <w:spacing w:line="360" w:lineRule="auto"/>
        <w:ind w:firstLine="420" w:firstLineChars="200"/>
        <w:rPr>
          <w:rFonts w:ascii="宋体" w:hAnsi="宋体"/>
          <w:color w:val="000000" w:themeColor="text1"/>
          <w:szCs w:val="21"/>
          <w:highlight w:val="none"/>
          <w14:textFill>
            <w14:solidFill>
              <w14:schemeClr w14:val="tx1"/>
            </w14:solidFill>
          </w14:textFill>
        </w:rPr>
      </w:pPr>
      <w:bookmarkStart w:id="35" w:name="_Toc28359008"/>
      <w:bookmarkStart w:id="36" w:name="_Toc35393627"/>
      <w:bookmarkStart w:id="37" w:name="_Toc28359085"/>
      <w:bookmarkStart w:id="38" w:name="_Toc35393796"/>
      <w:r>
        <w:rPr>
          <w:rFonts w:hint="eastAsia" w:ascii="宋体" w:hAnsi="宋体"/>
          <w:color w:val="000000" w:themeColor="text1"/>
          <w:szCs w:val="21"/>
          <w:highlight w:val="none"/>
          <w14:textFill>
            <w14:solidFill>
              <w14:schemeClr w14:val="tx1"/>
            </w14:solidFill>
          </w14:textFill>
        </w:rPr>
        <w:t>1、招标文件公示/下载媒体</w:t>
      </w:r>
    </w:p>
    <w:p>
      <w:pPr>
        <w:widowControl/>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中国政府采购网（http://www.ccgp.gov.cn/)以及国顺招标网（http://www.guoshunzb.com/） </w:t>
      </w:r>
    </w:p>
    <w:p>
      <w:pPr>
        <w:widowControl/>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2、拟参加本项目的潜在投标人须在规定时间内按要求获取招标文件后方可参与本项目的投标。获取招标文件后而不参加投标的潜在投标人，请在开标日期三日前以书面形式通知招标代理机构。</w:t>
      </w:r>
    </w:p>
    <w:p>
      <w:pPr>
        <w:pStyle w:val="4"/>
        <w:spacing w:line="360" w:lineRule="auto"/>
        <w:jc w:val="left"/>
        <w:rPr>
          <w:rFonts w:ascii="宋体" w:hAnsi="宋体" w:cs="宋体"/>
          <w:bCs/>
          <w:color w:val="000000" w:themeColor="text1"/>
          <w:sz w:val="21"/>
          <w:szCs w:val="21"/>
          <w:highlight w:val="none"/>
          <w14:textFill>
            <w14:solidFill>
              <w14:schemeClr w14:val="tx1"/>
            </w14:solidFill>
          </w14:textFill>
        </w:rPr>
      </w:pPr>
      <w:bookmarkStart w:id="39" w:name="_Toc5139"/>
      <w:r>
        <w:rPr>
          <w:rFonts w:hint="eastAsia" w:ascii="宋体" w:hAnsi="宋体" w:cs="宋体"/>
          <w:bCs/>
          <w:color w:val="000000" w:themeColor="text1"/>
          <w:sz w:val="21"/>
          <w:szCs w:val="21"/>
          <w:highlight w:val="none"/>
          <w14:textFill>
            <w14:solidFill>
              <w14:schemeClr w14:val="tx1"/>
            </w14:solidFill>
          </w14:textFill>
        </w:rPr>
        <w:t>七、对本次招标提出询问，请按以下方式联系。</w:t>
      </w:r>
      <w:bookmarkEnd w:id="35"/>
      <w:bookmarkEnd w:id="36"/>
      <w:bookmarkEnd w:id="37"/>
      <w:bookmarkEnd w:id="38"/>
      <w:bookmarkEnd w:id="39"/>
    </w:p>
    <w:p>
      <w:pPr>
        <w:widowControl/>
        <w:spacing w:line="360" w:lineRule="auto"/>
        <w:outlineLvl w:val="2"/>
        <w:rPr>
          <w:rFonts w:ascii="宋体" w:hAnsi="宋体" w:cs="宋体"/>
          <w:b/>
          <w:bCs/>
          <w:color w:val="000000" w:themeColor="text1"/>
          <w:szCs w:val="21"/>
          <w:highlight w:val="none"/>
          <w14:textFill>
            <w14:solidFill>
              <w14:schemeClr w14:val="tx1"/>
            </w14:solidFill>
          </w14:textFill>
        </w:rPr>
      </w:pPr>
      <w:bookmarkStart w:id="40" w:name="_Toc31577"/>
      <w:r>
        <w:rPr>
          <w:rFonts w:hint="eastAsia" w:ascii="宋体" w:hAnsi="宋体" w:cs="宋体"/>
          <w:b/>
          <w:bCs/>
          <w:color w:val="000000" w:themeColor="text1"/>
          <w:szCs w:val="21"/>
          <w:highlight w:val="none"/>
          <w14:textFill>
            <w14:solidFill>
              <w14:schemeClr w14:val="tx1"/>
            </w14:solidFill>
          </w14:textFill>
        </w:rPr>
        <w:t>1.招标人信息</w:t>
      </w:r>
      <w:bookmarkEnd w:id="40"/>
    </w:p>
    <w:p>
      <w:pPr>
        <w:spacing w:line="360" w:lineRule="auto"/>
        <w:ind w:left="263" w:hanging="262" w:hangingChars="125"/>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w:t>
      </w:r>
      <w:r>
        <w:rPr>
          <w:rFonts w:ascii="宋体" w:hAnsi="宋体" w:cs="宋体"/>
          <w:color w:val="000000" w:themeColor="text1"/>
          <w:szCs w:val="21"/>
          <w:highlight w:val="none"/>
          <w14:textFill>
            <w14:solidFill>
              <w14:schemeClr w14:val="tx1"/>
            </w14:solidFill>
          </w14:textFill>
        </w:rPr>
        <w:t>东莞市长安镇厦岗社区居民委员会</w:t>
      </w:r>
      <w:r>
        <w:rPr>
          <w:rFonts w:hint="eastAsia" w:ascii="宋体" w:hAnsi="宋体" w:cs="宋体"/>
          <w:color w:val="000000" w:themeColor="text1"/>
          <w:szCs w:val="21"/>
          <w:highlight w:val="none"/>
          <w14:textFill>
            <w14:solidFill>
              <w14:schemeClr w14:val="tx1"/>
            </w14:solidFill>
          </w14:textFill>
        </w:rPr>
        <w:t xml:space="preserve">  </w:t>
      </w:r>
    </w:p>
    <w:p>
      <w:pPr>
        <w:spacing w:line="360" w:lineRule="auto"/>
        <w:ind w:left="263" w:hanging="262" w:hangingChars="125"/>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址：东莞市</w:t>
      </w:r>
      <w:r>
        <w:rPr>
          <w:rFonts w:ascii="宋体" w:hAnsi="宋体" w:cs="宋体"/>
          <w:color w:val="000000" w:themeColor="text1"/>
          <w:szCs w:val="21"/>
          <w:highlight w:val="none"/>
          <w14:textFill>
            <w14:solidFill>
              <w14:schemeClr w14:val="tx1"/>
            </w14:solidFill>
          </w14:textFill>
        </w:rPr>
        <w:t>长安镇厦岗社区</w:t>
      </w:r>
    </w:p>
    <w:p>
      <w:pPr>
        <w:spacing w:line="360" w:lineRule="auto"/>
        <w:ind w:left="263" w:hanging="262" w:hangingChars="125"/>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联系人：麦先生</w:t>
      </w:r>
    </w:p>
    <w:p>
      <w:pPr>
        <w:spacing w:line="360" w:lineRule="auto"/>
        <w:ind w:left="263" w:hanging="262" w:hangingChars="125"/>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联系方式：85541142</w:t>
      </w:r>
    </w:p>
    <w:p>
      <w:pPr>
        <w:spacing w:line="360" w:lineRule="auto"/>
        <w:ind w:left="264" w:hanging="264" w:hangingChars="125"/>
        <w:outlineLvl w:val="2"/>
        <w:rPr>
          <w:rFonts w:ascii="宋体" w:hAnsi="宋体" w:cs="宋体"/>
          <w:b/>
          <w:bCs/>
          <w:color w:val="000000" w:themeColor="text1"/>
          <w:szCs w:val="21"/>
          <w:highlight w:val="none"/>
          <w14:textFill>
            <w14:solidFill>
              <w14:schemeClr w14:val="tx1"/>
            </w14:solidFill>
          </w14:textFill>
        </w:rPr>
      </w:pPr>
      <w:bookmarkStart w:id="41" w:name="_Toc4580"/>
      <w:bookmarkStart w:id="42" w:name="_Toc28359086"/>
      <w:bookmarkStart w:id="43" w:name="_Toc28359009"/>
      <w:r>
        <w:rPr>
          <w:rFonts w:hint="eastAsia" w:ascii="宋体" w:hAnsi="宋体" w:cs="宋体"/>
          <w:b/>
          <w:bCs/>
          <w:color w:val="000000" w:themeColor="text1"/>
          <w:szCs w:val="21"/>
          <w:highlight w:val="none"/>
          <w14:textFill>
            <w14:solidFill>
              <w14:schemeClr w14:val="tx1"/>
            </w14:solidFill>
          </w14:textFill>
        </w:rPr>
        <w:t>2.招标代理机构信息</w:t>
      </w:r>
      <w:bookmarkEnd w:id="41"/>
      <w:bookmarkEnd w:id="42"/>
      <w:bookmarkEnd w:id="43"/>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称：国顺招标有限公司　　　　　　　　　　　　</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址：东莞市南城街道鸿福西路81号国际商会大厦13A层01室　　　　　　　　　　　　</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联系方式：</w:t>
      </w:r>
      <w:bookmarkStart w:id="44" w:name="_Toc28359010"/>
      <w:bookmarkStart w:id="45" w:name="_Toc28359087"/>
      <w:r>
        <w:rPr>
          <w:rFonts w:hint="eastAsia" w:ascii="宋体" w:hAnsi="宋体" w:cs="宋体"/>
          <w:color w:val="000000" w:themeColor="text1"/>
          <w:szCs w:val="21"/>
          <w:highlight w:val="none"/>
          <w14:textFill>
            <w14:solidFill>
              <w14:schemeClr w14:val="tx1"/>
            </w14:solidFill>
          </w14:textFill>
        </w:rPr>
        <w:t>0769-22980090　　　　　　　　　　　　</w:t>
      </w:r>
    </w:p>
    <w:p>
      <w:pPr>
        <w:spacing w:line="360" w:lineRule="auto"/>
        <w:outlineLvl w:val="2"/>
        <w:rPr>
          <w:rFonts w:ascii="宋体" w:hAnsi="宋体" w:cs="宋体"/>
          <w:b/>
          <w:bCs/>
          <w:color w:val="000000" w:themeColor="text1"/>
          <w:szCs w:val="21"/>
          <w:highlight w:val="none"/>
          <w14:textFill>
            <w14:solidFill>
              <w14:schemeClr w14:val="tx1"/>
            </w14:solidFill>
          </w14:textFill>
        </w:rPr>
      </w:pPr>
      <w:bookmarkStart w:id="46" w:name="_Toc9440"/>
      <w:r>
        <w:rPr>
          <w:rFonts w:hint="eastAsia" w:ascii="宋体" w:hAnsi="宋体" w:cs="宋体"/>
          <w:b/>
          <w:bCs/>
          <w:color w:val="000000" w:themeColor="text1"/>
          <w:szCs w:val="21"/>
          <w:highlight w:val="none"/>
          <w14:textFill>
            <w14:solidFill>
              <w14:schemeClr w14:val="tx1"/>
            </w14:solidFill>
          </w14:textFill>
        </w:rPr>
        <w:t>3.项目联系方式</w:t>
      </w:r>
      <w:bookmarkEnd w:id="44"/>
      <w:bookmarkEnd w:id="45"/>
      <w:bookmarkEnd w:id="46"/>
    </w:p>
    <w:p>
      <w:pPr>
        <w:pStyle w:val="10"/>
        <w:spacing w:line="360" w:lineRule="auto"/>
        <w:rPr>
          <w:rFonts w:hAnsi="宋体" w:eastAsia="宋体" w:cs="宋体"/>
          <w:color w:val="000000" w:themeColor="text1"/>
          <w:szCs w:val="21"/>
          <w:highlight w:val="none"/>
          <w14:textFill>
            <w14:solidFill>
              <w14:schemeClr w14:val="tx1"/>
            </w14:solidFill>
          </w14:textFill>
        </w:rPr>
      </w:pPr>
      <w:r>
        <w:rPr>
          <w:rFonts w:hint="eastAsia" w:hAnsi="宋体" w:eastAsia="宋体" w:cs="宋体"/>
          <w:color w:val="000000" w:themeColor="text1"/>
          <w:szCs w:val="21"/>
          <w:highlight w:val="none"/>
          <w14:textFill>
            <w14:solidFill>
              <w14:schemeClr w14:val="tx1"/>
            </w14:solidFill>
          </w14:textFill>
        </w:rPr>
        <w:t>项目联系人：陈锦涛</w:t>
      </w:r>
    </w:p>
    <w:p>
      <w:pPr>
        <w:pStyle w:val="10"/>
        <w:spacing w:line="360" w:lineRule="auto"/>
        <w:rPr>
          <w:rFonts w:hAnsi="宋体" w:eastAsia="宋体" w:cs="宋体"/>
          <w:color w:val="000000" w:themeColor="text1"/>
          <w:szCs w:val="21"/>
          <w:highlight w:val="none"/>
          <w14:textFill>
            <w14:solidFill>
              <w14:schemeClr w14:val="tx1"/>
            </w14:solidFill>
          </w14:textFill>
        </w:rPr>
      </w:pPr>
      <w:r>
        <w:rPr>
          <w:rFonts w:hint="eastAsia" w:hAnsi="宋体" w:eastAsia="宋体" w:cs="宋体"/>
          <w:color w:val="000000" w:themeColor="text1"/>
          <w:szCs w:val="21"/>
          <w:highlight w:val="none"/>
          <w14:textFill>
            <w14:solidFill>
              <w14:schemeClr w14:val="tx1"/>
            </w14:solidFill>
          </w14:textFill>
        </w:rPr>
        <w:t>电　    话：0769-22980090</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pPr>
        <w:pStyle w:val="3"/>
        <w:numPr>
          <w:ilvl w:val="0"/>
          <w:numId w:val="1"/>
        </w:numPr>
        <w:spacing w:line="360" w:lineRule="auto"/>
        <w:rPr>
          <w:color w:val="000000" w:themeColor="text1"/>
          <w:highlight w:val="none"/>
          <w14:textFill>
            <w14:solidFill>
              <w14:schemeClr w14:val="tx1"/>
            </w14:solidFill>
          </w14:textFill>
        </w:rPr>
      </w:pPr>
      <w:bookmarkStart w:id="47" w:name="_Toc29954"/>
      <w:r>
        <w:rPr>
          <w:rFonts w:hint="eastAsia"/>
          <w:color w:val="000000" w:themeColor="text1"/>
          <w:highlight w:val="none"/>
          <w14:textFill>
            <w14:solidFill>
              <w14:schemeClr w14:val="tx1"/>
            </w14:solidFill>
          </w14:textFill>
        </w:rPr>
        <w:t>投标人须知</w:t>
      </w:r>
      <w:bookmarkEnd w:id="47"/>
    </w:p>
    <w:p>
      <w:pPr>
        <w:pStyle w:val="4"/>
        <w:spacing w:line="360" w:lineRule="auto"/>
        <w:rPr>
          <w:color w:val="000000" w:themeColor="text1"/>
          <w:highlight w:val="none"/>
          <w:lang w:val="zh-CN"/>
          <w14:textFill>
            <w14:solidFill>
              <w14:schemeClr w14:val="tx1"/>
            </w14:solidFill>
          </w14:textFill>
        </w:rPr>
      </w:pPr>
      <w:bookmarkStart w:id="48" w:name="_Toc413402429"/>
      <w:bookmarkStart w:id="49" w:name="_Toc497983494"/>
      <w:bookmarkStart w:id="50" w:name="_Toc396137231"/>
      <w:bookmarkStart w:id="51" w:name="_Toc652"/>
      <w:r>
        <w:rPr>
          <w:rFonts w:hint="eastAsia"/>
          <w:color w:val="000000" w:themeColor="text1"/>
          <w:highlight w:val="none"/>
          <w:lang w:val="zh-CN"/>
          <w14:textFill>
            <w14:solidFill>
              <w14:schemeClr w14:val="tx1"/>
            </w14:solidFill>
          </w14:textFill>
        </w:rPr>
        <w:t>一、投标须知前附表</w:t>
      </w:r>
      <w:bookmarkEnd w:id="48"/>
      <w:bookmarkEnd w:id="49"/>
      <w:bookmarkEnd w:id="50"/>
      <w:bookmarkEnd w:id="51"/>
    </w:p>
    <w:tbl>
      <w:tblPr>
        <w:tblStyle w:val="17"/>
        <w:tblW w:w="906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06"/>
        <w:gridCol w:w="710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blHeader/>
          <w:jc w:val="center"/>
        </w:trPr>
        <w:tc>
          <w:tcPr>
            <w:tcW w:w="655" w:type="dxa"/>
            <w:tcBorders>
              <w:top w:val="doub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w:t>
            </w:r>
          </w:p>
        </w:tc>
        <w:tc>
          <w:tcPr>
            <w:tcW w:w="1306" w:type="dxa"/>
            <w:tcBorders>
              <w:top w:val="doub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内容</w:t>
            </w:r>
          </w:p>
        </w:tc>
        <w:tc>
          <w:tcPr>
            <w:tcW w:w="7103" w:type="dxa"/>
            <w:tcBorders>
              <w:top w:val="double" w:color="auto" w:sz="4" w:space="0"/>
              <w:left w:val="single" w:color="auto" w:sz="4" w:space="0"/>
              <w:bottom w:val="single" w:color="auto" w:sz="4" w:space="0"/>
              <w:right w:val="doub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资金来源</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社区集体资金。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踏勘现场</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招标人不集中组织，由投标人自行踏勘。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jc w:val="both"/>
              <w:rPr>
                <w:rFonts w:ascii="宋体" w:hAnsi="宋体" w:cs="宋体"/>
                <w:color w:val="000000" w:themeColor="text1"/>
                <w:szCs w:val="21"/>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投标人应准备一份“开标文件”、一份“投标文件电子文件”、一份正本和七份副本“投标文件”。在每一份投标文件上编上目录（目录内的页码必须与实际内容对应）、页次，装订成册（不允许使用活页夹），并要明确注明“正本”或“副本”，一旦正本和副本发现差异，以正本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投标报价</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投标报价超出本项目采购预算金额/最高限价的为无效标。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投标保证金（本项目不收取）</w:t>
            </w:r>
          </w:p>
        </w:tc>
        <w:tc>
          <w:tcPr>
            <w:tcW w:w="7103" w:type="dxa"/>
            <w:tcBorders>
              <w:top w:val="single" w:color="auto" w:sz="4" w:space="0"/>
              <w:left w:val="single" w:color="auto" w:sz="4" w:space="0"/>
              <w:bottom w:val="single" w:color="auto" w:sz="4" w:space="0"/>
              <w:right w:val="double" w:color="auto" w:sz="4" w:space="0"/>
            </w:tcBorders>
            <w:vAlign w:val="center"/>
          </w:tcPr>
          <w:p>
            <w:pPr>
              <w:numPr>
                <w:ilvl w:val="0"/>
                <w:numId w:val="3"/>
              </w:numPr>
              <w:spacing w:line="360" w:lineRule="auto"/>
              <w:jc w:val="both"/>
              <w:rPr>
                <w:b/>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投标保证金金额：/</w:t>
            </w:r>
          </w:p>
          <w:p>
            <w:pPr>
              <w:spacing w:line="300" w:lineRule="exact"/>
              <w:jc w:val="both"/>
              <w:rPr>
                <w:rFonts w:ascii="宋体" w:hAnsi="宋体"/>
                <w:color w:val="000000" w:themeColor="text1"/>
                <w:szCs w:val="2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ascii="宋体" w:hAnsi="宋体"/>
                <w:color w:val="000000" w:themeColor="text1"/>
                <w:szCs w:val="21"/>
                <w:highlight w:val="none"/>
                <w:lang w:val="zh-CN"/>
                <w14:textFill>
                  <w14:solidFill>
                    <w14:schemeClr w14:val="tx1"/>
                  </w14:solidFill>
                </w14:textFill>
              </w:rPr>
              <w:t>保证金递交账户：</w:t>
            </w:r>
          </w:p>
          <w:p>
            <w:pPr>
              <w:spacing w:line="300" w:lineRule="exact"/>
              <w:jc w:val="both"/>
              <w:rPr>
                <w:rFonts w:ascii="宋体" w:hAns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收款人：国顺招标有限公司</w:t>
            </w:r>
          </w:p>
          <w:p>
            <w:pPr>
              <w:spacing w:line="300" w:lineRule="exact"/>
              <w:jc w:val="both"/>
              <w:rPr>
                <w:rFonts w:ascii="宋体" w:hAns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开户行：广发银行股份有限公司东莞城区支行</w:t>
            </w:r>
          </w:p>
          <w:p>
            <w:pPr>
              <w:spacing w:line="300" w:lineRule="exact"/>
              <w:jc w:val="both"/>
              <w:rPr>
                <w:rFonts w:ascii="宋体" w:hAns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账  号：9550880226934600216</w:t>
            </w:r>
          </w:p>
          <w:p>
            <w:pPr>
              <w:pStyle w:val="5"/>
              <w:rPr>
                <w:color w:val="000000" w:themeColor="text1"/>
                <w:highlight w:val="none"/>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（各投标人在转账或电汇时须在用途栏上写明项目编号）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评标委员会</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评标委员会成员共</w:t>
            </w:r>
            <w:r>
              <w:rPr>
                <w:rFonts w:hint="eastAsia" w:ascii="宋体" w:hAnsi="宋体" w:cs="宋体"/>
                <w:b/>
                <w:color w:val="000000" w:themeColor="text1"/>
                <w:szCs w:val="21"/>
                <w:highlight w:val="none"/>
                <w:u w:val="single"/>
                <w14:textFill>
                  <w14:solidFill>
                    <w14:schemeClr w14:val="tx1"/>
                  </w14:solidFill>
                </w14:textFill>
              </w:rPr>
              <w:t xml:space="preserve"> 7 </w:t>
            </w:r>
            <w:r>
              <w:rPr>
                <w:rFonts w:hint="eastAsia" w:ascii="宋体" w:hAnsi="宋体" w:cs="宋体"/>
                <w:color w:val="000000" w:themeColor="text1"/>
                <w:szCs w:val="21"/>
                <w:highlight w:val="none"/>
                <w14:textFill>
                  <w14:solidFill>
                    <w14:schemeClr w14:val="tx1"/>
                  </w14:solidFill>
                </w14:textFill>
              </w:rPr>
              <w:t>人：</w:t>
            </w:r>
            <w:r>
              <w:rPr>
                <w:rFonts w:hint="eastAsia" w:ascii="宋体" w:hAnsi="宋体" w:cs="宋体"/>
                <w:color w:val="000000" w:themeColor="text1"/>
                <w:szCs w:val="21"/>
                <w:highlight w:val="none"/>
                <w:lang w:val="zh-CN"/>
                <w14:textFill>
                  <w14:solidFill>
                    <w14:schemeClr w14:val="tx1"/>
                  </w14:solidFill>
                </w14:textFill>
              </w:rPr>
              <w:t>其中招标人代表1名；技术、经济等方面的专家</w:t>
            </w:r>
            <w:r>
              <w:rPr>
                <w:rFonts w:hint="eastAsia" w:ascii="宋体" w:hAnsi="宋体" w:cs="宋体"/>
                <w:b/>
                <w:color w:val="000000" w:themeColor="text1"/>
                <w:szCs w:val="21"/>
                <w:highlight w:val="none"/>
                <w:u w:val="singl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人</w:t>
            </w:r>
            <w:r>
              <w:rPr>
                <w:rFonts w:hint="eastAsia" w:ascii="宋体" w:hAnsi="宋体" w:cs="宋体"/>
                <w:color w:val="000000" w:themeColor="text1"/>
                <w:szCs w:val="21"/>
                <w:highlight w:val="none"/>
                <w:lang w:val="zh-CN"/>
                <w14:textFill>
                  <w14:solidFill>
                    <w14:schemeClr w14:val="tx1"/>
                  </w14:solidFill>
                </w14:textFill>
              </w:rPr>
              <w:t>由</w:t>
            </w:r>
            <w:r>
              <w:rPr>
                <w:rFonts w:hint="eastAsia" w:ascii="宋体" w:hAnsi="宋体" w:cs="宋体"/>
                <w:color w:val="000000" w:themeColor="text1"/>
                <w:szCs w:val="21"/>
                <w:highlight w:val="none"/>
                <w14:textFill>
                  <w14:solidFill>
                    <w14:schemeClr w14:val="tx1"/>
                  </w14:solidFill>
                </w14:textFill>
              </w:rPr>
              <w:t>专家库中随机抽取确定。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评标方法</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综合评分法。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ind w:right="-38" w:rightChars="-18"/>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采购信息公告媒体</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中国政府采购网</w:t>
            </w:r>
            <w:r>
              <w:rPr>
                <w:rFonts w:hint="eastAsia" w:ascii="宋体" w:hAnsi="宋体" w:cs="宋体"/>
                <w:color w:val="000000" w:themeColor="text1"/>
                <w:szCs w:val="21"/>
                <w:highlight w:val="none"/>
                <w14:textFill>
                  <w14:solidFill>
                    <w14:schemeClr w14:val="tx1"/>
                  </w14:solidFill>
                </w14:textFill>
              </w:rPr>
              <w:t>及国顺招标网</w:t>
            </w:r>
            <w:r>
              <w:rPr>
                <w:rFonts w:hint="eastAsia" w:ascii="宋体" w:hAnsi="宋体" w:cs="宋体"/>
                <w:color w:val="000000" w:themeColor="text1"/>
                <w:szCs w:val="21"/>
                <w:highlight w:val="none"/>
                <w:lang w:val="zh-CN"/>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ind w:right="-38" w:rightChars="-18"/>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履约保证金</w:t>
            </w:r>
          </w:p>
          <w:p>
            <w:pPr>
              <w:spacing w:line="360" w:lineRule="auto"/>
              <w:ind w:right="-38" w:rightChars="-18"/>
              <w:jc w:val="center"/>
              <w:rPr>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（如有需要）</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履约保证金金额</w:t>
            </w: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合同金额的5%。</w:t>
            </w:r>
          </w:p>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说明：中标人应在签订合同前递交履约保证金，履约保证金可采用保证金（银行转账、电汇）方式，或采用履约保函方式。</w:t>
            </w:r>
          </w:p>
          <w:p>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履约保函为担保机构、国有或股份制商业银行支行以上级别银行开具的保函，保函金额为合同价的5%。如须合同生效后才可办理保函的，提交保函时间不得超过合同签订日（含）起15个工作日。保函有效期间截止时间为本合同期满后且经采购人验收合格后的30日。</w:t>
            </w:r>
          </w:p>
          <w:p>
            <w:pPr>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履约保证金在合同期满后或产品验收合格后，中标人向采购人提交退回履约保证金的申请、履约保证金汇款凭证复印件、采购合同、采购项目验收报告原件、中标通知书复印件，前往采购人办理履约保证金退还手续。</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10</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中标服务费</w:t>
            </w:r>
          </w:p>
        </w:tc>
        <w:tc>
          <w:tcPr>
            <w:tcW w:w="7103" w:type="dxa"/>
            <w:tcBorders>
              <w:top w:val="single" w:color="auto" w:sz="4" w:space="0"/>
              <w:left w:val="single" w:color="auto" w:sz="4" w:space="0"/>
              <w:bottom w:val="single" w:color="auto" w:sz="4" w:space="0"/>
              <w:right w:val="double" w:color="auto" w:sz="4" w:space="0"/>
            </w:tcBorders>
            <w:vAlign w:val="center"/>
          </w:tcPr>
          <w:p>
            <w:pPr>
              <w:numPr>
                <w:ilvl w:val="0"/>
                <w:numId w:val="4"/>
              </w:numPr>
              <w:spacing w:line="360" w:lineRule="auto"/>
              <w:rPr>
                <w:rFonts w:ascii="宋体" w:hAnsi="宋体" w:cs="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中标服务费参照国家计委[计价格[2002]1980号]文和国家发改委[发改价格[2011]534号]文及相关规定向中标单位收取，按差额定率累进法计算，以中标通知书中确定的中标总金额作为收费的计算参照；中标服务费最低收费标准为陆仟元整。</w:t>
            </w:r>
          </w:p>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（2）中标服务费以转账或现金的形式支付。招标代理机构服务费汇入账号：</w:t>
            </w:r>
          </w:p>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收 款 人：国顺招标有限公司</w:t>
            </w:r>
          </w:p>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开户银行：广发银行股份有限公司东莞南城支行</w:t>
            </w:r>
          </w:p>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账　　</w:t>
            </w:r>
            <w:r>
              <w:rPr>
                <w:rFonts w:hint="eastAsia" w:ascii="宋体" w:hAnsi="宋体" w:cs="宋体"/>
                <w:color w:val="000000" w:themeColor="text1"/>
                <w:highlight w:val="none"/>
                <w14:textFill>
                  <w14:solidFill>
                    <w14:schemeClr w14:val="tx1"/>
                  </w14:solidFill>
                </w14:textFill>
              </w:rPr>
              <w:t>号：9550882021051988873</w:t>
            </w:r>
          </w:p>
        </w:tc>
      </w:tr>
    </w:tbl>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4"/>
        <w:numPr>
          <w:ilvl w:val="0"/>
          <w:numId w:val="5"/>
        </w:numPr>
        <w:rPr>
          <w:color w:val="000000" w:themeColor="text1"/>
          <w:highlight w:val="none"/>
          <w14:textFill>
            <w14:solidFill>
              <w14:schemeClr w14:val="tx1"/>
            </w14:solidFill>
          </w14:textFill>
        </w:rPr>
      </w:pPr>
      <w:bookmarkStart w:id="52" w:name="_Toc21639"/>
      <w:r>
        <w:rPr>
          <w:rFonts w:hint="eastAsia"/>
          <w:color w:val="000000" w:themeColor="text1"/>
          <w:highlight w:val="none"/>
          <w14:textFill>
            <w14:solidFill>
              <w14:schemeClr w14:val="tx1"/>
            </w14:solidFill>
          </w14:textFill>
        </w:rPr>
        <w:t>投标须知</w:t>
      </w:r>
      <w:bookmarkEnd w:id="52"/>
    </w:p>
    <w:p>
      <w:pPr>
        <w:pStyle w:val="5"/>
        <w:rPr>
          <w:color w:val="000000" w:themeColor="text1"/>
          <w:highlight w:val="none"/>
          <w14:textFill>
            <w14:solidFill>
              <w14:schemeClr w14:val="tx1"/>
            </w14:solidFill>
          </w14:textFill>
        </w:rPr>
      </w:pPr>
      <w:bookmarkStart w:id="53" w:name="_Toc2381"/>
      <w:bookmarkStart w:id="54" w:name="_Toc20860"/>
      <w:r>
        <w:rPr>
          <w:rFonts w:hint="eastAsia"/>
          <w:color w:val="000000" w:themeColor="text1"/>
          <w:highlight w:val="none"/>
          <w14:textFill>
            <w14:solidFill>
              <w14:schemeClr w14:val="tx1"/>
            </w14:solidFill>
          </w14:textFill>
        </w:rPr>
        <w:t>1.适用范围</w:t>
      </w:r>
      <w:bookmarkEnd w:id="53"/>
      <w:bookmarkEnd w:id="54"/>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招标范围：见本招标文件《用户需求书》</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55" w:name="_Toc15203"/>
      <w:bookmarkStart w:id="56" w:name="_Toc6621"/>
      <w:r>
        <w:rPr>
          <w:rFonts w:hint="eastAsia"/>
          <w:color w:val="000000" w:themeColor="text1"/>
          <w:highlight w:val="none"/>
          <w14:textFill>
            <w14:solidFill>
              <w14:schemeClr w14:val="tx1"/>
            </w14:solidFill>
          </w14:textFill>
        </w:rPr>
        <w:t>2.</w:t>
      </w:r>
      <w:bookmarkStart w:id="57" w:name="_Toc298847174"/>
      <w:bookmarkStart w:id="58" w:name="_Toc1530"/>
      <w:bookmarkStart w:id="59" w:name="_Toc382049092"/>
      <w:bookmarkStart w:id="60" w:name="_Toc303084246"/>
      <w:r>
        <w:rPr>
          <w:rFonts w:hint="eastAsia"/>
          <w:color w:val="000000" w:themeColor="text1"/>
          <w:highlight w:val="none"/>
          <w14:textFill>
            <w14:solidFill>
              <w14:schemeClr w14:val="tx1"/>
            </w14:solidFill>
          </w14:textFill>
        </w:rPr>
        <w:t>定义</w:t>
      </w:r>
      <w:bookmarkEnd w:id="55"/>
      <w:bookmarkEnd w:id="56"/>
      <w:bookmarkEnd w:id="57"/>
      <w:bookmarkEnd w:id="58"/>
      <w:bookmarkEnd w:id="59"/>
      <w:bookmarkEnd w:id="60"/>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招标人：是指依法进行政府采购的国家机关、事业单位等团体组织。</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投标人：响应招标并且符合招标文件规定资格条件和参加投标竞争的法人、其他组织或者自然人。</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法人：法人是依法在国内进行注册并具有民事权利能力和民事行为能力，依法独立享有民事权利和承担民事义务的组织。</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中标人：指经评标委员会评审推荐、招标人确认的获得本项目中标资格的投标人。</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招标代理机构：国顺招标有限公司。</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评标委员会：评标委员会是依据《中华人民共和国政府采购法》及其实施条例、《政府采购货物和服务招标投标管理办法》等组建的专门负责本次招标其评标工作的临时性机构。</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合同：指由本次招标所产生的合同或合约文件。</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公章：公章是</w:t>
      </w:r>
      <w:r>
        <w:rPr>
          <w:rFonts w:hint="eastAsia" w:ascii="宋体" w:hAnsi="宋体" w:cs="宋体"/>
          <w:iCs/>
          <w:color w:val="000000" w:themeColor="text1"/>
          <w:szCs w:val="21"/>
          <w:highlight w:val="none"/>
          <w14:textFill>
            <w14:solidFill>
              <w14:schemeClr w14:val="tx1"/>
            </w14:solidFill>
          </w14:textFill>
        </w:rPr>
        <w:t>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s="宋体"/>
          <w:color w:val="000000" w:themeColor="text1"/>
          <w:szCs w:val="21"/>
          <w:highlight w:val="none"/>
          <w14:textFill>
            <w14:solidFill>
              <w14:schemeClr w14:val="tx1"/>
            </w14:solidFill>
          </w14:textFill>
        </w:rPr>
        <w:t>）</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时间</w:t>
      </w:r>
      <w:r>
        <w:rPr>
          <w:rFonts w:hint="eastAsia" w:ascii="宋体" w:hAnsi="宋体" w:cs="宋体"/>
          <w:iCs/>
          <w:color w:val="000000" w:themeColor="text1"/>
          <w:szCs w:val="21"/>
          <w:highlight w:val="none"/>
          <w14:textFill>
            <w14:solidFill>
              <w14:schemeClr w14:val="tx1"/>
            </w14:solidFill>
          </w14:textFill>
        </w:rPr>
        <w:t>：本文件规定按日计算期间的，开始当天不计入，从次日开始计算。期限的最后一日是国家法定节假日的，顺延到节假日后的次日为期限的最后一日。</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61" w:name="_Toc31531"/>
      <w:bookmarkStart w:id="62" w:name="_Toc1072"/>
      <w:r>
        <w:rPr>
          <w:rFonts w:hint="eastAsia"/>
          <w:color w:val="000000" w:themeColor="text1"/>
          <w:highlight w:val="none"/>
          <w14:textFill>
            <w14:solidFill>
              <w14:schemeClr w14:val="tx1"/>
            </w14:solidFill>
          </w14:textFill>
        </w:rPr>
        <w:t>3.货物和服务</w:t>
      </w:r>
      <w:bookmarkEnd w:id="61"/>
      <w:bookmarkEnd w:id="62"/>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i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14:textFill>
            <w14:solidFill>
              <w14:schemeClr w14:val="tx1"/>
            </w14:solidFill>
          </w14:textFill>
        </w:rPr>
        <w:t>货物是指投标人制造或组织符合招标文件要求的货物等。投标的货物必须是其合法生产、合法来源的符合国家有关标准要求的货物，并满足招标文件规定的规格、参数、质量、价格、有效期、售后服务等要求。</w:t>
      </w:r>
    </w:p>
    <w:p>
      <w:pPr>
        <w:numPr>
          <w:ilvl w:val="1"/>
          <w:numId w:val="6"/>
        </w:numPr>
        <w:spacing w:line="400" w:lineRule="exact"/>
        <w:jc w:val="both"/>
        <w:rPr>
          <w:rFonts w:ascii="宋体" w:hAnsi="宋体" w:cs="宋体"/>
          <w:i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14:textFill>
            <w14:solidFill>
              <w14:schemeClr w14:val="tx1"/>
            </w14:solidFill>
          </w14:textFill>
        </w:rPr>
        <w:t>服务是指除货物和工程以外的其他政府采购对象，且满足实质性采购需求。</w:t>
      </w:r>
    </w:p>
    <w:p>
      <w:pPr>
        <w:numPr>
          <w:ilvl w:val="1"/>
          <w:numId w:val="6"/>
        </w:numPr>
        <w:spacing w:line="400" w:lineRule="exact"/>
        <w:jc w:val="both"/>
        <w:rPr>
          <w:rFonts w:ascii="宋体" w:hAnsi="宋体" w:cs="宋体"/>
          <w:i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14:textFill>
            <w14:solidFill>
              <w14:schemeClr w14:val="tx1"/>
            </w14:solidFill>
          </w14:textFill>
        </w:rPr>
        <w:t>政府采购应当采购本国产品，确需采购进口产品（是指通过中国海关报关验放进入中国境内且产自关境外的产品）的，</w:t>
      </w:r>
      <w:bookmarkStart w:id="63" w:name="_Toc211763038"/>
      <w:r>
        <w:rPr>
          <w:rFonts w:hint="eastAsia" w:ascii="宋体" w:hAnsi="宋体" w:cs="宋体"/>
          <w:iCs/>
          <w:color w:val="000000" w:themeColor="text1"/>
          <w:szCs w:val="21"/>
          <w:highlight w:val="none"/>
          <w14:textFill>
            <w14:solidFill>
              <w14:schemeClr w14:val="tx1"/>
            </w14:solidFill>
          </w14:textFill>
        </w:rPr>
        <w:t>应当获得财政部门核准。依据《政府采购进口产品管理办法</w:t>
      </w:r>
      <w:bookmarkEnd w:id="63"/>
      <w:r>
        <w:rPr>
          <w:rFonts w:hint="eastAsia" w:ascii="宋体" w:hAnsi="宋体" w:cs="宋体"/>
          <w:iCs/>
          <w:color w:val="000000" w:themeColor="text1"/>
          <w:szCs w:val="21"/>
          <w:highlight w:val="none"/>
          <w14:textFill>
            <w14:solidFill>
              <w14:schemeClr w14:val="tx1"/>
            </w14:solidFill>
          </w14:textFill>
        </w:rPr>
        <w:t>》优先采购向我国企业转让技术、与我国企业签订消化吸收再创新方案的供应商的进口产品。</w:t>
      </w:r>
    </w:p>
    <w:p>
      <w:pPr>
        <w:numPr>
          <w:ilvl w:val="1"/>
          <w:numId w:val="6"/>
        </w:numPr>
        <w:spacing w:line="400" w:lineRule="exact"/>
        <w:jc w:val="both"/>
        <w:rPr>
          <w:rFonts w:ascii="宋体" w:hAnsi="宋体" w:cs="宋体"/>
          <w:i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14:textFill>
            <w14:solidFill>
              <w14:schemeClr w14:val="tx1"/>
            </w14:solidFill>
          </w14:textFill>
        </w:rPr>
        <w:t>若所投产品属于政府强制采购节能产品的，则投标人必须提供该产品国家强制性节能产品进行响应，并提供有效的中国节能产品认证证书，否则视为无效投标。</w:t>
      </w:r>
    </w:p>
    <w:p>
      <w:pPr>
        <w:numPr>
          <w:ilvl w:val="1"/>
          <w:numId w:val="6"/>
        </w:numPr>
        <w:spacing w:line="400" w:lineRule="exact"/>
        <w:jc w:val="both"/>
        <w:rPr>
          <w:rFonts w:ascii="宋体" w:hAnsi="宋体" w:cs="宋体"/>
          <w:i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14:textFill>
            <w14:solidFill>
              <w14:schemeClr w14:val="tx1"/>
            </w14:solidFill>
          </w14:textFill>
        </w:rPr>
        <w:t>投标人提供的所有服务，其质量、技术等特征必须符合国家、行业现行法律、法规的相关标准和《中华人民共和国政府采购法》的有关规定及用户需求。</w:t>
      </w:r>
    </w:p>
    <w:p>
      <w:pPr>
        <w:numPr>
          <w:ilvl w:val="1"/>
          <w:numId w:val="6"/>
        </w:numPr>
        <w:spacing w:line="400" w:lineRule="exact"/>
        <w:jc w:val="both"/>
        <w:rPr>
          <w:rFonts w:ascii="宋体" w:hAnsi="宋体" w:cs="宋体"/>
          <w:i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14:textFill>
            <w14:solidFill>
              <w14:schemeClr w14:val="tx1"/>
            </w14:solidFill>
          </w14:textFill>
        </w:rPr>
        <w:t>招标人有权拒绝接受任何不合格的服务，由此产生的费用及相关后果均由中标人自行承担；</w:t>
      </w:r>
    </w:p>
    <w:p>
      <w:pPr>
        <w:numPr>
          <w:ilvl w:val="1"/>
          <w:numId w:val="6"/>
        </w:numPr>
        <w:spacing w:line="400" w:lineRule="exact"/>
        <w:jc w:val="both"/>
        <w:rPr>
          <w:rFonts w:ascii="宋体" w:hAnsi="宋体" w:cs="宋体"/>
          <w:i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14:textFill>
            <w14:solidFill>
              <w14:schemeClr w14:val="tx1"/>
            </w14:solidFill>
          </w14:textFill>
        </w:rPr>
        <w:t>投标人应保证本项目的投标技术、服务或其任何一部分不会产生因第三方提出侵犯其专利权、商标权或其他知识产权而引起的法律和经济纠纷；如果投标人不拥有相应的知识产权，则须在报价中包括合法获取该知识产权的相关费用，并在投标文件中附有相关证明文件。如因第三方提出其专利权、商标权或其他知识产权的侵权之诉，则一切法律责任由投标人承担。</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64" w:name="_Toc16909"/>
      <w:bookmarkStart w:id="65" w:name="_Toc32610"/>
      <w:r>
        <w:rPr>
          <w:rFonts w:hint="eastAsia"/>
          <w:color w:val="000000" w:themeColor="text1"/>
          <w:highlight w:val="none"/>
          <w14:textFill>
            <w14:solidFill>
              <w14:schemeClr w14:val="tx1"/>
            </w14:solidFill>
          </w14:textFill>
        </w:rPr>
        <w:t>4.投标费用</w:t>
      </w:r>
      <w:bookmarkEnd w:id="64"/>
      <w:bookmarkEnd w:id="65"/>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投标人应承担所有与编写投标文件和参加投标有关的自身的所有费用，不论投标的结果如何，招标代理机构和招标人在任何情况下均无义务和责任承担这些费用。</w:t>
      </w:r>
    </w:p>
    <w:p>
      <w:pPr>
        <w:spacing w:line="400" w:lineRule="exact"/>
        <w:jc w:val="both"/>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66" w:name="_Toc24409"/>
      <w:bookmarkStart w:id="67" w:name="_Toc13316"/>
      <w:r>
        <w:rPr>
          <w:rFonts w:hint="eastAsia"/>
          <w:color w:val="000000" w:themeColor="text1"/>
          <w:highlight w:val="none"/>
          <w14:textFill>
            <w14:solidFill>
              <w14:schemeClr w14:val="tx1"/>
            </w14:solidFill>
          </w14:textFill>
        </w:rPr>
        <w:t>5.知识产权</w:t>
      </w:r>
      <w:bookmarkEnd w:id="66"/>
      <w:bookmarkEnd w:id="67"/>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招标人享有本项目实施过程中产生的知识成果及知识产权。</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投标人如欲在项目实施过程中采用自有知识成果，需在投标文件中声明，并提供相关知识产权证明文件。使用该知识成果后，投标人需提供开发接口和开发手册等技术文档。</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采购货物为计算机办公设备时，投标人提供的产品必须是预装正版操作系统软件的计算机产品。</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投标人提供的服务、货物经认定存在侵权行为的，其投标无效，并上报相关监管部门。</w:t>
      </w:r>
    </w:p>
    <w:p>
      <w:pPr>
        <w:spacing w:line="400" w:lineRule="exact"/>
        <w:ind w:left="567"/>
        <w:jc w:val="both"/>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68" w:name="_Toc25530"/>
      <w:bookmarkStart w:id="69" w:name="_Toc25911"/>
      <w:r>
        <w:rPr>
          <w:rFonts w:hint="eastAsia"/>
          <w:color w:val="000000" w:themeColor="text1"/>
          <w:highlight w:val="none"/>
          <w14:textFill>
            <w14:solidFill>
              <w14:schemeClr w14:val="tx1"/>
            </w14:solidFill>
          </w14:textFill>
        </w:rPr>
        <w:t>6.关于联合体投标</w:t>
      </w:r>
      <w:bookmarkEnd w:id="68"/>
      <w:bookmarkEnd w:id="69"/>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联合体投标必须满足以下条款。（除非投标邀请函中另有规定不接受联合体投标）</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对接受联合体投标的项目：两个以上的自然人、法人或者其他组织可以组成一个联合体，以一个投标人的身份共同参加政府采购。</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以联合体形式参与项目的供应商在领购招标文件时，应提供所有联合体组成成员的营业执照复印件，并加盖各联合体组成成员的公章。</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联合体各方均应当符合《政府采购法》第二十二条规定的条件。</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招标人根据采购项目的特殊要求规定投标人特定条件的，联合体各方中至少应当有一方符合招标人规定的特定条件。</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供应商为联合体的，可以由联合体中的任意一方交纳保证金，其交纳的保证金对联合体各方均具有约束力。</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联合体中有同类资质的投标人按照联合体分工承担相同工作的，应当按照资质等级较低的供应商确定资质等级。</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除联合体协议明确授权盖章单位外，联合体投标时投标文件中所有要求盖章的地方均须加盖联合体所有组成成员的公章，否则该处盖章无效。</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联合体进行评分时，联合体各方的资质荣誉、人员、业绩等证明材料均对本项目有效。</w:t>
      </w:r>
    </w:p>
    <w:p>
      <w:pPr>
        <w:spacing w:line="400" w:lineRule="exact"/>
        <w:ind w:left="567"/>
        <w:jc w:val="both"/>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70" w:name="_Toc27528"/>
      <w:bookmarkStart w:id="71" w:name="_Toc24312"/>
      <w:r>
        <w:rPr>
          <w:rFonts w:hint="eastAsia"/>
          <w:color w:val="000000" w:themeColor="text1"/>
          <w:highlight w:val="none"/>
          <w14:textFill>
            <w14:solidFill>
              <w14:schemeClr w14:val="tx1"/>
            </w14:solidFill>
          </w14:textFill>
        </w:rPr>
        <w:t>7.关于分支机构投标</w:t>
      </w:r>
      <w:bookmarkEnd w:id="70"/>
      <w:bookmarkEnd w:id="71"/>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bookmarkStart w:id="72" w:name="EB389f116341dd4693875bc7987e7327f3"/>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72"/>
    </w:p>
    <w:p>
      <w:pPr>
        <w:spacing w:line="360" w:lineRule="auto"/>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73" w:name="_Toc15490"/>
      <w:bookmarkStart w:id="74" w:name="_Toc13645"/>
      <w:r>
        <w:rPr>
          <w:rFonts w:hint="eastAsia"/>
          <w:color w:val="000000" w:themeColor="text1"/>
          <w:highlight w:val="none"/>
          <w14:textFill>
            <w14:solidFill>
              <w14:schemeClr w14:val="tx1"/>
            </w14:solidFill>
          </w14:textFill>
        </w:rPr>
        <w:t>8.招标文件的组成</w:t>
      </w:r>
      <w:bookmarkEnd w:id="73"/>
      <w:bookmarkEnd w:id="74"/>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（1）投标邀请；</w:t>
      </w:r>
    </w:p>
    <w:p>
      <w:p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（2）投标人须知；</w:t>
      </w:r>
    </w:p>
    <w:p>
      <w:p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（3）用户需求书；</w:t>
      </w:r>
    </w:p>
    <w:p>
      <w:p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（4）详细评审；</w:t>
      </w:r>
    </w:p>
    <w:p>
      <w:p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（5）合同文本参考格式；</w:t>
      </w:r>
    </w:p>
    <w:p>
      <w:p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（6）投标文件格式；</w:t>
      </w:r>
    </w:p>
    <w:p>
      <w:p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（7）开标文件格式；</w:t>
      </w:r>
    </w:p>
    <w:p>
      <w:p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（8）其它文件格式（如有需要）。</w:t>
      </w:r>
    </w:p>
    <w:p>
      <w:pPr>
        <w:widowControl/>
        <w:adjustRightInd w:val="0"/>
        <w:snapToGrid w:val="0"/>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75" w:name="_Toc7789"/>
      <w:bookmarkStart w:id="76" w:name="_Toc644"/>
      <w:r>
        <w:rPr>
          <w:rFonts w:hint="eastAsia"/>
          <w:color w:val="000000" w:themeColor="text1"/>
          <w:highlight w:val="none"/>
          <w14:textFill>
            <w14:solidFill>
              <w14:schemeClr w14:val="tx1"/>
            </w14:solidFill>
          </w14:textFill>
        </w:rPr>
        <w:t>9.招标文件的澄清或修改</w:t>
      </w:r>
      <w:bookmarkEnd w:id="75"/>
      <w:bookmarkEnd w:id="76"/>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或者招标代理机构可以对已发出的招标文件、资格预审文件、投标邀请书进行必要的澄清或者修改。澄清或者修改的内容为招标文件、资格预审文件、投标邀请书的组成部分，具有约束作用。当招标文件的澄清或修改等在同一内容的表述上不一致时，以最后发出的书面文件及公告为准。</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或者招标代理机构可以对已发出的招标文件进行必要的澄清或者修改。澄清或者修改的内容可能影响投标文件编制的，招标人或者招标代理机构应当在投标截止时间至少15日前，以书面形式通知所有获取招标文件的潜在投标人；不足15日的，招标人或者招标代理机构应当顺延提交投标文件的截止时间。</w:t>
      </w:r>
    </w:p>
    <w:p>
      <w:pPr>
        <w:pStyle w:val="2"/>
        <w:ind w:left="0"/>
        <w:rPr>
          <w:color w:val="000000" w:themeColor="text1"/>
          <w:sz w:val="2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77" w:name="_Toc708"/>
      <w:bookmarkStart w:id="78" w:name="_Toc6458"/>
      <w:r>
        <w:rPr>
          <w:rFonts w:hint="eastAsia"/>
          <w:color w:val="000000" w:themeColor="text1"/>
          <w:highlight w:val="none"/>
          <w14:textFill>
            <w14:solidFill>
              <w14:schemeClr w14:val="tx1"/>
            </w14:solidFill>
          </w14:textFill>
        </w:rPr>
        <w:t>10.投标文件的语言及度量衡单位</w:t>
      </w:r>
      <w:bookmarkEnd w:id="77"/>
      <w:bookmarkEnd w:id="78"/>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提交的投标文件以及投标人与招标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除非招标文件在技术规格中另有规定，投标人在投标文件中及其与招标代理机构和招标人所有往来文件中的所有计量单位均应采用中华人民共和国法定计量单位。</w:t>
      </w:r>
    </w:p>
    <w:p>
      <w:pPr>
        <w:spacing w:line="400" w:lineRule="exact"/>
        <w:ind w:left="567"/>
        <w:jc w:val="both"/>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79" w:name="_Toc8246"/>
      <w:bookmarkStart w:id="80" w:name="_Toc307934854"/>
      <w:bookmarkStart w:id="81" w:name="_Toc382049103"/>
      <w:bookmarkStart w:id="82" w:name="_Toc303084256"/>
      <w:bookmarkStart w:id="83" w:name="_Toc28866"/>
      <w:bookmarkStart w:id="84" w:name="_Toc29420"/>
      <w:r>
        <w:rPr>
          <w:rFonts w:hint="eastAsia"/>
          <w:color w:val="000000" w:themeColor="text1"/>
          <w:highlight w:val="none"/>
          <w14:textFill>
            <w14:solidFill>
              <w14:schemeClr w14:val="tx1"/>
            </w14:solidFill>
          </w14:textFill>
        </w:rPr>
        <w:t>11.投标文件的组成</w:t>
      </w:r>
      <w:bookmarkEnd w:id="79"/>
      <w:bookmarkEnd w:id="80"/>
      <w:bookmarkEnd w:id="81"/>
      <w:bookmarkEnd w:id="82"/>
      <w:bookmarkEnd w:id="83"/>
      <w:bookmarkEnd w:id="84"/>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包括但不限于招标文件附件格式中要求提供的表格。</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上述文件须按顺序装订成册，并编制投标文件目录。除上述文件资料外投标人还须按投标人须知的要求制作“开标文件”。“开标文件”作为投标文件的一部分，须单独密封。</w:t>
      </w:r>
    </w:p>
    <w:p>
      <w:pPr>
        <w:widowControl/>
        <w:adjustRightInd w:val="0"/>
        <w:snapToGrid w:val="0"/>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85" w:name="_Toc5980"/>
      <w:bookmarkStart w:id="86" w:name="_Toc11356"/>
      <w:r>
        <w:rPr>
          <w:rFonts w:hint="eastAsia"/>
          <w:color w:val="000000" w:themeColor="text1"/>
          <w:highlight w:val="none"/>
          <w14:textFill>
            <w14:solidFill>
              <w14:schemeClr w14:val="tx1"/>
            </w14:solidFill>
          </w14:textFill>
        </w:rPr>
        <w:t>12.投标文件编制</w:t>
      </w:r>
      <w:bookmarkEnd w:id="85"/>
      <w:bookmarkEnd w:id="86"/>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bookmarkStart w:id="87" w:name="_Toc303084258"/>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投标人应按招标文件的规定以及“第六篇 投标文件格式”要求的内容和格式完整地填写（表格可以按同样格式扩展）和提供资料，投标人必须对投标文件所提供的全部材料的真实性承担法律责任，并无条件接受招标人或招标代理机构及政府采购监督管理部门等对其中任何资料进行核实的要求。</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因投标文件编制存在歧义对投标人产生负面影响的，投标人自行承担后果。</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投标单位名称与投标人公章不一致，若投标单位名称已进行变更，应在投标文件中提供相应的证明材料并加盖公章，否则投标文件无效。</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有下列情形之一的，视为投标人串通投标，其投标无效：</w:t>
      </w:r>
    </w:p>
    <w:bookmarkEnd w:id="87"/>
    <w:p>
      <w:pPr>
        <w:spacing w:line="400" w:lineRule="exact"/>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（一）不同投标人的投标文件由同一单位或者个人编制；</w:t>
      </w:r>
    </w:p>
    <w:p>
      <w:pPr>
        <w:spacing w:line="400" w:lineRule="exact"/>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（二）不同投标人委托同一单位或者个人办理投标事宜；</w:t>
      </w:r>
    </w:p>
    <w:p>
      <w:pPr>
        <w:spacing w:line="400" w:lineRule="exact"/>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（三）不同投标人的投标文件载明的项目管理成员或者联系人员为同一人；</w:t>
      </w:r>
    </w:p>
    <w:p>
      <w:pPr>
        <w:spacing w:line="400" w:lineRule="exact"/>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（四）不同投标人的投标文件异常一致或者投标报价呈规律性差异；</w:t>
      </w:r>
    </w:p>
    <w:p>
      <w:pPr>
        <w:spacing w:line="400" w:lineRule="exact"/>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（五）不同投标人的投标文件相互混装；</w:t>
      </w:r>
    </w:p>
    <w:p>
      <w:pPr>
        <w:spacing w:line="400" w:lineRule="exact"/>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（六）不同投标人的投标保证金从同一单位或者个人的账户转出。</w:t>
      </w:r>
    </w:p>
    <w:p>
      <w:p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p>
    <w:p>
      <w:pPr>
        <w:pStyle w:val="5"/>
        <w:rPr>
          <w:color w:val="000000" w:themeColor="text1"/>
          <w:highlight w:val="none"/>
          <w14:textFill>
            <w14:solidFill>
              <w14:schemeClr w14:val="tx1"/>
            </w14:solidFill>
          </w14:textFill>
        </w:rPr>
      </w:pPr>
      <w:bookmarkStart w:id="88" w:name="_Toc28034"/>
      <w:bookmarkStart w:id="89" w:name="_Toc1355"/>
      <w:r>
        <w:rPr>
          <w:rFonts w:hint="eastAsia"/>
          <w:color w:val="000000" w:themeColor="text1"/>
          <w:highlight w:val="none"/>
          <w14:textFill>
            <w14:solidFill>
              <w14:schemeClr w14:val="tx1"/>
            </w14:solidFill>
          </w14:textFill>
        </w:rPr>
        <w:t>13.投标报价说明</w:t>
      </w:r>
      <w:bookmarkEnd w:id="88"/>
      <w:bookmarkEnd w:id="89"/>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本次招标，投标人应按用户需求中的要求进行投标报价，少报无效。</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投标人所提供的货物或服务均以人民币（或相关费率）报价。</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投标报价应包含完成本次招标所有服务内容的费用，包含各种税务费及合同实施过程中的全部费用和售后服务费等。</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中标后开出的所有发票必须与中标人的名称一致。</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90" w:name="_Toc6729"/>
      <w:bookmarkStart w:id="91" w:name="_Toc34"/>
      <w:r>
        <w:rPr>
          <w:rFonts w:hint="eastAsia"/>
          <w:color w:val="000000" w:themeColor="text1"/>
          <w:highlight w:val="none"/>
          <w14:textFill>
            <w14:solidFill>
              <w14:schemeClr w14:val="tx1"/>
            </w14:solidFill>
          </w14:textFill>
        </w:rPr>
        <w:t>14.投标人所提供的服务或货物的证明文件</w:t>
      </w:r>
      <w:bookmarkEnd w:id="90"/>
      <w:bookmarkEnd w:id="91"/>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bookmarkStart w:id="92" w:name="_Hlt107925668"/>
      <w:bookmarkEnd w:id="92"/>
      <w:bookmarkStart w:id="93" w:name="_Hlt107925638"/>
      <w:bookmarkEnd w:id="93"/>
      <w:r>
        <w:rPr>
          <w:rFonts w:hint="eastAsia" w:ascii="宋体" w:hAnsi="宋体" w:cs="宋体"/>
          <w:color w:val="000000" w:themeColor="text1"/>
          <w:szCs w:val="21"/>
          <w:highlight w:val="none"/>
          <w14:textFill>
            <w14:solidFill>
              <w14:schemeClr w14:val="tx1"/>
            </w14:solidFill>
          </w14:textFill>
        </w:rPr>
        <w:t>证明服务或货物的文件，它可以是文字资料、图纸和数据包括但不限于：服务主要内容、标准、质量、人员资质、计划安排、报告审核等的详细说明；对招标文件第三篇分《用户需求书》中规定的要求进行详细应答和说明。</w:t>
      </w:r>
    </w:p>
    <w:p>
      <w:pPr>
        <w:pStyle w:val="22"/>
        <w:spacing w:line="400" w:lineRule="exact"/>
        <w:ind w:left="425" w:firstLine="0" w:firstLineChars="0"/>
        <w:jc w:val="both"/>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94" w:name="_Toc10940"/>
      <w:bookmarkStart w:id="95" w:name="_Toc29725"/>
      <w:r>
        <w:rPr>
          <w:rFonts w:hint="eastAsia"/>
          <w:color w:val="000000" w:themeColor="text1"/>
          <w:highlight w:val="none"/>
          <w14:textFill>
            <w14:solidFill>
              <w14:schemeClr w14:val="tx1"/>
            </w14:solidFill>
          </w14:textFill>
        </w:rPr>
        <w:t>15.★投标有效期</w:t>
      </w:r>
      <w:bookmarkEnd w:id="94"/>
      <w:bookmarkEnd w:id="95"/>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投标文件应根据投标人须知的规定在投标截止日后的90天内保持有效。</w:t>
      </w:r>
    </w:p>
    <w:p>
      <w:pPr>
        <w:spacing w:line="400" w:lineRule="exact"/>
        <w:ind w:left="567"/>
        <w:jc w:val="both"/>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96" w:name="_Toc5483"/>
      <w:bookmarkStart w:id="97" w:name="_Toc15529"/>
      <w:r>
        <w:rPr>
          <w:rFonts w:hint="eastAsia"/>
          <w:color w:val="000000" w:themeColor="text1"/>
          <w:highlight w:val="none"/>
          <w14:textFill>
            <w14:solidFill>
              <w14:schemeClr w14:val="tx1"/>
            </w14:solidFill>
          </w14:textFill>
        </w:rPr>
        <w:t>16.★投标保证金</w:t>
      </w:r>
      <w:bookmarkEnd w:id="96"/>
      <w:bookmarkEnd w:id="97"/>
      <w:r>
        <w:rPr>
          <w:rFonts w:hint="eastAsia"/>
          <w:color w:val="000000" w:themeColor="text1"/>
          <w:highlight w:val="none"/>
          <w14:textFill>
            <w14:solidFill>
              <w14:schemeClr w14:val="tx1"/>
            </w14:solidFill>
          </w14:textFill>
        </w:rPr>
        <w:t>（本项目不收取）</w:t>
      </w:r>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bookmarkStart w:id="98" w:name="_Ref179619405"/>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投标人应按投标资料表中规定数额及法律规定的时间按相应包号保证金金额要求一次性提交投标保证金，以多次汇入达到招标文件要求金额的投标保证金无效。</w:t>
      </w:r>
      <w:bookmarkEnd w:id="98"/>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投标保证金金额与招标文件要求金额保持一致（详见投标资料表）。</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投标保证金有效期与投标有效期保持一致。</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投标人应一次性缴交招标文件规定数额的投标保证金，投标人与交款人名称必须一致（分公司投标的，其保证金可由上级公司缴纳并提供加盖公章的相关证明），非投标人缴纳的投标保证金无效。</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采用银行转账、电汇方式提交的,付至招标代理机构指定账户上。 （详见投标人资料表)</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担保。是指由担保机构为供应商交纳投标保证金向招标人或者招标代理机构提供的保证担保。供应商在投标有效期内撤回投标文件或中标后不签订政府采购合同的，由担保机构按照担保函的约定履行支付投标保证金的责任。（投标担保格式详见附件《政府采购投标担保函》）</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采用《政府采购投标担保函》提交的，应符合下列规定：</w:t>
      </w:r>
    </w:p>
    <w:p>
      <w:pPr>
        <w:spacing w:line="400" w:lineRule="exact"/>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①投标担保函有效期应与投标有效期一致；</w:t>
      </w:r>
    </w:p>
    <w:p>
      <w:pPr>
        <w:spacing w:line="400" w:lineRule="exact"/>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②投标担保金额应与本项目的投标保证金一致；</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保证金不接受现金方式（包括以存现方式）提交，未按要求提交投标保证金的将导致废标。</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未中标的投标人的保证金在采购结果公示发出后5个工作日内退还，中标投标人的保证金在采购合同签订后5个工作日内退还。</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为方便退还未中标的投保人的保证金，投标人应制作《投标保证金》随开标文件一并递交。</w:t>
      </w:r>
    </w:p>
    <w:p>
      <w:pPr>
        <w:numPr>
          <w:ilvl w:val="1"/>
          <w:numId w:val="6"/>
        </w:numPr>
        <w:spacing w:line="400" w:lineRule="exact"/>
        <w:jc w:val="both"/>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有下列情形之一的，投标保证金将不予退还：</w:t>
      </w:r>
    </w:p>
    <w:p>
      <w:pPr>
        <w:spacing w:line="400" w:lineRule="exact"/>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①投标人在招标文件中规定的投标有效期内撤销其投标。</w:t>
      </w:r>
    </w:p>
    <w:p>
      <w:pPr>
        <w:spacing w:line="400" w:lineRule="exact"/>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②法律法规规定不予退还投标保证金的其它情形。</w:t>
      </w:r>
    </w:p>
    <w:p>
      <w:pPr>
        <w:pStyle w:val="2"/>
        <w:rPr>
          <w:color w:val="000000" w:themeColor="text1"/>
          <w:sz w:val="2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99" w:name="_Toc303084264"/>
      <w:bookmarkStart w:id="100" w:name="_Toc382049111"/>
      <w:bookmarkStart w:id="101" w:name="_Toc24997"/>
      <w:bookmarkStart w:id="102" w:name="_Toc16286"/>
      <w:bookmarkStart w:id="103" w:name="_Toc16724"/>
      <w:r>
        <w:rPr>
          <w:rFonts w:hint="eastAsia"/>
          <w:color w:val="000000" w:themeColor="text1"/>
          <w:highlight w:val="none"/>
          <w14:textFill>
            <w14:solidFill>
              <w14:schemeClr w14:val="tx1"/>
            </w14:solidFill>
          </w14:textFill>
        </w:rPr>
        <w:t>17.投标文件的装订，签署，密封和标记</w:t>
      </w:r>
      <w:bookmarkEnd w:id="99"/>
      <w:bookmarkEnd w:id="100"/>
      <w:bookmarkEnd w:id="101"/>
      <w:bookmarkEnd w:id="102"/>
      <w:bookmarkEnd w:id="103"/>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为方便评标委员会对投标文件进行评审，建议投标人对投标文件进行装订，对未经装订的投标文件可能发生的文件缺损，由此产生的后果由投标人承担。</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联合体投标文件的【正本】及【副本】的封面及骑缝均须加盖所有联合体组成成员的公章。（文件每页盖章等同于盖骑缝章）如联合体协议中有明确分工说明除外。</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议投标人将投标文件正本和所有的副本分开密封装在单独的信封中，且在信封上标明“正本”“副本”字样。然后再将所有信封封装在一个外层信封中（“开标文件”除外）。电子文件与正本密封包装，随正本提交。</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电子文件内容包括：由投标人自行制作的与正本文件一致的所有文件。电子文件由光盘或U盘储存（须含盖章版PDF投标文件和WORD版投标文件各一版，文字采用WORD文档，计算表格采用 EXCEL文档），并注明投标人名称及项目名称、采购项目编号，随投标文件一同密封提交。</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除投标人对错误处修改外，全套投标文件应无涂改或行间插字和增删。如有修改，修改处须由法定代表人或其正式授权代表在旁边签字及盖章。</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应将开标一览表、法人代表证明书、法定代表人授权书（法人投标无需提交授权书）、投标保证金（加盖公章）和投标保证金支付凭证银行汇款底单（复印件加盖公章）单独密封提交，并在信封上标明“开标文件”字样。“开标文件”份数及签章等要求与投标文件正本相同（1份）。若投标人采用担保函形式的，则无需密封在“开标文件”内，投标人需在开标时间截止前将原件提交至代理机构。</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供应商未提交“开标文件”或“开标文件”中无“开标一览表”的，报价以投标文件正本为准。</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所有的信封均应注明： </w:t>
      </w:r>
    </w:p>
    <w:p>
      <w:pPr>
        <w:numPr>
          <w:ilvl w:val="0"/>
          <w:numId w:val="7"/>
        </w:numPr>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收件人：国顺招标有限公司</w:t>
      </w:r>
    </w:p>
    <w:p>
      <w:pPr>
        <w:numPr>
          <w:ilvl w:val="0"/>
          <w:numId w:val="7"/>
        </w:numPr>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投标单位名称：</w:t>
      </w:r>
    </w:p>
    <w:p>
      <w:pPr>
        <w:numPr>
          <w:ilvl w:val="0"/>
          <w:numId w:val="7"/>
        </w:numPr>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w:t>
      </w:r>
    </w:p>
    <w:p>
      <w:pPr>
        <w:numPr>
          <w:ilvl w:val="0"/>
          <w:numId w:val="7"/>
        </w:numPr>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采购项目编号：</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招标代理机构将拒绝接收出现以下情况的投标文件：</w:t>
      </w:r>
    </w:p>
    <w:p>
      <w:pPr>
        <w:numPr>
          <w:ilvl w:val="0"/>
          <w:numId w:val="8"/>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采用透明包装进行密封或未进行密封的投标文件；</w:t>
      </w:r>
    </w:p>
    <w:p>
      <w:pPr>
        <w:numPr>
          <w:ilvl w:val="0"/>
          <w:numId w:val="8"/>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密封破损导致投标文件内容直接或间接泄露的投标文件；</w:t>
      </w:r>
    </w:p>
    <w:p>
      <w:pPr>
        <w:numPr>
          <w:ilvl w:val="0"/>
          <w:numId w:val="8"/>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密封信封上项目编号错误的投标文件；</w:t>
      </w:r>
    </w:p>
    <w:p>
      <w:pPr>
        <w:numPr>
          <w:ilvl w:val="0"/>
          <w:numId w:val="8"/>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未在规定时间内领购文件的投标人的投标文件；</w:t>
      </w:r>
    </w:p>
    <w:p>
      <w:pPr>
        <w:numPr>
          <w:ilvl w:val="0"/>
          <w:numId w:val="8"/>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项目名称出现严重歧义或未标注所投项目信息导致无法分辨所投项目为本项目的投标文件；</w:t>
      </w:r>
    </w:p>
    <w:p>
      <w:pPr>
        <w:numPr>
          <w:ilvl w:val="0"/>
          <w:numId w:val="8"/>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采用传真、电传的投标文件；</w:t>
      </w:r>
    </w:p>
    <w:p>
      <w:pPr>
        <w:numPr>
          <w:ilvl w:val="0"/>
          <w:numId w:val="8"/>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招标文件规定的其他情形。</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招标代理机构对所有投标文件的误投或提前启封概不负责。</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投标人同时参加几个包投标时必须按招标文件要求按包号分别制作投标文件，分别密封递交。</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递交的投标文件中所提供的通讯方式应保持联络畅通，因联系不上而导致的所有后果由投标人自行承担。</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04" w:name="_Toc17636"/>
      <w:bookmarkStart w:id="105" w:name="_Toc30088"/>
      <w:r>
        <w:rPr>
          <w:rFonts w:hint="eastAsia"/>
          <w:color w:val="000000" w:themeColor="text1"/>
          <w:highlight w:val="none"/>
          <w14:textFill>
            <w14:solidFill>
              <w14:schemeClr w14:val="tx1"/>
            </w14:solidFill>
          </w14:textFill>
        </w:rPr>
        <w:t>18.迟交的投标文件</w:t>
      </w:r>
      <w:bookmarkEnd w:id="104"/>
      <w:bookmarkEnd w:id="105"/>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投标人在投标截止时间之后提交的投标文件，招标代理机构将拒绝接收。</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有违反其他法律规定情形的，招标代理机构将拒绝接收。</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06" w:name="_Toc24269"/>
      <w:bookmarkStart w:id="107" w:name="_Toc15912"/>
      <w:r>
        <w:rPr>
          <w:rFonts w:hint="eastAsia"/>
          <w:color w:val="000000" w:themeColor="text1"/>
          <w:highlight w:val="none"/>
          <w14:textFill>
            <w14:solidFill>
              <w14:schemeClr w14:val="tx1"/>
            </w14:solidFill>
          </w14:textFill>
        </w:rPr>
        <w:t>19.投标样品、投标演示（如有要求）</w:t>
      </w:r>
      <w:bookmarkEnd w:id="106"/>
      <w:bookmarkEnd w:id="107"/>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如有必要，招标代理机构可以要求投标人提供本服务项目涉及的部分设备或产品样品，投标人在投标时应提交《样品清单》。</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为方便评标，投标人在提供样品时，应在所提供的样品表面显著位置标注投标人的名称、包号、样品名称、招标文件规定的服务或货物编号。</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样品作为投标文件的一部分，除非另有说明，中标单位的样品将作为履约验收标准的参考不再退还，未中标单位须在中标公告发布后五个工作日内，前往招标代理机构领取投标样品，逾期不领，招标代理机构将不承担样品的保管责任，由此引发的样品丢失、毁损，招标代理机构不予负责。</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有要求投标人视频演示环节，投标人将需要演示的内容以视频录制展示的形式完成，视频用U盘储存，并作为投标文件的组成部分，标注投标人的名称、项目名称、项目编号、项目包号加以盖章并密封提交。演示全程由招标人或采购单位操作完成。</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如有要求投标人现场演示环节，演示现场提供投影仪及电脑，所需的网络环境及设备全部由投标人自行解决。除非另有说明，投标人不得派超过2名工作人员进场演示。演示过程不设置问答环节。</w:t>
      </w:r>
    </w:p>
    <w:p>
      <w:pPr>
        <w:spacing w:line="360" w:lineRule="auto"/>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08" w:name="_Toc22355"/>
      <w:bookmarkStart w:id="109" w:name="_Toc28098"/>
      <w:bookmarkStart w:id="110" w:name="_Toc303084265"/>
      <w:bookmarkStart w:id="111" w:name="_Toc382049112"/>
      <w:bookmarkStart w:id="112" w:name="_Toc9777"/>
      <w:r>
        <w:rPr>
          <w:rFonts w:hint="eastAsia"/>
          <w:color w:val="000000" w:themeColor="text1"/>
          <w:highlight w:val="none"/>
          <w14:textFill>
            <w14:solidFill>
              <w14:schemeClr w14:val="tx1"/>
            </w14:solidFill>
          </w14:textFill>
        </w:rPr>
        <w:t>20.投标截止期</w:t>
      </w:r>
      <w:bookmarkEnd w:id="108"/>
      <w:bookmarkEnd w:id="109"/>
      <w:bookmarkEnd w:id="110"/>
      <w:bookmarkEnd w:id="111"/>
      <w:bookmarkEnd w:id="112"/>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投标人应在招标文件规定的截止日期和时间内，将投标文件送达到指定地点。</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13" w:name="_Toc22260"/>
      <w:bookmarkStart w:id="114" w:name="_Toc4270"/>
      <w:r>
        <w:rPr>
          <w:rFonts w:hint="eastAsia"/>
          <w:color w:val="000000" w:themeColor="text1"/>
          <w:highlight w:val="none"/>
          <w14:textFill>
            <w14:solidFill>
              <w14:schemeClr w14:val="tx1"/>
            </w14:solidFill>
          </w14:textFill>
        </w:rPr>
        <w:t>21.投标文件的补充、修改与撤回</w:t>
      </w:r>
      <w:bookmarkEnd w:id="113"/>
      <w:bookmarkEnd w:id="114"/>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投标人在提交投标文件截止时间前，可以对所提交的投标文件进行补充、修改或撤回，并以纸质版形式通知招标代理机构。在提交投标文件截止时间之后，投标人不得对其投标文件做出任何的补充和修改。</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投标人对投标文件的补充、修改的内容应当按招标文件要求的签署、盖章、密封后，作为投标文件的组成部分。并按照招标文件规定密封和标记的要求提交，并在投标文件密封袋上标明“补充、修改”字样。</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投标文件一经递交不予退还。</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在提交投标文件截止时间至投标有效期满之前，投标人不得撤回其投标，否则其投标保证金将不予退还。</w:t>
      </w:r>
    </w:p>
    <w:p>
      <w:pPr>
        <w:pStyle w:val="2"/>
        <w:spacing w:line="360" w:lineRule="auto"/>
        <w:rPr>
          <w:color w:val="000000" w:themeColor="text1"/>
          <w:sz w:val="21"/>
          <w:szCs w:val="21"/>
          <w:highlight w:val="none"/>
          <w14:textFill>
            <w14:solidFill>
              <w14:schemeClr w14:val="tx1"/>
            </w14:solidFill>
          </w14:textFill>
        </w:rPr>
      </w:pPr>
    </w:p>
    <w:p>
      <w:pPr>
        <w:pStyle w:val="6"/>
        <w:overflowPunct w:val="0"/>
        <w:spacing w:before="0" w:after="0" w:line="400" w:lineRule="exact"/>
        <w:rPr>
          <w:rFonts w:ascii="宋体" w:hAnsi="宋体" w:cs="宋体"/>
          <w:color w:val="000000" w:themeColor="text1"/>
          <w:sz w:val="21"/>
          <w:szCs w:val="21"/>
          <w:highlight w:val="none"/>
          <w14:textFill>
            <w14:solidFill>
              <w14:schemeClr w14:val="tx1"/>
            </w14:solidFill>
          </w14:textFill>
        </w:rPr>
      </w:pPr>
      <w:bookmarkStart w:id="115" w:name="_Toc174"/>
      <w:r>
        <w:rPr>
          <w:rFonts w:hint="eastAsia" w:ascii="宋体" w:hAnsi="宋体" w:cs="宋体"/>
          <w:color w:val="000000" w:themeColor="text1"/>
          <w:sz w:val="21"/>
          <w:szCs w:val="21"/>
          <w:highlight w:val="none"/>
          <w14:textFill>
            <w14:solidFill>
              <w14:schemeClr w14:val="tx1"/>
            </w14:solidFill>
          </w14:textFill>
        </w:rPr>
        <w:t>22.开标</w:t>
      </w:r>
      <w:bookmarkEnd w:id="115"/>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招标代理机构按本招标文件所规定的时间和地点公开开标，并邀请所有投标人代表参加。</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开标程序：</w:t>
      </w:r>
    </w:p>
    <w:p>
      <w:pPr>
        <w:numPr>
          <w:ilvl w:val="2"/>
          <w:numId w:val="6"/>
        </w:numPr>
        <w:tabs>
          <w:tab w:val="left" w:pos="567"/>
          <w:tab w:val="clear" w:pos="794"/>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开标会由招标代理机构主持，投标人的法定代表人或其授权代表携带有效身份证明准时参加开标会并签名报到。</w:t>
      </w:r>
    </w:p>
    <w:p>
      <w:pPr>
        <w:numPr>
          <w:ilvl w:val="2"/>
          <w:numId w:val="6"/>
        </w:numPr>
        <w:tabs>
          <w:tab w:val="left" w:pos="567"/>
          <w:tab w:val="clear" w:pos="794"/>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开标时，由投标人或者其推选的代表检查投标文件的密封情况；经确认无误后，由招标人或者招标代理机构工作人员当众拆封，宣布投标人名称、投标价格和招标文件规定的需要宣布的其他内容；</w:t>
      </w:r>
    </w:p>
    <w:p>
      <w:pPr>
        <w:numPr>
          <w:ilvl w:val="2"/>
          <w:numId w:val="6"/>
        </w:numPr>
        <w:tabs>
          <w:tab w:val="left" w:pos="567"/>
          <w:tab w:val="clear" w:pos="794"/>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投标人代表对开标过程和开标记录有异议，以及认为招标人、招标代理机构相关工作人员有需要回避的情形的，应当场提出询问或者回避申请。开标现场未提出异议的视为认同开标结果。</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投标人未参加开标的，视同认可开标结果。</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合格投标人不足3家的，不得开标；</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开标过程应当由招标人或者招标代理机构负责记录，由参加开标的各投标人代表和相关工作人员签字确认。</w:t>
      </w:r>
    </w:p>
    <w:p>
      <w:pPr>
        <w:spacing w:line="400" w:lineRule="exact"/>
        <w:ind w:left="567"/>
        <w:jc w:val="both"/>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16" w:name="_Toc23244"/>
      <w:bookmarkStart w:id="117" w:name="_Toc318"/>
      <w:r>
        <w:rPr>
          <w:rFonts w:hint="eastAsia"/>
          <w:color w:val="000000" w:themeColor="text1"/>
          <w:highlight w:val="none"/>
          <w14:textFill>
            <w14:solidFill>
              <w14:schemeClr w14:val="tx1"/>
            </w14:solidFill>
          </w14:textFill>
        </w:rPr>
        <w:t>23.评标委员会及评标方法</w:t>
      </w:r>
      <w:bookmarkEnd w:id="116"/>
      <w:bookmarkEnd w:id="117"/>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评标委员会根据招标项目的特点进行组建，并负责评标工作。</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评审方法：本次招标的评审方法采用综合评分法。</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招标文件中要求投标人提供的相关资质证书证明材料因国家政策变动导致新旧证书名称不一致，旧证书未取消且新旧证书具有同等效力的，投标人提供新证书与提供在有效期内的旧证书给予同等认可。</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定标原则：在满足招标文件实质性要求前提下，按照招标文件规定的各项评价因素进行量化打分，以评标总得分最高的投标人作为中标候选人或中标人。</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评标委员会对投标文件的评审内容，分为商务评议、技术评议和价格评议。评审流程包括符合性检查、澄清问题、比较与评价、推荐中标候选人或确定中标人、编写评标报告等步骤。</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18" w:name="_Toc21911"/>
      <w:bookmarkStart w:id="119" w:name="_Toc15635"/>
      <w:r>
        <w:rPr>
          <w:rFonts w:hint="eastAsia"/>
          <w:color w:val="000000" w:themeColor="text1"/>
          <w:highlight w:val="none"/>
          <w14:textFill>
            <w14:solidFill>
              <w14:schemeClr w14:val="tx1"/>
            </w14:solidFill>
          </w14:textFill>
        </w:rPr>
        <w:t>24.评审原则及评标过程的保密</w:t>
      </w:r>
      <w:bookmarkEnd w:id="118"/>
      <w:bookmarkEnd w:id="119"/>
    </w:p>
    <w:p>
      <w:pPr>
        <w:pStyle w:val="22"/>
        <w:numPr>
          <w:ilvl w:val="0"/>
          <w:numId w:val="6"/>
        </w:numPr>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评审的基本原则：评标委员会将依据《中华人民共和国政府采购法》及国家和地方政府有关法规的规定，遵循“客观、公正、审慎”的原则进行评审工作。</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从公开开标到签订合同，凡与审查、澄清、评审和投标有关的资料以及定标意见相关的事项，均不得向投标人及与评标无关的其他人透露。</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任何单位和个人不得非法干预、影响评标的过程和结果。</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20" w:name="_Toc10950"/>
      <w:bookmarkStart w:id="121" w:name="_Toc12318"/>
      <w:r>
        <w:rPr>
          <w:rFonts w:hint="eastAsia"/>
          <w:color w:val="000000" w:themeColor="text1"/>
          <w:highlight w:val="none"/>
          <w14:textFill>
            <w14:solidFill>
              <w14:schemeClr w14:val="tx1"/>
            </w14:solidFill>
          </w14:textFill>
        </w:rPr>
        <w:t>25.投标文件的初审</w:t>
      </w:r>
      <w:bookmarkEnd w:id="120"/>
      <w:bookmarkEnd w:id="121"/>
    </w:p>
    <w:p>
      <w:pPr>
        <w:pStyle w:val="22"/>
        <w:numPr>
          <w:ilvl w:val="0"/>
          <w:numId w:val="6"/>
        </w:numPr>
        <w:tabs>
          <w:tab w:val="left" w:pos="907"/>
        </w:tabs>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tabs>
          <w:tab w:val="left" w:pos="907"/>
        </w:tabs>
        <w:spacing w:line="400" w:lineRule="exact"/>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开标结束后，招标人或者招标代理机构将依法对投标人的资格进行审查。资格审查时，投标人存在不符合资格性检查所要求事项情况的，投标无效。未通过资格审查的投标人不进入符合性审查的评审，</w:t>
      </w:r>
      <w:r>
        <w:rPr>
          <w:rFonts w:hint="eastAsia" w:ascii="宋体" w:hAnsi="宋体" w:cs="宋体"/>
          <w:b/>
          <w:color w:val="000000" w:themeColor="text1"/>
          <w:szCs w:val="21"/>
          <w:highlight w:val="none"/>
          <w14:textFill>
            <w14:solidFill>
              <w14:schemeClr w14:val="tx1"/>
            </w14:solidFill>
          </w14:textFill>
        </w:rPr>
        <w:t>资格性检查中发现下列情形之一的，其投标作无效处理：</w:t>
      </w:r>
    </w:p>
    <w:p>
      <w:pPr>
        <w:tabs>
          <w:tab w:val="left" w:pos="907"/>
        </w:tabs>
        <w:spacing w:line="400" w:lineRule="exact"/>
        <w:ind w:left="567"/>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 资格瑕疵</w:t>
      </w:r>
    </w:p>
    <w:p>
      <w:pPr>
        <w:tabs>
          <w:tab w:val="left" w:pos="907"/>
        </w:tabs>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包括但不限于：①资格证明文件未提供或不符合招标文件要求的； ②资格证明文件有效期过期的；③《营业执照》复印件（加盖公章）或《事业单位法人证书》复印件（加盖公章）或其他主体证书复印件（加盖公章）未提供或有效期过期的；④提供的资质材料模糊不清导致无法辨认的。⑤投标人名称与投标文件公章不一致的。</w:t>
      </w:r>
    </w:p>
    <w:p>
      <w:pPr>
        <w:tabs>
          <w:tab w:val="left" w:pos="907"/>
        </w:tabs>
        <w:spacing w:line="400" w:lineRule="exact"/>
        <w:ind w:left="567"/>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 投标保证金瑕疵</w:t>
      </w:r>
    </w:p>
    <w:p>
      <w:pPr>
        <w:tabs>
          <w:tab w:val="left" w:pos="907"/>
        </w:tabs>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包括但不限于：①投标人未按招标文件要求提交投标保证金；②提交方式、提交时间、提交金额不符合招标文件要求；③投标保证金有效期不符合招标文件要求。</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cs="宋体"/>
          <w:b/>
          <w:color w:val="000000" w:themeColor="text1"/>
          <w:szCs w:val="21"/>
          <w:highlight w:val="none"/>
          <w14:textFill>
            <w14:solidFill>
              <w14:schemeClr w14:val="tx1"/>
            </w14:solidFill>
          </w14:textFill>
        </w:rPr>
        <w:t>发现下列情况之一的，其投标将作无效处理</w:t>
      </w:r>
      <w:r>
        <w:rPr>
          <w:rFonts w:hint="eastAsia" w:ascii="宋体" w:hAnsi="宋体" w:cs="宋体"/>
          <w:color w:val="000000" w:themeColor="text1"/>
          <w:szCs w:val="21"/>
          <w:highlight w:val="none"/>
          <w14:textFill>
            <w14:solidFill>
              <w14:schemeClr w14:val="tx1"/>
            </w14:solidFill>
          </w14:textFill>
        </w:rPr>
        <w:t>：</w:t>
      </w:r>
    </w:p>
    <w:p>
      <w:pPr>
        <w:tabs>
          <w:tab w:val="left" w:pos="907"/>
        </w:tabs>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 投标文件的有效性、完整性瑕疵</w:t>
      </w:r>
    </w:p>
    <w:p>
      <w:pPr>
        <w:tabs>
          <w:tab w:val="left" w:pos="907"/>
        </w:tabs>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tabs>
          <w:tab w:val="left" w:pos="907"/>
        </w:tabs>
        <w:spacing w:line="400" w:lineRule="exact"/>
        <w:ind w:left="567"/>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 技术响应瑕疵</w:t>
      </w:r>
    </w:p>
    <w:p>
      <w:pPr>
        <w:tabs>
          <w:tab w:val="left" w:pos="907"/>
        </w:tabs>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条款偏离表》未提供的；⑤将一个包中的内容拆开投标的；⑥投标人对同一货物或服务投标时，投标方案不唯一；⑦明显不符合技术规格、技术标准要求的；⑧其他未实质性响应招标文件技术要求的。</w:t>
      </w:r>
    </w:p>
    <w:p>
      <w:pPr>
        <w:tabs>
          <w:tab w:val="left" w:pos="907"/>
        </w:tabs>
        <w:spacing w:line="400" w:lineRule="exact"/>
        <w:ind w:left="567"/>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 商务响应瑕疵</w:t>
      </w:r>
    </w:p>
    <w:p>
      <w:pPr>
        <w:tabs>
          <w:tab w:val="left" w:pos="907"/>
        </w:tabs>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招标人不能接受的条件的；⑥其他未实质性响应招标文件商务要求的。</w:t>
      </w:r>
    </w:p>
    <w:p>
      <w:pPr>
        <w:tabs>
          <w:tab w:val="left" w:pos="907"/>
        </w:tabs>
        <w:spacing w:line="400" w:lineRule="exact"/>
        <w:ind w:left="567"/>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4）投标报价瑕疵</w:t>
      </w:r>
    </w:p>
    <w:p>
      <w:pPr>
        <w:tabs>
          <w:tab w:val="left" w:pos="907"/>
        </w:tabs>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包括但不限于：①投标报价超过本招标文件明确的项目预算或文件明确的最高限价；②未按招标文件要求进行报价的；③报价内容或报价格式不符合招标文件要求的；④投标报价有严重缺漏项的。</w:t>
      </w:r>
    </w:p>
    <w:p>
      <w:pPr>
        <w:tabs>
          <w:tab w:val="left" w:pos="907"/>
        </w:tabs>
        <w:spacing w:line="400" w:lineRule="exact"/>
        <w:ind w:left="567"/>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5）违规行为</w:t>
      </w:r>
    </w:p>
    <w:p>
      <w:pPr>
        <w:tabs>
          <w:tab w:val="left" w:pos="907"/>
        </w:tabs>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包括但不限于：①以他人的名义投标、串通投标、以行贿手段谋取中标或者以其他弄虚作假方式投标的；②扰乱开标、评标秩序，干扰招标工作正常进行的。③存在经评标委员会认定的其他违规违法行为。</w:t>
      </w:r>
    </w:p>
    <w:p>
      <w:pPr>
        <w:tabs>
          <w:tab w:val="left" w:pos="907"/>
        </w:tabs>
        <w:spacing w:line="400" w:lineRule="exact"/>
        <w:ind w:left="567"/>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6)法律法规及招标文件中规定的其它情形。</w:t>
      </w:r>
    </w:p>
    <w:p>
      <w:pPr>
        <w:tabs>
          <w:tab w:val="left" w:pos="907"/>
        </w:tabs>
        <w:spacing w:line="400" w:lineRule="exact"/>
        <w:ind w:left="567"/>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根据项目情况，评标委员会有权决定招标文件中“可能导致废标”或“可能导致其投标被拒绝”等具体条款是否实施“废标”或“投标被拒绝”，但对同一条款的裁决应适用于每个投标人。</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对于投标文件中不构成实质性偏差的不正规、不一致或不规则，评标委员会可以接受，但这种接受不能损害或影响任何投标人的相对排序。</w:t>
      </w:r>
    </w:p>
    <w:p>
      <w:pPr>
        <w:numPr>
          <w:ilvl w:val="1"/>
          <w:numId w:val="6"/>
        </w:numPr>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22" w:name="_Toc24775"/>
      <w:bookmarkStart w:id="123" w:name="_Toc19657"/>
      <w:r>
        <w:rPr>
          <w:rFonts w:hint="eastAsia"/>
          <w:color w:val="000000" w:themeColor="text1"/>
          <w:highlight w:val="none"/>
          <w14:textFill>
            <w14:solidFill>
              <w14:schemeClr w14:val="tx1"/>
            </w14:solidFill>
          </w14:textFill>
        </w:rPr>
        <w:t>26.商务、技术、价格评审</w:t>
      </w:r>
      <w:bookmarkEnd w:id="122"/>
      <w:bookmarkEnd w:id="123"/>
    </w:p>
    <w:p>
      <w:pPr>
        <w:pStyle w:val="22"/>
        <w:numPr>
          <w:ilvl w:val="0"/>
          <w:numId w:val="6"/>
        </w:numPr>
        <w:tabs>
          <w:tab w:val="left" w:pos="907"/>
        </w:tabs>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对通过符合性检查的投标人进行商务技术综合评议，针对投标文件对招标文件的响应情况对各个投标人进行商务和技术评分。 </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投标文件报价出现前后不一致的，评标委员会按照下列规定修正：</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投标文件中开标一览表（报价表）内容与投标文件中相应内容不一致的，以开标一览表（报价表）为准；</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大写金额和小写金额不一致的，以大写金额为准；</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单价金额小数点或者百分比有明显错位的，以开标一览表的总价为准，并修改单价；</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总价金额与按单价汇总金额不一致的，以单价金额计算结果为准。</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同时出现两种以上不一致的，按照前款规定的顺序修正。修正后的报价按照经投标人确认后产生约束力，投标人不确认的，其投标无效。</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使用综合评分法的采购项目，核心产品提供相同品牌产品且通过资格审查、符合性审查的不同投标人参加同一合同项下投标的，按一家投标人计算，评审后得分最高的同品牌投标人获得中标人推荐资格。</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用综合评分法的，评标结果按评审后得分由高到低顺序排列。评审得分相同的，按投标报价（投标原报价）由低到高顺序排列。评审得分及投标报价均相同时，以随机抽取方式决定。投标文件满足招标文件全部实质性要求，且按照评审因素的量化指标评审得分最高的投标人为排名第一的中标候选人。</w:t>
      </w:r>
    </w:p>
    <w:p>
      <w:pPr>
        <w:tabs>
          <w:tab w:val="left" w:pos="907"/>
        </w:tabs>
        <w:spacing w:line="400" w:lineRule="exact"/>
        <w:ind w:left="567"/>
        <w:jc w:val="both"/>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24" w:name="_Toc316375620"/>
      <w:bookmarkStart w:id="125" w:name="_Toc20328"/>
      <w:bookmarkStart w:id="126" w:name="_Toc382049120"/>
      <w:bookmarkStart w:id="127" w:name="_Toc19304"/>
      <w:bookmarkStart w:id="128" w:name="_Toc5898"/>
      <w:r>
        <w:rPr>
          <w:rFonts w:hint="eastAsia"/>
          <w:color w:val="000000" w:themeColor="text1"/>
          <w:highlight w:val="none"/>
          <w14:textFill>
            <w14:solidFill>
              <w14:schemeClr w14:val="tx1"/>
            </w14:solidFill>
          </w14:textFill>
        </w:rPr>
        <w:t>27.纪律和保密</w:t>
      </w:r>
      <w:bookmarkEnd w:id="124"/>
      <w:r>
        <w:rPr>
          <w:rFonts w:hint="eastAsia"/>
          <w:color w:val="000000" w:themeColor="text1"/>
          <w:highlight w:val="none"/>
          <w14:textFill>
            <w14:solidFill>
              <w14:schemeClr w14:val="tx1"/>
            </w14:solidFill>
          </w14:textFill>
        </w:rPr>
        <w:t>事项</w:t>
      </w:r>
      <w:bookmarkEnd w:id="125"/>
      <w:bookmarkEnd w:id="126"/>
      <w:bookmarkEnd w:id="127"/>
      <w:bookmarkEnd w:id="128"/>
    </w:p>
    <w:p>
      <w:pPr>
        <w:pStyle w:val="22"/>
        <w:numPr>
          <w:ilvl w:val="0"/>
          <w:numId w:val="6"/>
        </w:numPr>
        <w:tabs>
          <w:tab w:val="left" w:pos="907"/>
        </w:tabs>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从开标之日起至授予合同期间，在投标文件的审查、澄清、比较和评价阶段，投标人试图对评标委员会和招标代理机构施加任何影响或对招标人的比较及授予合同的决定产生影响，都可能导致其投标文件被拒绝。</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投标人不得串通作弊，以不正当的手段妨碍、排挤其他投标人，扰乱招标市场，破坏公平竞争原则。否则将按相关法律规定严肃处理。</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获得本招标文件的投标人，应对文件进行保密，不得用作本次投标以外的任何用途。开标后，投标人应归还招标文件中要求保密的文件和资料。</w:t>
      </w:r>
    </w:p>
    <w:p>
      <w:pPr>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29" w:name="_Toc4954"/>
      <w:bookmarkStart w:id="130" w:name="_Toc508284011"/>
      <w:bookmarkStart w:id="131" w:name="_Toc1994"/>
      <w:r>
        <w:rPr>
          <w:rFonts w:hint="eastAsia"/>
          <w:color w:val="000000" w:themeColor="text1"/>
          <w:highlight w:val="none"/>
          <w14:textFill>
            <w14:solidFill>
              <w14:schemeClr w14:val="tx1"/>
            </w14:solidFill>
          </w14:textFill>
        </w:rPr>
        <w:t>28.合同授予标准</w:t>
      </w:r>
      <w:bookmarkEnd w:id="129"/>
      <w:bookmarkEnd w:id="130"/>
      <w:bookmarkEnd w:id="131"/>
    </w:p>
    <w:p>
      <w:pPr>
        <w:pStyle w:val="22"/>
        <w:numPr>
          <w:ilvl w:val="0"/>
          <w:numId w:val="6"/>
        </w:numPr>
        <w:tabs>
          <w:tab w:val="left" w:pos="907"/>
        </w:tabs>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根据评标委员会的评审结果，招标人按照评审报告推荐的中标候选人中按顺序依法确定中标人。</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32" w:name="_Toc508284013"/>
      <w:bookmarkStart w:id="133" w:name="_Toc14141"/>
      <w:bookmarkStart w:id="134" w:name="_Toc22043"/>
      <w:r>
        <w:rPr>
          <w:rFonts w:hint="eastAsia"/>
          <w:color w:val="000000" w:themeColor="text1"/>
          <w:highlight w:val="none"/>
          <w14:textFill>
            <w14:solidFill>
              <w14:schemeClr w14:val="tx1"/>
            </w14:solidFill>
          </w14:textFill>
        </w:rPr>
        <w:t>29.发布采购结果</w:t>
      </w:r>
      <w:bookmarkEnd w:id="132"/>
      <w:bookmarkEnd w:id="133"/>
      <w:bookmarkEnd w:id="134"/>
    </w:p>
    <w:p>
      <w:pPr>
        <w:pStyle w:val="22"/>
        <w:numPr>
          <w:ilvl w:val="0"/>
          <w:numId w:val="6"/>
        </w:numPr>
        <w:tabs>
          <w:tab w:val="left" w:pos="907"/>
        </w:tabs>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评标委员会提出评标书面报告和推荐中标意见报招标人确认后，招标代理机构将在指定的信息发布媒体上发布公告。</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中标公告期限为1个工作日。</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结果公示发布后，中标单位应及时领取中标通知书。《中标通知书》是合同的一个组成部分，《中标通知书》对招标人和中标人均具有同等法律效力。</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中标人无正当理由不得放弃中标，因中标人放弃中标而对招标人造成的损失由放弃中标的中标人承担。</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原件核查</w:t>
      </w:r>
    </w:p>
    <w:p>
      <w:pPr>
        <w:numPr>
          <w:ilvl w:val="2"/>
          <w:numId w:val="6"/>
        </w:numPr>
        <w:tabs>
          <w:tab w:val="left" w:pos="567"/>
          <w:tab w:val="left" w:pos="907"/>
          <w:tab w:val="clear" w:pos="794"/>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采购结果发布后，招标代理机构或招标人有权对中标单位进行原件核查，中标单位应在五个工作日内把相关原件递交至招标代理机构办公地址或招标人指定地址进行核查。</w:t>
      </w:r>
    </w:p>
    <w:p>
      <w:pPr>
        <w:numPr>
          <w:ilvl w:val="2"/>
          <w:numId w:val="6"/>
        </w:numPr>
        <w:tabs>
          <w:tab w:val="left" w:pos="567"/>
          <w:tab w:val="left" w:pos="907"/>
          <w:tab w:val="clear" w:pos="794"/>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中标单位有下列情形之一的，取消中标资格：</w:t>
      </w:r>
    </w:p>
    <w:p>
      <w:pPr>
        <w:numPr>
          <w:ilvl w:val="0"/>
          <w:numId w:val="9"/>
        </w:numPr>
        <w:tabs>
          <w:tab w:val="left" w:pos="567"/>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拒绝招标人或招标代理机构原件核查要求的；</w:t>
      </w:r>
    </w:p>
    <w:p>
      <w:pPr>
        <w:numPr>
          <w:ilvl w:val="0"/>
          <w:numId w:val="9"/>
        </w:numPr>
        <w:tabs>
          <w:tab w:val="left" w:pos="567"/>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未在规定时间内将原件递交到到招标代理机构办公地址或招标人指定地址进行核查的；</w:t>
      </w:r>
    </w:p>
    <w:p>
      <w:pPr>
        <w:numPr>
          <w:ilvl w:val="0"/>
          <w:numId w:val="9"/>
        </w:numPr>
        <w:tabs>
          <w:tab w:val="left" w:pos="567"/>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在规定时间内递交的原件数量、内容与招标人、招标代理机构要求不一致的；</w:t>
      </w:r>
    </w:p>
    <w:p>
      <w:pPr>
        <w:numPr>
          <w:ilvl w:val="0"/>
          <w:numId w:val="9"/>
        </w:numPr>
        <w:tabs>
          <w:tab w:val="left" w:pos="567"/>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因原件续期、更改等原因不能按时递交原件且未能在规定时间内提供相应部门开具的变更、续期等证明的；</w:t>
      </w:r>
    </w:p>
    <w:p>
      <w:pPr>
        <w:numPr>
          <w:ilvl w:val="0"/>
          <w:numId w:val="9"/>
        </w:numPr>
        <w:tabs>
          <w:tab w:val="left" w:pos="567"/>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经查原件，投标文件内容有造假行为的。</w:t>
      </w:r>
    </w:p>
    <w:p>
      <w:pPr>
        <w:numPr>
          <w:ilvl w:val="2"/>
          <w:numId w:val="6"/>
        </w:numPr>
        <w:tabs>
          <w:tab w:val="left" w:pos="567"/>
          <w:tab w:val="left" w:pos="907"/>
          <w:tab w:val="clear" w:pos="794"/>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结果发布后，招标代理机构或招标人有权对递交了投标文件的未中标投标人进行原件核查。投标人应在招标代理机构或招标人发出纸质通知五个工作日内将原件递交到招标代理机构办公地址或招标人指定地址进行核查。</w:t>
      </w:r>
    </w:p>
    <w:p>
      <w:pPr>
        <w:numPr>
          <w:ilvl w:val="2"/>
          <w:numId w:val="6"/>
        </w:numPr>
        <w:tabs>
          <w:tab w:val="left" w:pos="567"/>
          <w:tab w:val="left" w:pos="907"/>
          <w:tab w:val="clear" w:pos="794"/>
        </w:tabs>
        <w:spacing w:line="400" w:lineRule="exact"/>
        <w:jc w:val="both"/>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若投标人出现虚假应标情况，投标文件作无效处理，其投标、中标无效。并根据相关法律上报相关监管部门。</w:t>
      </w:r>
    </w:p>
    <w:p>
      <w:pPr>
        <w:numPr>
          <w:ilvl w:val="2"/>
          <w:numId w:val="6"/>
        </w:numPr>
        <w:tabs>
          <w:tab w:val="left" w:pos="567"/>
          <w:tab w:val="left" w:pos="907"/>
          <w:tab w:val="clear" w:pos="794"/>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属于建办市函[2016]462号通知内的证件可不提供原件，仅提供带二维码原件的复印件即可。</w:t>
      </w:r>
    </w:p>
    <w:p>
      <w:pPr>
        <w:spacing w:line="400" w:lineRule="exact"/>
        <w:rPr>
          <w:rFonts w:ascii="宋体" w:hAnsi="宋体" w:cs="宋体"/>
          <w:color w:val="000000" w:themeColor="text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35" w:name="_Toc8411"/>
      <w:bookmarkStart w:id="136" w:name="_Toc11977"/>
      <w:r>
        <w:rPr>
          <w:rFonts w:hint="eastAsia"/>
          <w:color w:val="000000" w:themeColor="text1"/>
          <w:highlight w:val="none"/>
          <w14:textFill>
            <w14:solidFill>
              <w14:schemeClr w14:val="tx1"/>
            </w14:solidFill>
          </w14:textFill>
        </w:rPr>
        <w:t>30.合同的签订与履行</w:t>
      </w:r>
      <w:bookmarkEnd w:id="135"/>
      <w:bookmarkEnd w:id="136"/>
    </w:p>
    <w:p>
      <w:pPr>
        <w:pStyle w:val="22"/>
        <w:numPr>
          <w:ilvl w:val="0"/>
          <w:numId w:val="6"/>
        </w:numPr>
        <w:tabs>
          <w:tab w:val="left" w:pos="907"/>
        </w:tabs>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招标人应当自采购结果公示发出之日起30日内，按照招标文件和中标人投标文件的规定，与中标人签订书面合同。所签订的合同不得对招标文件确定的事项和中标人投标文件作实质性修改。</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招标人与中标人应当根据合同的约定依法履行合同义务。</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政府采购合同的履行、违约责任和解决争议的方法等适用《中华人民共和国民法典》。</w:t>
      </w:r>
    </w:p>
    <w:p>
      <w:pPr>
        <w:numPr>
          <w:ilvl w:val="1"/>
          <w:numId w:val="6"/>
        </w:numPr>
        <w:tabs>
          <w:tab w:val="left" w:pos="907"/>
        </w:tabs>
        <w:spacing w:line="400" w:lineRule="exact"/>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合同签订之日起2个工作日内，中标人应将所签订的合同副本（加盖公章）交至国顺招标有限公司归档。</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投标人根据招标文件的规定和采购项目的实际情况，拟在中标后将中标项目的非主体、非关键性工作分包的，应当在投标文件中载明分包承担主体，分包承担主体应当具备相应资质条件且不得再次分包。</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投标人在评审结束当天至合同履行结束，若因不可抗力的因素（如国家出台新法律法规等）造成投标人资质的变动，投标人应以纸质版形式通知招标人。若资质变动导致中标投标人不再具备履行合同资质要求，招标人有权中止合同。</w:t>
      </w: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中标人拒绝与招标人签订合同的，招标人可以按照评审报告推荐的中标候选人名单排序，确定下一候选人为中标人，也可以重新开展政府采购活动。</w:t>
      </w:r>
    </w:p>
    <w:p>
      <w:pPr>
        <w:pStyle w:val="2"/>
        <w:rPr>
          <w:color w:val="000000" w:themeColor="text1"/>
          <w:sz w:val="21"/>
          <w:szCs w:val="2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137" w:name="_Toc19434"/>
      <w:bookmarkStart w:id="138" w:name="_Toc23400"/>
      <w:r>
        <w:rPr>
          <w:rFonts w:hint="eastAsia"/>
          <w:color w:val="000000" w:themeColor="text1"/>
          <w:highlight w:val="none"/>
          <w14:textFill>
            <w14:solidFill>
              <w14:schemeClr w14:val="tx1"/>
            </w14:solidFill>
          </w14:textFill>
        </w:rPr>
        <w:t>31.招标文件的解释权</w:t>
      </w:r>
      <w:bookmarkEnd w:id="137"/>
      <w:bookmarkEnd w:id="138"/>
    </w:p>
    <w:p>
      <w:pPr>
        <w:pStyle w:val="22"/>
        <w:numPr>
          <w:ilvl w:val="0"/>
          <w:numId w:val="6"/>
        </w:numPr>
        <w:tabs>
          <w:tab w:val="left" w:pos="907"/>
        </w:tabs>
        <w:spacing w:line="400" w:lineRule="exact"/>
        <w:ind w:firstLineChars="0"/>
        <w:jc w:val="both"/>
        <w:rPr>
          <w:rFonts w:ascii="宋体" w:hAnsi="宋体" w:cs="宋体"/>
          <w:vanish/>
          <w:color w:val="000000" w:themeColor="text1"/>
          <w:szCs w:val="21"/>
          <w:highlight w:val="none"/>
          <w14:textFill>
            <w14:solidFill>
              <w14:schemeClr w14:val="tx1"/>
            </w14:solidFill>
          </w14:textFill>
        </w:rPr>
      </w:pPr>
    </w:p>
    <w:p>
      <w:pPr>
        <w:numPr>
          <w:ilvl w:val="1"/>
          <w:numId w:val="6"/>
        </w:numPr>
        <w:tabs>
          <w:tab w:val="left" w:pos="907"/>
        </w:tabs>
        <w:spacing w:line="400" w:lineRule="exact"/>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本招标文件是参照国家有关法律、法规以及政府采购管理有关规定和参照国际惯例编制，解释权属本国顺招标有限公司。</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pPr>
        <w:pStyle w:val="3"/>
        <w:numPr>
          <w:ilvl w:val="0"/>
          <w:numId w:val="1"/>
        </w:numPr>
        <w:rPr>
          <w:color w:val="000000" w:themeColor="text1"/>
          <w:highlight w:val="none"/>
          <w14:textFill>
            <w14:solidFill>
              <w14:schemeClr w14:val="tx1"/>
            </w14:solidFill>
          </w14:textFill>
        </w:rPr>
      </w:pPr>
      <w:bookmarkStart w:id="139" w:name="_Toc27892"/>
      <w:r>
        <w:rPr>
          <w:rFonts w:hint="eastAsia"/>
          <w:color w:val="000000" w:themeColor="text1"/>
          <w:highlight w:val="none"/>
          <w14:textFill>
            <w14:solidFill>
              <w14:schemeClr w14:val="tx1"/>
            </w14:solidFill>
          </w14:textFill>
        </w:rPr>
        <w:t>用户需求书</w:t>
      </w:r>
      <w:bookmarkEnd w:id="139"/>
    </w:p>
    <w:p>
      <w:pPr>
        <w:jc w:val="center"/>
        <w:outlineLvl w:val="1"/>
        <w:rPr>
          <w:b/>
          <w:bCs/>
          <w:color w:val="000000" w:themeColor="text1"/>
          <w:sz w:val="28"/>
          <w:szCs w:val="36"/>
          <w:highlight w:val="none"/>
          <w14:textFill>
            <w14:solidFill>
              <w14:schemeClr w14:val="tx1"/>
            </w14:solidFill>
          </w14:textFill>
        </w:rPr>
      </w:pPr>
      <w:bookmarkStart w:id="140" w:name="_Toc16006"/>
      <w:r>
        <w:rPr>
          <w:rFonts w:hint="eastAsia"/>
          <w:b/>
          <w:bCs/>
          <w:color w:val="000000" w:themeColor="text1"/>
          <w:sz w:val="28"/>
          <w:szCs w:val="36"/>
          <w:highlight w:val="none"/>
          <w14:textFill>
            <w14:solidFill>
              <w14:schemeClr w14:val="tx1"/>
            </w14:solidFill>
          </w14:textFill>
        </w:rPr>
        <w:t>商务要求</w:t>
      </w:r>
      <w:bookmarkEnd w:id="140"/>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5"/>
        <w:gridCol w:w="1205"/>
        <w:gridCol w:w="65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43" w:type="pct"/>
            <w:vAlign w:val="center"/>
          </w:tcPr>
          <w:p>
            <w:pPr>
              <w:widowControl/>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707" w:type="pct"/>
            <w:vAlign w:val="center"/>
          </w:tcPr>
          <w:p>
            <w:pPr>
              <w:widowControl/>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条款名称</w:t>
            </w:r>
          </w:p>
        </w:tc>
        <w:tc>
          <w:tcPr>
            <w:tcW w:w="3849" w:type="pct"/>
            <w:vAlign w:val="center"/>
          </w:tcPr>
          <w:p>
            <w:pPr>
              <w:widowControl/>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443" w:type="pc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707" w:type="pct"/>
            <w:vAlign w:val="center"/>
          </w:tcPr>
          <w:p>
            <w:pPr>
              <w:autoSpaceDE w:val="0"/>
              <w:autoSpaceDN w:val="0"/>
              <w:spacing w:line="288"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服务期</w:t>
            </w:r>
          </w:p>
        </w:tc>
        <w:tc>
          <w:tcPr>
            <w:tcW w:w="3849" w:type="pct"/>
            <w:vAlign w:val="center"/>
          </w:tcPr>
          <w:p>
            <w:pPr>
              <w:autoSpaceDE w:val="0"/>
              <w:autoSpaceDN w:val="0"/>
              <w:spacing w:line="360" w:lineRule="auto"/>
              <w:ind w:firstLine="420" w:firstLineChars="200"/>
              <w:jc w:val="both"/>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服务期为3年。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443" w:type="pc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707" w:type="pc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合同签订</w:t>
            </w:r>
          </w:p>
        </w:tc>
        <w:tc>
          <w:tcPr>
            <w:tcW w:w="3849" w:type="pct"/>
            <w:vAlign w:val="center"/>
          </w:tcPr>
          <w:p>
            <w:pPr>
              <w:widowControl/>
              <w:ind w:firstLine="420" w:firstLineChars="200"/>
              <w:jc w:val="both"/>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用一年一签模式，即只有每年考核达标，才能自动续约下一年合同。如考核未达标的承包单位将自动淘汰出局，由采购单位重新组织项目招标。合同期满前50日内，采购人根据考核办法评定是否达标，具体为：该年度没有出现以下情形之任一项的视为达标：1、连续两个月综合考核得分80以下的；2、同一年度内累计三个月综合考核得分80以下的；3、被市同一年度内评为黑榜的；4、同一年度累计三个月</w:t>
            </w:r>
            <w:r>
              <w:rPr>
                <w:rFonts w:hint="eastAsia" w:ascii="宋体" w:hAnsi="宋体" w:cs="宋体"/>
                <w:color w:val="000000" w:themeColor="text1"/>
                <w:szCs w:val="21"/>
                <w:highlight w:val="none"/>
                <w14:textFill>
                  <w14:solidFill>
                    <w14:schemeClr w14:val="tx1"/>
                  </w14:solidFill>
                </w14:textFill>
              </w:rPr>
              <w:t>综合考评得分在东莞市长安镇内排名倒数三名（含）以内的；5、服务期间，中标供应商的在职服务员工人数不足18</w:t>
            </w:r>
            <w:r>
              <w:rPr>
                <w:rFonts w:hint="eastAsia" w:ascii="宋体" w:hAnsi="宋体" w:cs="宋体"/>
                <w:color w:val="000000" w:themeColor="text1"/>
                <w:szCs w:val="21"/>
                <w:highlight w:val="none"/>
                <w:lang w:val="en-US" w:eastAsia="zh-CN"/>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人的；6、中标供应商任一个月未按时足额发放员工工资（含加班工资）或中标供应商拖欠员工工资（含加班工资）被投诉、上访或起诉，情况属实的，或东莞市最低工资标准发生变化，中标供应商拒绝根据有关规定予以相应调整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443" w:type="pc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707" w:type="pc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付款方式</w:t>
            </w:r>
          </w:p>
        </w:tc>
        <w:tc>
          <w:tcPr>
            <w:tcW w:w="3849" w:type="pct"/>
            <w:vAlign w:val="center"/>
          </w:tcPr>
          <w:p>
            <w:pPr>
              <w:widowControl/>
              <w:ind w:firstLine="420" w:firstLineChars="200"/>
              <w:jc w:val="both"/>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1、按月支付承包款，每月结合考核标准进行结算。合同生效后第二个月起每月20日前向中标供应商支付上月的承包款。</w:t>
            </w:r>
          </w:p>
          <w:p>
            <w:pPr>
              <w:widowControl/>
              <w:ind w:firstLine="420" w:firstLineChars="200"/>
              <w:jc w:val="both"/>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2、每期款项支付时，中标供应商应在接到采购人开票通知后10天内，提交相应金额的正式发票；如中标供应商未能按照约定提供相应金额的正式发票，由此产生的责任和损失由中标供应商自行承担。</w:t>
            </w:r>
          </w:p>
          <w:p>
            <w:pPr>
              <w:widowControl/>
              <w:ind w:firstLine="420" w:firstLineChars="200"/>
              <w:jc w:val="both"/>
              <w:rPr>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3、中标供应商确认本合同项下款项均支付至本合同签署页列明的银行账户，采购人将合同款项支付至中标供应商指定的银行账户即完成合同款项的支付义务。如本合同尾部列明的收款账户发生任何变更，中标供应商应自变更之日起立即书面通知采购人；否则，由此引起的相关后果均由中标供应商自行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443" w:type="pc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707" w:type="pc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项目地点</w:t>
            </w:r>
          </w:p>
        </w:tc>
        <w:tc>
          <w:tcPr>
            <w:tcW w:w="3849" w:type="pct"/>
            <w:vAlign w:val="center"/>
          </w:tcPr>
          <w:p>
            <w:pPr>
              <w:widowControl/>
              <w:ind w:firstLine="420" w:firstLineChars="200"/>
              <w:jc w:val="both"/>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东莞市长安镇厦岗社区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7" w:hRule="atLeast"/>
          <w:jc w:val="center"/>
        </w:trPr>
        <w:tc>
          <w:tcPr>
            <w:tcW w:w="443" w:type="pc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p>
        </w:tc>
        <w:tc>
          <w:tcPr>
            <w:tcW w:w="707" w:type="pc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报价要求</w:t>
            </w:r>
          </w:p>
        </w:tc>
        <w:tc>
          <w:tcPr>
            <w:tcW w:w="3849" w:type="pct"/>
            <w:vAlign w:val="center"/>
          </w:tcPr>
          <w:p>
            <w:pPr>
              <w:spacing w:line="38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报价包含垃圾清运费用、管理费用、人员费用（含员工正常工作时间工资、加班工资、奖金、津贴、食宿费、住房补助、劳动保障、福利、医疗保险与费用、工伤保险与费用、失业保险、社会保障、教育培训费用、暂住费用、伤亡事故处理费用等费用）、税费、生产资料费用（含作业用水、用电的费用，含各种环卫工具、环卫车辆、环卫机械设备的投入和耗损，不含果皮箱、环卫工具房购置及维修费）、市政设施防张贴防涂写防刻画涂料的购买与喷涂费用等与环卫保洁有关的一切费用。</w:t>
            </w:r>
          </w:p>
          <w:p>
            <w:pPr>
              <w:widowControl/>
              <w:ind w:firstLine="422" w:firstLineChars="200"/>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2、★本项目预算金额为人民币40,276,946.16元。【</w:t>
            </w:r>
            <w:r>
              <w:rPr>
                <w:rFonts w:hint="eastAsia" w:ascii="宋体" w:hAnsi="宋体" w:cs="宋体"/>
                <w:b/>
                <w:bCs/>
                <w:color w:val="000000" w:themeColor="text1"/>
                <w:highlight w:val="none"/>
                <w14:textFill>
                  <w14:solidFill>
                    <w14:schemeClr w14:val="tx1"/>
                  </w14:solidFill>
                </w14:textFill>
              </w:rPr>
              <w:t>其中环卫保洁综合单价最高限价为人民币12元/㎡/年。投标供应商投标时须在投标文件报价表中对环卫保洁综合单价进行报价，</w:t>
            </w:r>
            <w:r>
              <w:rPr>
                <w:rFonts w:hint="eastAsia" w:ascii="宋体" w:hAnsi="宋体" w:cs="宋体"/>
                <w:b/>
                <w:color w:val="000000" w:themeColor="text1"/>
                <w:szCs w:val="21"/>
                <w:highlight w:val="none"/>
                <w14:textFill>
                  <w14:solidFill>
                    <w14:schemeClr w14:val="tx1"/>
                  </w14:solidFill>
                </w14:textFill>
              </w:rPr>
              <w:t>供应商填写的</w:t>
            </w:r>
            <w:r>
              <w:rPr>
                <w:rFonts w:hint="eastAsia" w:ascii="宋体" w:hAnsi="宋体" w:cs="宋体"/>
                <w:b/>
                <w:bCs/>
                <w:color w:val="000000" w:themeColor="text1"/>
                <w:highlight w:val="none"/>
                <w14:textFill>
                  <w14:solidFill>
                    <w14:schemeClr w14:val="tx1"/>
                  </w14:solidFill>
                </w14:textFill>
              </w:rPr>
              <w:t>综合</w:t>
            </w:r>
            <w:r>
              <w:rPr>
                <w:rFonts w:hint="eastAsia" w:ascii="宋体" w:hAnsi="宋体" w:cs="宋体"/>
                <w:b/>
                <w:color w:val="000000" w:themeColor="text1"/>
                <w:szCs w:val="21"/>
                <w:highlight w:val="none"/>
                <w14:textFill>
                  <w14:solidFill>
                    <w14:schemeClr w14:val="tx1"/>
                  </w14:solidFill>
                </w14:textFill>
              </w:rPr>
              <w:t>单价最多只允许精确到小数点后两位】，如供应商的投标报价超过预算金额或综合单价报价超出</w:t>
            </w:r>
            <w:r>
              <w:rPr>
                <w:rFonts w:hint="eastAsia" w:ascii="宋体" w:hAnsi="宋体" w:cs="宋体"/>
                <w:b/>
                <w:color w:val="000000" w:themeColor="text1"/>
                <w:highlight w:val="none"/>
                <w:shd w:val="clear" w:color="auto" w:fill="FFFFFF"/>
                <w14:textFill>
                  <w14:solidFill>
                    <w14:schemeClr w14:val="tx1"/>
                  </w14:solidFill>
                </w14:textFill>
              </w:rPr>
              <w:t>综合</w:t>
            </w:r>
            <w:r>
              <w:rPr>
                <w:rFonts w:hint="eastAsia" w:ascii="宋体" w:hAnsi="宋体" w:cs="宋体"/>
                <w:b/>
                <w:color w:val="000000" w:themeColor="text1"/>
                <w:szCs w:val="21"/>
                <w:highlight w:val="none"/>
                <w14:textFill>
                  <w14:solidFill>
                    <w14:schemeClr w14:val="tx1"/>
                  </w14:solidFill>
                </w14:textFill>
              </w:rPr>
              <w:t>单价最高限价，则视为非实质性响应，作无效投标处理。</w:t>
            </w:r>
          </w:p>
          <w:p>
            <w:pPr>
              <w:pStyle w:val="2"/>
              <w:spacing w:before="0"/>
              <w:ind w:left="0" w:firstLine="420" w:firstLineChars="200"/>
              <w:rPr>
                <w:color w:val="000000" w:themeColor="text1"/>
                <w:highlight w:val="none"/>
                <w:lang w:val="en-US"/>
                <w14:textFill>
                  <w14:solidFill>
                    <w14:schemeClr w14:val="tx1"/>
                  </w14:solidFill>
                </w14:textFill>
              </w:rPr>
            </w:pPr>
            <w:r>
              <w:rPr>
                <w:rFonts w:hint="eastAsia"/>
                <w:color w:val="000000" w:themeColor="text1"/>
                <w:sz w:val="21"/>
                <w:szCs w:val="21"/>
                <w:highlight w:val="none"/>
                <w:lang w:val="en-US" w:bidi="ar-SA"/>
                <w14:textFill>
                  <w14:solidFill>
                    <w14:schemeClr w14:val="tx1"/>
                  </w14:solidFill>
                </w14:textFill>
              </w:rPr>
              <w:t>3、本项目环卫总面积为1118804.06㎡，其中水域保洁面积和绿化保洁面积（430238.24㎡和49523.15㎡）的单价最高限价按30%计算（即水域保洁及绿化保洁按实际测量面积的30%计取环卫保洁服务费）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1" w:hRule="atLeast"/>
          <w:jc w:val="center"/>
        </w:trPr>
        <w:tc>
          <w:tcPr>
            <w:tcW w:w="443" w:type="pc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707" w:type="pc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合同条款</w:t>
            </w:r>
          </w:p>
        </w:tc>
        <w:tc>
          <w:tcPr>
            <w:tcW w:w="3849" w:type="pct"/>
            <w:vAlign w:val="center"/>
          </w:tcPr>
          <w:p>
            <w:pPr>
              <w:widowControl/>
              <w:ind w:firstLine="420" w:firstLineChars="200"/>
              <w:jc w:val="both"/>
              <w:rPr>
                <w:rFonts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w:t>
            </w:r>
            <w:r>
              <w:rPr>
                <w:rFonts w:ascii="宋体" w:hAnsi="宋体"/>
                <w:color w:val="000000" w:themeColor="text1"/>
                <w:szCs w:val="21"/>
                <w:highlight w:val="none"/>
                <w14:textFill>
                  <w14:solidFill>
                    <w14:schemeClr w14:val="tx1"/>
                  </w14:solidFill>
                </w14:textFill>
              </w:rPr>
              <w:t>实质响应合同各</w:t>
            </w:r>
            <w:r>
              <w:rPr>
                <w:rFonts w:hint="eastAsia" w:ascii="宋体" w:hAnsi="宋体"/>
                <w:color w:val="000000" w:themeColor="text1"/>
                <w:szCs w:val="21"/>
                <w:highlight w:val="none"/>
                <w14:textFill>
                  <w14:solidFill>
                    <w14:schemeClr w14:val="tx1"/>
                  </w14:solidFill>
                </w14:textFill>
              </w:rPr>
              <w:t>项</w:t>
            </w:r>
            <w:r>
              <w:rPr>
                <w:rFonts w:ascii="宋体" w:hAnsi="宋体"/>
                <w:color w:val="000000" w:themeColor="text1"/>
                <w:szCs w:val="21"/>
                <w:highlight w:val="none"/>
                <w14:textFill>
                  <w14:solidFill>
                    <w14:schemeClr w14:val="tx1"/>
                  </w14:solidFill>
                </w14:textFill>
              </w:rPr>
              <w:t>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1" w:hRule="atLeast"/>
          <w:jc w:val="center"/>
        </w:trPr>
        <w:tc>
          <w:tcPr>
            <w:tcW w:w="443" w:type="pct"/>
            <w:vMerge w:val="restar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p>
        </w:tc>
        <w:tc>
          <w:tcPr>
            <w:tcW w:w="707" w:type="pct"/>
            <w:vMerge w:val="restart"/>
            <w:vAlign w:val="center"/>
          </w:tcPr>
          <w:p>
            <w:pPr>
              <w:widowControl/>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其它要求</w:t>
            </w:r>
          </w:p>
        </w:tc>
        <w:tc>
          <w:tcPr>
            <w:tcW w:w="3849" w:type="pct"/>
            <w:vAlign w:val="center"/>
          </w:tcPr>
          <w:p>
            <w:pPr>
              <w:widowControl/>
              <w:ind w:firstLine="422" w:firstLineChars="200"/>
              <w:jc w:val="both"/>
              <w:rPr>
                <w:rFonts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1、</w:t>
            </w:r>
            <w:r>
              <w:rPr>
                <w:rFonts w:hint="eastAsia" w:ascii="宋体" w:hAnsi="宋体" w:cs="宋体"/>
                <w:b/>
                <w:color w:val="000000" w:themeColor="text1"/>
                <w:szCs w:val="21"/>
                <w:highlight w:val="none"/>
                <w14:textFill>
                  <w14:solidFill>
                    <w14:schemeClr w14:val="tx1"/>
                  </w14:solidFill>
                </w14:textFill>
              </w:rPr>
              <w:t>★</w:t>
            </w:r>
            <w:r>
              <w:rPr>
                <w:rFonts w:hint="eastAsia" w:ascii="宋体" w:hAnsi="宋体" w:cs="宋体"/>
                <w:b/>
                <w:bCs/>
                <w:color w:val="000000" w:themeColor="text1"/>
                <w:kern w:val="0"/>
                <w:szCs w:val="21"/>
                <w:highlight w:val="none"/>
                <w:lang w:bidi="zh-CN"/>
                <w14:textFill>
                  <w14:solidFill>
                    <w14:schemeClr w14:val="tx1"/>
                  </w14:solidFill>
                </w14:textFill>
              </w:rPr>
              <w:t>中标单位不得擅自将本合同的服务内容部分或全部转包或分包给他人。否则，采购人有权单方面终止合同，因此产生的损失由中标单位负责。（提供单独承诺函）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1" w:hRule="atLeast"/>
          <w:jc w:val="center"/>
        </w:trPr>
        <w:tc>
          <w:tcPr>
            <w:tcW w:w="443" w:type="pct"/>
            <w:vMerge w:val="continue"/>
            <w:vAlign w:val="center"/>
          </w:tcPr>
          <w:p>
            <w:pPr>
              <w:widowControl/>
              <w:jc w:val="center"/>
              <w:rPr>
                <w:rFonts w:ascii="宋体" w:hAnsi="宋体"/>
                <w:color w:val="000000" w:themeColor="text1"/>
                <w:szCs w:val="21"/>
                <w:highlight w:val="none"/>
                <w14:textFill>
                  <w14:solidFill>
                    <w14:schemeClr w14:val="tx1"/>
                  </w14:solidFill>
                </w14:textFill>
              </w:rPr>
            </w:pPr>
          </w:p>
        </w:tc>
        <w:tc>
          <w:tcPr>
            <w:tcW w:w="707" w:type="pct"/>
            <w:vMerge w:val="continue"/>
            <w:vAlign w:val="center"/>
          </w:tcPr>
          <w:p>
            <w:pPr>
              <w:widowControl/>
              <w:jc w:val="center"/>
              <w:rPr>
                <w:rFonts w:ascii="宋体" w:hAnsi="宋体"/>
                <w:color w:val="000000" w:themeColor="text1"/>
                <w:szCs w:val="21"/>
                <w:highlight w:val="none"/>
                <w14:textFill>
                  <w14:solidFill>
                    <w14:schemeClr w14:val="tx1"/>
                  </w14:solidFill>
                </w14:textFill>
              </w:rPr>
            </w:pPr>
          </w:p>
        </w:tc>
        <w:tc>
          <w:tcPr>
            <w:tcW w:w="3849" w:type="pct"/>
            <w:vAlign w:val="center"/>
          </w:tcPr>
          <w:p>
            <w:pPr>
              <w:widowControl/>
              <w:ind w:firstLine="422" w:firstLineChars="200"/>
              <w:jc w:val="both"/>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合同签订后，中标单位必须在承包地域范围内设有固定的办公场所和独立管理办公室、停放作业车辆的停车场及洗车场、摆放作业工具和药物的货仓等场地；设有一个大件垃圾收集点；配齐日常的办公用品、作业工具和配套设备。（提供单独承诺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1" w:hRule="atLeast"/>
          <w:jc w:val="center"/>
        </w:trPr>
        <w:tc>
          <w:tcPr>
            <w:tcW w:w="443" w:type="pct"/>
            <w:vMerge w:val="continue"/>
            <w:vAlign w:val="center"/>
          </w:tcPr>
          <w:p>
            <w:pPr>
              <w:widowControl/>
              <w:jc w:val="center"/>
              <w:rPr>
                <w:rFonts w:ascii="宋体" w:hAnsi="宋体"/>
                <w:color w:val="000000" w:themeColor="text1"/>
                <w:szCs w:val="21"/>
                <w:highlight w:val="none"/>
                <w14:textFill>
                  <w14:solidFill>
                    <w14:schemeClr w14:val="tx1"/>
                  </w14:solidFill>
                </w14:textFill>
              </w:rPr>
            </w:pPr>
          </w:p>
        </w:tc>
        <w:tc>
          <w:tcPr>
            <w:tcW w:w="707" w:type="pct"/>
            <w:vMerge w:val="continue"/>
            <w:vAlign w:val="center"/>
          </w:tcPr>
          <w:p>
            <w:pPr>
              <w:widowControl/>
              <w:jc w:val="center"/>
              <w:rPr>
                <w:rFonts w:ascii="宋体" w:hAnsi="宋体"/>
                <w:color w:val="000000" w:themeColor="text1"/>
                <w:szCs w:val="21"/>
                <w:highlight w:val="none"/>
                <w14:textFill>
                  <w14:solidFill>
                    <w14:schemeClr w14:val="tx1"/>
                  </w14:solidFill>
                </w14:textFill>
              </w:rPr>
            </w:pPr>
          </w:p>
        </w:tc>
        <w:tc>
          <w:tcPr>
            <w:tcW w:w="3849" w:type="pct"/>
            <w:vAlign w:val="center"/>
          </w:tcPr>
          <w:p>
            <w:pPr>
              <w:widowControl/>
              <w:ind w:firstLine="420" w:firstLineChars="200"/>
              <w:jc w:val="both"/>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3、投标人应充分结合本招标文件上下文了解项目招标需求、采购文件未尽事宜，将在合同签订或项目执行过程中双方协商确定，供应商须无条件满足采购单位的合理要求。</w:t>
            </w:r>
          </w:p>
        </w:tc>
      </w:tr>
    </w:tbl>
    <w:p>
      <w:pPr>
        <w:rPr>
          <w:color w:val="000000" w:themeColor="text1"/>
          <w:highlight w:val="none"/>
          <w14:textFill>
            <w14:solidFill>
              <w14:schemeClr w14:val="tx1"/>
            </w14:solidFill>
          </w14:textFill>
        </w:rPr>
        <w:sectPr>
          <w:footerReference r:id="rId4" w:type="default"/>
          <w:pgSz w:w="11906" w:h="16838"/>
          <w:pgMar w:top="1440" w:right="1800" w:bottom="1440" w:left="1800" w:header="851" w:footer="992" w:gutter="0"/>
          <w:pgNumType w:start="1"/>
          <w:cols w:space="425" w:num="1"/>
          <w:docGrid w:type="lines" w:linePitch="312" w:charSpace="0"/>
        </w:sectPr>
      </w:pPr>
    </w:p>
    <w:p>
      <w:pPr>
        <w:pStyle w:val="2"/>
        <w:jc w:val="center"/>
        <w:rPr>
          <w:b/>
          <w:bCs/>
          <w:color w:val="000000" w:themeColor="text1"/>
          <w:sz w:val="28"/>
          <w:szCs w:val="36"/>
          <w:highlight w:val="none"/>
          <w14:textFill>
            <w14:solidFill>
              <w14:schemeClr w14:val="tx1"/>
            </w14:solidFill>
          </w14:textFill>
        </w:rPr>
      </w:pPr>
      <w:bookmarkStart w:id="141" w:name="_Toc4572"/>
      <w:r>
        <w:rPr>
          <w:rFonts w:hint="eastAsia"/>
          <w:b/>
          <w:bCs/>
          <w:color w:val="000000" w:themeColor="text1"/>
          <w:sz w:val="28"/>
          <w:szCs w:val="36"/>
          <w:highlight w:val="none"/>
          <w14:textFill>
            <w14:solidFill>
              <w14:schemeClr w14:val="tx1"/>
            </w14:solidFill>
          </w14:textFill>
        </w:rPr>
        <w:t>技术要求</w:t>
      </w:r>
      <w:bookmarkEnd w:id="141"/>
    </w:p>
    <w:p>
      <w:pPr>
        <w:overflowPunct w:val="0"/>
        <w:autoSpaceDE w:val="0"/>
        <w:autoSpaceDN w:val="0"/>
        <w:spacing w:before="156" w:beforeLines="50" w:after="156" w:afterLines="50" w:line="360" w:lineRule="auto"/>
        <w:textAlignment w:val="baseline"/>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一、服务范围及内容</w:t>
      </w:r>
    </w:p>
    <w:p>
      <w:pPr>
        <w:widowControl/>
        <w:adjustRightInd w:val="0"/>
        <w:snapToGrid w:val="0"/>
        <w:spacing w:line="360" w:lineRule="auto"/>
        <w:ind w:firstLine="420" w:firstLineChars="200"/>
        <w:rPr>
          <w:rFonts w:ascii="宋体" w:hAnsi="宋体" w:cs="宋体"/>
          <w:color w:val="000000" w:themeColor="text1"/>
          <w:szCs w:val="21"/>
          <w:highlight w:val="none"/>
          <w:lang w:val="zh-CN" w:bidi="zh-CN"/>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主要包含厦岗社区区域范围面积内的清扫保洁、绿化保洁、冲洗降尘、“牛皮癣”清理（3米以下）、雨水井清理、生活垃圾收集至转运站（收集点）、环卫器具清洗管理等环卫保洁作业内容，以及</w:t>
      </w:r>
      <w:r>
        <w:rPr>
          <w:rFonts w:hint="eastAsia" w:ascii="宋体" w:hAnsi="宋体" w:cs="宋体"/>
          <w:color w:val="000000" w:themeColor="text1"/>
          <w:szCs w:val="21"/>
          <w:highlight w:val="none"/>
          <w:lang w:bidi="zh-CN"/>
          <w14:textFill>
            <w14:solidFill>
              <w14:schemeClr w14:val="tx1"/>
            </w14:solidFill>
          </w14:textFill>
        </w:rPr>
        <w:t>绿化养护、</w:t>
      </w:r>
      <w:r>
        <w:rPr>
          <w:rFonts w:hint="eastAsia" w:ascii="宋体" w:hAnsi="宋体" w:cs="宋体"/>
          <w:color w:val="000000" w:themeColor="text1"/>
          <w:szCs w:val="21"/>
          <w:highlight w:val="none"/>
          <w:lang w:val="zh-CN" w:bidi="zh-CN"/>
          <w14:textFill>
            <w14:solidFill>
              <w14:schemeClr w14:val="tx1"/>
            </w14:solidFill>
          </w14:textFill>
        </w:rPr>
        <w:t>中转站管养、公厕管养、水面保洁等内容。保洁面积约1454637.03平方米。共计9个公厕，</w:t>
      </w:r>
      <w:r>
        <w:rPr>
          <w:rFonts w:hint="eastAsia" w:ascii="宋体" w:hAnsi="宋体" w:cs="宋体"/>
          <w:color w:val="000000" w:themeColor="text1"/>
          <w:szCs w:val="21"/>
          <w:highlight w:val="none"/>
          <w:lang w:bidi="zh-CN"/>
          <w14:textFill>
            <w14:solidFill>
              <w14:schemeClr w14:val="tx1"/>
            </w14:solidFill>
          </w14:textFill>
        </w:rPr>
        <w:t>3</w:t>
      </w:r>
      <w:r>
        <w:rPr>
          <w:rFonts w:hint="eastAsia" w:ascii="宋体" w:hAnsi="宋体" w:cs="宋体"/>
          <w:color w:val="000000" w:themeColor="text1"/>
          <w:szCs w:val="21"/>
          <w:highlight w:val="none"/>
          <w:lang w:val="zh-CN" w:bidi="zh-CN"/>
          <w14:textFill>
            <w14:solidFill>
              <w14:schemeClr w14:val="tx1"/>
            </w14:solidFill>
          </w14:textFill>
        </w:rPr>
        <w:t>个中转站。河涌</w:t>
      </w:r>
      <w:r>
        <w:rPr>
          <w:rFonts w:hint="eastAsia" w:ascii="宋体" w:hAnsi="宋体" w:cs="宋体"/>
          <w:color w:val="000000" w:themeColor="text1"/>
          <w:szCs w:val="21"/>
          <w:highlight w:val="none"/>
          <w:lang w:bidi="zh-CN"/>
          <w14:textFill>
            <w14:solidFill>
              <w14:schemeClr w14:val="tx1"/>
            </w14:solidFill>
          </w14:textFill>
        </w:rPr>
        <w:t>6</w:t>
      </w:r>
      <w:r>
        <w:rPr>
          <w:rFonts w:hint="eastAsia" w:ascii="宋体" w:hAnsi="宋体" w:cs="宋体"/>
          <w:color w:val="000000" w:themeColor="text1"/>
          <w:szCs w:val="21"/>
          <w:highlight w:val="none"/>
          <w:lang w:val="zh-CN" w:bidi="zh-CN"/>
          <w14:textFill>
            <w14:solidFill>
              <w14:schemeClr w14:val="tx1"/>
            </w14:solidFill>
          </w14:textFill>
        </w:rPr>
        <w:t>段。</w:t>
      </w:r>
    </w:p>
    <w:p>
      <w:pPr>
        <w:widowControl/>
        <w:adjustRightInd w:val="0"/>
        <w:snapToGrid w:val="0"/>
        <w:spacing w:line="360" w:lineRule="auto"/>
        <w:ind w:firstLine="420" w:firstLineChars="200"/>
        <w:rPr>
          <w:rFonts w:ascii="宋体" w:hAnsi="宋体" w:cs="宋体"/>
          <w:color w:val="000000" w:themeColor="text1"/>
          <w:szCs w:val="21"/>
          <w:highlight w:val="none"/>
          <w:lang w:val="zh-CN" w:bidi="zh-CN"/>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具体工作内容包括：</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1、道路保洁。社区公共区域内的道路（含地面和地下人行道、人行天桥、车行隧道等）和公共场所（含公园广场、步行街、过往车辆洒落物等）清扫保洁，以及冲洗、清洗、洒水降尘作业。</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2、水面保洁。含社区地域范围内所有池塘等水面区域保洁，包括水面区域内水草的清理和垃圾、水面漂浮物的打捞和清理等相关水面保洁工作内容。</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3、河道保洁。社区范围内的河道清扫保洁（含河道左右两岸各往外延伸6米范围内的区域保洁）。</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4、绿化保洁（含绿地）。各社区范围内的所有绿化（含绿地保洁）作业保洁内容，绿化带垃圾清理，保持绿化地无枯枝、干叶、杂物、无烟蒂、无其他非绿地装饰品的放置，确保绿化地美观整洁。</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5、绿化养护。</w:t>
      </w:r>
      <w:r>
        <w:rPr>
          <w:rFonts w:hint="eastAsia"/>
          <w:color w:val="000000" w:themeColor="text1"/>
          <w:highlight w:val="none"/>
          <w14:textFill>
            <w14:solidFill>
              <w14:schemeClr w14:val="tx1"/>
            </w14:solidFill>
          </w14:textFill>
        </w:rPr>
        <w:t>福海路、厦岗振安路至沿江高速口路段</w:t>
      </w:r>
      <w:r>
        <w:rPr>
          <w:rFonts w:hint="eastAsia"/>
          <w:color w:val="000000" w:themeColor="text1"/>
          <w:highlight w:val="none"/>
          <w:lang w:val="zh-CN"/>
          <w14:textFill>
            <w14:solidFill>
              <w14:schemeClr w14:val="tx1"/>
            </w14:solidFill>
          </w14:textFill>
        </w:rPr>
        <w:t>范围内行道树和绿化带植物施肥、病害处理、淋水、苗木修剪等工作内容。该部分工作涉及的费用已包含在环卫保洁总费用中，采购人不再另行支付费用。</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6、</w:t>
      </w:r>
      <w:r>
        <w:rPr>
          <w:rFonts w:hint="eastAsia"/>
          <w:color w:val="000000" w:themeColor="text1"/>
          <w:highlight w:val="none"/>
          <w:lang w:val="zh-CN"/>
          <w14:textFill>
            <w14:solidFill>
              <w14:schemeClr w14:val="tx1"/>
            </w14:solidFill>
          </w14:textFill>
        </w:rPr>
        <w:t>立面保洁。外立面3米范围内的“牛皮癣”清理（含3米）。-牛皮癣为3米以下区域</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7</w:t>
      </w:r>
      <w:r>
        <w:rPr>
          <w:rFonts w:hint="eastAsia"/>
          <w:color w:val="000000" w:themeColor="text1"/>
          <w:highlight w:val="none"/>
          <w:lang w:val="zh-CN"/>
          <w14:textFill>
            <w14:solidFill>
              <w14:schemeClr w14:val="tx1"/>
            </w14:solidFill>
          </w14:textFill>
        </w:rPr>
        <w:t>、社区公厕管养与保洁；包括公厕的管养维护，每座公共厕所要实施专人管理，专职保洁管理人员不少于2人，实行轮班制，保洁管理时间不少于16小时，巡回对厕所及其5米范围内周边环境进行清扫、冲洗、消毒，管养及维护，并定期清理化粪池。公共厕所免费开放、公共厕所内设施完好无损，免费提供卫生纸、洗手液，“星级公厕”提供便民服务。</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8</w:t>
      </w:r>
      <w:r>
        <w:rPr>
          <w:rFonts w:hint="eastAsia"/>
          <w:color w:val="000000" w:themeColor="text1"/>
          <w:highlight w:val="none"/>
          <w:lang w:val="zh-CN"/>
          <w14:textFill>
            <w14:solidFill>
              <w14:schemeClr w14:val="tx1"/>
            </w14:solidFill>
          </w14:textFill>
        </w:rPr>
        <w:t>、社区中转站管养与保洁。包括中转站的运营维护，每座中转站要实施专人管理，专职保洁管理人员不少于2人，实行轮班制，保洁管理时间不少于16小时；中转站运行期间必须开启除臭设施；垃圾转运站内生活垃圾必须日产日清，因特殊情况不能日清必须落实除臭措施，严禁在站外堆积。优化设置垃圾收集点。</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9</w:t>
      </w:r>
      <w:r>
        <w:rPr>
          <w:rFonts w:hint="eastAsia"/>
          <w:color w:val="000000" w:themeColor="text1"/>
          <w:highlight w:val="none"/>
          <w:lang w:val="zh-CN"/>
          <w14:textFill>
            <w14:solidFill>
              <w14:schemeClr w14:val="tx1"/>
            </w14:solidFill>
          </w14:textFill>
        </w:rPr>
        <w:t>、社区清扫保洁范围内所有果皮箱、垃圾桶、垃圾收集点的清掏、保洁、维护、维修、丢失（损坏）补齐等，确保果皮箱（桶）、垃圾收集点内垃圾日产日清无积压，外壳清洁，摆放整齐。路面垃圾、果皮箱垃圾、660L以下垃圾桶垃圾由环卫工人使用手推车或三轮车收集运至社区中转站。</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10</w:t>
      </w:r>
      <w:r>
        <w:rPr>
          <w:rFonts w:hint="eastAsia"/>
          <w:color w:val="000000" w:themeColor="text1"/>
          <w:highlight w:val="none"/>
          <w:lang w:val="zh-CN"/>
          <w14:textFill>
            <w14:solidFill>
              <w14:schemeClr w14:val="tx1"/>
            </w14:solidFill>
          </w14:textFill>
        </w:rPr>
        <w:t>、社区清扫保洁范围内所有环卫作业设施设备、市政设施、公共设施、收集容器、沙井、交通护栏、道路两侧休闲椅、康体娱乐设施、雕塑、灯杆、道路两侧路牌、邮筒、读报栏、站亭、广告牌等设备的清理冲洗保洁。</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1</w:t>
      </w:r>
      <w:r>
        <w:rPr>
          <w:rFonts w:hint="eastAsia"/>
          <w:color w:val="000000" w:themeColor="text1"/>
          <w:highlight w:val="none"/>
          <w14:textFill>
            <w14:solidFill>
              <w14:schemeClr w14:val="tx1"/>
            </w14:solidFill>
          </w14:textFill>
        </w:rPr>
        <w:t>1</w:t>
      </w:r>
      <w:r>
        <w:rPr>
          <w:rFonts w:hint="eastAsia"/>
          <w:color w:val="000000" w:themeColor="text1"/>
          <w:highlight w:val="none"/>
          <w:lang w:val="zh-CN"/>
          <w14:textFill>
            <w14:solidFill>
              <w14:schemeClr w14:val="tx1"/>
            </w14:solidFill>
          </w14:textFill>
        </w:rPr>
        <w:t>、各社区区域内规定的其他环卫保洁内容。包括但不限于大件垃圾、园林废弃物等垃圾的收运清理。</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1</w:t>
      </w:r>
      <w:r>
        <w:rPr>
          <w:rFonts w:hint="eastAsia"/>
          <w:color w:val="000000" w:themeColor="text1"/>
          <w:highlight w:val="none"/>
          <w14:textFill>
            <w14:solidFill>
              <w14:schemeClr w14:val="tx1"/>
            </w14:solidFill>
          </w14:textFill>
        </w:rPr>
        <w:t>2</w:t>
      </w:r>
      <w:r>
        <w:rPr>
          <w:rFonts w:hint="eastAsia"/>
          <w:color w:val="000000" w:themeColor="text1"/>
          <w:highlight w:val="none"/>
          <w:lang w:val="zh-CN"/>
          <w14:textFill>
            <w14:solidFill>
              <w14:schemeClr w14:val="tx1"/>
            </w14:solidFill>
          </w14:textFill>
        </w:rPr>
        <w:t>、生活垃圾收运。包括两条线的收运：生活垃圾的直接收运和中转收运。直接收运指将社区范围内的工厂企业、物业小区、路面660L垃圾桶垃圾及公共场所等场所垃圾由后置压缩车直接收集运至红花坑中转站；中转收运指将社区垃圾中转站垃圾由勾臂车压缩运至红花坑转运站。</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1</w:t>
      </w:r>
      <w:r>
        <w:rPr>
          <w:rFonts w:hint="eastAsia"/>
          <w:color w:val="000000" w:themeColor="text1"/>
          <w:highlight w:val="none"/>
          <w14:textFill>
            <w14:solidFill>
              <w14:schemeClr w14:val="tx1"/>
            </w14:solidFill>
          </w14:textFill>
        </w:rPr>
        <w:t>3</w:t>
      </w:r>
      <w:r>
        <w:rPr>
          <w:rFonts w:hint="eastAsia"/>
          <w:color w:val="000000" w:themeColor="text1"/>
          <w:highlight w:val="none"/>
          <w:lang w:val="zh-CN"/>
          <w14:textFill>
            <w14:solidFill>
              <w14:schemeClr w14:val="tx1"/>
            </w14:solidFill>
          </w14:textFill>
        </w:rPr>
        <w:t>、有害垃圾收运。包括社区有害垃圾收集站的管养和维护，以及在社区范围内的有害垃圾存放点收取有害垃圾。负责每天有害垃圾的清点，统计，登记造册，做好有害垃圾的清运台账，每月提交至城管部门。每天工作结束后清理消毒有害垃圾回收车。具体根据实际情况进行合理调配。有害垃圾及时运输至指定终端处置点，由处置单位接收，中途不混入其它垃圾或水等非有害垃圾。</w:t>
      </w:r>
    </w:p>
    <w:p>
      <w:pPr>
        <w:widowControl/>
        <w:adjustRightInd w:val="0"/>
        <w:snapToGrid w:val="0"/>
        <w:spacing w:line="360" w:lineRule="auto"/>
        <w:ind w:firstLine="422" w:firstLineChars="200"/>
        <w:rPr>
          <w:rFonts w:ascii="宋体" w:hAnsi="宋体" w:cs="宋体"/>
          <w:b/>
          <w:bCs/>
          <w:color w:val="000000" w:themeColor="text1"/>
          <w:szCs w:val="21"/>
          <w:highlight w:val="none"/>
          <w:lang w:bidi="zh-CN"/>
          <w14:textFill>
            <w14:solidFill>
              <w14:schemeClr w14:val="tx1"/>
            </w14:solidFill>
          </w14:textFill>
        </w:rPr>
      </w:pPr>
      <w:r>
        <w:rPr>
          <w:rFonts w:hint="eastAsia" w:ascii="宋体" w:hAnsi="宋体" w:cs="宋体"/>
          <w:b/>
          <w:bCs/>
          <w:color w:val="000000" w:themeColor="text1"/>
          <w:szCs w:val="21"/>
          <w:highlight w:val="none"/>
          <w:lang w:bidi="zh-CN"/>
          <w14:textFill>
            <w14:solidFill>
              <w14:schemeClr w14:val="tx1"/>
            </w14:solidFill>
          </w14:textFill>
        </w:rPr>
        <w:t>注：以下面积仅供参考，具体实际面积数量以中标供应商与采购人核实为准。如实施过程中因道路扩建、改建或施工围蔽期间造成清扫保洁面积增减，根据相关规定进行确定，具体面积按实际丈量计算。</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（一）长安镇厦岗社区道路环卫保洁测量面积统计表如下：</w:t>
      </w:r>
    </w:p>
    <w:tbl>
      <w:tblPr>
        <w:tblStyle w:val="17"/>
        <w:tblW w:w="4869" w:type="pct"/>
        <w:tblInd w:w="0" w:type="dxa"/>
        <w:tblLayout w:type="fixed"/>
        <w:tblCellMar>
          <w:top w:w="0" w:type="dxa"/>
          <w:left w:w="108" w:type="dxa"/>
          <w:bottom w:w="0" w:type="dxa"/>
          <w:right w:w="108" w:type="dxa"/>
        </w:tblCellMar>
      </w:tblPr>
      <w:tblGrid>
        <w:gridCol w:w="665"/>
        <w:gridCol w:w="3166"/>
        <w:gridCol w:w="1564"/>
        <w:gridCol w:w="2898"/>
      </w:tblGrid>
      <w:tr>
        <w:tblPrEx>
          <w:tblCellMar>
            <w:top w:w="0" w:type="dxa"/>
            <w:left w:w="108" w:type="dxa"/>
            <w:bottom w:w="0" w:type="dxa"/>
            <w:right w:w="108" w:type="dxa"/>
          </w:tblCellMar>
        </w:tblPrEx>
        <w:trPr>
          <w:trHeight w:val="6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序号</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名称</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面积(㎡)</w:t>
            </w: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备注</w:t>
            </w: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395232.84</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工业园区环卫保洁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307721.01</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公园、广场环卫保洁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52401.9</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围闭式无物管住宅区环卫保洁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51585</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无围闭住宅区环卫保洁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155565.93</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33765.91</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闲置地环卫保洁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55"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河涌、鱼塘保洁（水域保洁）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430238.24</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55"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河岸6米</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28126.2</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690" w:hRule="atLeast"/>
        </w:trPr>
        <w:tc>
          <w:tcPr>
            <w:tcW w:w="23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 计</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 1454637.03</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其中包含绿化(49523.15)</w:t>
            </w:r>
          </w:p>
        </w:tc>
      </w:tr>
    </w:tbl>
    <w:p>
      <w:pPr>
        <w:rPr>
          <w:rFonts w:ascii="宋体" w:hAnsi="宋体" w:cs="宋体"/>
          <w:color w:val="000000" w:themeColor="text1"/>
          <w:szCs w:val="21"/>
          <w:highlight w:val="none"/>
          <w:lang w:bidi="zh-CN"/>
          <w14:textFill>
            <w14:solidFill>
              <w14:schemeClr w14:val="tx1"/>
            </w14:solidFill>
          </w14:textFill>
        </w:rPr>
      </w:pPr>
    </w:p>
    <w:p>
      <w:pPr>
        <w:spacing w:line="288" w:lineRule="auto"/>
        <w:ind w:firstLine="422" w:firstLineChars="200"/>
        <w:jc w:val="center"/>
        <w:rPr>
          <w:rFonts w:ascii="宋体" w:hAnsi="宋体" w:cs="宋体"/>
          <w:b/>
          <w:bCs/>
          <w:color w:val="000000" w:themeColor="text1"/>
          <w:szCs w:val="21"/>
          <w:highlight w:val="none"/>
          <w:lang w:bidi="zh-CN"/>
          <w14:textFill>
            <w14:solidFill>
              <w14:schemeClr w14:val="tx1"/>
            </w14:solidFill>
          </w14:textFill>
        </w:rPr>
      </w:pPr>
      <w:r>
        <w:rPr>
          <w:rFonts w:hint="eastAsia" w:ascii="宋体" w:hAnsi="宋体" w:cs="宋体"/>
          <w:b/>
          <w:bCs/>
          <w:color w:val="000000" w:themeColor="text1"/>
          <w:szCs w:val="21"/>
          <w:highlight w:val="none"/>
          <w:lang w:bidi="zh-CN"/>
          <w14:textFill>
            <w14:solidFill>
              <w14:schemeClr w14:val="tx1"/>
            </w14:solidFill>
          </w14:textFill>
        </w:rPr>
        <w:t>《东莞市长安镇</w:t>
      </w:r>
      <w:r>
        <w:rPr>
          <w:rFonts w:hint="eastAsia"/>
          <w:b/>
          <w:bCs/>
          <w:color w:val="000000" w:themeColor="text1"/>
          <w:highlight w:val="none"/>
          <w:lang w:val="zh-CN"/>
          <w14:textFill>
            <w14:solidFill>
              <w14:schemeClr w14:val="tx1"/>
            </w14:solidFill>
          </w14:textFill>
        </w:rPr>
        <w:t>厦岗</w:t>
      </w:r>
      <w:r>
        <w:rPr>
          <w:rFonts w:hint="eastAsia" w:ascii="宋体" w:hAnsi="宋体" w:cs="宋体"/>
          <w:b/>
          <w:bCs/>
          <w:color w:val="000000" w:themeColor="text1"/>
          <w:szCs w:val="21"/>
          <w:highlight w:val="none"/>
          <w:lang w:bidi="zh-CN"/>
          <w14:textFill>
            <w14:solidFill>
              <w14:schemeClr w14:val="tx1"/>
            </w14:solidFill>
          </w14:textFill>
        </w:rPr>
        <w:t>社区环卫保洁测量面积统计表》</w:t>
      </w:r>
    </w:p>
    <w:tbl>
      <w:tblPr>
        <w:tblStyle w:val="17"/>
        <w:tblW w:w="5000" w:type="pct"/>
        <w:tblInd w:w="0" w:type="dxa"/>
        <w:tblLayout w:type="autofit"/>
        <w:tblCellMar>
          <w:top w:w="0" w:type="dxa"/>
          <w:left w:w="108" w:type="dxa"/>
          <w:bottom w:w="0" w:type="dxa"/>
          <w:right w:w="108" w:type="dxa"/>
        </w:tblCellMar>
      </w:tblPr>
      <w:tblGrid>
        <w:gridCol w:w="426"/>
        <w:gridCol w:w="2148"/>
        <w:gridCol w:w="951"/>
        <w:gridCol w:w="745"/>
        <w:gridCol w:w="1169"/>
        <w:gridCol w:w="1169"/>
        <w:gridCol w:w="1169"/>
        <w:gridCol w:w="739"/>
      </w:tblGrid>
      <w:tr>
        <w:tblPrEx>
          <w:tblCellMar>
            <w:top w:w="0" w:type="dxa"/>
            <w:left w:w="108" w:type="dxa"/>
            <w:bottom w:w="0" w:type="dxa"/>
            <w:right w:w="108" w:type="dxa"/>
          </w:tblCellMar>
        </w:tblPrEx>
        <w:trPr>
          <w:trHeight w:val="362"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tcPr>
          <w:p>
            <w:pPr>
              <w:widowControl/>
              <w:ind w:firstLine="422" w:firstLineChars="20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社区道路环卫保洁测量面积统计表</w:t>
            </w:r>
          </w:p>
        </w:tc>
      </w:tr>
      <w:tr>
        <w:tblPrEx>
          <w:tblCellMar>
            <w:top w:w="0" w:type="dxa"/>
            <w:left w:w="108" w:type="dxa"/>
            <w:bottom w:w="0" w:type="dxa"/>
            <w:right w:w="108" w:type="dxa"/>
          </w:tblCellMar>
        </w:tblPrEx>
        <w:trPr>
          <w:trHeight w:val="375"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tcPr>
          <w:p>
            <w:pPr>
              <w:widowControl/>
              <w:ind w:firstLine="632" w:firstLineChars="30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(五条主干道除外)</w:t>
            </w:r>
          </w:p>
        </w:tc>
      </w:tr>
      <w:tr>
        <w:tblPrEx>
          <w:tblCellMar>
            <w:top w:w="0" w:type="dxa"/>
            <w:left w:w="108" w:type="dxa"/>
            <w:bottom w:w="0" w:type="dxa"/>
            <w:right w:w="108" w:type="dxa"/>
          </w:tblCellMar>
        </w:tblPrEx>
        <w:trPr>
          <w:trHeight w:val="600" w:hRule="atLeast"/>
        </w:trPr>
        <w:tc>
          <w:tcPr>
            <w:tcW w:w="25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262"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路段名称</w:t>
            </w:r>
          </w:p>
        </w:tc>
        <w:tc>
          <w:tcPr>
            <w:tcW w:w="558" w:type="pct"/>
            <w:tcBorders>
              <w:top w:val="single" w:color="auto"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道路长度</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(m)</w:t>
            </w:r>
          </w:p>
        </w:tc>
        <w:tc>
          <w:tcPr>
            <w:tcW w:w="438" w:type="pct"/>
            <w:tcBorders>
              <w:top w:val="single" w:color="auto"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道路宽度</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(m)</w:t>
            </w:r>
          </w:p>
        </w:tc>
        <w:tc>
          <w:tcPr>
            <w:tcW w:w="686" w:type="pct"/>
            <w:tcBorders>
              <w:top w:val="single" w:color="auto"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机动车道面</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积(㎡)</w:t>
            </w:r>
          </w:p>
        </w:tc>
        <w:tc>
          <w:tcPr>
            <w:tcW w:w="686" w:type="pct"/>
            <w:tcBorders>
              <w:top w:val="single" w:color="auto"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人行道面积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w:t>
            </w:r>
          </w:p>
        </w:tc>
        <w:tc>
          <w:tcPr>
            <w:tcW w:w="686" w:type="pct"/>
            <w:tcBorders>
              <w:top w:val="single" w:color="auto"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清扫总面积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w:t>
            </w:r>
          </w:p>
        </w:tc>
        <w:tc>
          <w:tcPr>
            <w:tcW w:w="43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(5-1)福海路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4486.79</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62.37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144812.36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70702.55</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256010.44</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(5-3)得富西路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278.26</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33.33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4199.3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4092.1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8517</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(5-4)金沙西路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187.77</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34.04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3078.61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3025.37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6103.98</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(5-5)逢新街</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311.82</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2900.46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1507.75</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4408.21</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(5-6)盘福东路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338.23</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16.84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3017.15</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1918.29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5142.7</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(6-2)金沙西路二巷</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112.89</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5.62</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484.18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211.46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695.64</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(6-4)嘉美厂前巷道</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119.35</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7.12</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1136.54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1136.54</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(6-5)盘福南路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345.82</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8.49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2385.19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609.17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2994.36</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(7-2)先兴中街</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264.72</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2032.79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2218.27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4251.06</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(8-5)盘福北路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255.69</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1784.5</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642.12</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2426.62</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(8-6)盘福西路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139.85</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1552.53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1552.53</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(8-9)同心路二巷</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268.37</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1658.57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391.01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2142.22</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(8-10)同心路一巷</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683.89</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15.37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8052.84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8374.91</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(8-11)同心路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837</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25.03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13452.98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6441.66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21033.66</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(8-14)大塘路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114.8</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924.83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301.94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1226.77</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(8-15)先兴南街</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343.33</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16.97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3094.64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3094.64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6496.49</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(8-16)沿江北街</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1196.26</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6609.6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6609.6</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(11-23)屠宰场门前路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233.07</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2323.4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2323.4</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新增</w:t>
            </w: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(12-2)祥隆路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6809.92</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10123.33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19043.49</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w:t>
            </w: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(12-7)隆裕苑四巷</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494.63</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25.33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7507.52</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5018.39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12525.91</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（12-5）码头路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1937.33</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22217.31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22217.31</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新增</w:t>
            </w:r>
          </w:p>
        </w:tc>
      </w:tr>
      <w:tr>
        <w:tblPrEx>
          <w:tblCellMar>
            <w:top w:w="0" w:type="dxa"/>
            <w:left w:w="108" w:type="dxa"/>
            <w:bottom w:w="0" w:type="dxa"/>
            <w:right w:w="108" w:type="dxa"/>
          </w:tblCellMar>
        </w:tblPrEx>
        <w:trPr>
          <w:trHeight w:val="592"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558"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222683.71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127649.56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395232.84</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203"/>
        <w:gridCol w:w="951"/>
        <w:gridCol w:w="802"/>
        <w:gridCol w:w="1063"/>
        <w:gridCol w:w="1169"/>
        <w:gridCol w:w="1169"/>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8"/>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社区工业园区环卫保洁测量面积统计表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000" w:type="pct"/>
            <w:gridSpan w:val="8"/>
            <w:shd w:val="clear" w:color="auto" w:fill="auto"/>
          </w:tcPr>
          <w:p>
            <w:pPr>
              <w:widowControl/>
              <w:jc w:val="center"/>
              <w:textAlignment w:val="top"/>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(围闭式工业园除外)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324"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工业园区路段名称</w:t>
            </w:r>
          </w:p>
        </w:tc>
        <w:tc>
          <w:tcPr>
            <w:tcW w:w="541"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道路长度</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(m)</w:t>
            </w:r>
          </w:p>
        </w:tc>
        <w:tc>
          <w:tcPr>
            <w:tcW w:w="501"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道路宽度</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(m)</w:t>
            </w:r>
          </w:p>
        </w:tc>
        <w:tc>
          <w:tcPr>
            <w:tcW w:w="628"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机动车道面</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积(㎡)</w:t>
            </w:r>
          </w:p>
        </w:tc>
        <w:tc>
          <w:tcPr>
            <w:tcW w:w="682"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人行道面积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w:t>
            </w:r>
          </w:p>
        </w:tc>
        <w:tc>
          <w:tcPr>
            <w:tcW w:w="601"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清扫总面积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w:t>
            </w:r>
          </w:p>
        </w:tc>
        <w:tc>
          <w:tcPr>
            <w:tcW w:w="4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(1-1)大山东街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509.7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4317.67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4317.67</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(1-2)岗沙路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573.13</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2728.39</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1664.77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4523.18</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(2-1)康明街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312.57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12.62</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3327.66</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3327.66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(2-2)龙源街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274.87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9.51</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2662.89</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2662.89</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(2-3)茅山东街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176.03</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16.46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1272.03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1438.03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2710.06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(2-4)环亚商标厂前巷</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140.25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1018.08</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1323.37</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(2-6)康明街北侧巷道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140.73</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9.87</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1330.25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1330.25</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(2-7)茅山西街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90.54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13.15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692.21</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522.22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1214.43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(3-1)开源路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520.83</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11144.82</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6462.42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17834.15</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(3-2)佛子前路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196.72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12.31</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1638.77</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1062.57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2830.04</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(3-3)先兴北街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458.6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14.9</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3560.93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2370.75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7061.33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(3-4)先兴北街西侧巷道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127.77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10.43</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1164.91</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1257.13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(3-6)福荫路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718.29</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20.11</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8496.26</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5856.34</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14464.93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(3-7)富荣街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248.61</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13.91</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2959.99</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2959.99</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(3-8)厦岗小学西侧巷道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188.48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9.04</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1600.2</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(3-9)宝越厂西侧巷道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61.82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6.28</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399.46</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399.46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(4-1)朗蟹东街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219.98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11.89</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2470.08</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2470.08</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(4-2)朗蟹西街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312.75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20.36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3449.39</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2402.31</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6008.81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(4-3)金沙东路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272.78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24.31</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3856.19</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2566.68</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6774.61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(4-4)新业东街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210.25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2761.13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2761.13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(4-5)新业北路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15.08</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3291.94</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2349.13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5641.07</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(4-6)得富东路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128.32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27.06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1968.06</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1514.17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3482.23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(4-7)新业南路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299.25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2720.85</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1693.77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4414.62</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(4-8)正扬厂北侧巷道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75.76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16.27</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756.66</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463.01</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1219.67</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(10-1)艾迪索东侧巷道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199.02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9.59</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1838.29</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1901.33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(10-2)市场东街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316.48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2476.26</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2190.25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4666.52</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(10-3)辰林厂西侧巷道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245.77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15.85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2594.07</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1225.84</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3819.91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(10-4)艾迪索西侧巷道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204.24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2236.86</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2236.86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(10-5)晟太东街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261.07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14.28</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3759.73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3759.73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(10-7)江南南街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863.22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8703.01</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7870.05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16573.06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(10-9)沿江南街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821.85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9.63</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7080.16</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7080.16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(10-10)联合路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1039.8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11277.9</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7270.87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19464.3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(10-12)晟太西街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510.44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18.33</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5403.41</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4069.72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9473.13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(10-13)永正厂西侧巷道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465.01</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12.13</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5135.73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5135.73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(10-14)厦联路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815.46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25.17</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12269.86</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7383.2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20450.65</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(10-15)江南二街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172.76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1720.82</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1153.29</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2874.11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(10-16)江南西街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821.5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16.19</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8262.88</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4900.81</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13163.69</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(10-18)辰林厂西侧巷道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163.24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7.42</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1507.15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1507.15</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(10-19)丽枫酒店后巷</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161.54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1740.68</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1740.68</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(10-21)市场西街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314.9</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17.55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2587.13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1793.18</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4900.93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(11-1)环球路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297.99</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19.69</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2675.83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3316.65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5992.48</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(11-2)复兴北路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1185.89</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26.42</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18399.2</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13603.05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32002.25</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(11-3)福海路三巷</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199.19</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16.46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1996.43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1219.43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3215.86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(11-4)福海路七巷</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208.95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2006.66</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2006.66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(11-5)步行街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636.25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37.38</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18105.57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18105.57</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(11-8)恒业路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447.08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18.13</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4514.68</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4004.32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8519</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(11-19)复兴路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496.54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7860.63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7860.63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(11-20)复兴路西侧支路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173.52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10.97</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1463.69</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437.57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1901.26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(11-21)博业工业园西侧巷</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306.96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15.65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2424.33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2294.97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4719.3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(11-22)好景厂前路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223.86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9.07</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1798.1</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2061.1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37"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324"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541"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501"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628"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134144.1</w:t>
            </w:r>
          </w:p>
        </w:tc>
        <w:tc>
          <w:tcPr>
            <w:tcW w:w="682"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168646.15</w:t>
            </w:r>
          </w:p>
        </w:tc>
        <w:tc>
          <w:tcPr>
            <w:tcW w:w="601"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307721.01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Layout w:type="autofit"/>
        <w:tblCellMar>
          <w:top w:w="0" w:type="dxa"/>
          <w:left w:w="108" w:type="dxa"/>
          <w:bottom w:w="0" w:type="dxa"/>
          <w:right w:w="108" w:type="dxa"/>
        </w:tblCellMar>
      </w:tblPr>
      <w:tblGrid>
        <w:gridCol w:w="426"/>
        <w:gridCol w:w="1841"/>
        <w:gridCol w:w="1471"/>
        <w:gridCol w:w="1782"/>
        <w:gridCol w:w="1433"/>
        <w:gridCol w:w="1563"/>
      </w:tblGrid>
      <w:tr>
        <w:trPr>
          <w:trHeight w:val="57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211" w:firstLineChars="10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社区公园、广场环卫保洁测量面积统计表</w:t>
            </w:r>
          </w:p>
        </w:tc>
      </w:tr>
      <w:tr>
        <w:tblPrEx>
          <w:tblCellMar>
            <w:top w:w="0" w:type="dxa"/>
            <w:left w:w="108" w:type="dxa"/>
            <w:bottom w:w="0" w:type="dxa"/>
            <w:right w:w="108" w:type="dxa"/>
          </w:tblCellMar>
        </w:tblPrEx>
        <w:trPr>
          <w:trHeight w:val="572"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0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公园、广场名称</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清扫保洁面积(㎡)</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绿化面积(㎡)</w:t>
            </w:r>
          </w:p>
        </w:tc>
        <w:tc>
          <w:tcPr>
            <w:tcW w:w="84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(9-2)螺山公园</w:t>
            </w:r>
          </w:p>
        </w:tc>
        <w:tc>
          <w:tcPr>
            <w:tcW w:w="864"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104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4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14470.16</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减少</w:t>
            </w: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8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(8-13)南湖公园</w:t>
            </w:r>
          </w:p>
        </w:tc>
        <w:tc>
          <w:tcPr>
            <w:tcW w:w="864" w:type="pct"/>
            <w:tcBorders>
              <w:top w:val="single" w:color="auto"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1047" w:type="pct"/>
            <w:tcBorders>
              <w:top w:val="single" w:color="auto"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42"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26918.41</w:t>
            </w:r>
          </w:p>
        </w:tc>
        <w:tc>
          <w:tcPr>
            <w:tcW w:w="915" w:type="pct"/>
            <w:tcBorders>
              <w:top w:val="single" w:color="auto"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(2-5)厦岗公墓</w:t>
            </w:r>
          </w:p>
        </w:tc>
        <w:tc>
          <w:tcPr>
            <w:tcW w:w="864"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1047"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11013.33</w:t>
            </w:r>
          </w:p>
        </w:tc>
        <w:tc>
          <w:tcPr>
            <w:tcW w:w="915"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92" w:hRule="atLeast"/>
        </w:trPr>
        <w:tc>
          <w:tcPr>
            <w:tcW w:w="13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864"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1047"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52401.9</w:t>
            </w:r>
          </w:p>
        </w:tc>
        <w:tc>
          <w:tcPr>
            <w:tcW w:w="915"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Layout w:type="autofit"/>
        <w:tblCellMar>
          <w:top w:w="0" w:type="dxa"/>
          <w:left w:w="108" w:type="dxa"/>
          <w:bottom w:w="0" w:type="dxa"/>
          <w:right w:w="108" w:type="dxa"/>
        </w:tblCellMar>
      </w:tblPr>
      <w:tblGrid>
        <w:gridCol w:w="426"/>
        <w:gridCol w:w="2208"/>
        <w:gridCol w:w="1721"/>
        <w:gridCol w:w="1391"/>
        <w:gridCol w:w="1482"/>
        <w:gridCol w:w="1288"/>
      </w:tblGrid>
      <w:tr>
        <w:tblPrEx>
          <w:tblCellMar>
            <w:top w:w="0" w:type="dxa"/>
            <w:left w:w="108" w:type="dxa"/>
            <w:bottom w:w="0" w:type="dxa"/>
            <w:right w:w="108" w:type="dxa"/>
          </w:tblCellMar>
        </w:tblPrEx>
        <w:trPr>
          <w:trHeight w:val="555"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社区围闭式无物管住宅区环卫保洁测量面积统计表</w:t>
            </w:r>
          </w:p>
        </w:tc>
      </w:tr>
      <w:tr>
        <w:tblPrEx>
          <w:tblCellMar>
            <w:top w:w="0" w:type="dxa"/>
            <w:left w:w="108" w:type="dxa"/>
            <w:bottom w:w="0" w:type="dxa"/>
            <w:right w:w="108" w:type="dxa"/>
          </w:tblCellMar>
        </w:tblPrEx>
        <w:trPr>
          <w:trHeight w:val="572"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2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住宅区名称</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清扫保洁面积(㎡)</w:t>
            </w:r>
          </w:p>
        </w:tc>
        <w:tc>
          <w:tcPr>
            <w:tcW w:w="8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绿化面积(㎡)</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w:t>
            </w:r>
          </w:p>
        </w:tc>
        <w:tc>
          <w:tcPr>
            <w:tcW w:w="75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2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(9-6)厦岗居委会</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792.66</w:t>
            </w:r>
          </w:p>
        </w:tc>
        <w:tc>
          <w:tcPr>
            <w:tcW w:w="81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792.66</w:t>
            </w:r>
          </w:p>
        </w:tc>
        <w:tc>
          <w:tcPr>
            <w:tcW w:w="756"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2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(3-5)派出所</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5708.45</w:t>
            </w:r>
          </w:p>
        </w:tc>
        <w:tc>
          <w:tcPr>
            <w:tcW w:w="8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650.79</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6359.24</w:t>
            </w:r>
          </w:p>
        </w:tc>
        <w:tc>
          <w:tcPr>
            <w:tcW w:w="756"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2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(12-3)隆盛村</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17718.16</w:t>
            </w:r>
          </w:p>
        </w:tc>
        <w:tc>
          <w:tcPr>
            <w:tcW w:w="81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17718.16</w:t>
            </w:r>
          </w:p>
        </w:tc>
        <w:tc>
          <w:tcPr>
            <w:tcW w:w="756"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2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(12-4)隆裕苑</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26714.94</w:t>
            </w:r>
          </w:p>
        </w:tc>
        <w:tc>
          <w:tcPr>
            <w:tcW w:w="81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26714.94</w:t>
            </w:r>
          </w:p>
        </w:tc>
        <w:tc>
          <w:tcPr>
            <w:tcW w:w="756"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92" w:hRule="atLeast"/>
        </w:trPr>
        <w:tc>
          <w:tcPr>
            <w:tcW w:w="1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50934.21</w:t>
            </w:r>
          </w:p>
        </w:tc>
        <w:tc>
          <w:tcPr>
            <w:tcW w:w="8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650.79</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51585</w:t>
            </w:r>
          </w:p>
        </w:tc>
        <w:tc>
          <w:tcPr>
            <w:tcW w:w="756"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098"/>
        <w:gridCol w:w="1701"/>
        <w:gridCol w:w="1292"/>
        <w:gridCol w:w="1704"/>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6"/>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社区无围闭住宅区环卫保洁测量面积统计表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23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住宅区名称</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清扫保洁面积(㎡)</w:t>
            </w:r>
          </w:p>
        </w:tc>
        <w:tc>
          <w:tcPr>
            <w:tcW w:w="75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绿化面积(㎡)</w:t>
            </w: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w:t>
            </w:r>
          </w:p>
        </w:tc>
        <w:tc>
          <w:tcPr>
            <w:tcW w:w="756"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(5-2)北坊村</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12175.25</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12175.25</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(6-1)南坊村</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5520.56</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5520.56</w:t>
            </w:r>
          </w:p>
        </w:tc>
        <w:tc>
          <w:tcPr>
            <w:tcW w:w="756"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(7-1)西坊村住宅区</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17865.11</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17865.11</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(7-3)大围住宅区</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34583.67</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34583.67</w:t>
            </w:r>
          </w:p>
        </w:tc>
        <w:tc>
          <w:tcPr>
            <w:tcW w:w="756"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(8-2)西坊村</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26664.11</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26664.11</w:t>
            </w:r>
          </w:p>
        </w:tc>
        <w:tc>
          <w:tcPr>
            <w:tcW w:w="756"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(10-6)江南南街南侧住宅区</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2257.11</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2257.11</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(10-8)江南南街北侧住宅区</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7251.93</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7251.93</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(11-6)福海路9-19巷</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31190.74</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31190.74</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(11-7)福海路1-7巷</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18057.45</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18057.45</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50"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23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999"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155565.93</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155565.93</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945"/>
        <w:gridCol w:w="1250"/>
        <w:gridCol w:w="1913"/>
        <w:gridCol w:w="193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6"/>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社区旧村环卫保洁测量面积统计表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14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旧村名称</w:t>
            </w:r>
          </w:p>
        </w:tc>
        <w:tc>
          <w:tcPr>
            <w:tcW w:w="734"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总面积(㎡)</w:t>
            </w:r>
          </w:p>
        </w:tc>
        <w:tc>
          <w:tcPr>
            <w:tcW w:w="112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其中:保洁面积(㎡)</w:t>
            </w:r>
          </w:p>
        </w:tc>
        <w:tc>
          <w:tcPr>
            <w:tcW w:w="1136"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其中:绿化面积(㎡)</w:t>
            </w:r>
          </w:p>
        </w:tc>
        <w:tc>
          <w:tcPr>
            <w:tcW w:w="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142" w:type="pct"/>
            <w:shd w:val="clear" w:color="auto" w:fill="auto"/>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(9-1)旧村停车场</w:t>
            </w:r>
          </w:p>
        </w:tc>
        <w:tc>
          <w:tcPr>
            <w:tcW w:w="734"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33765.91</w:t>
            </w:r>
          </w:p>
        </w:tc>
        <w:tc>
          <w:tcPr>
            <w:tcW w:w="112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33765.91</w:t>
            </w:r>
          </w:p>
        </w:tc>
        <w:tc>
          <w:tcPr>
            <w:tcW w:w="1136" w:type="pct"/>
            <w:shd w:val="clear" w:color="auto" w:fill="auto"/>
          </w:tcPr>
          <w:p>
            <w:pPr>
              <w:widowControl/>
              <w:rPr>
                <w:rFonts w:ascii="宋体" w:hAnsi="宋体" w:cs="宋体"/>
                <w:color w:val="000000" w:themeColor="text1"/>
                <w:szCs w:val="21"/>
                <w:highlight w:val="none"/>
                <w14:textFill>
                  <w14:solidFill>
                    <w14:schemeClr w14:val="tx1"/>
                  </w14:solidFill>
                </w14:textFill>
              </w:rPr>
            </w:pPr>
          </w:p>
        </w:tc>
        <w:tc>
          <w:tcPr>
            <w:tcW w:w="612" w:type="pct"/>
            <w:shd w:val="clear" w:color="auto" w:fill="auto"/>
          </w:tcPr>
          <w:p>
            <w:pPr>
              <w:widowControl/>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392" w:type="pct"/>
            <w:gridSpan w:val="2"/>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734"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33765.91</w:t>
            </w:r>
          </w:p>
        </w:tc>
        <w:tc>
          <w:tcPr>
            <w:tcW w:w="1123"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33765.91</w:t>
            </w:r>
          </w:p>
        </w:tc>
        <w:tc>
          <w:tcPr>
            <w:tcW w:w="1136" w:type="pct"/>
            <w:shd w:val="clear" w:color="auto" w:fill="auto"/>
          </w:tcPr>
          <w:p>
            <w:pPr>
              <w:widowControl/>
              <w:rPr>
                <w:rFonts w:ascii="宋体" w:hAnsi="宋体" w:cs="宋体"/>
                <w:color w:val="000000" w:themeColor="text1"/>
                <w:szCs w:val="21"/>
                <w:highlight w:val="none"/>
                <w14:textFill>
                  <w14:solidFill>
                    <w14:schemeClr w14:val="tx1"/>
                  </w14:solidFill>
                </w14:textFill>
              </w:rPr>
            </w:pPr>
          </w:p>
        </w:tc>
        <w:tc>
          <w:tcPr>
            <w:tcW w:w="612" w:type="pct"/>
            <w:shd w:val="clear" w:color="auto" w:fill="auto"/>
          </w:tcPr>
          <w:p>
            <w:pPr>
              <w:widowControl/>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870"/>
        <w:gridCol w:w="1116"/>
        <w:gridCol w:w="1001"/>
        <w:gridCol w:w="2074"/>
        <w:gridCol w:w="84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7"/>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社区闲置地环卫保洁测量面积统计表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09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闲置地位置(地址)</w:t>
            </w:r>
          </w:p>
        </w:tc>
        <w:tc>
          <w:tcPr>
            <w:tcW w:w="655"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长度(m)</w:t>
            </w:r>
          </w:p>
        </w:tc>
        <w:tc>
          <w:tcPr>
            <w:tcW w:w="5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宽度(m)</w:t>
            </w:r>
          </w:p>
        </w:tc>
        <w:tc>
          <w:tcPr>
            <w:tcW w:w="121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总面积(㎡)</w:t>
            </w:r>
          </w:p>
        </w:tc>
        <w:tc>
          <w:tcPr>
            <w:tcW w:w="493"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是否有围</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闭</w:t>
            </w:r>
          </w:p>
        </w:tc>
        <w:tc>
          <w:tcPr>
            <w:tcW w:w="695"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348" w:type="pct"/>
            <w:gridSpan w:val="2"/>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 计</w:t>
            </w:r>
          </w:p>
        </w:tc>
        <w:tc>
          <w:tcPr>
            <w:tcW w:w="6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588"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218"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0</w:t>
            </w:r>
          </w:p>
        </w:tc>
        <w:tc>
          <w:tcPr>
            <w:tcW w:w="493"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695" w:type="pct"/>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1794"/>
        <w:gridCol w:w="846"/>
        <w:gridCol w:w="801"/>
        <w:gridCol w:w="1169"/>
        <w:gridCol w:w="846"/>
        <w:gridCol w:w="712"/>
        <w:gridCol w:w="1014"/>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gridSpan w:val="9"/>
            <w:shd w:val="clear" w:color="auto" w:fill="auto"/>
            <w:vAlign w:val="center"/>
          </w:tcPr>
          <w:p>
            <w:pPr>
              <w:widowControl/>
              <w:ind w:firstLine="211" w:firstLineChars="10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社区河涌、鱼塘保洁测量面积统计表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0" w:type="auto"/>
            <w:gridSpan w:val="9"/>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(私人承担的鱼塘水域除外)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河涌或鱼塘位置(名称)</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水域长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度(m)</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水域宽</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度(m)</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水域总面</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积(㎡)</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岸边长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度(m)</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岸边宽</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度(m)</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岸边总面</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积(㎡)</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(7-5)横圳水库排洪渠</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237.76</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7.5</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889.42</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190.5</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919.7</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(8-1)北塘公园人工湖</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7759.1</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(8-8)西坊人工湖</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4331.85</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(8-12)南湖公园人工湖</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37487.58</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(10-17)东引河</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3836.8</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24.56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63721.96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868.83</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5236.1</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(11-18)复兴工业区鱼塘</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5866.82</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(13-1)塞古涌</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2345.3</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78.15</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168460.4</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3666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21970.4</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孖斗涌</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2187.7</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48.5</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106158.88</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厦岗涌</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747.4</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53.3</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35562.23</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0" w:type="auto"/>
            <w:gridSpan w:val="2"/>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430238.24</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28126.2</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2186"/>
        <w:gridCol w:w="1216"/>
        <w:gridCol w:w="1285"/>
        <w:gridCol w:w="1827"/>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6"/>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社区道路绿化带测量面积统计表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000" w:type="pct"/>
            <w:gridSpan w:val="6"/>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(五条主干道除外)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28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绿化带路段名称</w:t>
            </w:r>
          </w:p>
        </w:tc>
        <w:tc>
          <w:tcPr>
            <w:tcW w:w="714"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长度(m)</w:t>
            </w:r>
          </w:p>
        </w:tc>
        <w:tc>
          <w:tcPr>
            <w:tcW w:w="755"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宽度(m)</w:t>
            </w: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绿化面积(㎡)</w:t>
            </w:r>
          </w:p>
        </w:tc>
        <w:tc>
          <w:tcPr>
            <w:tcW w:w="77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(1-2)岗沙路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130.02</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(2-4)环亚商标厂前巷</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305.29</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(3-1)开源路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226.91</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(3-2)佛子前路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128.74</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(3-3)先兴北街</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1129.65</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(3-4)先兴北街西侧巷道</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92.22</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(3-6)福荫路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112.33</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(4-2)朗蟹西街</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157.11</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(4-3)金沙东路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351.74</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(5-1)福海路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40495.53</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(5-3)得富西路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225.6</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(5-6)盘福东路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207.26</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(8-9)同心路二巷</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92.64</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(8-10)同心路一巷</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322.07</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(8-11)同心路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1139.02</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(10-1)艾迪索东侧巷道</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63.04</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(10-10)联合路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915.53</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(10-14)厦联路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797.59</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(10-21)市场西街</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520.62</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(12-2)祥隆路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2110.24</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685" w:type="pct"/>
            <w:gridSpan w:val="2"/>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49523.15</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2747"/>
        <w:gridCol w:w="2349"/>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4"/>
            <w:shd w:val="clear" w:color="auto" w:fill="auto"/>
            <w:vAlign w:val="center"/>
          </w:tcPr>
          <w:p>
            <w:pPr>
              <w:widowControl/>
              <w:ind w:firstLine="211" w:firstLineChars="10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社区环卫保洁面积测量登记总统计表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000" w:type="pct"/>
            <w:gridSpan w:val="4"/>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(五条主干道除外)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名称</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面积(㎡)</w:t>
            </w:r>
          </w:p>
        </w:tc>
        <w:tc>
          <w:tcPr>
            <w:tcW w:w="171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395232.84</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工业园区环卫保洁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307721.01</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公园、广场环卫保洁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52401.9</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围闭式无物管住宅区环卫保洁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51585</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无围闭住宅区环卫保洁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155565.93</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33765.91</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闲置地环卫保洁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河涌、鱼塘保洁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430238.24</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河岸6米</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28126.2</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901" w:type="pct"/>
            <w:gridSpan w:val="2"/>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1379"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1454637.03</w:t>
            </w:r>
          </w:p>
        </w:tc>
        <w:tc>
          <w:tcPr>
            <w:tcW w:w="171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其中包含绿化(49523.15)</w:t>
            </w:r>
          </w:p>
        </w:tc>
      </w:tr>
    </w:tbl>
    <w:p>
      <w:pPr>
        <w:rPr>
          <w:rFonts w:ascii="宋体" w:hAnsi="宋体" w:cs="宋体"/>
          <w:color w:val="000000" w:themeColor="text1"/>
          <w:szCs w:val="21"/>
          <w:highlight w:val="none"/>
          <w:lang w:bidi="zh-CN"/>
          <w14:textFill>
            <w14:solidFill>
              <w14:schemeClr w14:val="tx1"/>
            </w14:solidFill>
          </w14:textFill>
        </w:rPr>
      </w:pPr>
    </w:p>
    <w:p>
      <w:pPr>
        <w:spacing w:line="288" w:lineRule="auto"/>
        <w:ind w:firstLine="420" w:firstLineChars="200"/>
        <w:rPr>
          <w:rFonts w:ascii="宋体" w:hAnsi="宋体" w:cs="宋体"/>
          <w:color w:val="000000" w:themeColor="text1"/>
          <w:szCs w:val="21"/>
          <w:highlight w:val="none"/>
          <w:lang w:bidi="zh-CN"/>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t>（1）除以上明确的环卫保洁面积外，处于道路边线向外延伸2米范围（含“三边三地”等）也需中标供应商进行清理保洁。</w:t>
      </w:r>
    </w:p>
    <w:p>
      <w:pPr>
        <w:spacing w:line="288" w:lineRule="auto"/>
        <w:ind w:firstLine="420" w:firstLineChars="200"/>
        <w:rPr>
          <w:rFonts w:ascii="宋体" w:hAnsi="宋体" w:cs="宋体"/>
          <w:color w:val="000000" w:themeColor="text1"/>
          <w:szCs w:val="21"/>
          <w:highlight w:val="none"/>
          <w:lang w:bidi="zh-CN"/>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t>（2）水域保洁及绿化保洁单价按清扫保洁综合单价的30%计取（即水域保洁及绿化保洁按实际测量面积的30%计取环卫保洁服务费）；</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t>（3）本项目实际计取服务费面积为：社区原面积-（绿化面积+水域面积）×70%=折算后面积（即实际计算服务费面积），服务费=实际计取服务费面积×中标综合单价×服务年限。即：实际计算服务费时，水域保洁和绿化保洁面积：（</w:t>
      </w:r>
      <w:r>
        <w:rPr>
          <w:rFonts w:hint="eastAsia" w:ascii="宋体" w:hAnsi="宋体" w:cs="宋体"/>
          <w:color w:val="000000" w:themeColor="text1"/>
          <w:kern w:val="0"/>
          <w:szCs w:val="21"/>
          <w:highlight w:val="none"/>
          <w:lang w:bidi="ar"/>
          <w14:textFill>
            <w14:solidFill>
              <w14:schemeClr w14:val="tx1"/>
            </w14:solidFill>
          </w14:textFill>
        </w:rPr>
        <w:t>430238.24+49523.15</w:t>
      </w:r>
      <w:r>
        <w:rPr>
          <w:rFonts w:hint="eastAsia" w:ascii="宋体" w:hAnsi="宋体" w:cs="宋体"/>
          <w:color w:val="000000" w:themeColor="text1"/>
          <w:szCs w:val="21"/>
          <w:highlight w:val="none"/>
          <w:lang w:bidi="zh-CN"/>
          <w14:textFill>
            <w14:solidFill>
              <w14:schemeClr w14:val="tx1"/>
            </w14:solidFill>
          </w14:textFill>
        </w:rPr>
        <w:t>）</w:t>
      </w:r>
      <w:r>
        <w:rPr>
          <w:rFonts w:hint="eastAsia" w:ascii="宋体" w:hAnsi="宋体" w:cs="宋体"/>
          <w:color w:val="000000" w:themeColor="text1"/>
          <w:kern w:val="0"/>
          <w:szCs w:val="21"/>
          <w:highlight w:val="none"/>
          <w:lang w:bidi="ar"/>
          <w14:textFill>
            <w14:solidFill>
              <w14:schemeClr w14:val="tx1"/>
            </w14:solidFill>
          </w14:textFill>
        </w:rPr>
        <w:t>*0.3≈143928.42㎡；实际计算服务费时，环卫保洁折算后总面积：1118804.06㎡。</w:t>
      </w:r>
    </w:p>
    <w:p>
      <w:pPr>
        <w:widowControl/>
        <w:adjustRightInd w:val="0"/>
        <w:snapToGrid w:val="0"/>
        <w:spacing w:line="360" w:lineRule="auto"/>
        <w:ind w:firstLine="420" w:firstLineChars="200"/>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（二）道路明细表</w:t>
      </w:r>
    </w:p>
    <w:tbl>
      <w:tblPr>
        <w:tblStyle w:val="17"/>
        <w:tblW w:w="0" w:type="auto"/>
        <w:tblInd w:w="0" w:type="dxa"/>
        <w:shd w:val="clear" w:color="auto" w:fill="FFFFFF" w:themeFill="background1"/>
        <w:tblLayout w:type="fixed"/>
        <w:tblCellMar>
          <w:top w:w="0" w:type="dxa"/>
          <w:left w:w="108" w:type="dxa"/>
          <w:bottom w:w="0" w:type="dxa"/>
          <w:right w:w="108" w:type="dxa"/>
        </w:tblCellMar>
      </w:tblPr>
      <w:tblGrid>
        <w:gridCol w:w="362"/>
        <w:gridCol w:w="802"/>
        <w:gridCol w:w="363"/>
        <w:gridCol w:w="838"/>
        <w:gridCol w:w="457"/>
        <w:gridCol w:w="402"/>
        <w:gridCol w:w="586"/>
        <w:gridCol w:w="384"/>
        <w:gridCol w:w="402"/>
        <w:gridCol w:w="622"/>
        <w:gridCol w:w="457"/>
        <w:gridCol w:w="860"/>
        <w:gridCol w:w="458"/>
        <w:gridCol w:w="721"/>
        <w:gridCol w:w="802"/>
      </w:tblGrid>
      <w:tr>
        <w:tblPrEx>
          <w:tblCellMar>
            <w:top w:w="0" w:type="dxa"/>
            <w:left w:w="108" w:type="dxa"/>
            <w:bottom w:w="0" w:type="dxa"/>
            <w:right w:w="108" w:type="dxa"/>
          </w:tblCellMar>
        </w:tblPrEx>
        <w:trPr>
          <w:trHeight w:val="486" w:hRule="atLeast"/>
        </w:trPr>
        <w:tc>
          <w:tcPr>
            <w:tcW w:w="36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80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道路名称</w:t>
            </w:r>
          </w:p>
        </w:tc>
        <w:tc>
          <w:tcPr>
            <w:tcW w:w="363"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道路等级</w:t>
            </w:r>
          </w:p>
        </w:tc>
        <w:tc>
          <w:tcPr>
            <w:tcW w:w="83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对应道路等级类别</w:t>
            </w:r>
          </w:p>
        </w:tc>
        <w:tc>
          <w:tcPr>
            <w:tcW w:w="2231"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道路断面形式（m，以下5列数量之和为道路红线宽度）</w:t>
            </w:r>
          </w:p>
        </w:tc>
        <w:tc>
          <w:tcPr>
            <w:tcW w:w="62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道路红线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宽度(m)</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道路长度</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（m）</w:t>
            </w:r>
          </w:p>
        </w:tc>
        <w:tc>
          <w:tcPr>
            <w:tcW w:w="86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清扫保洁方式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（机扫/人扫/人</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工配合机械）</w:t>
            </w:r>
          </w:p>
        </w:tc>
        <w:tc>
          <w:tcPr>
            <w:tcW w:w="45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其他面积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道路总面积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（不含绿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化）（㎡）</w:t>
            </w:r>
          </w:p>
        </w:tc>
        <w:tc>
          <w:tcPr>
            <w:tcW w:w="80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绿地和绿化</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分隔设施面</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积（㎡）</w:t>
            </w:r>
          </w:p>
        </w:tc>
      </w:tr>
      <w:tr>
        <w:tblPrEx>
          <w:shd w:val="clear" w:color="auto" w:fill="FFFFFF" w:themeFill="background1"/>
          <w:tblCellMar>
            <w:top w:w="0" w:type="dxa"/>
            <w:left w:w="108" w:type="dxa"/>
            <w:bottom w:w="0" w:type="dxa"/>
            <w:right w:w="108" w:type="dxa"/>
          </w:tblCellMar>
        </w:tblPrEx>
        <w:trPr>
          <w:trHeight w:val="810" w:hRule="atLeast"/>
        </w:trPr>
        <w:tc>
          <w:tcPr>
            <w:tcW w:w="36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80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36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人行道</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辅道或非</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机动车道</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机动与非</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机动车道</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隔离带</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机动车道</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中央分隔</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带</w:t>
            </w:r>
          </w:p>
        </w:tc>
        <w:tc>
          <w:tcPr>
            <w:tcW w:w="62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45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80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(3-1)开源路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520.83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17607.24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226.91</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(3-6)福荫路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20.11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718.29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14352.6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112.33</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(5-1)福海路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绿化带</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62.37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4486.79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215514.91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40495.53</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(5-3)得富西路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33.33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278.26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8291.4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225.6</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(5-4)金沙西路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19.04</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34.04</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187.77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6103.98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(11-2)复兴北路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26.42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1185.89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32002.25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(10-7)江南南街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10.56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863.22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16573.06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(3-3)先兴北街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458.6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5931.68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1129.65</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(4-3)金沙东路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24.31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272.78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6422.87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351.74</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(4-6)得富东路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27.06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128.32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3482.23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(5-5)逢新街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11.98</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311.82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4408.21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(5-6)盘福东路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7.84</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16.84</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338.23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4935.44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207.26</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(6-5)盘福南路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8.49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345.82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2994.36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(7-2)先兴中街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264.72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4251.06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(8-5)盘福北路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255.69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2426.62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(8-6)盘福西路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139.85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1552.53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(8-11)同心路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25.03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837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19894.64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1139.02</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(8-13)南湖公园</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村（社区）群众广场、 一般城市公园</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26918.41</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(8-14)大塘路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1226.77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(8-15)先兴南街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16.97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343.33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6496.49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(9-2)螺山公园</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村（社区）群众广场、 一般城市公园</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14470.16</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(10-14)厦联路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25.17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815.46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19653.06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797.59</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(11-1)环球路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297.99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5992.48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(11-5)步行街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37.38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37.38</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636.25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18105.57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(11-19)复兴路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496.54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7860.63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(12-2)祥隆路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16933.25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2110.24</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(12-7)隆裕苑四巷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10.33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25.33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494.63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12525.91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(1-1)大山东街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509.7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4317.67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(1-2)岗沙路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573.13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4393.16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130.02</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(2-1)康明街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12.62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12.62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312.57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3327.66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(2-2)龙源街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274.87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2662.89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(2-3)茅山东街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8.46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16.46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176.03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2710.06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(2-4)环亚商标厂前巷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140.25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1018.08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305.29</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(2-6)康明街北侧巷道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9.87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9.87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140.73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1330.25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(2-7)茅山西街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13.15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90.54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1214.43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(3-2)佛子前路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12.31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196.72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2701.3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128.74</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(3-4)先兴北街西侧巷道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10.43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10.43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127.77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1164.91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92.22</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(3-7)富荣街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13.91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13.91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248.61</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2959.99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(3-8)厦岗小学西侧巷道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9.04</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9.04</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188.48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(3-9)宝越厂西侧巷道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6.28</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61.82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399.46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(4-1)朗蟹东街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219.98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2470.08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(4-2)朗蟹西街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9.36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20.36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312.75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5851.7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157.11</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(4-4)新业东街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210.25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2761.13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(4-5)新业北路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15.08</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5641.07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(4-7)新业南路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299.25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4414.62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(4-8)正扬厂北侧巷道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rPr>
                <w:rFonts w:ascii="宋体" w:hAnsi="宋体" w:cs="宋体"/>
                <w:color w:val="000000" w:themeColor="text1"/>
                <w:szCs w:val="21"/>
                <w:highlight w:val="none"/>
                <w14:textFill>
                  <w14:solidFill>
                    <w14:schemeClr w14:val="tx1"/>
                  </w14:solidFill>
                </w14:textFill>
              </w:rPr>
            </w:pP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16.27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75.76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1219.67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(6-2)金沙西路二巷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112.89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695.64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(6-4)嘉美厂前巷道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119.35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1136.54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(8-9)同心路二巷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268.37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2049.58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92.64</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(8-10)同心路一巷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15.37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15.37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683.89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8052.84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322.07</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(8-16)沿江北街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1196.26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6609.6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(10-1)艾迪索东侧巷道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199.02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1838.29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63.04</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(10-2)市场东街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316.48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4666.52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(10-3)辰林厂西侧巷道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15.85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245.77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3819.91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(10-4)艾迪索西侧巷道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204.24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2236.86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(10-5)晟太东街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14.28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14.28</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261.07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3759.73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(10-9)沿江南街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821.85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7080.16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(10-10)联合路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1039.8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18548.77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915.53</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(10-12)晟太西街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8.33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510.44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9473.13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(10-13)永正厂西侧巷道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465.01</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5135.73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(10-15)江南二街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6.05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172.76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2874.11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(10-16)江南西街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16.19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821.5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13163.69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(10-18)辰林厂西侧巷道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163.24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1507.15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(10-19)丽枫酒店后巷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161.54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1740.68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(10-21)市场西街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17.55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314.9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4380.31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520.62</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(11-3)福海路三巷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16.46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199.19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3215.86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(11-4)福海路七巷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208.95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2006.66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(11-8)恒业路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18.13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447.08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8519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(11-20)复兴路西侧支路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10.97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173.52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1901.26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(11-21)博业工业园西侧巷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7.65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15.65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306.96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4719.3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(11-22)好景厂前路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223.86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2061.1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(11-23)屠宰场门前路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233.07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2323.4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（12-5）码头路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1937.33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机扫</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22217.31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余下各村、小组、居民区巷道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240266.05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650.79</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(2-5)厦岗公墓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四级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11013.33</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河岸6米</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四级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28126.2</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河涌、鱼塘</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待定</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430238.24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bl>
    <w:p>
      <w:pPr>
        <w:widowControl/>
        <w:adjustRightInd w:val="0"/>
        <w:snapToGrid w:val="0"/>
        <w:spacing w:line="360" w:lineRule="auto"/>
        <w:ind w:firstLine="420" w:firstLineChars="200"/>
        <w:rPr>
          <w:color w:val="000000" w:themeColor="text1"/>
          <w:highlight w:val="none"/>
          <w14:textFill>
            <w14:solidFill>
              <w14:schemeClr w14:val="tx1"/>
            </w14:solidFill>
          </w14:textFill>
        </w:rPr>
      </w:pPr>
    </w:p>
    <w:p>
      <w:pPr>
        <w:widowControl/>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t>（三）</w:t>
      </w:r>
      <w:r>
        <w:rPr>
          <w:rFonts w:hint="eastAsia" w:ascii="宋体" w:hAnsi="宋体" w:cs="宋体"/>
          <w:color w:val="000000" w:themeColor="text1"/>
          <w:szCs w:val="21"/>
          <w:highlight w:val="none"/>
          <w14:textFill>
            <w14:solidFill>
              <w14:schemeClr w14:val="tx1"/>
            </w14:solidFill>
          </w14:textFill>
        </w:rPr>
        <w:t>公厕设置现状情况</w:t>
      </w:r>
    </w:p>
    <w:tbl>
      <w:tblPr>
        <w:tblStyle w:val="17"/>
        <w:tblW w:w="4995" w:type="pct"/>
        <w:tblInd w:w="0" w:type="dxa"/>
        <w:tblLayout w:type="autofit"/>
        <w:tblCellMar>
          <w:top w:w="0" w:type="dxa"/>
          <w:left w:w="108" w:type="dxa"/>
          <w:bottom w:w="0" w:type="dxa"/>
          <w:right w:w="108" w:type="dxa"/>
        </w:tblCellMar>
      </w:tblPr>
      <w:tblGrid>
        <w:gridCol w:w="338"/>
        <w:gridCol w:w="460"/>
        <w:gridCol w:w="550"/>
        <w:gridCol w:w="913"/>
        <w:gridCol w:w="338"/>
        <w:gridCol w:w="581"/>
        <w:gridCol w:w="615"/>
        <w:gridCol w:w="520"/>
        <w:gridCol w:w="520"/>
        <w:gridCol w:w="520"/>
        <w:gridCol w:w="520"/>
        <w:gridCol w:w="520"/>
        <w:gridCol w:w="765"/>
        <w:gridCol w:w="704"/>
        <w:gridCol w:w="652"/>
      </w:tblGrid>
      <w:tr>
        <w:tblPrEx>
          <w:tblCellMar>
            <w:top w:w="0" w:type="dxa"/>
            <w:left w:w="108" w:type="dxa"/>
            <w:bottom w:w="0" w:type="dxa"/>
            <w:right w:w="108" w:type="dxa"/>
          </w:tblCellMar>
        </w:tblPrEx>
        <w:trPr>
          <w:trHeight w:val="402" w:hRule="atLeast"/>
        </w:trPr>
        <w:tc>
          <w:tcPr>
            <w:tcW w:w="4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序号</w:t>
            </w:r>
          </w:p>
        </w:tc>
        <w:tc>
          <w:tcPr>
            <w:tcW w:w="1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所属社区</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公厕名称</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详细地址</w:t>
            </w:r>
          </w:p>
        </w:tc>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类别</w:t>
            </w:r>
          </w:p>
        </w:tc>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是否为活动式</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保洁时长（</w:t>
            </w:r>
            <w:r>
              <w:rPr>
                <w:rStyle w:val="38"/>
                <w:rFonts w:eastAsia="等线"/>
                <w:color w:val="000000" w:themeColor="text1"/>
                <w:highlight w:val="none"/>
                <w:lang w:bidi="ar"/>
                <w14:textFill>
                  <w14:solidFill>
                    <w14:schemeClr w14:val="tx1"/>
                  </w14:solidFill>
                </w14:textFill>
              </w:rPr>
              <w:t>h</w:t>
            </w:r>
            <w:r>
              <w:rPr>
                <w:rStyle w:val="37"/>
                <w:rFonts w:hint="default"/>
                <w:color w:val="000000" w:themeColor="text1"/>
                <w:highlight w:val="none"/>
                <w:lang w:bidi="ar"/>
                <w14:textFill>
                  <w14:solidFill>
                    <w14:schemeClr w14:val="tx1"/>
                  </w14:solidFill>
                </w14:textFill>
              </w:rPr>
              <w:t>）</w:t>
            </w:r>
          </w:p>
        </w:tc>
        <w:tc>
          <w:tcPr>
            <w:tcW w:w="91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男厕</w:t>
            </w:r>
          </w:p>
        </w:tc>
        <w:tc>
          <w:tcPr>
            <w:tcW w:w="6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女厕</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妇婴专用厕位（个）</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无障碍厕位（个）</w:t>
            </w:r>
          </w:p>
        </w:tc>
        <w:tc>
          <w:tcPr>
            <w:tcW w:w="2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占地面积（</w:t>
            </w:r>
            <w:r>
              <w:rPr>
                <w:rStyle w:val="38"/>
                <w:rFonts w:eastAsia="等线"/>
                <w:color w:val="000000" w:themeColor="text1"/>
                <w:highlight w:val="none"/>
                <w:lang w:bidi="ar"/>
                <w14:textFill>
                  <w14:solidFill>
                    <w14:schemeClr w14:val="tx1"/>
                  </w14:solidFill>
                </w14:textFill>
              </w:rPr>
              <w:t>m</w:t>
            </w:r>
            <w:r>
              <w:rPr>
                <w:rStyle w:val="39"/>
                <w:rFonts w:eastAsia="等线"/>
                <w:color w:val="000000" w:themeColor="text1"/>
                <w:highlight w:val="none"/>
                <w:lang w:bidi="ar"/>
                <w14:textFill>
                  <w14:solidFill>
                    <w14:schemeClr w14:val="tx1"/>
                  </w14:solidFill>
                </w14:textFill>
              </w:rPr>
              <w:t>2</w:t>
            </w:r>
            <w:r>
              <w:rPr>
                <w:rStyle w:val="37"/>
                <w:rFonts w:hint="default"/>
                <w:color w:val="000000" w:themeColor="text1"/>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1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坐位（个）</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蹲位（个）</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站位（个）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坐位（个）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蹲位（个）</w:t>
            </w: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92</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厦岗盘福东街</w:t>
            </w:r>
            <w:r>
              <w:rPr>
                <w:rStyle w:val="41"/>
                <w:rFonts w:eastAsia="等线"/>
                <w:color w:val="000000" w:themeColor="text1"/>
                <w:highlight w:val="none"/>
                <w:lang w:bidi="ar"/>
                <w14:textFill>
                  <w14:solidFill>
                    <w14:schemeClr w14:val="tx1"/>
                  </w14:solidFill>
                </w14:textFill>
              </w:rPr>
              <w:t>19</w:t>
            </w:r>
            <w:r>
              <w:rPr>
                <w:rStyle w:val="40"/>
                <w:rFonts w:hint="default"/>
                <w:color w:val="000000" w:themeColor="text1"/>
                <w:highlight w:val="none"/>
                <w:lang w:bidi="ar"/>
                <w14:textFill>
                  <w14:solidFill>
                    <w14:schemeClr w14:val="tx1"/>
                  </w14:solidFill>
                </w14:textFill>
              </w:rPr>
              <w:t>号旁</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8</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8</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106</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93</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厦岗先兴南街</w:t>
            </w:r>
            <w:r>
              <w:rPr>
                <w:rStyle w:val="41"/>
                <w:rFonts w:eastAsia="等线"/>
                <w:color w:val="000000" w:themeColor="text1"/>
                <w:highlight w:val="none"/>
                <w:lang w:bidi="ar"/>
                <w14:textFill>
                  <w14:solidFill>
                    <w14:schemeClr w14:val="tx1"/>
                  </w14:solidFill>
                </w14:textFill>
              </w:rPr>
              <w:t>17</w:t>
            </w:r>
            <w:r>
              <w:rPr>
                <w:rStyle w:val="40"/>
                <w:rFonts w:hint="default"/>
                <w:color w:val="000000" w:themeColor="text1"/>
                <w:highlight w:val="none"/>
                <w:lang w:bidi="ar"/>
                <w14:textFill>
                  <w14:solidFill>
                    <w14:schemeClr w14:val="tx1"/>
                  </w14:solidFill>
                </w14:textFill>
              </w:rPr>
              <w:t>号对面</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14</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4</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140</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94</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厦岗开源路八巷</w:t>
            </w:r>
            <w:r>
              <w:rPr>
                <w:rStyle w:val="41"/>
                <w:rFonts w:eastAsia="等线"/>
                <w:color w:val="000000" w:themeColor="text1"/>
                <w:highlight w:val="none"/>
                <w:lang w:bidi="ar"/>
                <w14:textFill>
                  <w14:solidFill>
                    <w14:schemeClr w14:val="tx1"/>
                  </w14:solidFill>
                </w14:textFill>
              </w:rPr>
              <w:t>13</w:t>
            </w:r>
            <w:r>
              <w:rPr>
                <w:rStyle w:val="40"/>
                <w:rFonts w:hint="default"/>
                <w:color w:val="000000" w:themeColor="text1"/>
                <w:highlight w:val="none"/>
                <w:lang w:bidi="ar"/>
                <w14:textFill>
                  <w14:solidFill>
                    <w14:schemeClr w14:val="tx1"/>
                  </w14:solidFill>
                </w14:textFill>
              </w:rPr>
              <w:t>号对面</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6</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无</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72</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4</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95</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厦岗福海路</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4</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60</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5</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97</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同心路南湖公园</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45</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6</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98</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厦岗福海路</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6</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7</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60</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7</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99</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厦联路</w:t>
            </w:r>
            <w:r>
              <w:rPr>
                <w:rStyle w:val="41"/>
                <w:rFonts w:eastAsia="等线"/>
                <w:color w:val="000000" w:themeColor="text1"/>
                <w:highlight w:val="none"/>
                <w:lang w:bidi="ar"/>
                <w14:textFill>
                  <w14:solidFill>
                    <w14:schemeClr w14:val="tx1"/>
                  </w14:solidFill>
                </w14:textFill>
              </w:rPr>
              <w:t>12</w:t>
            </w:r>
            <w:r>
              <w:rPr>
                <w:rStyle w:val="40"/>
                <w:rFonts w:hint="default"/>
                <w:color w:val="000000" w:themeColor="text1"/>
                <w:highlight w:val="none"/>
                <w:lang w:bidi="ar"/>
                <w14:textFill>
                  <w14:solidFill>
                    <w14:schemeClr w14:val="tx1"/>
                  </w14:solidFill>
                </w14:textFill>
              </w:rPr>
              <w:t>号</w:t>
            </w:r>
            <w:r>
              <w:rPr>
                <w:rStyle w:val="41"/>
                <w:rFonts w:eastAsia="等线"/>
                <w:color w:val="000000" w:themeColor="text1"/>
                <w:highlight w:val="none"/>
                <w:lang w:bidi="ar"/>
                <w14:textFill>
                  <w14:solidFill>
                    <w14:schemeClr w14:val="tx1"/>
                  </w14:solidFill>
                </w14:textFill>
              </w:rPr>
              <w:t>101</w:t>
            </w:r>
            <w:r>
              <w:rPr>
                <w:rStyle w:val="40"/>
                <w:rFonts w:hint="default"/>
                <w:color w:val="000000" w:themeColor="text1"/>
                <w:highlight w:val="none"/>
                <w:lang w:bidi="ar"/>
                <w14:textFill>
                  <w14:solidFill>
                    <w14:schemeClr w14:val="tx1"/>
                  </w14:solidFill>
                </w14:textFill>
              </w:rPr>
              <w:t>铺后面</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5</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39</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8</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隆盛公厕</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厦岗祥隆路</w:t>
            </w:r>
            <w:r>
              <w:rPr>
                <w:rStyle w:val="41"/>
                <w:rFonts w:eastAsia="等线"/>
                <w:color w:val="000000" w:themeColor="text1"/>
                <w:highlight w:val="none"/>
                <w:lang w:bidi="ar"/>
                <w14:textFill>
                  <w14:solidFill>
                    <w14:schemeClr w14:val="tx1"/>
                  </w14:solidFill>
                </w14:textFill>
              </w:rPr>
              <w:t>70</w:t>
            </w:r>
            <w:r>
              <w:rPr>
                <w:rStyle w:val="40"/>
                <w:rFonts w:hint="default"/>
                <w:color w:val="000000" w:themeColor="text1"/>
                <w:highlight w:val="none"/>
                <w:lang w:bidi="ar"/>
                <w14:textFill>
                  <w14:solidFill>
                    <w14:schemeClr w14:val="tx1"/>
                  </w14:solidFill>
                </w14:textFill>
              </w:rPr>
              <w:t>号</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100</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9</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Style w:val="40"/>
                <w:rFonts w:hint="default"/>
                <w:color w:val="000000" w:themeColor="text1"/>
                <w:highlight w:val="none"/>
                <w:lang w:bidi="ar"/>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Style w:val="40"/>
                <w:rFonts w:hint="default"/>
                <w:color w:val="000000" w:themeColor="text1"/>
                <w:highlight w:val="none"/>
                <w:lang w:bidi="ar"/>
                <w14:textFill>
                  <w14:solidFill>
                    <w14:schemeClr w14:val="tx1"/>
                  </w14:solidFill>
                </w14:textFill>
              </w:rPr>
            </w:pPr>
            <w:r>
              <w:rPr>
                <w:rStyle w:val="40"/>
                <w:rFonts w:hint="default"/>
                <w:color w:val="000000" w:themeColor="text1"/>
                <w:highlight w:val="none"/>
                <w:lang w:bidi="ar"/>
                <w14:textFill>
                  <w14:solidFill>
                    <w14:schemeClr w14:val="tx1"/>
                  </w14:solidFill>
                </w14:textFill>
              </w:rPr>
              <w:t>螺山公厕</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Style w:val="40"/>
                <w:rFonts w:hint="default"/>
                <w:color w:val="000000" w:themeColor="text1"/>
                <w:highlight w:val="none"/>
                <w:lang w:bidi="ar"/>
                <w14:textFill>
                  <w14:solidFill>
                    <w14:schemeClr w14:val="tx1"/>
                  </w14:solidFill>
                </w14:textFill>
              </w:rPr>
            </w:pPr>
            <w:r>
              <w:rPr>
                <w:rStyle w:val="40"/>
                <w:rFonts w:hint="default"/>
                <w:color w:val="000000" w:themeColor="text1"/>
                <w:highlight w:val="none"/>
                <w:lang w:bidi="ar"/>
                <w14:textFill>
                  <w14:solidFill>
                    <w14:schemeClr w14:val="tx1"/>
                  </w14:solidFill>
                </w14:textFill>
              </w:rPr>
              <w:t>螺山公园</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Style w:val="40"/>
                <w:rFonts w:hint="default"/>
                <w:color w:val="000000" w:themeColor="text1"/>
                <w:highlight w:val="none"/>
                <w:lang w:bidi="ar"/>
                <w14:textFill>
                  <w14:solidFill>
                    <w14:schemeClr w14:val="tx1"/>
                  </w14:solidFill>
                </w14:textFill>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Style w:val="40"/>
                <w:rFonts w:hint="default"/>
                <w:color w:val="000000" w:themeColor="text1"/>
                <w:highlight w:val="none"/>
                <w:lang w:bidi="ar"/>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80</w:t>
            </w:r>
          </w:p>
        </w:tc>
      </w:tr>
    </w:tbl>
    <w:p>
      <w:pPr>
        <w:widowControl/>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t>（四）</w:t>
      </w:r>
      <w:r>
        <w:rPr>
          <w:rFonts w:hint="eastAsia" w:ascii="宋体" w:hAnsi="宋体" w:cs="宋体"/>
          <w:color w:val="000000" w:themeColor="text1"/>
          <w:szCs w:val="21"/>
          <w:highlight w:val="none"/>
          <w14:textFill>
            <w14:solidFill>
              <w14:schemeClr w14:val="tx1"/>
            </w14:solidFill>
          </w14:textFill>
        </w:rPr>
        <w:t>垃圾转运站现状情况</w:t>
      </w:r>
    </w:p>
    <w:tbl>
      <w:tblPr>
        <w:tblStyle w:val="17"/>
        <w:tblW w:w="4995" w:type="pct"/>
        <w:tblInd w:w="0" w:type="dxa"/>
        <w:tblLayout w:type="autofit"/>
        <w:tblCellMar>
          <w:top w:w="0" w:type="dxa"/>
          <w:left w:w="108" w:type="dxa"/>
          <w:bottom w:w="0" w:type="dxa"/>
          <w:right w:w="108" w:type="dxa"/>
        </w:tblCellMar>
      </w:tblPr>
      <w:tblGrid>
        <w:gridCol w:w="371"/>
        <w:gridCol w:w="527"/>
        <w:gridCol w:w="641"/>
        <w:gridCol w:w="1105"/>
        <w:gridCol w:w="772"/>
        <w:gridCol w:w="850"/>
        <w:gridCol w:w="915"/>
        <w:gridCol w:w="527"/>
        <w:gridCol w:w="771"/>
        <w:gridCol w:w="936"/>
        <w:gridCol w:w="1101"/>
      </w:tblGrid>
      <w:tr>
        <w:tblPrEx>
          <w:tblCellMar>
            <w:top w:w="0" w:type="dxa"/>
            <w:left w:w="108" w:type="dxa"/>
            <w:bottom w:w="0" w:type="dxa"/>
            <w:right w:w="108" w:type="dxa"/>
          </w:tblCellMar>
        </w:tblPrEx>
        <w:trPr>
          <w:trHeight w:val="402" w:hRule="atLeast"/>
        </w:trPr>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序号</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所属社区</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转运站名称</w:t>
            </w:r>
          </w:p>
        </w:tc>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地址</w:t>
            </w:r>
          </w:p>
        </w:tc>
        <w:tc>
          <w:tcPr>
            <w:tcW w:w="4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设计规模（</w:t>
            </w:r>
            <w:r>
              <w:rPr>
                <w:rFonts w:ascii="Times New Roman" w:hAnsi="Times New Roman" w:eastAsia="等线" w:cs="Times New Roman"/>
                <w:b/>
                <w:bCs/>
                <w:color w:val="000000" w:themeColor="text1"/>
                <w:kern w:val="0"/>
                <w:sz w:val="20"/>
                <w:szCs w:val="20"/>
                <w:highlight w:val="none"/>
                <w:lang w:bidi="ar"/>
                <w14:textFill>
                  <w14:solidFill>
                    <w14:schemeClr w14:val="tx1"/>
                  </w14:solidFill>
                </w14:textFill>
              </w:rPr>
              <w:t>t/d</w:t>
            </w:r>
            <w:r>
              <w:rPr>
                <w:rFonts w:hint="eastAsia" w:ascii="宋体" w:hAnsi="宋体" w:cs="宋体"/>
                <w:b/>
                <w:bCs/>
                <w:color w:val="000000" w:themeColor="text1"/>
                <w:kern w:val="0"/>
                <w:sz w:val="20"/>
                <w:szCs w:val="20"/>
                <w:highlight w:val="none"/>
                <w:lang w:bidi="ar"/>
                <w14:textFill>
                  <w14:solidFill>
                    <w14:schemeClr w14:val="tx1"/>
                  </w14:solidFill>
                </w14:textFill>
              </w:rPr>
              <w:t>）</w:t>
            </w:r>
          </w:p>
        </w:tc>
        <w:tc>
          <w:tcPr>
            <w:tcW w:w="4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现日转运量（</w:t>
            </w:r>
            <w:r>
              <w:rPr>
                <w:rFonts w:ascii="Times New Roman" w:hAnsi="Times New Roman" w:eastAsia="等线" w:cs="Times New Roman"/>
                <w:b/>
                <w:bCs/>
                <w:color w:val="000000" w:themeColor="text1"/>
                <w:kern w:val="0"/>
                <w:sz w:val="20"/>
                <w:szCs w:val="20"/>
                <w:highlight w:val="none"/>
                <w:lang w:bidi="ar"/>
                <w14:textFill>
                  <w14:solidFill>
                    <w14:schemeClr w14:val="tx1"/>
                  </w14:solidFill>
                </w14:textFill>
              </w:rPr>
              <w:t>t/d</w:t>
            </w:r>
            <w:r>
              <w:rPr>
                <w:rFonts w:hint="eastAsia" w:ascii="宋体" w:hAnsi="宋体" w:cs="宋体"/>
                <w:b/>
                <w:bCs/>
                <w:color w:val="000000" w:themeColor="text1"/>
                <w:kern w:val="0"/>
                <w:sz w:val="20"/>
                <w:szCs w:val="20"/>
                <w:highlight w:val="none"/>
                <w:lang w:bidi="ar"/>
                <w14:textFill>
                  <w14:solidFill>
                    <w14:schemeClr w14:val="tx1"/>
                  </w14:solidFill>
                </w14:textFill>
              </w:rPr>
              <w:t>）</w:t>
            </w:r>
          </w:p>
        </w:tc>
        <w:tc>
          <w:tcPr>
            <w:tcW w:w="5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转运箱体个数（个）</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压缩工艺</w:t>
            </w:r>
          </w:p>
        </w:tc>
        <w:tc>
          <w:tcPr>
            <w:tcW w:w="3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箱体规格（</w:t>
            </w:r>
            <w:r>
              <w:rPr>
                <w:rFonts w:ascii="Times New Roman" w:hAnsi="Times New Roman" w:eastAsia="等线" w:cs="Times New Roman"/>
                <w:b/>
                <w:bCs/>
                <w:color w:val="000000" w:themeColor="text1"/>
                <w:kern w:val="0"/>
                <w:sz w:val="20"/>
                <w:szCs w:val="20"/>
                <w:highlight w:val="none"/>
                <w:lang w:bidi="ar"/>
                <w14:textFill>
                  <w14:solidFill>
                    <w14:schemeClr w14:val="tx1"/>
                  </w14:solidFill>
                </w14:textFill>
              </w:rPr>
              <w:t>m</w:t>
            </w:r>
            <w:r>
              <w:rPr>
                <w:rFonts w:ascii="Times New Roman" w:hAnsi="Times New Roman" w:eastAsia="等线" w:cs="Times New Roman"/>
                <w:b/>
                <w:bCs/>
                <w:color w:val="000000" w:themeColor="text1"/>
                <w:kern w:val="0"/>
                <w:sz w:val="20"/>
                <w:szCs w:val="20"/>
                <w:highlight w:val="none"/>
                <w:vertAlign w:val="superscript"/>
                <w:lang w:bidi="ar"/>
                <w14:textFill>
                  <w14:solidFill>
                    <w14:schemeClr w14:val="tx1"/>
                  </w14:solidFill>
                </w14:textFill>
              </w:rPr>
              <w:t>3</w:t>
            </w:r>
            <w:r>
              <w:rPr>
                <w:rFonts w:hint="eastAsia" w:ascii="宋体" w:hAnsi="宋体" w:cs="宋体"/>
                <w:b/>
                <w:bCs/>
                <w:color w:val="000000" w:themeColor="text1"/>
                <w:kern w:val="0"/>
                <w:sz w:val="20"/>
                <w:szCs w:val="20"/>
                <w:highlight w:val="none"/>
                <w:lang w:bidi="ar"/>
                <w14:textFill>
                  <w14:solidFill>
                    <w14:schemeClr w14:val="tx1"/>
                  </w14:solidFill>
                </w14:textFill>
              </w:rPr>
              <w:t>）</w:t>
            </w:r>
          </w:p>
        </w:tc>
        <w:tc>
          <w:tcPr>
            <w:tcW w:w="5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日转运次数（次</w:t>
            </w:r>
            <w:r>
              <w:rPr>
                <w:rFonts w:ascii="Times New Roman" w:hAnsi="Times New Roman" w:eastAsia="等线" w:cs="Times New Roman"/>
                <w:b/>
                <w:bCs/>
                <w:color w:val="000000" w:themeColor="text1"/>
                <w:kern w:val="0"/>
                <w:sz w:val="20"/>
                <w:szCs w:val="20"/>
                <w:highlight w:val="none"/>
                <w:lang w:bidi="ar"/>
                <w14:textFill>
                  <w14:solidFill>
                    <w14:schemeClr w14:val="tx1"/>
                  </w14:solidFill>
                </w14:textFill>
              </w:rPr>
              <w:t>/</w:t>
            </w:r>
            <w:r>
              <w:rPr>
                <w:rFonts w:hint="eastAsia" w:ascii="宋体" w:hAnsi="宋体" w:cs="宋体"/>
                <w:b/>
                <w:bCs/>
                <w:color w:val="000000" w:themeColor="text1"/>
                <w:kern w:val="0"/>
                <w:sz w:val="20"/>
                <w:szCs w:val="20"/>
                <w:highlight w:val="none"/>
                <w:lang w:bidi="ar"/>
                <w14:textFill>
                  <w14:solidFill>
                    <w14:schemeClr w14:val="tx1"/>
                  </w14:solidFill>
                </w14:textFill>
              </w:rPr>
              <w:t>日）</w:t>
            </w:r>
          </w:p>
        </w:tc>
        <w:tc>
          <w:tcPr>
            <w:tcW w:w="6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距红花坑单程运距（</w:t>
            </w:r>
            <w:r>
              <w:rPr>
                <w:rFonts w:ascii="Times New Roman" w:hAnsi="Times New Roman" w:eastAsia="等线" w:cs="Times New Roman"/>
                <w:b/>
                <w:bCs/>
                <w:color w:val="000000" w:themeColor="text1"/>
                <w:kern w:val="0"/>
                <w:sz w:val="20"/>
                <w:szCs w:val="20"/>
                <w:highlight w:val="none"/>
                <w:lang w:bidi="ar"/>
                <w14:textFill>
                  <w14:solidFill>
                    <w14:schemeClr w14:val="tx1"/>
                  </w14:solidFill>
                </w14:textFill>
              </w:rPr>
              <w:t>km</w:t>
            </w:r>
            <w:r>
              <w:rPr>
                <w:rFonts w:hint="eastAsia" w:ascii="宋体" w:hAnsi="宋体" w:cs="宋体"/>
                <w:b/>
                <w:bCs/>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b/>
                <w:bCs/>
                <w:color w:val="000000" w:themeColor="text1"/>
                <w:sz w:val="20"/>
                <w:szCs w:val="20"/>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4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5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r>
      <w:tr>
        <w:tblPrEx>
          <w:tblCellMar>
            <w:top w:w="0" w:type="dxa"/>
            <w:left w:w="108" w:type="dxa"/>
            <w:bottom w:w="0" w:type="dxa"/>
            <w:right w:w="108" w:type="dxa"/>
          </w:tblCellMar>
        </w:tblPrEx>
        <w:trPr>
          <w:trHeight w:val="402" w:hRule="atLeast"/>
        </w:trPr>
        <w:tc>
          <w:tcPr>
            <w:tcW w:w="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长安</w:t>
            </w: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32</w:t>
            </w:r>
            <w:r>
              <w:rPr>
                <w:rFonts w:hint="eastAsia" w:ascii="宋体" w:hAnsi="宋体" w:cs="宋体"/>
                <w:color w:val="000000" w:themeColor="text1"/>
                <w:kern w:val="0"/>
                <w:sz w:val="20"/>
                <w:szCs w:val="20"/>
                <w:highlight w:val="none"/>
                <w:lang w:bidi="ar"/>
                <w14:textFill>
                  <w14:solidFill>
                    <w14:schemeClr w14:val="tx1"/>
                  </w14:solidFill>
                </w14:textFill>
              </w:rPr>
              <w:t>号站</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厦岗先兴南街</w:t>
            </w: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17</w:t>
            </w:r>
            <w:r>
              <w:rPr>
                <w:rFonts w:hint="eastAsia" w:ascii="宋体" w:hAnsi="宋体" w:cs="宋体"/>
                <w:color w:val="000000" w:themeColor="text1"/>
                <w:kern w:val="0"/>
                <w:sz w:val="20"/>
                <w:szCs w:val="20"/>
                <w:highlight w:val="none"/>
                <w:lang w:bidi="ar"/>
                <w14:textFill>
                  <w14:solidFill>
                    <w14:schemeClr w14:val="tx1"/>
                  </w14:solidFill>
                </w14:textFill>
              </w:rPr>
              <w:t>号对面</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12</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水平</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13</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14</w:t>
            </w:r>
          </w:p>
        </w:tc>
      </w:tr>
      <w:tr>
        <w:tblPrEx>
          <w:tblCellMar>
            <w:top w:w="0" w:type="dxa"/>
            <w:left w:w="108" w:type="dxa"/>
            <w:bottom w:w="0" w:type="dxa"/>
            <w:right w:w="108" w:type="dxa"/>
          </w:tblCellMar>
        </w:tblPrEx>
        <w:trPr>
          <w:trHeight w:val="402" w:hRule="atLeast"/>
        </w:trPr>
        <w:tc>
          <w:tcPr>
            <w:tcW w:w="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长安</w:t>
            </w: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33</w:t>
            </w:r>
            <w:r>
              <w:rPr>
                <w:rFonts w:hint="eastAsia" w:ascii="宋体" w:hAnsi="宋体" w:cs="宋体"/>
                <w:color w:val="000000" w:themeColor="text1"/>
                <w:kern w:val="0"/>
                <w:sz w:val="20"/>
                <w:szCs w:val="20"/>
                <w:highlight w:val="none"/>
                <w:lang w:bidi="ar"/>
                <w14:textFill>
                  <w14:solidFill>
                    <w14:schemeClr w14:val="tx1"/>
                  </w14:solidFill>
                </w14:textFill>
              </w:rPr>
              <w:t>号站</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厦岗开源路八巷</w:t>
            </w: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13</w:t>
            </w:r>
            <w:r>
              <w:rPr>
                <w:rFonts w:hint="eastAsia" w:ascii="宋体" w:hAnsi="宋体" w:cs="宋体"/>
                <w:color w:val="000000" w:themeColor="text1"/>
                <w:kern w:val="0"/>
                <w:sz w:val="20"/>
                <w:szCs w:val="20"/>
                <w:highlight w:val="none"/>
                <w:lang w:bidi="ar"/>
                <w14:textFill>
                  <w14:solidFill>
                    <w14:schemeClr w14:val="tx1"/>
                  </w14:solidFill>
                </w14:textFill>
              </w:rPr>
              <w:t>号对面</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24</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水平</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13</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14</w:t>
            </w:r>
          </w:p>
        </w:tc>
      </w:tr>
      <w:tr>
        <w:tblPrEx>
          <w:tblCellMar>
            <w:top w:w="0" w:type="dxa"/>
            <w:left w:w="108" w:type="dxa"/>
            <w:bottom w:w="0" w:type="dxa"/>
            <w:right w:w="108" w:type="dxa"/>
          </w:tblCellMar>
        </w:tblPrEx>
        <w:trPr>
          <w:trHeight w:val="402" w:hRule="atLeast"/>
        </w:trPr>
        <w:tc>
          <w:tcPr>
            <w:tcW w:w="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长安</w:t>
            </w: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34</w:t>
            </w:r>
            <w:r>
              <w:rPr>
                <w:rFonts w:hint="eastAsia" w:ascii="宋体" w:hAnsi="宋体" w:cs="宋体"/>
                <w:color w:val="000000" w:themeColor="text1"/>
                <w:kern w:val="0"/>
                <w:sz w:val="20"/>
                <w:szCs w:val="20"/>
                <w:highlight w:val="none"/>
                <w:lang w:bidi="ar"/>
                <w14:textFill>
                  <w14:solidFill>
                    <w14:schemeClr w14:val="tx1"/>
                  </w14:solidFill>
                </w14:textFill>
              </w:rPr>
              <w:t>号站</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厦岗福海路</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12</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水平</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13</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15</w:t>
            </w:r>
          </w:p>
        </w:tc>
      </w:tr>
    </w:tbl>
    <w:p>
      <w:pPr>
        <w:widowControl/>
        <w:adjustRightInd w:val="0"/>
        <w:snapToGrid w:val="0"/>
        <w:spacing w:line="360" w:lineRule="auto"/>
        <w:ind w:firstLine="420" w:firstLineChars="200"/>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（五）环卫保洁测量面积</w:t>
      </w:r>
    </w:p>
    <w:p>
      <w:pPr>
        <w:rPr>
          <w:rFonts w:ascii="宋体" w:hAnsi="宋体" w:cs="宋体"/>
          <w:color w:val="000000" w:themeColor="text1"/>
          <w:szCs w:val="21"/>
          <w:highlight w:val="none"/>
          <w:lang w:bidi="zh-CN"/>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br w:type="page"/>
      </w:r>
    </w:p>
    <w:p>
      <w:pPr>
        <w:widowControl/>
        <w:adjustRightInd w:val="0"/>
        <w:snapToGrid w:val="0"/>
        <w:spacing w:line="360" w:lineRule="auto"/>
        <w:ind w:firstLine="422" w:firstLineChars="200"/>
        <w:jc w:val="center"/>
        <w:rPr>
          <w:b/>
          <w:bCs/>
          <w:color w:val="000000" w:themeColor="text1"/>
          <w:highlight w:val="none"/>
          <w14:textFill>
            <w14:solidFill>
              <w14:schemeClr w14:val="tx1"/>
            </w14:solidFill>
          </w14:textFill>
        </w:rPr>
      </w:pPr>
      <w:r>
        <w:rPr>
          <w:rFonts w:hint="eastAsia" w:ascii="宋体" w:hAnsi="宋体" w:cs="宋体"/>
          <w:b/>
          <w:bCs/>
          <w:color w:val="000000" w:themeColor="text1"/>
          <w:szCs w:val="21"/>
          <w:highlight w:val="none"/>
          <w:lang w:bidi="zh-CN"/>
          <w14:textFill>
            <w14:solidFill>
              <w14:schemeClr w14:val="tx1"/>
            </w14:solidFill>
          </w14:textFill>
        </w:rPr>
        <w:t>《东莞市厦岗社区环卫面积测量成果图》</w:t>
      </w:r>
    </w:p>
    <w:p>
      <w:pP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drawing>
          <wp:inline distT="0" distB="0" distL="114300" distR="114300">
            <wp:extent cx="5638165" cy="7974330"/>
            <wp:effectExtent l="0" t="0" r="635" b="7620"/>
            <wp:docPr id="22" name="图片 22" descr="东莞市厦岗社区环卫面积测量成果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东莞市厦岗社区环卫面积测量成果图_00"/>
                    <pic:cNvPicPr>
                      <a:picLocks noChangeAspect="1"/>
                    </pic:cNvPicPr>
                  </pic:nvPicPr>
                  <pic:blipFill>
                    <a:blip r:embed="rId9"/>
                    <a:stretch>
                      <a:fillRect/>
                    </a:stretch>
                  </pic:blipFill>
                  <pic:spPr>
                    <a:xfrm>
                      <a:off x="0" y="0"/>
                      <a:ext cx="5638165" cy="7974330"/>
                    </a:xfrm>
                    <a:prstGeom prst="rect">
                      <a:avLst/>
                    </a:prstGeom>
                  </pic:spPr>
                </pic:pic>
              </a:graphicData>
            </a:graphic>
          </wp:inline>
        </w:drawing>
      </w:r>
      <w:r>
        <w:rPr>
          <w:rFonts w:hint="eastAsia" w:ascii="宋体" w:hAnsi="宋体" w:cs="宋体"/>
          <w:b/>
          <w:color w:val="000000" w:themeColor="text1"/>
          <w:sz w:val="24"/>
          <w:highlight w:val="none"/>
          <w14:textFill>
            <w14:solidFill>
              <w14:schemeClr w14:val="tx1"/>
            </w14:solidFill>
          </w14:textFill>
        </w:rPr>
        <w:br w:type="page"/>
      </w:r>
    </w:p>
    <w:p>
      <w:pPr>
        <w:overflowPunct w:val="0"/>
        <w:autoSpaceDE w:val="0"/>
        <w:autoSpaceDN w:val="0"/>
        <w:spacing w:before="156" w:beforeLines="50" w:after="156" w:afterLines="50" w:line="360" w:lineRule="auto"/>
        <w:textAlignment w:val="baseline"/>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二、服务方式和要求</w:t>
      </w:r>
    </w:p>
    <w:p>
      <w:pPr>
        <w:widowControl/>
        <w:adjustRightInd w:val="0"/>
        <w:snapToGrid w:val="0"/>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（一）服务方式</w:t>
      </w:r>
    </w:p>
    <w:p>
      <w:pPr>
        <w:widowControl/>
        <w:adjustRightInd w:val="0"/>
        <w:snapToGrid w:val="0"/>
        <w:spacing w:line="360" w:lineRule="auto"/>
        <w:ind w:firstLine="42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采用全包干形式，即业务包干、经费包干。采购人将上述清扫保洁、水面保洁、厕所和中转站管养、生活垃圾运输等业务发包给中标供应商，中标供应商按采购人的要求和标准组织开展相关业务工作，并接受采购人的指导、监督、检查、考核和验收，中标供应商不得将业务转包或将项目的主体、关键性工作分包。中标供应商需在签订合同后一个月内申请业务行政主管部门颁发的《城市生活垃圾经营性清扫、收集、运输服务许可证》（提供单独承诺函）。</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（二）环境卫生质量要求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1、城市道路、广场、步行街清扫保洁的质量要求：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（1）日间，一至四级清扫保洁区域的路面废弃物总数应符合下表规定。</w:t>
      </w:r>
    </w:p>
    <w:p>
      <w:pPr>
        <w:pStyle w:val="2"/>
        <w:spacing w:before="0" w:line="360" w:lineRule="auto"/>
        <w:ind w:left="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表1城市道路路面废弃物控制指标</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2613"/>
        <w:gridCol w:w="1483"/>
        <w:gridCol w:w="1997"/>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保洁等级</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果皮、纸屑、塑膜及其他杂物（件/500平方米）</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烟蒂（个/500平方米）</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污水、污渍（平方米/500平方米）</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尘土量（千克/500平方米）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一级</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二级</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三级</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四级</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0.5</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≤25</w:t>
            </w:r>
          </w:p>
        </w:tc>
      </w:tr>
    </w:tbl>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（2）夜间保洁时，一级清扫保洁道路的路面垃圾杂物（仅计塑料袋、纸屑、饭盒等超过火柴盒大小的较大垃圾）每500平方米不超过4件，二至四级清扫保洁道路的路面垃圾杂物每500平方米不超过8件。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2、交通护栏、灯杆保洁质量要求：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（1）交通护栏无明显积尘、无明显污迹；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（2）灯杆无明显积尘、无明显污迹。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3、道路两侧休闲椅、广告牌、路牌等设施的清理应符合以下要求：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（1）道路两侧休闲椅、康体娱乐设施、雕塑等无明显积尘、无明显污迹；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（2）道路两侧广告牌、路牌、邮筒、读报栏、站亭等设施无污迹、积尘。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4、人行天桥的保洁应符合以下要求：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（1）人行天桥应与所连接的道路保洁质量标准相同，人行天桥桥面应无明显垃圾，注意清理口香糖渣等污垢，做到桥面见本色，阶梯、扶手、栏杆应干净整洁，无乱张贴、乱涂写；</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（2）人行天桥雨篷应定期进行清理，确保无暴露垃圾。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5、地下人行通道的保洁应符合以下要求： </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地下人行通道应与所连接的道路保洁质量标准相同，地下人行通道地面、阶梯、扶手应干净，注意清理口香糖渣等污垢，做到地面见本色，两侧墙面无乱张贴、乱涂写。</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6、车行隧道的保洁应符合以下要求：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（1）车行隧道的路面应干净，无积存污水和垃圾；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（2）隧道两壁应无明显污物；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（3）隧道进出口保洁质量应与所连接路段保洁质量标准相同。</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（三）环卫保洁作业要求</w:t>
      </w:r>
    </w:p>
    <w:p>
      <w:pPr>
        <w:pStyle w:val="2"/>
        <w:spacing w:before="0" w:line="360" w:lineRule="auto"/>
        <w:ind w:left="0" w:firstLine="422" w:firstLineChars="200"/>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针对服务范围内相应道路、区域养护等级，分类落实不同等级作业要求。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1、一级区域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（1）景观道路、重要道路</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①清扫作业：机动车道机械化清扫率达到100%，每日清扫次数不少于2次；非机动车道及人行道实行小型机械和人工配合清扫或实行人工清扫，每日清扫次数不少于2次。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②保洁作业：机动车道使用机械化车辆辅以人工保洁方式进行保洁，非机动车道、人行道实行人工保洁作业，保洁时间18小时。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机动车道使用高压冲洗车进行冲洗作业，冲洗次数不少于1次/日；路沿石冲洗使用小型冲洗车作业，冲洗次数不少于1次/日；人行道冲刷除尘采用手推式扫（洗）地机进行洗刷或高压水枪进行洗刷，不少于1次/日，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④洒水喷雾降尘作业：主干道洒水次数不少于4次/日，辅道洒水次数不少于2次/日，喷雾降尘不少于2次/日，阴雨天气可减少或不进行洒水喷雾降尘。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⑤绿化带、树池、背景林清理作业：宜采用鼓风机或低压冲水枪进行清理，配合人工保洁，保洁时间不少于12小时。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⑥果皮箱、垃圾桶清掏擦拭作业：清掏果皮箱、垃圾桶频次不少于3次/日，并在清掏后进行擦拭，确保无明显污渍。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（2）繁华商业步行街</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②保洁作业：使用小型机械化车辆辅以人工保洁方式或采取人工保洁方式作业，保洁时间18小时。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③清洗作业：使用小型冲洗车或人工使用高压水枪作业，每日冲洗次数不少于1次；果皮箱、垃圾桶、灯杆、护栏清洗频次不少于1次/周。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④洒水喷雾降尘作业：喷雾降尘不少于4次/日，鼓励采用固定式喷雾机进行喷雾降尘，阴雨天气可减少或不进行洒水喷雾降尘。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⑤绿化带、树池清理作业：宜采用人工作业方式进行清理，清理次数不少于3次/日。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⑥果皮箱、垃圾桶清掏擦拭作业：清掏果皮箱、垃圾桶频次不少于3次/日，并在清掏后进行擦拭，确保无明显污渍；实行上门收集垃圾，每日上门收集垃圾不少于3次。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（3）市、镇街（园区）中心广场</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②保洁作业：采取人工保洁方式作业，保洁时间18小时。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③清洗作业：使用小型冲洗车或人工使用高压水枪作业, 每日冲洗次数不少于1次；果皮箱、垃圾桶、灯杆、护栏清洗频次不少于1次/周。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④洒水喷雾降尘作业：喷雾降尘不少于4次/日，鼓励采用固定式喷雾机进行喷雾降尘，阴雨天气可减少或不进行洒水喷雾降尘。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⑤绿化带、树池清理作业：宜采用人工作业方式进行清理,清理次数不少于2次/日。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⑥果皮箱、垃圾桶清掏擦拭作业：清掏果皮箱、垃圾桶频次不少于3次/日，并在清掏后进行擦拭，确保无明显污渍。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2、二级区域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（1）一般城市道路、国道、重要省道、重要县道</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①清扫作业：机动车道机械化清扫率达到95%以上，不能机械化作业区域采用人工清扫作业，每日清扫次数不少于2次；非机动车道及人行道实行小型机械和人工配合清扫或实行人工清扫，每日清扫次数不少于2次。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②保洁作业：机动车道使用机械化车辆辅以人工保洁方式进行保洁，非机动车道、人行道实行人工保洁作业，保洁时间16小时。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机动车道使用高压冲洗车进行冲洗作业，冲洗次数不少于1次/2日；路沿石冲洗使用小型冲洗车作业，冲洗次数不少于1次/2日；人行道冲刷除尘采用手推式扫（洗)地机进行洗刷或高压水枪进行洗刷，不少于1次/2日，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④洒水喷雾降尘作业：主干道洒水次数不少于3次/日，辅道洒水次数不少于1次/日，喷雾降尘不少于2次/日，阴雨天气可减少或不进行洒水喷雾降尘。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⑤绿化带、树池、背景林清理作业：宜采用鼓风机或低压冲水枪进行清理，配合人工进行保洁，保洁时间不少于12小时/日。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⑥果皮箱、垃圾桶清掏擦拭作业：清掏果皮箱、垃圾桶频次不少于2次/日，并在清掏后进行擦拭，确保无明显污渍。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（2）一般商业街</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②保洁作业：使用小型机械化车辆辅以人工保洁方式或采取人工保洁方式作业，保洁时间16小时。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③清洗作业：使用小型冲洗车或人工使用高压水枪作业，冲洗次数不少于1次/2日；果皮箱、垃圾桶、灯杆、护栏清洗频次不少于1次/周。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④洒水喷雾降尘作业：洒水次数不少于2次/日，喷雾降尘不少于2次/日，阴雨天气可减少或不进行洒水喷雾降尘。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⑤绿化带、树池清理作业：宜采用人工作业方式进行清理，清理次数不少于1次/日。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⑥果皮箱、垃圾桶清掏擦拭作业：清掏果皮箱、垃圾桶频次不少于3次/日，并在清掏后进行擦拭，确保无明显污渍；实行上门收集垃圾，每日上门收集垃圾不少于2次。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（3）村（社区）群众广场、一般城市公园</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②保洁作业：采取人工保洁方式作业，保洁时间16小时。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③清洗作业：使用小型冲洗车或人工使用高压水枪作业，每周冲洗次数不少于3次；果皮箱、垃圾桶、灯杆、护栏清洗频次不少于1次/周。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④洒水喷雾降尘作业：喷雾降尘不少于2次/日，鼓励采用固定式喷雾机进行喷雾降尘，阴雨天气可减少或不进行洒水喷雾降尘。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⑤绿化带、树池清理作业：宜采用人工作业方式进行清理,清理次数不少于1次/日。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⑥果皮箱、垃圾桶清掏擦拭作业：清掏果皮箱、垃圾桶频次不少于2次/日，并在清掏后进行擦拭，确保无明显污渍。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3、三级区域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（1）一般省道、一般县道、乡村公路</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①清扫作业：机械化清扫率达到90%以上，不能机械化作业区域采用人工进行清扫作业，每日清扫次数不少于1次；人行道实行人工清扫，每日清扫次数不少于1次。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②保洁作业：机动车道使用机械化车辆辅以人工保洁方式进行保洁，人行道实行人工保洁作业，保洁时间12小时。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机动车道使用高压冲洗车进行冲洗作业，冲洗次数不少于1次/3日；路沿石冲洗使用小型冲洗车作业，冲洗次数不少于1次/3日;人行道冲刷除尘采用高压水枪进行洗刷，不少于1次/月，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④洒水作业：洒水次数不少于2次/日，阴雨天气可减少或不进行洒水。</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⑤绿化带、树池、背景林清理作业：宜采用人工对白色垃圾进行清理，保洁时间不少于8小时/日。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⑥果皮箱、垃圾桶清掏擦拭作业：清掏果皮箱、垃圾桶频次不少于1次/日，并在清掏后进行擦拭，确保无明显污渍。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（2）村（社区）中心区域及居住区巷道</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①清扫作业：采用人工进行清扫作业，每日清扫次数不少于2次.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②保洁作业：实行人工保洁作业，保洁时间16小时。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③清洗作业：使用高压水枪对明显污渍进行冲洗作业，冲洗次数不少于3次/周；果皮箱、垃圾桶、灯杆、护栏滑洗频次不少于1次/周。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④绿化带、树池清理作业：宜采用人工对白色垃圾进行清理，保洁时间不少于8小时/日；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⑤果皮箱、垃圾桶清掏擦拭作业：清掏果皮箱、垃圾桶频次不少于2次1日，并在清掏后进行擦拭，确保无明显污渍。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4、四级区域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位于远离居住区、企事业单位和公共场所的人流量、车流量较少的道路，无排水管道、路沿石及人行道未硬化等简陋道路。</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①清扫作业：实行人工清扫，清扫次数不少于1次。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②保洁作业：实行人工保洁作业，清理白色垃圾，保洁时间8小时。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③清洗作业：使用高压水枪对明显污渍进行冲洗作业,冲洗次数不少于2次/月；果皮箱、垃圾桶、灯杆、护栏清洗频次不少于2次/月。</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④绿化带、树池、背景林清理作业：采用人工对白色垃圾进行清理，保洁时间不少于6小时/日；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⑤果皮箱、垃圾桶清掏擦拭作业：清掏果皮箱、垃圾桶频次不少于1次/日，并在清掏后进行擦拭，确保无明显污渍。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⑥沉沙井清理作业：采用人工作业方式清理，正常季节（1-4月、9-12月）清理频次为1次/周；雨季（5-8月）清理频次为2次/周：遇暴雨等恶劣天气需及时清理。</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（四）垃圾收集点保洁要求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1、垃圾收集容器应定位设置，摆放整齐。设置点及周围2~3m内应整洁，无散落、存留垃圾和污水。</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2、垃圾收集容器应无残缺、破损，封闭性好，外体干净。垃圾房内外墙面、垃圾亭等建筑设施不得有明显积灰、污物。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3、厨余垃圾的收集，必须用设有明显标志、能防止污染打散的密封容器。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4、蝇、蚊孽生季节，垃圾收集站（点），应定时喷洒消毒、灭蚊蝇药物。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5、生活垃圾应全部实行容器收集，且执行垃圾分类收集。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6、中标供应商应按规定将分类收集的垃圾实行分类运输，将不同种类的垃圾分类运输至采购人指定的各个地点。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7、工业垃圾、建筑垃圾、危险废物不得混入生活垃圾。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8、垃圾收集容器内的垃圾无满溢和散落，并定时清洗箱体。</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9、地面（含天桥、地道）清扫的垃圾应及时收集到采购人指定地点，不遗漏，不得堆放在路边。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10、服务期内，采购人会逐步实施街道撤桶，中标供应商应根据采购人关于垃圾收运的要求配合做好上门收集垃圾工作，范围从主干道开始，逐渐覆盖全域范围。</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（五）“牛皮癣”清理标准要求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1、清除乱张贴类“牛皮癣”标准：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（1）必须清除彻底、无残留。有色张贴物的颜料不能残留在或渗入附着物表面，有胶张贴物不能有残留胶，原有胶体残留痕迹要清理干净；</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（2）基底无损伤，包括明伤、掉漆、明显划痕等； </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（3）无遗漏，在人行道上和机动车道上均看不到张贴物。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2、清理乱涂写（刻画）类“牛皮癣”标准：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（1）基底恢复原貌，无残留物或者残留痕迹；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（2）沟缝干净，无残留物或残留痕迹； </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（3）基底无损伤，漆面、有机玻璃面、喷绘布面等基底无划痕、无掉漆、无变色、不失原有光泽；</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（4）块状瓷面、大理石面与原材质一致；</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（5）无遗漏，在人行道上和机动车道上均看不到乱涂写（刻画）物。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3、清理乱张挂类“牛皮癣”标准：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（1）无残留物或者残留痕迹；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（2）基底或原附着物无损伤；</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（3）无遗漏，在人行道上和机动车道上均看不见残旧破烂的张挂物；高空电线、墙面上的牛皮癣也要清理干净。</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4、涂刷覆盖效果标准：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（1）涂刷用料与被涂刷物基底材质相同或接近；</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（2）色泽相同或接近，色彩与原底色吻合；</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（3）刷痕自然，无漏刷、无流淌，地面干净、界线齐平。</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5、清洗剂使用标准：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（1）符合国家环保部颁布的《环境标志产品技术要求水性涂料（HJ2537-2014）》外墙涂料执行标准；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（2）对人畜不造成损害，对“牛皮癣”附着物不构成物理或化学破坏。</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（六）公厕管养要求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公厕</w:t>
      </w:r>
      <w:r>
        <w:rPr>
          <w:rFonts w:hint="eastAsia"/>
          <w:color w:val="000000" w:themeColor="text1"/>
          <w:sz w:val="21"/>
          <w:szCs w:val="21"/>
          <w:highlight w:val="none"/>
          <w14:textFill>
            <w14:solidFill>
              <w14:schemeClr w14:val="tx1"/>
            </w14:solidFill>
          </w14:textFill>
        </w:rPr>
        <w:t>开放时间为每天</w:t>
      </w:r>
      <w:r>
        <w:rPr>
          <w:rFonts w:hint="eastAsia"/>
          <w:color w:val="000000" w:themeColor="text1"/>
          <w:sz w:val="21"/>
          <w:szCs w:val="21"/>
          <w:highlight w:val="none"/>
          <w:lang w:val="en-US"/>
          <w14:textFill>
            <w14:solidFill>
              <w14:schemeClr w14:val="tx1"/>
            </w14:solidFill>
          </w14:textFill>
        </w:rPr>
        <w:t>7</w:t>
      </w:r>
      <w:r>
        <w:rPr>
          <w:rFonts w:hint="eastAsia"/>
          <w:color w:val="000000" w:themeColor="text1"/>
          <w:sz w:val="21"/>
          <w:szCs w:val="21"/>
          <w:highlight w:val="none"/>
          <w14:textFill>
            <w14:solidFill>
              <w14:schemeClr w14:val="tx1"/>
            </w14:solidFill>
          </w14:textFill>
        </w:rPr>
        <w:t>:00—2</w:t>
      </w:r>
      <w:r>
        <w:rPr>
          <w:rFonts w:hint="eastAsia"/>
          <w:color w:val="000000" w:themeColor="text1"/>
          <w:sz w:val="21"/>
          <w:szCs w:val="21"/>
          <w:highlight w:val="none"/>
          <w:lang w:val="en-US"/>
          <w14:textFill>
            <w14:solidFill>
              <w14:schemeClr w14:val="tx1"/>
            </w14:solidFill>
          </w14:textFill>
        </w:rPr>
        <w:t>3</w:t>
      </w:r>
      <w:r>
        <w:rPr>
          <w:rFonts w:hint="eastAsia"/>
          <w:color w:val="000000" w:themeColor="text1"/>
          <w:sz w:val="21"/>
          <w:szCs w:val="21"/>
          <w:highlight w:val="none"/>
          <w14:textFill>
            <w14:solidFill>
              <w14:schemeClr w14:val="tx1"/>
            </w14:solidFill>
          </w14:textFill>
        </w:rPr>
        <w:t>:00，可根据实际情况作适当调整，公厕管理过程中所产生的水电费用由中标单位来承担。</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1、公厕卫生要求：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(1)水冲式公厕粪污水不得直接排入雨水管道、河流和水沟，粪污水纳入污水管网集中处理。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(2)公厕内地面应保持整洁，粪槽、便槽(斗)和管道应无破损，内外墙应无剥落。</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(3)二类公厕应有防蝇、防蚊和除臭设施或措施。</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2、公厕保洁标准： </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(1)公厕内采光、照明和通风应良好，无明显臭味；</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(2)公厕内墙面、天花板、门窗和隔离板应无积灰、污迹、蛛网，无乱涂乱画，墙面应光洁，公厕外墙面应整洁；</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(3)公厕内地面应光洁，无积水；</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(4)蹲位应整洁，大便槽两侧应无粪便污物，檀内无积粪，洁净见底；</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(5)小便槽(斗)应无水锈、尿垢、垃圾，基本无臭；沟眼、管道保持畅通；</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(6)公厕内照明灯具、洗手器具、镜子、挂衣钩、烘手器、冲水设备等应完好，无积灰、污物；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(7)公厕外环境应整洁，无乱堆杂物，保洁工具应放置整齐。公厕四周3-5m范围内，应无垃圾、粪便、污水等污物；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(8)蝇蚊孳生季节，应定时喷洒灭蚊蝇药物，有效控制蝇蛆孳生；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(9)公厕内卫生保洁质量：</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一类公厕</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二类公厕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纸片（块）</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烟蒂（个）</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粪迹（处）</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痰迹（处）</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窗格积灰</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臭味（级）</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水厕，≤1；非水厕，≤2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苍蝇（只）</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水厕，无；非水厕，＜3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蛛网</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r>
    </w:tbl>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10</w:t>
      </w:r>
      <w:r>
        <w:rPr>
          <w:rFonts w:hint="eastAsia"/>
          <w:color w:val="000000" w:themeColor="text1"/>
          <w:sz w:val="21"/>
          <w:szCs w:val="21"/>
          <w:highlight w:val="none"/>
          <w14:textFill>
            <w14:solidFill>
              <w14:schemeClr w14:val="tx1"/>
            </w14:solidFill>
          </w14:textFill>
        </w:rPr>
        <w:t>)确保设施、设备应定期保养，检查</w:t>
      </w:r>
      <w:r>
        <w:rPr>
          <w:rFonts w:hint="eastAsia"/>
          <w:color w:val="000000" w:themeColor="text1"/>
          <w:sz w:val="21"/>
          <w:szCs w:val="21"/>
          <w:highlight w:val="none"/>
          <w:lang w:val="en-US"/>
          <w14:textFill>
            <w14:solidFill>
              <w14:schemeClr w14:val="tx1"/>
            </w14:solidFill>
          </w14:textFill>
        </w:rPr>
        <w:t>公厕内</w:t>
      </w:r>
      <w:r>
        <w:rPr>
          <w:rFonts w:hint="eastAsia"/>
          <w:color w:val="000000" w:themeColor="text1"/>
          <w:sz w:val="21"/>
          <w:szCs w:val="21"/>
          <w:highlight w:val="none"/>
          <w14:textFill>
            <w14:solidFill>
              <w14:schemeClr w14:val="tx1"/>
            </w14:solidFill>
          </w14:textFill>
        </w:rPr>
        <w:t>设备是否正常运作，如发现问题应及时维修（</w:t>
      </w:r>
      <w:r>
        <w:rPr>
          <w:rFonts w:hint="eastAsia"/>
          <w:color w:val="000000" w:themeColor="text1"/>
          <w:sz w:val="21"/>
          <w:szCs w:val="21"/>
          <w:highlight w:val="none"/>
          <w:lang w:val="en-US"/>
          <w14:textFill>
            <w14:solidFill>
              <w14:schemeClr w14:val="tx1"/>
            </w14:solidFill>
          </w14:textFill>
        </w:rPr>
        <w:t>或更换</w:t>
      </w:r>
      <w:r>
        <w:rPr>
          <w:rFonts w:hint="eastAsia"/>
          <w:color w:val="000000" w:themeColor="text1"/>
          <w:sz w:val="21"/>
          <w:szCs w:val="21"/>
          <w:highlight w:val="none"/>
          <w14:textFill>
            <w14:solidFill>
              <w14:schemeClr w14:val="tx1"/>
            </w14:solidFill>
          </w14:textFill>
        </w:rPr>
        <w:t>）保持正常运行，</w:t>
      </w:r>
      <w:r>
        <w:rPr>
          <w:rFonts w:hint="eastAsia"/>
          <w:color w:val="000000" w:themeColor="text1"/>
          <w:sz w:val="21"/>
          <w:szCs w:val="21"/>
          <w:highlight w:val="none"/>
          <w:lang w:val="en-US"/>
          <w14:textFill>
            <w14:solidFill>
              <w14:schemeClr w14:val="tx1"/>
            </w14:solidFill>
          </w14:textFill>
        </w:rPr>
        <w:t>其费用由中标供应商负责。</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3、粪便处理及粪便运输车辆要求：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(1)车辆应完好、整洁，车体无粪迹污物。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(2)装载容器应密闭性好。放粪闸阀、进类口应严实，并有防滴漏措施；运输过程中应无滴漏、洒落，车走后场地应清理干净。</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(3)装载应适量，无外溢；裝载的粪便，应及时卸清，不得将粪便长时间存留在车罐内。</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(4)应按指定地点及时卸粪，不得任意排放。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(5)运输作业结束后，应及时清洗车辆和辅助设施，不得留有粪迹污物。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(6)公厕粪便池需要定期处理，以免粪水外溢。</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4、公厕均按专人保洁厕标准制，公厕保洁时长按 16 小时计。</w:t>
      </w:r>
    </w:p>
    <w:p>
      <w:pPr>
        <w:pStyle w:val="2"/>
        <w:spacing w:before="0" w:line="360" w:lineRule="auto"/>
        <w:ind w:left="0" w:firstLine="422" w:firstLineChars="200"/>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（七）垃圾转运站管养要求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1、垃圾转运站管理要求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（1）转运站开放时间为每天5:00—22:00，可根据实际情况作适当调整。</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（2）管理员、操作员必须经过安全及相关职业培训后方可上岗。</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禁止在站内外分拣垃圾、乱堆放杂物。管理间、工具间、操作台等处要保持整洁，工具按规定位置放置。垃圾转运站内所有垃圾日产日清，不得堆积在站内。转运结束后站内外要彻底清扫、冲洗，清理沉淀池以及排水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（4）保持转运站内外环境整洁。站内墙面无蜘蛛网、无乱涂乱画、地面无污水、无异味等。转运站周边10米内要求卫生整洁，无垃圾，绿化良好；转运站正面及视野范围内无晾晒衣服等有碍市容观瞻的物品。</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（5）做好日常除四害工作，防止蚊虫滋生。四害孳生期站内苍蝇控制在5只以内，非孽生期站内苍蝇控制在3只以内。</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（6）在垃圾收集、压缩过程中，应启动空气净化系统，保证站内外的空气清新，同时还要保持门窗关闭。</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（7）除了发生自然灾害外，转运站管理人员负责维护好转运站内所有建构筑物、供电线路、监控设备、地磅、导轨、污水收集设施等，若有损坏及时修复。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（8）落实安全生产工作。落实防火措施，配足性能良好的消防器材；落实安全用电，不得乱拉、乱挂、乱接电线，不使用非生产性大功率电器，不得超线路负载使用电器。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（9）管理员对每日进站的车辆数量和出站箱数进行登记，填写垃圾日清运统计和月汇总表。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（10）每月需对区域内在岗工作人员进行安全生产培训及进行消防演练；并完善台账上报情况；</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（11）管理人员应在安全位置协助引导司机装卸箱体，对箱体、料斗进行全面冲洗，引导并督促转运工作人员做好进出站箱体排污的前期准备，确保垃圾压缩液通过管道有序排放至集液井。</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（12）做好圾转运站的“门前三包”工作。</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（13）做好垃圾转运站地面标识、标线工作，确保设备及相关物品摆放有序。</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（14）管理人须负责对进出站车辆管理并严禁非生活垃圾的固体废物进站，禁止站内分拣垃圾，站内禁止接收工业垃圾、绿化垃圾、大件家具、建筑垃圾等。</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2、站内设备管理要求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（1）每天必须对转运站垃圾压缩箱使用清洁剂进行清洗，保持内外厢体无积灰、污渍，出箱前清理垃圾压缩箱内推头及消毒。</w:t>
      </w:r>
    </w:p>
    <w:p>
      <w:pPr>
        <w:pStyle w:val="2"/>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（2）确保设施、设备应定期保养，检查站内压缩设备是否正常运作，如发现问题应及时维修（</w:t>
      </w:r>
      <w:r>
        <w:rPr>
          <w:rFonts w:hint="eastAsia"/>
          <w:color w:val="000000" w:themeColor="text1"/>
          <w:sz w:val="21"/>
          <w:szCs w:val="21"/>
          <w:highlight w:val="none"/>
          <w:lang w:val="en-US"/>
          <w14:textFill>
            <w14:solidFill>
              <w14:schemeClr w14:val="tx1"/>
            </w14:solidFill>
          </w14:textFill>
        </w:rPr>
        <w:t>或更换</w:t>
      </w:r>
      <w:r>
        <w:rPr>
          <w:rFonts w:hint="eastAsia"/>
          <w:color w:val="000000" w:themeColor="text1"/>
          <w:sz w:val="21"/>
          <w:szCs w:val="21"/>
          <w:highlight w:val="none"/>
          <w14:textFill>
            <w14:solidFill>
              <w14:schemeClr w14:val="tx1"/>
            </w14:solidFill>
          </w14:textFill>
        </w:rPr>
        <w:t>）保持正常运行，</w:t>
      </w:r>
      <w:r>
        <w:rPr>
          <w:rFonts w:hint="eastAsia"/>
          <w:color w:val="000000" w:themeColor="text1"/>
          <w:sz w:val="21"/>
          <w:szCs w:val="21"/>
          <w:highlight w:val="none"/>
          <w:lang w:val="en-US"/>
          <w14:textFill>
            <w14:solidFill>
              <w14:schemeClr w14:val="tx1"/>
            </w14:solidFill>
          </w14:textFill>
        </w:rPr>
        <w:t>其费用由中标供应商负责。</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3、管养人员要求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（1）管养人员需熟练掌握压缩箱、除臭和负压设备等的操作技术。</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（2）定期对站内管养人员开展安全生产培训及演练。</w:t>
      </w:r>
    </w:p>
    <w:p>
      <w:pPr>
        <w:pStyle w:val="2"/>
        <w:spacing w:before="0" w:line="360" w:lineRule="auto"/>
        <w:ind w:left="0" w:firstLine="422" w:firstLineChars="200"/>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（八）生活垃圾收运车辆要求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1、生活垃圾收运车辆要有统一编号、标识、监督电话。</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2、生活垃圾收运车辆作业时车容车貌要整洁，必须每天冲洗；按规定标准保养维修，每年对车辆外观进行翻新。</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3、生活垃圾收运车辆按规定行驶路线行驶，不得行驶无备案路线。</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4、生活垃圾运输过程中必须遵守所有相关交通规则和有关法律，确保车辆行驶安全。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5、生活垃圾收运车辆必须是仅服务于本项目的专用车辆，车辆必须符合国V或以上标准，符合东莞市生活垃圾清运车辆的相关规定和要求。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6、生活垃圾收运车辆在运输过程中采取密闭运输，不得造成垃圾外泄、遗漏、抛洒。</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7、保持生活垃圾收运车辆外观完好，定期进行清洗，车容整洁，无残留垃圾、无陈旧积泥、无滋生蝇蛆。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8、做好生活垃圾收运车辆的检测、更新工作，确保车辆状况良好。</w:t>
      </w:r>
    </w:p>
    <w:p>
      <w:pPr>
        <w:pStyle w:val="2"/>
        <w:spacing w:before="0" w:line="360" w:lineRule="auto"/>
        <w:ind w:left="0" w:firstLine="422" w:firstLineChars="200"/>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（九）水面保洁要求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1、作业河段实行全天8小时，上午8:00-12:00;下午14:00-18:00(6级或以上大风红色暴雨等灾害性天气除外),首次打捞应在9:30前完成，河面基本不见垃圾、漂浮物等。</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2、岸线水面不得有大于0.5平方米漂浮垃圾，大于0.3平方米漂浮垃圾2件之间的最小距离为50米，小件零星漂浮垃圾2件之间的最小距离为20米。</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3、岸线回流区、河涌口、岸边滩头每50平方米不得有3件大于0.5平方米漂浮垃圾。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4、每50平方米岸线回流区不得有小件零星漂浮物3件。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5、清理完的水浮莲、水面垃圾日产日清并做好施工日记，同时必须送到垃圾中转站，做无害化处理。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6、垃圾运输车辆应车容整洁，车况良好，标识清晰，垃圾运输过程中垃圾不得扬、洒、拖挂，不得乱倒、乱卸、乱抛，不得有污水滴漏。</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7、退潮露滩时，残留废物应及时清理。</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（十）智慧化管理要求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本环卫服务项目要求中标供应商使用东莞市环卫作业智能化管理系统平台，通过计算机应用软件、无线网络、GIS 地理信息、GPS定位等多种信息化手段，将环卫管理的指挥、作业、监管等要素统一融合在智能化管理系统这个平台上，实现管理过程精细化，监控治理实时化，事件处理规范化，以及完善的考核制度。</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其中，采购人提供平台及使用权限，并协调平台建设运营单位将人员、车辆定位设备信息接入平台。中标供应商需采购项目所属人员、车辆所需的智能化管理硬件设施，并将设备信息接入智能化管理平台，实现人员、车辆可视化管理。采购人、中标供应商均可通过智能化管理系统实时查看人员情况、车辆运行情况等，及时发现和处理突发情况。</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（十一）设备配置要求</w:t>
      </w:r>
    </w:p>
    <w:tbl>
      <w:tblPr>
        <w:tblStyle w:val="17"/>
        <w:tblW w:w="4997" w:type="pct"/>
        <w:tblInd w:w="0" w:type="dxa"/>
        <w:tblLayout w:type="autofit"/>
        <w:tblCellMar>
          <w:top w:w="0" w:type="dxa"/>
          <w:left w:w="108" w:type="dxa"/>
          <w:bottom w:w="0" w:type="dxa"/>
          <w:right w:w="108" w:type="dxa"/>
        </w:tblCellMar>
      </w:tblPr>
      <w:tblGrid>
        <w:gridCol w:w="1095"/>
        <w:gridCol w:w="4574"/>
        <w:gridCol w:w="1478"/>
        <w:gridCol w:w="1364"/>
      </w:tblGrid>
      <w:tr>
        <w:tblPrEx>
          <w:tblCellMar>
            <w:top w:w="0" w:type="dxa"/>
            <w:left w:w="108" w:type="dxa"/>
            <w:bottom w:w="0" w:type="dxa"/>
            <w:right w:w="108" w:type="dxa"/>
          </w:tblCellMar>
        </w:tblPrEx>
        <w:trPr>
          <w:trHeight w:val="345"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货物名称/型号</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单位</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数量</w:t>
            </w:r>
          </w:p>
        </w:tc>
      </w:tr>
      <w:tr>
        <w:tblPrEx>
          <w:tblCellMar>
            <w:top w:w="0" w:type="dxa"/>
            <w:left w:w="108" w:type="dxa"/>
            <w:bottom w:w="0" w:type="dxa"/>
            <w:right w:w="108" w:type="dxa"/>
          </w:tblCellMar>
        </w:tblPrEx>
        <w:trPr>
          <w:trHeight w:val="274"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洒水车（配备高压枪）</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r>
      <w:tr>
        <w:tblPrEx>
          <w:tblCellMar>
            <w:top w:w="0" w:type="dxa"/>
            <w:left w:w="108" w:type="dxa"/>
            <w:bottom w:w="0" w:type="dxa"/>
            <w:right w:w="108" w:type="dxa"/>
          </w:tblCellMar>
        </w:tblPrEx>
        <w:trPr>
          <w:trHeight w:val="299"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勾臂车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299"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后装式压缩车（8吨）</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r>
      <w:tr>
        <w:tblPrEx>
          <w:tblCellMar>
            <w:top w:w="0" w:type="dxa"/>
            <w:left w:w="108" w:type="dxa"/>
            <w:bottom w:w="0" w:type="dxa"/>
            <w:right w:w="108" w:type="dxa"/>
          </w:tblCellMar>
        </w:tblPrEx>
        <w:trPr>
          <w:trHeight w:val="308"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扫路车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309"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路面养护车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251"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高压冲洗车（电动高压冲洗车）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r>
      <w:tr>
        <w:tblPrEx>
          <w:tblCellMar>
            <w:top w:w="0" w:type="dxa"/>
            <w:left w:w="108" w:type="dxa"/>
            <w:bottom w:w="0" w:type="dxa"/>
            <w:right w:w="108" w:type="dxa"/>
          </w:tblCellMar>
        </w:tblPrEx>
        <w:trPr>
          <w:trHeight w:val="280"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小型高压清洗车（牛皮癣清洗剂）</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308"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垃圾运输平板车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33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两轮电动巡查车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r>
      <w:tr>
        <w:tblPrEx>
          <w:tblCellMar>
            <w:top w:w="0" w:type="dxa"/>
            <w:left w:w="108" w:type="dxa"/>
            <w:bottom w:w="0" w:type="dxa"/>
            <w:right w:w="108" w:type="dxa"/>
          </w:tblCellMar>
        </w:tblPrEx>
        <w:trPr>
          <w:trHeight w:val="327"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电动保洁车（快保车）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r>
      <w:tr>
        <w:tblPrEx>
          <w:tblCellMar>
            <w:top w:w="0" w:type="dxa"/>
            <w:left w:w="108" w:type="dxa"/>
            <w:bottom w:w="0" w:type="dxa"/>
            <w:right w:w="108" w:type="dxa"/>
          </w:tblCellMar>
        </w:tblPrEx>
        <w:trPr>
          <w:trHeight w:val="261"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垃圾压缩箱</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r>
      <w:tr>
        <w:tblPrEx>
          <w:tblCellMar>
            <w:top w:w="0" w:type="dxa"/>
            <w:left w:w="108" w:type="dxa"/>
            <w:bottom w:w="0" w:type="dxa"/>
            <w:right w:w="108" w:type="dxa"/>
          </w:tblCellMar>
        </w:tblPrEx>
        <w:trPr>
          <w:trHeight w:val="298"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绿化吹风机（油）</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三轮电动封闭式垃圾清运车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手推车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120L垃圾桶</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300</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660L垃圾桶</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400</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20寸平面清洁器</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智慧环卫系统</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办公用具（打印机等）</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份</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275"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河道快艇</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条</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r>
      <w:tr>
        <w:tblPrEx>
          <w:tblCellMar>
            <w:top w:w="0" w:type="dxa"/>
            <w:left w:w="108" w:type="dxa"/>
            <w:bottom w:w="0" w:type="dxa"/>
            <w:right w:w="108" w:type="dxa"/>
          </w:tblCellMar>
        </w:tblPrEx>
        <w:trPr>
          <w:trHeight w:val="374"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小船</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条</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r>
      <w:tr>
        <w:tblPrEx>
          <w:tblCellMar>
            <w:top w:w="0" w:type="dxa"/>
            <w:left w:w="108" w:type="dxa"/>
            <w:bottom w:w="0" w:type="dxa"/>
            <w:right w:w="108" w:type="dxa"/>
          </w:tblCellMar>
        </w:tblPrEx>
        <w:trPr>
          <w:trHeight w:val="374"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公厕风干机</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9个</w:t>
            </w:r>
          </w:p>
        </w:tc>
      </w:tr>
    </w:tbl>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1、本项目须投入设备数量不少于以上清单，如遇相关设备不足的情况，采购人有权根据实际所需要求中标供应商增加，中标供应商投入的机械设备在合同签订后20天内要经采购人验收认定。</w:t>
      </w:r>
    </w:p>
    <w:p>
      <w:pPr>
        <w:spacing w:line="360" w:lineRule="auto"/>
        <w:ind w:firstLine="420"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中标供应商投入使用新能源汽车比例达80%以上。中标供应商投入的环卫设备可参考部分市政环卫项目车辆功能用途（部分市政环卫项目车辆功能用途）。其中投入的设备涉及道路扫路车、道路小型扫路车、小型高压冲洗车、电动三轮冲洗车、电动三轮保洁车、电动三轮垃圾收集车必须为新能源车辆。</w:t>
      </w:r>
    </w:p>
    <w:p>
      <w:pPr>
        <w:widowControl/>
        <w:jc w:val="center"/>
        <w:outlineLvl w:val="0"/>
        <w:rPr>
          <w:rStyle w:val="23"/>
          <w:rFonts w:ascii="宋体" w:hAnsi="宋体" w:cs="宋体"/>
          <w:color w:val="000000" w:themeColor="text1"/>
          <w:sz w:val="21"/>
          <w:szCs w:val="21"/>
          <w:highlight w:val="none"/>
          <w14:textFill>
            <w14:solidFill>
              <w14:schemeClr w14:val="tx1"/>
            </w14:solidFill>
          </w14:textFill>
        </w:rPr>
      </w:pPr>
      <w:r>
        <w:rPr>
          <w:rStyle w:val="23"/>
          <w:rFonts w:hint="eastAsia" w:ascii="宋体" w:hAnsi="宋体" w:cs="宋体"/>
          <w:color w:val="000000" w:themeColor="text1"/>
          <w:sz w:val="21"/>
          <w:szCs w:val="21"/>
          <w:highlight w:val="none"/>
          <w14:textFill>
            <w14:solidFill>
              <w14:schemeClr w14:val="tx1"/>
            </w14:solidFill>
          </w14:textFill>
        </w:rPr>
        <w:t>部分市政环卫项目车辆功能用途</w:t>
      </w:r>
    </w:p>
    <w:tbl>
      <w:tblPr>
        <w:tblStyle w:val="17"/>
        <w:tblW w:w="5000" w:type="pct"/>
        <w:tblInd w:w="0" w:type="dxa"/>
        <w:tblLayout w:type="fixed"/>
        <w:tblCellMar>
          <w:top w:w="0" w:type="dxa"/>
          <w:left w:w="108" w:type="dxa"/>
          <w:bottom w:w="0" w:type="dxa"/>
          <w:right w:w="108" w:type="dxa"/>
        </w:tblCellMar>
      </w:tblPr>
      <w:tblGrid>
        <w:gridCol w:w="401"/>
        <w:gridCol w:w="761"/>
        <w:gridCol w:w="974"/>
        <w:gridCol w:w="1863"/>
        <w:gridCol w:w="4517"/>
      </w:tblGrid>
      <w:tr>
        <w:tblPrEx>
          <w:tblCellMar>
            <w:top w:w="0" w:type="dxa"/>
            <w:left w:w="108" w:type="dxa"/>
            <w:bottom w:w="0" w:type="dxa"/>
            <w:right w:w="108" w:type="dxa"/>
          </w:tblCellMar>
        </w:tblPrEx>
        <w:trPr>
          <w:trHeight w:val="42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序号</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车型</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新能源车</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车辆功能用途</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纯电动低入口洗扫车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Style w:val="42"/>
                <w:rFonts w:hint="default" w:ascii="宋体" w:hAnsi="宋体" w:eastAsia="宋体" w:cs="宋体"/>
                <w:color w:val="000000" w:themeColor="text1"/>
                <w:sz w:val="21"/>
                <w:szCs w:val="21"/>
                <w:highlight w:val="none"/>
                <w:lang w:bidi="ar"/>
                <w14:textFill>
                  <w14:solidFill>
                    <w14:schemeClr w14:val="tx1"/>
                  </w14:solidFill>
                </w14:textFill>
              </w:rPr>
            </w:pPr>
            <w:r>
              <w:rPr>
                <w:rStyle w:val="42"/>
                <w:rFonts w:hint="default" w:ascii="宋体" w:hAnsi="宋体" w:eastAsia="宋体" w:cs="宋体"/>
                <w:b/>
                <w:bCs/>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洗扫车主要具有路面冲洗、路面清扫、垃圾回收、路缘和路沿石立面洗刷等多种功能，还兼具高压水枪清洗路标、广告牌的功能。主要应用于城市街道、市政广场、大型厂矿等地方机械化清扫保洁作业。</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纯电动低入口高压清洗车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Style w:val="42"/>
                <w:rFonts w:hint="default" w:ascii="宋体" w:hAnsi="宋体" w:eastAsia="宋体" w:cs="宋体"/>
                <w:color w:val="000000" w:themeColor="text1"/>
                <w:sz w:val="21"/>
                <w:szCs w:val="21"/>
                <w:highlight w:val="none"/>
                <w:lang w:bidi="ar"/>
                <w14:textFill>
                  <w14:solidFill>
                    <w14:schemeClr w14:val="tx1"/>
                  </w14:solidFill>
                </w14:textFill>
              </w:rPr>
            </w:pPr>
            <w:r>
              <w:rPr>
                <w:rStyle w:val="42"/>
                <w:rFonts w:hint="default" w:ascii="宋体" w:hAnsi="宋体" w:eastAsia="宋体" w:cs="宋体"/>
                <w:b/>
                <w:bCs/>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高压清洗车具备路面高压清洗、洒水降尘、绿化喷灌与应急消防等多种功能，主要应用于城镇主干道、公路、桥梁、隧道、大型仓库、港口码头等多种场景的环卫保洁作业。</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洒水车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Style w:val="42"/>
                <w:rFonts w:hint="default" w:ascii="宋体" w:hAnsi="宋体" w:eastAsia="宋体" w:cs="宋体"/>
                <w:color w:val="000000" w:themeColor="text1"/>
                <w:sz w:val="21"/>
                <w:szCs w:val="21"/>
                <w:highlight w:val="none"/>
                <w:lang w:bidi="ar"/>
                <w14:textFill>
                  <w14:solidFill>
                    <w14:schemeClr w14:val="tx1"/>
                  </w14:solidFill>
                </w14:textFill>
              </w:rPr>
            </w:pPr>
            <w:r>
              <w:rPr>
                <w:rStyle w:val="42"/>
                <w:rFonts w:hint="default" w:ascii="宋体" w:hAnsi="宋体" w:eastAsia="宋体" w:cs="宋体"/>
                <w:b/>
                <w:bCs/>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洒水车具有路面冲洗、洒水降尘等多种功能，主要用于城镇道路、广场、大型仓库的环卫保洁作业，同时用于园林绿化的农药喷洒、浇灌作业。</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纯电动多功能抑尘车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Style w:val="42"/>
                <w:rFonts w:hint="default" w:ascii="宋体" w:hAnsi="宋体" w:eastAsia="宋体" w:cs="宋体"/>
                <w:color w:val="000000" w:themeColor="text1"/>
                <w:sz w:val="21"/>
                <w:szCs w:val="21"/>
                <w:highlight w:val="none"/>
                <w:lang w:bidi="ar"/>
                <w14:textFill>
                  <w14:solidFill>
                    <w14:schemeClr w14:val="tx1"/>
                  </w14:solidFill>
                </w14:textFill>
              </w:rPr>
            </w:pPr>
            <w:r>
              <w:rPr>
                <w:rStyle w:val="42"/>
                <w:rFonts w:hint="default" w:ascii="宋体" w:hAnsi="宋体" w:eastAsia="宋体" w:cs="宋体"/>
                <w:b/>
                <w:bCs/>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多功能抑尘车具有路面冲洗、洒水降尘、扬尘抑制等多种功能，主要用于道路、广场、公园等处空气抑尘、净化空气；对建筑物拆除爆破、粉料堆场、土建施工、露天矿场等场地产生的大量粉尘进行喷淋抑制，从源头减少空气污染。</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纯电动低入口压缩式垃圾车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Style w:val="42"/>
                <w:rFonts w:hint="default" w:ascii="宋体" w:hAnsi="宋体" w:eastAsia="宋体" w:cs="宋体"/>
                <w:color w:val="000000" w:themeColor="text1"/>
                <w:sz w:val="21"/>
                <w:szCs w:val="21"/>
                <w:highlight w:val="none"/>
                <w:lang w:bidi="ar"/>
                <w14:textFill>
                  <w14:solidFill>
                    <w14:schemeClr w14:val="tx1"/>
                  </w14:solidFill>
                </w14:textFill>
              </w:rPr>
            </w:pPr>
            <w:r>
              <w:rPr>
                <w:rStyle w:val="42"/>
                <w:rFonts w:hint="default" w:ascii="宋体" w:hAnsi="宋体" w:eastAsia="宋体" w:cs="宋体"/>
                <w:b/>
                <w:bCs/>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压缩式垃圾车主要具有装载能力强、垃圾可压缩、密封性能好等特点，广泛应用生活垃圾等压缩收运，是目前较为理想的垃圾收集、压缩、转运为一体的垃圾处理设备。</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自卸式垃圾车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Style w:val="38"/>
                <w:rFonts w:hint="eastAsia" w:ascii="宋体" w:hAnsi="宋体" w:cs="宋体"/>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自卸垃圾车主要具备密封性好、装载能力强等主要特点，广泛应用于城市及乡村建有压缩站的地方，将装载的压缩垃圾块转运到垃圾场处理自动卸放。</w:t>
            </w:r>
          </w:p>
        </w:tc>
      </w:tr>
      <w:tr>
        <w:tblPrEx>
          <w:tblCellMar>
            <w:top w:w="0" w:type="dxa"/>
            <w:left w:w="108" w:type="dxa"/>
            <w:bottom w:w="0" w:type="dxa"/>
            <w:right w:w="108" w:type="dxa"/>
          </w:tblCellMar>
        </w:tblPrEx>
        <w:trPr>
          <w:trHeight w:val="284"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自装卸式垃圾车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车辆用途：</w:t>
            </w:r>
            <w:r>
              <w:rPr>
                <w:rFonts w:hint="eastAsia" w:ascii="宋体" w:hAnsi="宋体" w:cs="宋体"/>
                <w:color w:val="000000" w:themeColor="text1"/>
                <w:kern w:val="0"/>
                <w:szCs w:val="21"/>
                <w:highlight w:val="none"/>
                <w:lang w:bidi="ar"/>
                <w14:textFill>
                  <w14:solidFill>
                    <w14:schemeClr w14:val="tx1"/>
                  </w14:solidFill>
                </w14:textFill>
              </w:rPr>
              <w:t>自装卸式垃圾车主要具备小巧灵活、密封性、装载能力强等主要特点，广泛应用于城镇小型街道、居民小区、公园、车站等带有垃圾桶收集的场所进行垃圾收运。</w:t>
            </w:r>
          </w:p>
        </w:tc>
      </w:tr>
      <w:tr>
        <w:tblPrEx>
          <w:tblCellMar>
            <w:top w:w="0" w:type="dxa"/>
            <w:left w:w="108" w:type="dxa"/>
            <w:bottom w:w="0" w:type="dxa"/>
            <w:right w:w="108" w:type="dxa"/>
          </w:tblCellMar>
        </w:tblPrEx>
        <w:trPr>
          <w:trHeight w:val="234"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纯电动密闭式桶装垃圾车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Style w:val="38"/>
                <w:rFonts w:hint="eastAsia" w:ascii="宋体" w:hAnsi="宋体" w:cs="宋体"/>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密闭式桶装垃圾车主要具备小巧灵活、密封性好、装载能力强等主要特点，广泛应用于城镇小型街道、居民小区、公园、车站等带有垃圾桶收集的场所进行垃圾收运。</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纯电动扫路机</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Style w:val="38"/>
                <w:rFonts w:hint="eastAsia" w:ascii="宋体" w:hAnsi="宋体" w:cs="宋体"/>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具有动力强劲、无级变速、行驶中无换挡过程、平顺性好、转弯半径小、机动灵活等特点。广泛适用城市道路专业环卫清洁 ( 人行道、辅道、中心城区)、 园林景观美化、人行道保洁、厂务管理等各种工况。</w:t>
            </w:r>
          </w:p>
        </w:tc>
      </w:tr>
      <w:tr>
        <w:tblPrEx>
          <w:tblCellMar>
            <w:top w:w="0" w:type="dxa"/>
            <w:left w:w="108" w:type="dxa"/>
            <w:bottom w:w="0" w:type="dxa"/>
            <w:right w:w="108" w:type="dxa"/>
          </w:tblCellMar>
        </w:tblPrEx>
        <w:trPr>
          <w:trHeight w:val="777"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47"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护栏清洗车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nil"/>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Style w:val="38"/>
                <w:rFonts w:hint="eastAsia" w:ascii="宋体" w:hAnsi="宋体" w:cs="宋体"/>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适用于城市道路护栏的清洗、双黄线清洗、路面高压清洗以及城市雕塑、交通标志、交通路牌、广告牌的定点清洗等。该车清洗效率高，清洗效果好，能一次性洗净护栏的四周，解决了国内行业产品对护栏前、后方向无法清洗干净的问题。</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447"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多功能智能清扫机器人</w:t>
            </w:r>
          </w:p>
        </w:tc>
        <w:tc>
          <w:tcPr>
            <w:tcW w:w="572"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nil"/>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Style w:val="43"/>
                <w:rFonts w:hint="default" w:ascii="宋体" w:hAnsi="宋体" w:eastAsia="宋体" w:cs="宋体"/>
                <w:color w:val="000000" w:themeColor="text1"/>
                <w:sz w:val="21"/>
                <w:szCs w:val="21"/>
                <w:highlight w:val="none"/>
                <w:lang w:bidi="ar"/>
                <w14:textFill>
                  <w14:solidFill>
                    <w14:schemeClr w14:val="tx1"/>
                  </w14:solidFill>
                </w14:textFill>
              </w:rPr>
              <w:t>车辆用途：</w:t>
            </w:r>
            <w:r>
              <w:rPr>
                <w:rStyle w:val="44"/>
                <w:rFonts w:hint="default" w:ascii="宋体" w:hAnsi="宋体" w:eastAsia="宋体" w:cs="宋体"/>
                <w:color w:val="000000" w:themeColor="text1"/>
                <w:sz w:val="21"/>
                <w:szCs w:val="21"/>
                <w:highlight w:val="none"/>
                <w:lang w:bidi="ar"/>
                <w14:textFill>
                  <w14:solidFill>
                    <w14:schemeClr w14:val="tx1"/>
                  </w14:solidFill>
                </w14:textFill>
              </w:rPr>
              <w:t>多功能清扫机器人是一款具备强大清扫系统、  利用先进无人驾驶技术实现高精度自动化清扫作业的智能清扫设备。</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447"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高压冲洗车</w:t>
            </w:r>
          </w:p>
        </w:tc>
        <w:tc>
          <w:tcPr>
            <w:tcW w:w="572"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nil"/>
              <w:right w:val="single" w:color="000000" w:sz="4" w:space="0"/>
            </w:tcBorders>
            <w:vAlign w:val="center"/>
          </w:tcPr>
          <w:p>
            <w:pPr>
              <w:widowControl/>
              <w:textAlignment w:val="top"/>
              <w:rPr>
                <w:rFonts w:ascii="宋体" w:hAnsi="宋体" w:cs="宋体"/>
                <w:color w:val="000000" w:themeColor="text1"/>
                <w:kern w:val="0"/>
                <w:szCs w:val="21"/>
                <w:highlight w:val="none"/>
                <w:lang w:bidi="ar"/>
                <w14:textFill>
                  <w14:solidFill>
                    <w14:schemeClr w14:val="tx1"/>
                  </w14:solidFill>
                </w14:textFill>
              </w:rPr>
            </w:pPr>
            <w:r>
              <w:rPr>
                <w:rStyle w:val="43"/>
                <w:rFonts w:hint="default" w:ascii="宋体" w:hAnsi="宋体" w:eastAsia="宋体" w:cs="宋体"/>
                <w:color w:val="000000" w:themeColor="text1"/>
                <w:sz w:val="21"/>
                <w:szCs w:val="21"/>
                <w:highlight w:val="none"/>
                <w:lang w:bidi="ar"/>
                <w14:textFill>
                  <w14:solidFill>
                    <w14:schemeClr w14:val="tx1"/>
                  </w14:solidFill>
                </w14:textFill>
              </w:rPr>
              <w:t>车辆用途：</w:t>
            </w:r>
          </w:p>
          <w:p>
            <w:pPr>
              <w:widowControl/>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1.主要用于清洗城市下水道 、管道的沉积物 、死角泥沟的疏通。</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2.用于清洗工业排液管道 、壁面等，清洗公路 、广场地面。</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自跟随清洁机器人</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color w:val="000000" w:themeColor="text1"/>
                <w:kern w:val="0"/>
                <w:szCs w:val="21"/>
                <w:highlight w:val="none"/>
                <w:lang w:bidi="ar"/>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用途：</w:t>
            </w:r>
          </w:p>
          <w:p>
            <w:pPr>
              <w:widowControl/>
              <w:numPr>
                <w:ilvl w:val="0"/>
                <w:numId w:val="10"/>
              </w:numP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智能跟随+人工驾驶保洁：机器宽度窄 ，狭小路段自由通行、人工驾驶，座椅设计符合人体工学，灵活机动，高效保洁、智能自适应跟随，人行机走，人停机停；</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2.：强力吸吹：采用低噪高效离心风机，效率高，噪声低、吸力三挡可调节，轻松吸收树叶、烟头、白色垃圾等、机器内部存储吹风机，随取随用；</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3.：支持高压清洗解决地面油渍、牛皮癣等问题；</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4.：前视摄像头 - 智慧监控实时监控，实时保存视频，行车记录仪，对车辆违停、出店经营、占道经营等违规行为做出识别，并上传数据至云平台；</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5.：后置AI摄像头-视觉识别垃圾，后置AI摄像头，识别车体后面是否有垃圾、识别垃圾结果实时提醒作业人员，及时处理。</w:t>
            </w:r>
          </w:p>
        </w:tc>
      </w:tr>
      <w:tr>
        <w:tblPrEx>
          <w:tblCellMar>
            <w:top w:w="0" w:type="dxa"/>
            <w:left w:w="108" w:type="dxa"/>
            <w:bottom w:w="0" w:type="dxa"/>
            <w:right w:w="108" w:type="dxa"/>
          </w:tblCellMar>
        </w:tblPrEx>
        <w:trPr>
          <w:trHeight w:val="90" w:hRule="atLeast"/>
        </w:trPr>
        <w:tc>
          <w:tcPr>
            <w:tcW w:w="5000" w:type="pct"/>
            <w:gridSpan w:val="5"/>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备注：根据《东莞市生活垃圾车“文明出行”专项行动方案》要求，为进一步提升我镇生活垃圾运输车管理水平，全面推进生活垃圾运输车辆统一外观样式工作，现请各投标人参照后面图片。</w:t>
            </w:r>
          </w:p>
        </w:tc>
      </w:tr>
      <w:tr>
        <w:tblPrEx>
          <w:tblCellMar>
            <w:top w:w="0" w:type="dxa"/>
            <w:left w:w="108" w:type="dxa"/>
            <w:bottom w:w="0" w:type="dxa"/>
            <w:right w:w="108" w:type="dxa"/>
          </w:tblCellMar>
        </w:tblPrEx>
        <w:trPr>
          <w:trHeight w:val="3120" w:hRule="atLeast"/>
        </w:trPr>
        <w:tc>
          <w:tcPr>
            <w:tcW w:w="2348" w:type="pct"/>
            <w:gridSpan w:val="4"/>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kern w:val="0"/>
                <w:szCs w:val="21"/>
                <w:highlight w:val="none"/>
                <w:bdr w:val="single" w:color="000000" w:sz="4" w:space="0"/>
                <w:lang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备注：厨余垃圾清运车</w:t>
            </w:r>
          </w:p>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000000" w:sz="4" w:space="0"/>
                <w:lang w:bidi="ar"/>
                <w14:textFill>
                  <w14:solidFill>
                    <w14:schemeClr w14:val="tx1"/>
                  </w14:solidFill>
                </w14:textFill>
              </w:rPr>
              <w:drawing>
                <wp:inline distT="0" distB="0" distL="114300" distR="114300">
                  <wp:extent cx="2221865" cy="1536700"/>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0"/>
                          <a:stretch>
                            <a:fillRect/>
                          </a:stretch>
                        </pic:blipFill>
                        <pic:spPr>
                          <a:xfrm>
                            <a:off x="0" y="0"/>
                            <a:ext cx="2221865" cy="1536700"/>
                          </a:xfrm>
                          <a:prstGeom prst="rect">
                            <a:avLst/>
                          </a:prstGeom>
                          <a:noFill/>
                          <a:ln>
                            <a:noFill/>
                          </a:ln>
                        </pic:spPr>
                      </pic:pic>
                    </a:graphicData>
                  </a:graphic>
                </wp:inline>
              </w:drawing>
            </w:r>
          </w:p>
        </w:tc>
        <w:tc>
          <w:tcPr>
            <w:tcW w:w="265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rFonts w:ascii="宋体" w:hAnsi="宋体" w:cs="宋体"/>
                <w:color w:val="000000" w:themeColor="text1"/>
                <w:kern w:val="0"/>
                <w:szCs w:val="21"/>
                <w:highlight w:val="none"/>
                <w:bdr w:val="single" w:color="000000" w:sz="4" w:space="0"/>
                <w:lang w:bidi="ar"/>
                <w14:textFill>
                  <w14:solidFill>
                    <w14:schemeClr w14:val="tx1"/>
                  </w14:solidFill>
                </w14:textFill>
              </w:rPr>
            </w:pPr>
            <w:r>
              <w:rPr>
                <w:rFonts w:hint="eastAsia" w:ascii="宋体" w:hAnsi="宋体" w:cs="宋体"/>
                <w:color w:val="000000" w:themeColor="text1"/>
                <w:kern w:val="0"/>
                <w:szCs w:val="21"/>
                <w:highlight w:val="none"/>
                <w:bdr w:val="single" w:color="000000" w:sz="4" w:space="0"/>
                <w:lang w:bidi="ar"/>
                <w14:textFill>
                  <w14:solidFill>
                    <w14:schemeClr w14:val="tx1"/>
                  </w14:solidFill>
                </w14:textFill>
              </w:rPr>
              <w:drawing>
                <wp:inline distT="0" distB="0" distL="114300" distR="114300">
                  <wp:extent cx="2743835" cy="1428750"/>
                  <wp:effectExtent l="0" t="0" r="0" b="0"/>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11"/>
                          <a:stretch>
                            <a:fillRect/>
                          </a:stretch>
                        </pic:blipFill>
                        <pic:spPr>
                          <a:xfrm>
                            <a:off x="0" y="0"/>
                            <a:ext cx="2743835" cy="14287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20" w:hRule="atLeast"/>
        </w:trPr>
        <w:tc>
          <w:tcPr>
            <w:tcW w:w="2348" w:type="pct"/>
            <w:gridSpan w:val="4"/>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备注：厨余垃圾清运车</w:t>
            </w:r>
          </w:p>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drawing>
                <wp:inline distT="0" distB="0" distL="114300" distR="114300">
                  <wp:extent cx="1950720" cy="2164080"/>
                  <wp:effectExtent l="0" t="0" r="11430"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1950720" cy="2164080"/>
                          </a:xfrm>
                          <a:prstGeom prst="rect">
                            <a:avLst/>
                          </a:prstGeom>
                          <a:noFill/>
                          <a:ln>
                            <a:noFill/>
                          </a:ln>
                        </pic:spPr>
                      </pic:pic>
                    </a:graphicData>
                  </a:graphic>
                </wp:inline>
              </w:drawing>
            </w:r>
          </w:p>
        </w:tc>
        <w:tc>
          <w:tcPr>
            <w:tcW w:w="2651" w:type="pct"/>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备注：有害垃圾清运车</w:t>
            </w:r>
          </w:p>
          <w:p>
            <w:pPr>
              <w:widowControl/>
              <w:jc w:val="center"/>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drawing>
                <wp:inline distT="0" distB="0" distL="114300" distR="114300">
                  <wp:extent cx="1908175" cy="2164080"/>
                  <wp:effectExtent l="0" t="0" r="15875"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1908175" cy="21640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20" w:hRule="atLeast"/>
        </w:trPr>
        <w:tc>
          <w:tcPr>
            <w:tcW w:w="2348" w:type="pct"/>
            <w:gridSpan w:val="4"/>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备注：可回收物清运车</w:t>
            </w:r>
          </w:p>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drawing>
                <wp:inline distT="0" distB="0" distL="114300" distR="114300">
                  <wp:extent cx="1938655" cy="2164080"/>
                  <wp:effectExtent l="0" t="0" r="4445" b="76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1938655" cy="2164080"/>
                          </a:xfrm>
                          <a:prstGeom prst="rect">
                            <a:avLst/>
                          </a:prstGeom>
                          <a:noFill/>
                          <a:ln>
                            <a:noFill/>
                          </a:ln>
                        </pic:spPr>
                      </pic:pic>
                    </a:graphicData>
                  </a:graphic>
                </wp:inline>
              </w:drawing>
            </w:r>
          </w:p>
        </w:tc>
        <w:tc>
          <w:tcPr>
            <w:tcW w:w="2651" w:type="pct"/>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备注：其他垃圾小型清运车车身标识模版（厨余垃圾、有害垃圾、可回收物小型清运车车身标识参照图片格式修改）</w:t>
            </w:r>
          </w:p>
          <w:p>
            <w:pPr>
              <w:pStyle w:val="2"/>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drawing>
                <wp:inline distT="0" distB="0" distL="114300" distR="114300">
                  <wp:extent cx="2717800" cy="1592580"/>
                  <wp:effectExtent l="0" t="0" r="6350"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2717800" cy="1592580"/>
                          </a:xfrm>
                          <a:prstGeom prst="rect">
                            <a:avLst/>
                          </a:prstGeom>
                          <a:noFill/>
                          <a:ln>
                            <a:noFill/>
                          </a:ln>
                        </pic:spPr>
                      </pic:pic>
                    </a:graphicData>
                  </a:graphic>
                </wp:inline>
              </w:drawing>
            </w:r>
          </w:p>
        </w:tc>
      </w:tr>
    </w:tbl>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（十二）人员配置要求</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8"/>
        <w:gridCol w:w="1769"/>
        <w:gridCol w:w="3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人员种类</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数量（人）</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螺山网格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24</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6</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鱼塘保洁人员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含有3个鱼塘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公厕管理人员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5</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中转站管理人员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复兴网格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19</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6</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公厕管理人员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中转站管理人员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江南网格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12</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4</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公厕管理人员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大围网格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15</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5</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大山网格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7</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垃圾收集人员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含上门收集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隆盛网格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7</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公厕管理人员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其他人员配备要求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主管</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经理</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河涌水面保洁员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办公室管理人员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安全员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车队长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驾驶员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8</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资料员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司助</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6</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垃圾收运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公司特勤队</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合计</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188（人）</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每人每天正常工作时间不得低于</w:t>
            </w:r>
            <w:r>
              <w:rPr>
                <w:rFonts w:hint="eastAsia"/>
                <w:color w:val="000000" w:themeColor="text1"/>
                <w:sz w:val="21"/>
                <w:szCs w:val="21"/>
                <w:highlight w:val="none"/>
                <w:lang w:val="en-US"/>
                <w14:textFill>
                  <w14:solidFill>
                    <w14:schemeClr w14:val="tx1"/>
                  </w14:solidFill>
                </w14:textFill>
              </w:rPr>
              <w:t>8小时</w:t>
            </w:r>
          </w:p>
        </w:tc>
      </w:tr>
    </w:tbl>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中标供应商投入本项目的人员数量不少于以上清单，</w:t>
      </w:r>
      <w:r>
        <w:rPr>
          <w:rFonts w:hint="eastAsia"/>
          <w:color w:val="000000" w:themeColor="text1"/>
          <w:sz w:val="21"/>
          <w:szCs w:val="21"/>
          <w:highlight w:val="none"/>
          <w:lang w:val="en-US"/>
          <w14:textFill>
            <w14:solidFill>
              <w14:schemeClr w14:val="tx1"/>
            </w14:solidFill>
          </w14:textFill>
        </w:rPr>
        <w:t>如发现投入人员数量少于以上清单要求，中标供应商须在10天内补齐；</w:t>
      </w:r>
      <w:r>
        <w:rPr>
          <w:rFonts w:hint="eastAsia"/>
          <w:color w:val="000000" w:themeColor="text1"/>
          <w:sz w:val="21"/>
          <w:szCs w:val="21"/>
          <w:highlight w:val="none"/>
          <w14:textFill>
            <w14:solidFill>
              <w14:schemeClr w14:val="tx1"/>
            </w14:solidFill>
          </w14:textFill>
        </w:rPr>
        <w:t>如遇人员不足的情况，采购人有权根据实际所需要求中标供应商增加。</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★1、本项目须投入人员数量不少于以上清单，如遇相关人员数量不足的情况，中标供应商应1</w:t>
      </w:r>
      <w:r>
        <w:rPr>
          <w:color w:val="000000" w:themeColor="text1"/>
          <w:sz w:val="21"/>
          <w:szCs w:val="21"/>
          <w:highlight w:val="none"/>
          <w14:textFill>
            <w14:solidFill>
              <w14:schemeClr w14:val="tx1"/>
            </w14:solidFill>
          </w14:textFill>
        </w:rPr>
        <w:t>0</w:t>
      </w:r>
      <w:r>
        <w:rPr>
          <w:rFonts w:hint="eastAsia"/>
          <w:color w:val="000000" w:themeColor="text1"/>
          <w:sz w:val="21"/>
          <w:szCs w:val="21"/>
          <w:highlight w:val="none"/>
          <w14:textFill>
            <w14:solidFill>
              <w14:schemeClr w14:val="tx1"/>
            </w14:solidFill>
          </w14:textFill>
        </w:rPr>
        <w:t>日内增加。同时，中标供应商应当依法及时与劳动者订立书面劳动合同（或劳务合同），劳动合同约定的正常工作时间不得低于8小时，并为员工购买社保、特定工伤保险及必要的商业险。所有入职人员录用前应报备采购人，经采购人审查符合招标文件的入职要求后再聘用及签署《劳动合同》，签署后的《劳动合同》及入职人员基本信息表须签订之日起7日内交采购人备案存查；中标人单方解聘员工的，应经采购人同意方可办理离职手续，</w:t>
      </w:r>
      <w:r>
        <w:rPr>
          <w:rFonts w:hint="default"/>
          <w:color w:val="000000" w:themeColor="text1"/>
          <w:sz w:val="21"/>
          <w:szCs w:val="21"/>
          <w:highlight w:val="none"/>
          <w:lang w:val="en-US"/>
          <w14:textFill>
            <w14:solidFill>
              <w14:schemeClr w14:val="tx1"/>
            </w14:solidFill>
          </w14:textFill>
        </w:rPr>
        <w:t>离职后3日内提交离职通知书或协议及工资待遇结清证明予采购人备案存查。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采购人发现入职人员不符合本招标文件要求及入职要求的，有权要求中标供应商解除劳动（务）合同，相关责任由中标供应商承担。</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中标供应商按照“应收尽收”原则接收自愿留下且满足年龄条件的原服务项目环卫工人，所有合同期内工人工资标准必须符合劳动法规及相关法律法规，且工人最低工资不能低于东莞市最新公布的最低工资标准。同时，工人加班的劳动报酬也必须符合劳动法及相关行业的法律法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3、入职人员要求</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年龄要求：①本项目投入环卫人员（84人），人员在职期间，男不得超过60周岁，女不得超过55周岁，平均年龄不超过5</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周岁；②本项目投入上述清单人员（环卫人员除外）（104人）入职时不得超过</w:t>
      </w:r>
      <w:r>
        <w:rPr>
          <w:rFonts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lang w:val="en-US" w:eastAsia="zh-CN"/>
          <w14:textFill>
            <w14:solidFill>
              <w14:schemeClr w14:val="tx1"/>
            </w14:solidFill>
          </w14:textFill>
        </w:rPr>
        <w:t>50</w:t>
      </w:r>
      <w:r>
        <w:rPr>
          <w:rFonts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周岁。</w:t>
      </w:r>
    </w:p>
    <w:p>
      <w:pPr>
        <w:spacing w:line="360" w:lineRule="auto"/>
        <w:ind w:firstLine="420" w:firstLineChars="200"/>
        <w:rPr>
          <w:rFonts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上岗标准：①</w:t>
      </w:r>
      <w:r>
        <w:rPr>
          <w:rFonts w:hint="eastAsia" w:cs="宋体"/>
          <w:color w:val="000000" w:themeColor="text1"/>
          <w:szCs w:val="21"/>
          <w:highlight w:val="none"/>
          <w14:textFill>
            <w14:solidFill>
              <w14:schemeClr w14:val="tx1"/>
            </w14:solidFill>
          </w14:textFill>
        </w:rPr>
        <w:t>河涌水面（鱼塘）保洁员：熟悉水上作业的标准化，熟悉水上作业船只的驾驶流程，自身具有基本的救生能力等；②司机：持驾驶证证件，无不良车辆驾驶记录，熟悉环卫车辆的驾驶流程；③环卫人员：熟悉现场道路，熟悉保洁作业工具及清洁剂的使用规则，了解公厕的基本保养流程及垃圾收运的制度；④保洁人员：熟悉现场道路的分布，会驾驶基本的环卫车辆（如三轮电动保洁车等），持驾驶证等证件，熟悉清洁剂的使用规则，具有保洁设施设备应急救援意识。</w:t>
      </w:r>
    </w:p>
    <w:p>
      <w:pPr>
        <w:spacing w:line="360" w:lineRule="auto"/>
        <w:ind w:firstLine="422" w:firstLineChars="200"/>
        <w:rPr>
          <w:rFonts w:hint="eastAsia"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w:t>
      </w:r>
      <w:r>
        <w:rPr>
          <w:rFonts w:hint="eastAsia" w:cs="宋体"/>
          <w:b/>
          <w:color w:val="000000" w:themeColor="text1"/>
          <w:szCs w:val="21"/>
          <w:highlight w:val="none"/>
          <w14:textFill>
            <w14:solidFill>
              <w14:schemeClr w14:val="tx1"/>
            </w14:solidFill>
          </w14:textFill>
        </w:rPr>
        <w:t>4、投入本项目入职（或离职）人员须经采购人审核备案同意，方可入职（或离职）。（提供单独承诺函），中标人每2个月向采购在报送在职员工的人员名单备查，采购人可随时抽查。</w:t>
      </w:r>
    </w:p>
    <w:p>
      <w:pPr>
        <w:spacing w:line="360"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cs="宋体"/>
          <w:bCs/>
          <w:color w:val="000000" w:themeColor="text1"/>
          <w:szCs w:val="21"/>
          <w:highlight w:val="none"/>
          <w14:textFill>
            <w14:solidFill>
              <w14:schemeClr w14:val="tx1"/>
            </w14:solidFill>
          </w14:textFill>
        </w:rPr>
        <w:t>5、投入本项目的人员如出现怠工、工作态度不认真，且情况属实的，中标供应商应及时整改，必要时，采购单位发出书面通知后中标供应商须配合更换人员。</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（十三）安全生产要求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中标供应商必须配备符合相关标准的安全作业用品和劳保用品，落实好安全生产措施，开展职业病防治工作，确保员工劳动保护和人身安全。员工的工伤、意外等的一切经济责任和法律责任由中标供应商承担。</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2、定期对员工进行安全生产教育，落实责任制，落实有关安全措施。</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3、车辆行驶必须严格遵守交通规则。中标供应商需自行解决户外安全问题，工人上下班不得乱穿马路、作业车辆不得逆向行驶或出现人货混载的情况。</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4、路面作业人员必须统一穿着带反光标志的工作服（按《东莞市城市管理和综合执法局视觉识别系统》中对环卫服装要求执行）。</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5、路面作业时必须落实警示标志及防护措施。</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6、清扫后的斗车、清扫工具等不得妨碍交通。</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7、不得存放易燃、易爆、剧毒等危险品。</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8、落实防火措施，配足性能良好的消防器材。</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9、落实安全用电措施，不得乱拉、乱挂、乱接电线，不使用非生产性大功率电器，不得超线路负载使用电器。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10、在各类作业期间，必须按各工种的操作特性，落实各类的安全、防护措施，确保人员及财产的安全，发生安全生产事故的，必须及时上报。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11、洒水车、垃圾清运车、高空作业车等在机动车道行驶的作业车辆需安装右侧盲区探测雷达。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规范开展高空作业工作，高空作业要使用升降车，不得站在车辆车厢、驾驶舱顶部或攀爬树木进行作业，要严格执行“双报备”、高处作业做到“五个必须”（必须培训持证上岗、必须实行作业审批、必须做好个人防护、必须落实工程措施、必须安排专人监护）。占道作业时要做好警示标志及雪糕筒的摆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13、项目部或集中安排工人宿舍的要落实防火、安全用电、安全用气等措施，配足性能良好的消防器材，日常开展安全隐患排查。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14、在进行作业时，必须认真负责，注意安全操作。如因中标供应商操作不当、管理疏漏等各种原因造成中标供应商职工、雇员或任何其他人人身或财产损害的，中标供应商应承担全部责任。（包括但不限于相关的赔偿费用、诉讼费、保全费、鉴定费、公证费、律师费、差旅费等所有费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15、提交企业安全生产责任承诺书。</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（十四）应急要求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突发事件（如道路污染）和自然灾害（如台风等）要在确保安全情况下及时清理现场并冲洗路面；如遇强台风、特大暴雨等不适应上路作业时段时，中标供应商可以不安排人员上路清扫保洁，但应按照采购人要求成立一支不少于15人的清扫保洁临时应急队伍，服从采购人和政府相关部门的统一指挥和调度。台风、暴雨过后，中标供应商应立即组织人员做好清扫保洁工作。特殊情况，如需协助救险救灾工作，中标供应商应服从采购人和政府相关部门的统一指挥和调度。对不可抗力（如台风、暴雨等自然灾害）造成的环卫损害，应在12小时内完成现场清理和恢复交通（延迟完成清理须经采购人同意），并在采购人根据实际情况设定的时间内恢复原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因城市管理工作、创建工作（如创文、创卫等）以及其他临时性重大活动保障要求，中标供应商必须无条件配合做好考评、检查、创建、活动保障工作，加强保洁服务工作，在检查期间及重大活动保障期间所产生的费用全部由中标供应商负责。</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在接到暴雨预警信息后立即组织对道路雨水口周边垃圾进行清扫；发现作业区域存在大面积淤泥，需根据采购人要求及时清理、冲洗污染路面，影响交通安全的，应立即组织清理。如发现化学物品、危险物品后立即报告相关部门处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4、作业范围内如出现车辆机油和运输物等撒漏现象，中标供应商必须采取应急措施科学处理。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5、中标供应商协助监督辖区内施工单位的撒漏问题，督促协助撒漏方及时清理余泥、垃圾和废弃物，发现不配合且情节恶劣的应及时告知采购人，并报告相关部门处理。</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（十五）整改事项要求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中标供应商在接到整改事项后需提交整改工作计划并按期按要求整改，若未按要求落实整改的，则按整改事项违约处理。如中标供应商认为情况不实，有异议的，可在24小时内向采购人申请复核。</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（十六）其他要求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1、在合同期内，因政府部门规划建设及政策变化等原因需调整服务范围或者提前终止合同时，中标供应商应服从大局，由此造成的经济损失，采购人不负违约责任。</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2、在符合供水规划和技术条件下，采购人可协助中标供应商按实际需要办理专用给水口，人工费、材料费、水费等由中标供应商支付。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3、中标供应商应严格遵守国家法律、法规的规定，做好社会治安综合治理等工作。不得违反国家法律、法规的规定。如中标供应商员工有违法乱纪行为，中标供应商承担一切经济责任和法律责任。</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4、中标供应商需按《中华人民共和国民法典》等法律要求保障员工的合法权益。</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项目执行过程中，如需采购人配合办理相关手续，或提供相关服务条件，均须在投标文件中详细说明，例如临时场地租用，临时用电电源接入，与采购人沟通协调等相关事宜，以便于采购人决定是否接受或提前准备，所涉及的费用均由中标单位承担。</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6、由于承包范围内的养护设施被盗或损坏或操作不当而导致他人死伤或造成其他损失的，由中标供应商负责赔偿和承担一切责任。</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中标供应商按实际要求配足作业人员，配员不能低于该路段的最低配员标准。说明：招标文件要求的作业人员数量配置为最低要求，中标供应商在确认中标资格后，且中标供应商与采购人签订合同之前将作业人员相关资料(包括人员名单、已聘用人员劳动合同及社保证明、新聘用员工资料等)提交采购人备案，作业司机、突发事件的临时应急队伍等作业人员年龄须 55 周岁以下。</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如因中标供应商不及时清扫或清扫不彻底等原因而发生交通事故或其他意外事故，致任何第三人人身或财产受损的，中标供应商应承担全部责任。如采购人在前述情形中实际承担了赔偿责任的，中标供应商同意无条件赔偿采购人的一切损失（包括但不限于采购人已赔偿的费用、采购人为向中标供应商追讨相关费用而支付的诉讼费、保全费、鉴定费、公证费、律师费、差旅费等所有费用）。</w:t>
      </w:r>
    </w:p>
    <w:p>
      <w:pPr>
        <w:pStyle w:val="2"/>
        <w:spacing w:line="360" w:lineRule="auto"/>
        <w:ind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9、服务期内，若中标供应商的服务效果未达到招标文件要求的质量标准，中标供应商须无条件服从采购人的要求增加设备及人员，直至达到招标文件要求的质量标准为止。</w:t>
      </w:r>
    </w:p>
    <w:p>
      <w:pPr>
        <w:pStyle w:val="2"/>
        <w:spacing w:before="0" w:line="360" w:lineRule="auto"/>
        <w:ind w:left="0" w:firstLine="422" w:firstLineChars="200"/>
        <w:rPr>
          <w:b/>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（十七）</w:t>
      </w:r>
      <w:r>
        <w:rPr>
          <w:rFonts w:hint="eastAsia"/>
          <w:b/>
          <w:color w:val="000000" w:themeColor="text1"/>
          <w:sz w:val="21"/>
          <w:szCs w:val="21"/>
          <w:highlight w:val="none"/>
          <w14:textFill>
            <w14:solidFill>
              <w14:schemeClr w14:val="tx1"/>
            </w14:solidFill>
          </w14:textFill>
        </w:rPr>
        <w:t>其他说明</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确保交付中标供应商管理的所有中转站和厕所设施完好无损，达到市精细化考核标准，能正常使用，负责对中转站和公厕墙体主体结构和排水排气设施设备等大物件的保养、维修和更换，并相应承担保养、维修和更换等相关费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2、为中标供应商项目车辆停放场地和安装变压器充电桩提供必要的协助。</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（十八）保密要求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项目实施过程中至中标供应商正式向采购人交付技术文档资料时止，中标供应商必须采取措施对本项目实施过程中的数据、源代码、技术文档等资料保密，否则，由于中标供应商过错导致的上述资料泄密的，中标供应商必须承担一切责任。项目完成后，甲、乙双方均有责任对本项目的技术保密承担责任。</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未经中标供应商事先书面同意，采购人不得将由中标供应商为本合同提供的条文、规格、计划、图纸、模型、样品或资料提供给与本合同无关的任何第三方，不得将其用于履行本合同之外的其它用途。即使向与履行本合同有关的人员提供，也应注意保密并限于履行合同所必需的范围。</w:t>
      </w:r>
    </w:p>
    <w:p>
      <w:pPr>
        <w:pStyle w:val="2"/>
        <w:spacing w:before="0" w:line="360" w:lineRule="auto"/>
        <w:ind w:left="0" w:firstLine="482" w:firstLineChars="20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三、考核评分办法</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关于印发&lt;东莞市城乡市容环卫统筹管理实施方案&gt;的通知》（东府办〔2013〕92号）和《关于印发&lt;长安镇市容环卫统筹方案&gt;的通知》（长府办〔2013〕92号）文件精神，为落实村级环卫体制改革的目标任务，改善社区环境卫生市容市貌，建立和完善环卫统筹管理及环境卫生整治长效管理机制，实现社区市容环卫规范化、高效化、一体化管理、结合社区环卫项目承包合同内容，特制定本评分办法，本评分办法主要是对环卫工作项目市场化公司的检查考核评分办法。</w:t>
      </w:r>
    </w:p>
    <w:p>
      <w:pPr>
        <w:tabs>
          <w:tab w:val="left" w:pos="420"/>
          <w:tab w:val="left" w:pos="840"/>
          <w:tab w:val="left" w:pos="1260"/>
          <w:tab w:val="left" w:pos="1680"/>
          <w:tab w:val="left" w:pos="5848"/>
        </w:tabs>
        <w:spacing w:line="360" w:lineRule="auto"/>
        <w:ind w:firstLine="420"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一、工作目标</w:t>
      </w:r>
      <w:r>
        <w:rPr>
          <w:rFonts w:hint="eastAsia" w:ascii="宋体" w:hAnsi="宋体" w:cs="宋体"/>
          <w:b/>
          <w:color w:val="000000" w:themeColor="text1"/>
          <w:szCs w:val="21"/>
          <w:highlight w:val="none"/>
          <w14:textFill>
            <w14:solidFill>
              <w14:schemeClr w14:val="tx1"/>
            </w14:solidFill>
          </w14:textFill>
        </w:rPr>
        <w:tab/>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围绕社区环卫管理开展的一系列整治环境卫生工作，通过指挥、协调、督导、检查、考核、评分等工作，解决当前社区环境卫生工作中所存在的问题，健全环卫管理机制，巩固整治环境卫生工作成效，打造干净整洁环境优美的城市形象，管理让人民满意的社区。</w:t>
      </w:r>
    </w:p>
    <w:p>
      <w:pPr>
        <w:tabs>
          <w:tab w:val="left" w:pos="420"/>
          <w:tab w:val="left" w:pos="840"/>
          <w:tab w:val="left" w:pos="1260"/>
          <w:tab w:val="left" w:pos="1680"/>
          <w:tab w:val="left" w:pos="5848"/>
        </w:tabs>
        <w:spacing w:line="360"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二、具体评分考核办法</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（一）检查考核内容</w:t>
      </w:r>
    </w:p>
    <w:p>
      <w:pPr>
        <w:spacing w:line="360" w:lineRule="auto"/>
        <w:ind w:firstLine="422"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1、硬件设备管理。</w:t>
      </w:r>
      <w:r>
        <w:rPr>
          <w:rFonts w:hint="eastAsia" w:ascii="宋体" w:hAnsi="宋体" w:cs="宋体"/>
          <w:color w:val="000000" w:themeColor="text1"/>
          <w:szCs w:val="21"/>
          <w:highlight w:val="none"/>
          <w14:textFill>
            <w14:solidFill>
              <w14:schemeClr w14:val="tx1"/>
            </w14:solidFill>
          </w14:textFill>
        </w:rPr>
        <w:t>包括：公厕、垃圾转运站管理，人力、电动、机械等环卫作业车辆管理，垃圾桶、果皮箱等垃圾收集容器及其他环卫设施设备的配置、使用、管理情况。</w:t>
      </w:r>
    </w:p>
    <w:p>
      <w:pPr>
        <w:spacing w:line="360" w:lineRule="auto"/>
        <w:ind w:firstLine="422"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2、日常管理工作。</w:t>
      </w:r>
      <w:r>
        <w:rPr>
          <w:rFonts w:hint="eastAsia" w:ascii="宋体" w:hAnsi="宋体" w:cs="宋体"/>
          <w:color w:val="000000" w:themeColor="text1"/>
          <w:szCs w:val="21"/>
          <w:highlight w:val="none"/>
          <w14:textFill>
            <w14:solidFill>
              <w14:schemeClr w14:val="tx1"/>
            </w14:solidFill>
          </w14:textFill>
        </w:rPr>
        <w:t>包括：管理架构和制度，人员配备和资金保障，日常人工，机械清扫保洁，沉沙井（排水井）清理，河涌、堤围保洁，垃圾收集、清运，“牛皮癣”、乱涂鸦、乱粘贴整治等。</w:t>
      </w:r>
    </w:p>
    <w:p>
      <w:pPr>
        <w:spacing w:line="360" w:lineRule="auto"/>
        <w:ind w:firstLine="422"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3、其他事项。</w:t>
      </w:r>
      <w:r>
        <w:rPr>
          <w:rFonts w:hint="eastAsia" w:ascii="宋体" w:hAnsi="宋体" w:cs="宋体"/>
          <w:color w:val="000000" w:themeColor="text1"/>
          <w:szCs w:val="21"/>
          <w:highlight w:val="none"/>
          <w14:textFill>
            <w14:solidFill>
              <w14:schemeClr w14:val="tx1"/>
            </w14:solidFill>
          </w14:textFill>
        </w:rPr>
        <w:t>包括：明查暗访，卫生投诉等。</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（二）检查考核方式及其分值（总分100分）</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1、日检（占总分50分）</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社区：社区对辖区范围进行分区域监督管理，根据实际情况配备足够的专职卫生监督员，分组对各管辖区域进行全覆盖巡查监督，对市场化的公司在管辖区域的工作质量进行日常的考核评分，每组每天不少于3次的全面巡查，每次根据《长安镇厦岗社区环卫统筹日常考核检查评分表》进行现场考核评分，扣分部分拍照为据，评分结果由社区卫生监督员和市场化公司陪检人员共同签章确认；因考虑环境卫生的流动性，为免引起不必要的纠纷，评分表填写不允许涂改，若有涂改的评分表作不合格处理；日检分数不得修改；社区卫生监督员对管辖区域的卫生质量负责，对每次评分结果负全责。当天工作结束，社区专人负责收集各组一天各3次的评分表及按要求整理照片依据，并于第二天将评分表及整理后照片依据通过电脑扫描等形式，发给社区环境办专职人员，月末将原件存档，另安排专人负责收集每天的日检评分结果，月末综合当月的日检评分结果，换算市场化承包公司日检的最终分值。</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市场化公司：市场化公司根据社区一组卫生监督员设置一名或一名以上陪检人员的标准配备陪检人员人数，每天陪同社区卫生监督员进行日常巡查、监督、评分，对该组的评分结果进行确认签章，对负责区域的环境卫生质量负全责，同时，对外界任何渠道反映的卫生情况要及时安排人员处理，确保负责区域的卫生质量全天候达标。</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2、半月检（占总分20分：管理架构等10分，设备车辆10分）</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社区环境办的分管副主任负责牵头，联同社区相关人员到市场化公司的管理办公室等地，通过查阅资料和现场检查等形式，对市场化公司在社区设置的管理架构、人员制度、资金保障、车辆配置、工作记录、资料存档等资料进行确认核查，每次根据《长安镇厦岗社区环卫统筹管理架构人员配备评分表》和《长安镇厦岗社区环卫统筹设施设备车辆配备评分表》内容和要求进行现场考核评分，评分结果由双方代表共同现场签名盖章确认，每月检查两次，两次各项平均得分总和作为市场化承包公司半月检的最终分值。</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3、月检（占总分30分：现场检查评比20分，投诉处理5分，明查暗访5分）</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（1）现场检查评比</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每月开展一次现场评比检查，由社区领导组织、社区环境办、市场化公司代表组成的检查组，对市场化公司，开展每月一次整治环境卫生大检查工作。每位检查组成员对检查结果进行现场评分，现场填写《长安镇厦岗社区环卫月考核现场检查评分表》（以下简称“月评分表”）并对每次评分结果负全责。社区领导现场检查评比分占总分60%，社区环境办组现场检查评比分占总分40%。为确保评比结果的公平、公正，允许市场化公司一起参与评分，但评分结果只作为参考，不计入评比分值。每份评分表上同时有社区环境办和市场化公司陪检人员的签名盖章为有效，社区工作人员要根据检查人员数量，核定有效和无效评分表数量，按比例换算当天检查考核评分结果，汇总评分所得作为市场化承包公司月考核现场检查评比的最终分值。</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（2）投诉处理</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社区环境办通过投诉电话、报社、电视台、网络、其分媒体或其他部门转达等渠道收到的投诉并记录在投诉转办单为有效，以投诉转办单为依据，当月凡是被投诉有卫生问题，经核实与投诉内容一致的，被投诉一处（记录一笔转办单）扣0.5分，总分5分，扣完为止，无投诉有卫生问题的社区得满分。</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（3）明查暗访</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接受市城管委办公室组织工作人员、长安镇公用事业服务中心每月对社区的环境卫生明查暗访，当月凡是被市明查暗访曝光有卫生问题的，被曝光一处扣0.5分，总分5分，扣完为止，没有被市明查暗访曝光有卫生问题得满分。上级领导行走过程中发现“脏乱差”并通报批评的，以镇相关部门印发的文件或数字城管案件为扣分依据，每发现一处扣0.5分。</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（三）考核结果及奖惩</w:t>
      </w:r>
    </w:p>
    <w:p>
      <w:pPr>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综合各项考核得分分为：优100分—90分（含）；良90分—85分（含）；中85-80分（含）；差80分以下；共四个档次。以阶梯形式扣除承包费用。分数若有小数点，则向下取整支付承包费用。90分（含）为“优秀”，可全额支付当月承包费用；属“良”的，每少一分扣除当月承包费用的1%；属“中”的，每少一分扣除当月承包费用的3%；属“差”的，每少一分扣除当月承包费用的5%。</w:t>
      </w:r>
    </w:p>
    <w:p>
      <w:pPr>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例如：考核分数为78分，当月承包费用为500000元，则扣费为5分×（500000×1%）元+5分×（500000×3%）元+2分×（500000×5%）元=150000元</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连续两个月综合考核得分80以下或同一年度内累计三个月综合考核得分80以下的，乙方视为违约，甲方有权立即终止承包合同，并按合同条款执行相关事项。市场化公司每月考核因不合格扣减承包费用,由社区制定工作方案，用于城市管理工作中。</w:t>
      </w:r>
    </w:p>
    <w:p>
      <w:pPr>
        <w:tabs>
          <w:tab w:val="left" w:pos="420"/>
          <w:tab w:val="left" w:pos="840"/>
          <w:tab w:val="left" w:pos="1260"/>
          <w:tab w:val="left" w:pos="1680"/>
          <w:tab w:val="left" w:pos="5848"/>
        </w:tabs>
        <w:spacing w:line="360"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三、其他事项</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1、建立例会通报制度</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市场化公司、社区就督查情况每周举行例会一次，反映环境卫生整治情况或卫生现场不能立即解决，需要双方协商处理的问题等。开会前，负责处理方必须将上次有待解决的问题进展情况或处理结果向另外一方交代说明，再进行本周的会议议程，会议形成纪要，做到天天督查、周周例会、月月考核评分通报。</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2、设立约谈机制</w:t>
      </w:r>
    </w:p>
    <w:p>
      <w:pPr>
        <w:spacing w:line="360" w:lineRule="auto"/>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于排名在月综合考评成绩排名末2位，且低于80分（不含80分）的社区和被市评为“黑榜”的社区，应由社区分管城市管理工作的两委成员约谈市场化公司负责人。对于连续2次或年度累计3次排名末2位，且低于80分（不含80分）的社区，应由社区书记直接约谈市场化工作负责人。对年度月综合考评平均成绩排名末2位，且平均成绩低于80分（不含80分）的社区，其市场化公司相关负责人不得参与年度优秀评选。</w:t>
      </w:r>
    </w:p>
    <w:p>
      <w:pPr>
        <w:spacing w:line="360" w:lineRule="auto"/>
        <w:ind w:firstLine="422" w:firstLineChars="200"/>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w:t>
      </w:r>
      <w:r>
        <w:rPr>
          <w:rFonts w:hint="eastAsia" w:ascii="宋体" w:hAnsi="宋体" w:cs="宋体"/>
          <w:b/>
          <w:color w:val="000000" w:themeColor="text1"/>
          <w:szCs w:val="21"/>
          <w:highlight w:val="none"/>
          <w14:textFill>
            <w14:solidFill>
              <w14:schemeClr w14:val="tx1"/>
            </w14:solidFill>
          </w14:textFill>
        </w:rPr>
        <w:t>评分办法解释</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考核评分办法是社区根据现时国家、省、市市容环境卫生管理条例及结合本社区实际情况制定的，在执行过程中，如遇以上规章制度的制定颁发部门进行政策调整或本镇实际情况发生改变，社区有权对本考核评分办法进行相应的修改和调整，并保留对本办法的修改权和解释权。</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1、长安镇厦岗社区环卫日常考核检查评分表；2、长安镇厦岗社区环卫管理架构人员配备评分表（半月检）；3、长安镇厦岗社区环卫设施设备车辆配备评分表（半月检）；4、长安镇厦岗社区环卫月考核检查评分表；5、长安镇厦岗社区*年*月环卫工作项目考核评分结果汇总及扣分扣费情况表；6、*年长安镇厦岗社区环卫年终考核评分表。</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五、履约保证金</w:t>
      </w:r>
    </w:p>
    <w:p>
      <w:pPr>
        <w:pStyle w:val="2"/>
        <w:tabs>
          <w:tab w:val="left" w:pos="567"/>
        </w:tabs>
        <w:spacing w:line="360" w:lineRule="auto"/>
        <w:ind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中标供应商与采购人签订承包合同时，必须向采购人以银行转账的方式提交履约保金，履约保证金金额为合同价的5%。</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六、违约责任与赔偿损失</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（一）中标供应商提供的服务不符合本合同规定的，采购人有权拒收，并且中标供应商须向采购人支付本合同总价5%的违约金。</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中标供应商未能按本合同规定的服务期提供服务，从逾期之日起每日按本合同总价3‰的数额向采购人支付违约金；逾期半个月以上的，采购人有权终止合同，由此造成的采购人经济损失由中标供应商承担。</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（三）对于因政策变化或不可抗力除外，因采购人原因导致变更、中止或者终止采购合同的，采购人应当对中标供应商受到的损失予以赔偿或者补偿。</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本合同期内，中标供应商出现有下列任何一种情况的，采购人有权不予以续签下一年度服务合同或有权即时单方解除承包合同，同时，在终止合同后，中标供应商应保证按本招标文件及合同要求无条件服务至下一服务单位交接完毕，期间的承包费根据实际服务时间及考核结果据实结算</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以保证项目顺利进行，否则，采购人有权没收履约保证金并每日计收5</w:t>
      </w:r>
      <w:r>
        <w:rPr>
          <w:rFonts w:ascii="宋体" w:hAnsi="宋体" w:cs="宋体"/>
          <w:color w:val="000000" w:themeColor="text1"/>
          <w:szCs w:val="21"/>
          <w:highlight w:val="none"/>
          <w14:textFill>
            <w14:solidFill>
              <w14:schemeClr w14:val="tx1"/>
            </w14:solidFill>
          </w14:textFill>
        </w:rPr>
        <w:t>0000</w:t>
      </w:r>
      <w:r>
        <w:rPr>
          <w:rFonts w:hint="eastAsia" w:ascii="宋体" w:hAnsi="宋体" w:cs="宋体"/>
          <w:color w:val="000000" w:themeColor="text1"/>
          <w:szCs w:val="21"/>
          <w:highlight w:val="none"/>
          <w14:textFill>
            <w14:solidFill>
              <w14:schemeClr w14:val="tx1"/>
            </w14:solidFill>
          </w14:textFill>
        </w:rPr>
        <w:t>元违约金。</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1、中标供应商书面表示放弃承包经营权，或无法继续履行承包义务的。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2、中标供应商服务有效期内有越权收费、弄虚作假等违法经营行为，可能导致本合同无法继续履行的。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3、采购人每月对中标供应商进行考核，连续二次（含二次）或一年内累积有三次考核结果为“差”的，除按规定扣款外，采购人有权解除协议，没收承包单位履约保证金，中标供应商无偿退出。</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4、中标供应商</w:t>
      </w:r>
      <w:r>
        <w:rPr>
          <w:rFonts w:hint="eastAsia" w:ascii="宋体" w:hAnsi="宋体" w:cs="宋体"/>
          <w:color w:val="000000" w:themeColor="text1"/>
          <w:szCs w:val="21"/>
          <w:highlight w:val="none"/>
          <w:lang w:val="en"/>
          <w14:textFill>
            <w14:solidFill>
              <w14:schemeClr w14:val="tx1"/>
            </w14:solidFill>
          </w14:textFill>
        </w:rPr>
        <w:t>合同期内，因承包方在本项目中操作不当、管理疏漏等原因，发生安全生产责任事故造成1人以上（含1人）死亡或3人以上（含3人）重伤的安全事故，并负主要责任的。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中标供应商未按时足额发放员工工资（含加班工资）的，或中标供应商拖欠员工工资（含加班工资）被投诉或工人上访、起诉，情况属实的，或东莞市最低工资标准发生变化，中标供应商拒绝根据有关规定予以相应调整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6、中标供应商违反劳动法，损害工人合法权益，出现性质严重或情节恶劣的。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7、中标供应商有纵容、煽动工人怠工、罢工等过激行为的，或因中标供应商无视工人权益引致工人有怠工、罢工等过激行为的。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8、合同履行期间，中标供应商在本项目中因一般违法行为被行政机关处罚达到三次或因重大违法行为被行政机关处罚（责令停产停业、吊销许可证或者执照、没收或罚款达50万元等）的。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9、中标供应商有转包、违规分包行为的。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10、中标供应商一年内未按整改通知书要求落实整改超过3次的。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11、中标供应商一年内无故停工达到2次的。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12、《中华人民共和国民法典》、《中华人民共和国政府采购法》、《中华人民共和国政府采购法实施条例》等法律规定的中标无效或合同无效的情形。</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13、中标供应商违反法律、法规、规章和其它相关规范性文件的规定，影响本合同履行的。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14、连续两个月综合考核得分80以下的。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15、同一年度内累计三个月综合考核得分80以下的。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16、被市同一年度内评为黑榜的。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17、同一年度累计三个月综合考评得分在东莞市长安镇内排名倒数三名以内的。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18、服务期间，中标供应商的在职服务员工人数不足18</w:t>
      </w:r>
      <w:r>
        <w:rPr>
          <w:rFonts w:hint="eastAsia" w:ascii="宋体" w:hAnsi="宋体" w:cs="宋体"/>
          <w:color w:val="000000" w:themeColor="text1"/>
          <w:szCs w:val="21"/>
          <w:highlight w:val="none"/>
          <w:lang w:val="en-US" w:eastAsia="zh-CN"/>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人的。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采购人提前一个月向中标供应商提出终止服务意向，中标供应商在收到采购人解除承包合同的书面通知后，与下一服务单位完成交接及离场等环卫保洁相关的服务工作；②合同终止到期前如需临时增加服务周期，中标供应商需在5个工作日内与采购人签订具体服务周期的服务协议合同，服务协议期内完成与下一服务单位交接及离场等环卫保洁相关的服务工作；③以上交接期后未退场，每超一天，则须向采购人支付5万元的违约金。</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（五）如因中标供应商没有依照合同约定履行义务，给第三方造成人身或财产损害的，进而致使采购人对外承担赔偿责任的，则赔偿款项及因此产生的维权诉讼费、律师费等由中标供应商承担。</w:t>
      </w:r>
    </w:p>
    <w:p>
      <w:pPr>
        <w:pStyle w:val="7"/>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（六）环卫日常考核中，如环卫人员、保洁人员上岗人员总数不符合人员配置要求的，每少一人，则须向采购人支付5000元/月的违约金直至符合要求之日止。</w:t>
      </w:r>
    </w:p>
    <w:p>
      <w:pPr>
        <w:pStyle w:val="7"/>
        <w:spacing w:line="360" w:lineRule="auto"/>
        <w:ind w:firstLine="422"/>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七）因合同期满或其他原因解除合同，还未确定新承包队伍或新承包队伍未完全接手时,中标供应商必须在中标地域根据原合同价格继续按合同质量要求履行相关责任和义务，顺延至新中标公司进场完毕，顺延期间费用不得超过新的中标合同价，落实好交接过渡期的各项工作，确保各项工作项目的的正常运转，并顺利交接。交接完成在得到采购人的书面确认后，中标供应商才可以完全退场退设备。若中标供应商不配合，不接受采购人安排，未落实好交接工作的，采购人有权没收履约保证金。因中标方违约造成合同解除的，采购人没收履约保证金并根据招标文件、合同约定追究中标方其他法律责任。</w:t>
      </w:r>
    </w:p>
    <w:p>
      <w:pPr>
        <w:pStyle w:val="2"/>
        <w:tabs>
          <w:tab w:val="left" w:pos="567"/>
        </w:tabs>
        <w:spacing w:line="360" w:lineRule="auto"/>
        <w:ind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八</w:t>
      </w:r>
      <w:r>
        <w:rPr>
          <w:rFonts w:hint="eastAsia"/>
          <w:color w:val="000000" w:themeColor="text1"/>
          <w:sz w:val="21"/>
          <w:szCs w:val="21"/>
          <w:highlight w:val="none"/>
          <w14:textFill>
            <w14:solidFill>
              <w14:schemeClr w14:val="tx1"/>
            </w14:solidFill>
          </w14:textFill>
        </w:rPr>
        <w:t>）其它违约责任按《中华人民共和国民法典》处理。</w:t>
      </w:r>
    </w:p>
    <w:p>
      <w:pPr>
        <w:pStyle w:val="3"/>
        <w:pageBreakBefore/>
        <w:rPr>
          <w:rFonts w:hAnsi="宋体" w:cs="宋体"/>
          <w:color w:val="000000" w:themeColor="text1"/>
          <w:sz w:val="24"/>
          <w:highlight w:val="none"/>
          <w14:textFill>
            <w14:solidFill>
              <w14:schemeClr w14:val="tx1"/>
            </w14:solidFill>
          </w14:textFill>
        </w:rPr>
      </w:pPr>
      <w:bookmarkStart w:id="142" w:name="_Toc152951860"/>
      <w:r>
        <w:rPr>
          <w:rFonts w:hint="eastAsia" w:hAnsi="宋体" w:cs="宋体"/>
          <w:color w:val="000000" w:themeColor="text1"/>
          <w:sz w:val="24"/>
          <w:highlight w:val="none"/>
          <w14:textFill>
            <w14:solidFill>
              <w14:schemeClr w14:val="tx1"/>
            </w14:solidFill>
          </w14:textFill>
        </w:rPr>
        <w:t>附件：1、长安镇厦岗社区环卫日常考核检查评分表</w:t>
      </w:r>
      <w:bookmarkEnd w:id="142"/>
    </w:p>
    <w:tbl>
      <w:tblPr>
        <w:tblStyle w:val="17"/>
        <w:tblW w:w="8669" w:type="dxa"/>
        <w:tblInd w:w="0" w:type="dxa"/>
        <w:tblLayout w:type="fixed"/>
        <w:tblCellMar>
          <w:top w:w="0" w:type="dxa"/>
          <w:left w:w="108" w:type="dxa"/>
          <w:bottom w:w="0" w:type="dxa"/>
          <w:right w:w="108" w:type="dxa"/>
        </w:tblCellMar>
      </w:tblPr>
      <w:tblGrid>
        <w:gridCol w:w="394"/>
        <w:gridCol w:w="394"/>
        <w:gridCol w:w="3710"/>
        <w:gridCol w:w="3226"/>
        <w:gridCol w:w="524"/>
        <w:gridCol w:w="421"/>
      </w:tblGrid>
      <w:tr>
        <w:tblPrEx>
          <w:tblCellMar>
            <w:top w:w="0" w:type="dxa"/>
            <w:left w:w="108" w:type="dxa"/>
            <w:bottom w:w="0" w:type="dxa"/>
            <w:right w:w="108" w:type="dxa"/>
          </w:tblCellMar>
        </w:tblPrEx>
        <w:trPr>
          <w:trHeight w:val="23" w:hRule="atLeast"/>
        </w:trPr>
        <w:tc>
          <w:tcPr>
            <w:tcW w:w="788" w:type="dxa"/>
            <w:gridSpan w:val="2"/>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表1-1</w:t>
            </w:r>
          </w:p>
        </w:tc>
        <w:tc>
          <w:tcPr>
            <w:tcW w:w="7881" w:type="dxa"/>
            <w:gridSpan w:val="4"/>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长安镇厦岗社区环卫日常考核检查评分表</w:t>
            </w:r>
          </w:p>
        </w:tc>
      </w:tr>
      <w:tr>
        <w:tblPrEx>
          <w:tblCellMar>
            <w:top w:w="0" w:type="dxa"/>
            <w:left w:w="108" w:type="dxa"/>
            <w:bottom w:w="0" w:type="dxa"/>
            <w:right w:w="108" w:type="dxa"/>
          </w:tblCellMar>
        </w:tblPrEx>
        <w:trPr>
          <w:trHeight w:val="23" w:hRule="atLeast"/>
        </w:trPr>
        <w:tc>
          <w:tcPr>
            <w:tcW w:w="4498" w:type="dxa"/>
            <w:gridSpan w:val="3"/>
            <w:tcBorders>
              <w:top w:val="nil"/>
              <w:left w:val="nil"/>
              <w:bottom w:val="nil"/>
              <w:right w:val="nil"/>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总分:100分,得分:</w:t>
            </w:r>
          </w:p>
        </w:tc>
        <w:tc>
          <w:tcPr>
            <w:tcW w:w="4171" w:type="dxa"/>
            <w:gridSpan w:val="3"/>
            <w:tcBorders>
              <w:top w:val="nil"/>
              <w:left w:val="nil"/>
              <w:bottom w:val="nil"/>
              <w:right w:val="nil"/>
            </w:tcBorders>
            <w:shd w:val="clear" w:color="auto" w:fill="auto"/>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评分时间:   年   月  日</w:t>
            </w:r>
          </w:p>
        </w:tc>
      </w:tr>
      <w:tr>
        <w:tblPrEx>
          <w:tblCellMar>
            <w:top w:w="0" w:type="dxa"/>
            <w:left w:w="108" w:type="dxa"/>
            <w:bottom w:w="0" w:type="dxa"/>
            <w:right w:w="108" w:type="dxa"/>
          </w:tblCellMar>
        </w:tblPrEx>
        <w:trPr>
          <w:trHeight w:val="23" w:hRule="atLeast"/>
        </w:trPr>
        <w:tc>
          <w:tcPr>
            <w:tcW w:w="4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现场考核</w:t>
            </w:r>
          </w:p>
        </w:tc>
        <w:tc>
          <w:tcPr>
            <w:tcW w:w="32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扣分办法(提供资料证明)</w:t>
            </w:r>
          </w:p>
        </w:tc>
        <w:tc>
          <w:tcPr>
            <w:tcW w:w="5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应得分</w:t>
            </w:r>
          </w:p>
        </w:tc>
        <w:tc>
          <w:tcPr>
            <w:tcW w:w="4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检查扣分</w:t>
            </w: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项目内容</w:t>
            </w:r>
          </w:p>
        </w:tc>
        <w:tc>
          <w:tcPr>
            <w:tcW w:w="3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考核标准和依据</w:t>
            </w:r>
          </w:p>
        </w:tc>
        <w:tc>
          <w:tcPr>
            <w:tcW w:w="32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(出现以下未提及事项均参照合同依据的法律法规和办法)</w:t>
            </w:r>
          </w:p>
        </w:tc>
        <w:tc>
          <w:tcPr>
            <w:tcW w:w="32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一、人工清扫保洁(35分)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1、旧村每天普扫两次，作业时间为6：00-22：00，巡回保洁根据情况而定</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旧村每天无普扫两次的扣2分；无按时完成普扫的扣1分；卫生质量差的扣1分；扣完为止.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2、河边、鱼塘边、山边、闲置地等根据卫生情况合理进行不定期保洁，每天有专人负责巡查随时了解卫生情况，发现超过卫生质量标准，即时组织人员清洁（未硬底化的闲置地不在合同范围，建议闲置地围闭）</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河边、鱼塘边、山边、闲置地等无根据卫生情况合理进行不定期保洁的扣1分；无专人每天负责巡查随时了解卫生情况的扣0.5分；卫生质量差的扣0.5分；扣完为止.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绿化隔离带,公园广场、路旁绿地,行道树穴,渠化岛、草坪内的垃圾清洁时间为7：00-22：30。每天上午9：30时前完成首次绿地清洁工作，其余时间做好保洁；禁止焚烧枯枝干叶及杂物；对绿化管理人员清理出来的剪枝（树枝和树干标准长度≤90cm且直径≤15cm）及落叶、果皮纸屑、烟头、胶袋等垃圾要及时收集清走。(绿化浇水施肥、除草松土、喷药除杂、树木修剪后集中堆放等养护不在合同范围内)</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在保洁时间无足够人员在保洁的扣0.2分；9：30时前未完成首次绿地清洁工作的扣0.2分；发现焚烧枯枝干叶及杂物的扣0.2分；；对绿化管理人员清理出来符合标准的剪枝及垃圾没有进行及时的清理扣0.2分；发现有果皮果壳卫生质量差的扣0.5分；扣完为止.                                     </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道路、公共场所等均按二类清扫保洁标准，普扫和保洁人员数量各占一半。一天普扫两次，时间分别是早上5：30-7：00，下午17：30-19：00，其余时间根据实际情况灵活安排；保洁分两批人四班次，时间为7：00-23：00，共16小时。繁华街区每周彻底清扫道路和沟渠一遍，每小时保洁一遍；其余道路每两周彻底清扫道路和沟渠一遍。实行无缝链接清扫保洁，不得漏扫，保洁时间内由保洁人员采用机械（人工）的办法进行，维持道路、公共场所等的清洁</w:t>
            </w:r>
            <w:r>
              <w:rPr>
                <w:rStyle w:val="45"/>
                <w:rFonts w:hint="default"/>
                <w:color w:val="000000" w:themeColor="text1"/>
                <w:sz w:val="21"/>
                <w:szCs w:val="21"/>
                <w:highlight w:val="none"/>
                <w:lang w:bidi="ar"/>
                <w14:textFill>
                  <w14:solidFill>
                    <w14:schemeClr w14:val="tx1"/>
                  </w14:solidFill>
                </w14:textFill>
              </w:rPr>
              <w:t>(行人道、路沿石的杂草清除属保洁范围)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按要求完成普扫的扣1分；保洁时间一定范围内无足够人员在保洁的扣0.5分；繁华街区每周无彻底清扫道路和沟渠一遍的扣0.5分；无每小时保洁一遍的扣0.5分；其余道路每两周无彻底清扫道路和沟渠一遍的扣0.5分；无实行无缝链接清扫保洁，出现漏扫，影响卫生质量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5、主干道、红绿灯口、繁华地区等道路要根据不同时间段、人流密度等加派保洁人员保洁，确保周一至五上下班高峰时段、节假日或周六日全天候卫生情况良好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主干道、红绿灯口、繁华地区等道路无根据不同时间段、人流密度等加派保洁人员保洁，卫生质量差的一处扣0.5分，扣完为止.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繁华街区人行道每周彻底清洗不少于两次，其余街区人行道每周彻底清洗不少于一次，如特殊情况特殊路段要求每天清洗，冲洗时间为当日23时至次日6时,高压冲洗车车速:5km/h～10km/h，清洗人行道时，冲洗车须调整好水流幅宽，并配以人工洗刷路面，清洗被油污污染较为严重的路面时，可适当添加洗洁精等清洁液，反复冲洗，直至路面见本色</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繁华街区人行道每周彻底清洗少于两次，其余街区人行道每周彻底清洗少于一次，每少1次扣0.5分；特殊情况特殊路段没有每天清洗的每少一次扣0.5分；无在规定时间内冲洗的每次扣0.5分；无按指定车速行驶的发现一次扣0.5分；清洗行人道时,无按要求洗刷路面的一次扣0.5分；冲洗不干净,路面不见本色的发现一处扣0.5分；出现漏冲路段的发现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一、人工清扫保洁(35分)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每天定时洒水3次（早上8点、下午14点和晚上23点，周六日晚上推迟至23：30，雨天除外），30℃以上每天不少于3次，洒水车车速:≤10km/h,作业时应发送警示信号提醒路人,并控制适当的水压和高度,避免妨碍路人；不得倒车洒水，不得漏洒(漏冲),作业结束后,应做到地面、路缘石基本见本色,路面侧石、交通隔离带以及道路相关公共设施周围无泥沙和积水；发现洒漏沙石、油污、工程建设污染等和路障的地段，视实际需要进行降尘或冲洗，立即处理，并上报相关主管部门</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按时洒水的发现少一次扣0.5分；每天洒水次数不够每少一次扣0.5分；没有按指定车速作业的发现一次扣0.5分；作业时没按要求操作的发现一次扣0.5分；作业结束后未达到要求的发现一次扣0.5分；发现洒漏沙石、油污、工程建设污染等和路障等情况无立即处理的一次扣1分；出现状况无上报相关主管部门的一次扣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清扫保洁应达到路面整洁、无杂草、无残留污水，明渠无垃圾堆积、排水畅通，狭窄内巷无卫生死角，排水口清洁、无沙土残积，路沿石、防蚊设施、废物箱、广告路灯等公共设施无明显污迹，行道树圈无垃圾杂物、陈旧落叶等要求，保洁率达到100%</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达到路面无残留污水、无杂草、明渠无垃圾堆积、排水畅通，狭窄内巷无卫生死角，排水口清洁、无沙土残积，公共设施无明显污迹，行道树圈无垃圾杂物、陈旧落叶等要求的发现一处扣0.2分；保洁率达不到100%的扣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000000" w:sz="4" w:space="0"/>
                <w:lang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46355</wp:posOffset>
                  </wp:positionH>
                  <wp:positionV relativeFrom="paragraph">
                    <wp:posOffset>796925</wp:posOffset>
                  </wp:positionV>
                  <wp:extent cx="2134870" cy="335915"/>
                  <wp:effectExtent l="0" t="0" r="17780" b="6985"/>
                  <wp:wrapNone/>
                  <wp:docPr id="10" name="Picture_4"/>
                  <wp:cNvGraphicFramePr/>
                  <a:graphic xmlns:a="http://schemas.openxmlformats.org/drawingml/2006/main">
                    <a:graphicData uri="http://schemas.openxmlformats.org/drawingml/2006/picture">
                      <pic:pic xmlns:pic="http://schemas.openxmlformats.org/drawingml/2006/picture">
                        <pic:nvPicPr>
                          <pic:cNvPr id="10" name="Picture_4"/>
                          <pic:cNvPicPr/>
                        </pic:nvPicPr>
                        <pic:blipFill>
                          <a:blip r:embed="rId16"/>
                          <a:stretch>
                            <a:fillRect/>
                          </a:stretch>
                        </pic:blipFill>
                        <pic:spPr>
                          <a:xfrm>
                            <a:off x="0" y="0"/>
                            <a:ext cx="2134870" cy="335915"/>
                          </a:xfrm>
                          <a:prstGeom prst="rect">
                            <a:avLst/>
                          </a:prstGeom>
                          <a:noFill/>
                          <a:ln>
                            <a:noFill/>
                          </a:ln>
                        </pic:spPr>
                      </pic:pic>
                    </a:graphicData>
                  </a:graphic>
                </wp:anchor>
              </w:drawing>
            </w:r>
            <w:r>
              <w:rPr>
                <w:rFonts w:hint="eastAsia" w:ascii="宋体" w:hAnsi="宋体" w:cs="宋体"/>
                <w:color w:val="000000" w:themeColor="text1"/>
                <w:kern w:val="0"/>
                <w:szCs w:val="21"/>
                <w:highlight w:val="none"/>
                <w:lang w:bidi="ar"/>
                <w14:textFill>
                  <w14:solidFill>
                    <w14:schemeClr w14:val="tx1"/>
                  </w14:solidFill>
                </w14:textFill>
              </w:rPr>
              <w:t>9、路面废弃物控制指标应符合下表规定，在同一单位长度内不得超过各单项废弃物总数的50%。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 xml:space="preserve">  注：为方便实际操作，测算面积可适当调整，各类指标按比例折算</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路面废弃物控制指标不符合规定的发现一处扣0.2分，扣完为止.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10、人行天桥、人行过街地下通道、车行隧道的清扫保洁质量标准与连接的道路相同；栏杆、阶梯、扶手、墙面、地面、路面等应保持整洁、无乱张贴、乱画、垃圾和积存污水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人行天桥、人行过街地下通道、车行隧道与其连接的道路；栏杆、阶梯、扶手、墙面、地面、路面等无保持整洁,有乱张贴、乱画、垃圾和积存污水现象的一处扣0.2分，扣完为止.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11、普扫、保洁要达到“六无六净一通”标准。</w:t>
            </w:r>
            <w:r>
              <w:rPr>
                <w:rStyle w:val="46"/>
                <w:rFonts w:hint="default"/>
                <w:color w:val="000000" w:themeColor="text1"/>
                <w:sz w:val="21"/>
                <w:szCs w:val="21"/>
                <w:highlight w:val="none"/>
                <w:lang w:bidi="ar"/>
                <w14:textFill>
                  <w14:solidFill>
                    <w14:schemeClr w14:val="tx1"/>
                  </w14:solidFill>
                </w14:textFill>
              </w:rPr>
              <w:t>六无：</w:t>
            </w:r>
            <w:r>
              <w:rPr>
                <w:rFonts w:hint="eastAsia" w:ascii="宋体" w:hAnsi="宋体" w:cs="宋体"/>
                <w:color w:val="000000" w:themeColor="text1"/>
                <w:kern w:val="0"/>
                <w:szCs w:val="21"/>
                <w:highlight w:val="none"/>
                <w:lang w:bidi="ar"/>
                <w14:textFill>
                  <w14:solidFill>
                    <w14:schemeClr w14:val="tx1"/>
                  </w14:solidFill>
                </w14:textFill>
              </w:rPr>
              <w:t>地面、路面无积泥(沙)积水，无果皮纸屑、烟头等废弃物，无香口糖迹、痰迹等污迹，无漏收垃圾堆，无往雨水井口、排水渠口、明渠、绿化带、果皮箱扫倒垃圾污物，无乱张贴广告、招纸、乱涂画、乱刻写等。</w:t>
            </w:r>
            <w:r>
              <w:rPr>
                <w:rStyle w:val="46"/>
                <w:rFonts w:hint="default"/>
                <w:color w:val="000000" w:themeColor="text1"/>
                <w:sz w:val="21"/>
                <w:szCs w:val="21"/>
                <w:highlight w:val="none"/>
                <w:lang w:bidi="ar"/>
                <w14:textFill>
                  <w14:solidFill>
                    <w14:schemeClr w14:val="tx1"/>
                  </w14:solidFill>
                </w14:textFill>
              </w:rPr>
              <w:t>六净：</w:t>
            </w:r>
            <w:r>
              <w:rPr>
                <w:rFonts w:hint="eastAsia" w:ascii="宋体" w:hAnsi="宋体" w:cs="宋体"/>
                <w:color w:val="000000" w:themeColor="text1"/>
                <w:kern w:val="0"/>
                <w:szCs w:val="21"/>
                <w:highlight w:val="none"/>
                <w:lang w:bidi="ar"/>
                <w14:textFill>
                  <w14:solidFill>
                    <w14:schemeClr w14:val="tx1"/>
                  </w14:solidFill>
                </w14:textFill>
              </w:rPr>
              <w:t>地面、路面、人行道净，路缘石净，墙基净，果皮箱净、公共设施净，雨水井口净、地下通道净，树穴绿化带净。</w:t>
            </w:r>
            <w:r>
              <w:rPr>
                <w:rStyle w:val="46"/>
                <w:rFonts w:hint="default"/>
                <w:color w:val="000000" w:themeColor="text1"/>
                <w:sz w:val="21"/>
                <w:szCs w:val="21"/>
                <w:highlight w:val="none"/>
                <w:lang w:bidi="ar"/>
                <w14:textFill>
                  <w14:solidFill>
                    <w14:schemeClr w14:val="tx1"/>
                  </w14:solidFill>
                </w14:textFill>
              </w:rPr>
              <w:t>一通：</w:t>
            </w:r>
            <w:r>
              <w:rPr>
                <w:rFonts w:hint="eastAsia" w:ascii="宋体" w:hAnsi="宋体" w:cs="宋体"/>
                <w:color w:val="000000" w:themeColor="text1"/>
                <w:kern w:val="0"/>
                <w:szCs w:val="21"/>
                <w:highlight w:val="none"/>
                <w:lang w:bidi="ar"/>
                <w14:textFill>
                  <w14:solidFill>
                    <w14:schemeClr w14:val="tx1"/>
                  </w14:solidFill>
                </w14:textFill>
              </w:rPr>
              <w:t>雨水井口、排水明渠通</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普扫、保洁无达到“六无六净一通”标准的发现一处扣0.2分，扣完为止.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12、道路两侧的建筑物外立面应无明显污迹，无残墙断壁、无乱张贴、乱拉挂的“六乱现象”，过时破损的宣传标语要及时修补或更换</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道路两侧的建筑物外立面保洁不到位有明显污迹，有乱张贴、乱拉挂等“六乱现象”的发现一处扣0.2分；过时破损的宣传标语无及时修补或更换的发现一处扣0.2分；扣完为止.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一、人工清扫保洁(35分)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13、道路两侧的公交候车站、广告牌、路牌、邮筒、读报栏、管线等设施保持完好，无污迹、积尘、无乱张贴、无残旧破损</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道路两侧的公交候车站、广告牌、路牌、邮筒、读报栏、管线等设施有污迹、积尘，有乱张贴和残旧破损现象的发现一处扣0.2分，扣完为止.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清洁工人上班必须穿有安全反光标志的工作服，着装整洁，进行清扫时要按规范安全作业，遵守交通规则，留意周边环境，根据本路段的人、车情况，合理安排作业时间和方式；非普扫时间不使用大扫把；小心执扫，控制扬尘，避免妨碍行人，避免与路人发生矛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清洁工人上班无穿有安全反光标志的工作服的一个扣1分；着装不整洁的一个扣0.5分；清扫时无按规范作业的一次扣0.5分；无安全作业的一次扣0.5分；扣完为止.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清洁工人出车前，应做好车辆例行保养，检查车容车况，确保车辆性能完好和车容整洁；作业时，按岗位责任制和岗位作业流程操作，请路人配合时要使用“你好、请、对不起、让一让、谢谢”等文明用语，虚心接受群众的意见</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出车前无做好车辆例行保养和检查车容车况的一次扣0.2分；使用性能差和车容不整洁车辆作业的一次扣0.2分；作业时，没有文明工作的一次扣0.2分；扣完为止.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16、上岗工作期间，禁止员工分拣垃圾或挑选垃圾收集，禁止任何作业车辆堆挂杂物或车身空隙堆塞任何与作业无关的物件。</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发现员工分拣垃圾或挑选垃圾收集的一次扣0.5分；发现作业车辆堆挂杂物或车身空隙堆塞任何与作业无关的物件的一次扣0.5分；扣完为止.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17、清洁工人在清扫和保洁时，应按车行线反方向清扫，特别在清扫中间护拦时要提高警觉，注意来车；清理主车道上的成堆的泥土时，应在清理点来车方向100米处设置醒目路障，并做好防护措施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洁工人在清扫和保洁特别在清扫中间护拦时，无按车行线反方向清扫，无注意来车的扣0.5分；清理主车道上的成堆的泥土时，无在清理点来车方向100米处设置醒目路障，并做好防护措施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18、在从事地下通道、立交桥等车辆密集地段作业时，应设置警戒标志或选择在车辆较少的时间内清扫</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在地下通道、立交桥等车辆密集地段作业时，无设置警戒标志的一次扣0.5分；扣完为止.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19、保洁垃圾车、手推车不能太靠近车行线停放，不得横向占道，装载垃圾时，必须覆盖密闭，以防臭味外逾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保洁垃圾车、手推车存在靠近车行线和横向占道等乱停放现象的一次扣0.5分；装载垃圾时没有覆盖密闭的一次扣0.5分；扣完为止.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车辆回场后，应将车辆停放在洗车站，将车辆和作业工具都进行彻底清洗，将清洗出的垃圾放入指定容器，保持洗车场地清洁；将车辆和作业工具清洗完后，使用人做好例保工作，仔细检查车容车况，工具性能，发现故障及时修理，并做好相关的例保记录，最后将车辆和作业工具按规定位置停放、摆放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车辆回场后，无将车辆停放在洗车站将车辆和作业工具都进行彻底清洗的一次扣0.5分；没有做好例保工作并进行相关记录的一次扣0.5分；没有将清洗检查保养好的车辆和作业工具按规定位置停放、摆放好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二、机械清扫保洁(⒖分)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1、道路机械清扫保洁时间从5：00-22：00，繁华街区每天全面巡回清扫至少两遍；其余街区每天全面巡回清扫至少一遍；分别在上午7：30和下午18：00完成清扫，其余时间为巡回保洁时间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无按时完成全面清扫的扣0.5分；无按规定遍数的少一遍扣0.5分；出现漏扫地方或卫生质量差的扣0.5分；清扫保洁时间内人和车都不在岗的扣0.5分；扣扣完为止.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2、机械化清扫车辆出车前必须进行车辆性能检查，发现故障及时排除；加足水，并根据路面状况调整好机扫车侧刷和吸口，禁止侧刷、吸口不落地空跑，不得有漏扫现象，避免“干扫”，做到喷雾清扫不扬尘</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出车前无进行车辆性能检查,导致作业时出故障的一次扣0.5分；发生侧刷、吸口不落地空跑、漏扫、“干扫”无喷雾清扫的一次扣0.5分；扣完为止.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机械化清扫车辆出车作业时必须严格遵守交通规则，落实安全警示和防护措施,开警示灯和坏车灯（大车），禁止鸣笛，司机必须穿反光衣，礼让行车，注意行人的安全，不得防碍交通；正常车速为6-7公里/小时，最快速度不能超10公里/小时，不得超速</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有遵守交通规则的一次扣1.5分；没有落实安全警示和防护措施、无开警示灯和坏车灯（大车）、鸣笛、司机及其工作人员无穿反光衣、无礼让行车、无注意行人安全、防碍交通的一次扣1分；没有按车速行驶的一次扣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4、清扫时注意观察路面清扫质量和路面障碍情况，对机扫车不能清除的大件垃圾或硬物，应及时下车清除，确保清扫质量和设备不受损坏</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对机扫车不能清除的大件垃圾或硬物无及时下车清除的一次扣0.5分；清扫时无注意观察路面障碍情况，导致清扫设备损坏扣0.5分；扣完为止.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5、道路的清扫、保洁质量标准必须符合以下要求：                                                                  ⑴路面基本见本色；                                                                                              ⑵快车道中间分隔带侧石垂直1米为宽度的任意100m</w:t>
            </w:r>
            <w:r>
              <w:rPr>
                <w:rStyle w:val="47"/>
                <w:rFonts w:hint="default"/>
                <w:color w:val="000000" w:themeColor="text1"/>
                <w:sz w:val="21"/>
                <w:szCs w:val="21"/>
                <w:highlight w:val="none"/>
                <w:lang w:bidi="ar"/>
                <w14:textFill>
                  <w14:solidFill>
                    <w14:schemeClr w14:val="tx1"/>
                  </w14:solidFill>
                </w14:textFill>
              </w:rPr>
              <w:t>2</w:t>
            </w:r>
            <w:r>
              <w:rPr>
                <w:rFonts w:hint="eastAsia" w:ascii="宋体" w:hAnsi="宋体" w:cs="宋体"/>
                <w:color w:val="000000" w:themeColor="text1"/>
                <w:kern w:val="0"/>
                <w:szCs w:val="21"/>
                <w:highlight w:val="none"/>
                <w:lang w:bidi="ar"/>
                <w14:textFill>
                  <w14:solidFill>
                    <w14:schemeClr w14:val="tx1"/>
                  </w14:solidFill>
                </w14:textFill>
              </w:rPr>
              <w:t xml:space="preserve"> 地面，沙泥石块不得超过0.2升；                                                                          ⑶慢车倒侧石垂直1米为宽度的任意100m</w:t>
            </w:r>
            <w:r>
              <w:rPr>
                <w:rStyle w:val="47"/>
                <w:rFonts w:hint="default"/>
                <w:color w:val="000000" w:themeColor="text1"/>
                <w:sz w:val="21"/>
                <w:szCs w:val="21"/>
                <w:highlight w:val="none"/>
                <w:lang w:bidi="ar"/>
                <w14:textFill>
                  <w14:solidFill>
                    <w14:schemeClr w14:val="tx1"/>
                  </w14:solidFill>
                </w14:textFill>
              </w:rPr>
              <w:t xml:space="preserve">2 </w:t>
            </w:r>
            <w:r>
              <w:rPr>
                <w:rFonts w:hint="eastAsia" w:ascii="宋体" w:hAnsi="宋体" w:cs="宋体"/>
                <w:color w:val="000000" w:themeColor="text1"/>
                <w:kern w:val="0"/>
                <w:szCs w:val="21"/>
                <w:highlight w:val="none"/>
                <w:lang w:bidi="ar"/>
                <w14:textFill>
                  <w14:solidFill>
                    <w14:schemeClr w14:val="tx1"/>
                  </w14:solidFill>
                </w14:textFill>
              </w:rPr>
              <w:t>地面，沙泥石块不得超过0.4升；                                               ⑷任意100m</w:t>
            </w:r>
            <w:r>
              <w:rPr>
                <w:rStyle w:val="47"/>
                <w:rFonts w:hint="default"/>
                <w:color w:val="000000" w:themeColor="text1"/>
                <w:sz w:val="21"/>
                <w:szCs w:val="21"/>
                <w:highlight w:val="none"/>
                <w:lang w:bidi="ar"/>
                <w14:textFill>
                  <w14:solidFill>
                    <w14:schemeClr w14:val="tx1"/>
                  </w14:solidFill>
                </w14:textFill>
              </w:rPr>
              <w:t>2</w:t>
            </w:r>
            <w:r>
              <w:rPr>
                <w:rFonts w:hint="eastAsia" w:ascii="宋体" w:hAnsi="宋体" w:cs="宋体"/>
                <w:color w:val="000000" w:themeColor="text1"/>
                <w:kern w:val="0"/>
                <w:szCs w:val="21"/>
                <w:highlight w:val="none"/>
                <w:lang w:bidi="ar"/>
                <w14:textFill>
                  <w14:solidFill>
                    <w14:schemeClr w14:val="tx1"/>
                  </w14:solidFill>
                </w14:textFill>
              </w:rPr>
              <w:t>地面,沙泥石块不超过0.2升；                                                                        ⑸任意300m</w:t>
            </w:r>
            <w:r>
              <w:rPr>
                <w:rStyle w:val="47"/>
                <w:rFonts w:hint="default"/>
                <w:color w:val="000000" w:themeColor="text1"/>
                <w:sz w:val="21"/>
                <w:szCs w:val="21"/>
                <w:highlight w:val="none"/>
                <w:lang w:bidi="ar"/>
                <w14:textFill>
                  <w14:solidFill>
                    <w14:schemeClr w14:val="tx1"/>
                  </w14:solidFill>
                </w14:textFill>
              </w:rPr>
              <w:t>2</w:t>
            </w:r>
            <w:r>
              <w:rPr>
                <w:rFonts w:hint="eastAsia" w:ascii="宋体" w:hAnsi="宋体" w:cs="宋体"/>
                <w:color w:val="000000" w:themeColor="text1"/>
                <w:kern w:val="0"/>
                <w:szCs w:val="21"/>
                <w:highlight w:val="none"/>
                <w:lang w:bidi="ar"/>
                <w14:textFill>
                  <w14:solidFill>
                    <w14:schemeClr w14:val="tx1"/>
                  </w14:solidFill>
                </w14:textFill>
              </w:rPr>
              <w:t>地面,胶袋、纸张、果皮等不超过3个（块）；                                                              ⑹任意300m</w:t>
            </w:r>
            <w:r>
              <w:rPr>
                <w:rStyle w:val="47"/>
                <w:rFonts w:hint="default"/>
                <w:color w:val="000000" w:themeColor="text1"/>
                <w:sz w:val="21"/>
                <w:szCs w:val="21"/>
                <w:highlight w:val="none"/>
                <w:lang w:bidi="ar"/>
                <w14:textFill>
                  <w14:solidFill>
                    <w14:schemeClr w14:val="tx1"/>
                  </w14:solidFill>
                </w14:textFill>
              </w:rPr>
              <w:t>2</w:t>
            </w:r>
            <w:r>
              <w:rPr>
                <w:rFonts w:hint="eastAsia" w:ascii="宋体" w:hAnsi="宋体" w:cs="宋体"/>
                <w:color w:val="000000" w:themeColor="text1"/>
                <w:kern w:val="0"/>
                <w:szCs w:val="21"/>
                <w:highlight w:val="none"/>
                <w:lang w:bidi="ar"/>
                <w14:textFill>
                  <w14:solidFill>
                    <w14:schemeClr w14:val="tx1"/>
                  </w14:solidFill>
                </w14:textFill>
              </w:rPr>
              <w:t>地面,烟头、痰迹不超过5个（处）；                                                              ⑺地面不得有人为积水.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道路的清扫、保洁质量标准不符合要求的，发现一项扣0.2分；扣完为止.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6、清扫完毕，应检查车辆内垃圾是否卸清，并做好车辆保洁和维护，保持车容整洁，性能良好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清扫完毕，车辆内垃圾无卸清一次扣0.25分；无做好车辆保洁和维护的一次扣0.25分；扣完为止.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7.清扫车辆收集的垃圾必须到指定地点倾倒，不得偷倒</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收集的垃圾无到指定地点倾倒的一次扣0.5分；存在偷倒的一次扣0.5分；扣完为止.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8、路面机械化清扫达到80%</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路面机械化清扫无达到80%的扣0.5分</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三、垃圾收集容器保洁维护(5分)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1、垃圾收集容器包括收集箱、垃圾桶、果皮箱等。垃圾收集容器外观应整洁、无迹垢，每天至少清洁箱体一次，擦抹箱体表面，清除表面的污迹和“牛皮癣”</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每天没对全部或部分箱体至少清洁一次的扣0.5分，箱体表面存有污迹和“牛皮癣”的一个扣0.2分；扣完为止.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垃圾收集容器内垃圾要及时清走，一天清走垃圾不少于两次（上、下午各一次）。繁华街区一天三次，环卫工人每天晚班下班前全面清理完垃圾收集容器的垃圾，做到日产日清；垃圾量多的地方要根据情况定，不能有满溢、外观脏乱现象，并将产生的垃圾收集到指定地点</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垃圾收集容器内垃圾清走少于两次少一次的扣0.1分；繁华街区晚班下班前无全面清理完垃圾收集容器的垃圾，做到日产日清的一次扣0.2分；有满溢、外观脏乱现象的一处扣0.1分；无将垃圾收集到指定地点的发现一次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3、垃圾收集容器体光洁无明显积垢，箱体放置地面周围不得有垃圾抛落、垃圾堆积，无积水，无臭味</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箱体放置地面周围有垃圾抛落、垃圾堆积，有积水和臭味的发现一处扣0.1分；扣完为止.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4、垃圾收集容器应随时保持正常完好的状态，不能东倒西歪</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垃圾收集容器无保持正常完好的状态，东倒西歪的发现一个扣0.1分；扣完为止.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5、垃圾收集容器出现歪斜、松脱、不能使用和被盗等，要及时维修、拆卸、更换、补充和恢复，完好率不得低于98%</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对歪斜、松脱、不能使用和被盗等的垃圾收集容器，无及时维修、拆卸、更换、补充和恢复的一个扣0.2分；扣扣完为止.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6、每周至少两次大清洗、消毒箱体表面和内胆，并对箱体周围地面进行擦拖抹和清洗</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无每周至少两次大清洗箱体表面和内胆，无对箱体周围地面进行擦拖抹和清洗的少一次扣0.25分；扣扣完为止.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7、禁止使用非统一配置的垃圾收集容器，如竹箩、竹筐、纸箱等未密闭的垃圾收集容器；</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发现竹箩、竹筐、纸箱等非统一配置垃圾收集容器，一处扣0.1分；扣扣完为止.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8、禁止环卫工人在垃圾收集容器、垃圾收集站内翻捡废品</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发现环卫工人在垃圾收集容器、垃圾收集站内翻捡废品的一次扣0.1分；扣扣完为止.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四、排水井清理(5分)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1、日常做好雨水井口、井盖、格栅疏水孔、排水明渠及有排水孔且具有活动盖板的暗渠口和防蚊闸的清理和疏通工作（清淤除外），保证排水功能正常，每月全面彻底清理不少于2次</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日常无做好雨水井口、井盖、格栅疏水孔、排水明渠、有排水孔且具有活动盖板的暗渠口、防蚊闸的清理和疏通工作，导致排水功能不正常的发现一处扣0.5分；每月全面彻底清理少于2次少一次扣1分；扣扣完为止.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遇到雨季、台风季节等情况，要及时检视和清理；因下雨天下水道排水不畅造成道路水浸，保洁人员不得擅自离岗（遇雷电时及时躲避），在确保人身安全前提下，及时清理排水口的树叶和垃圾等堵塞物，确保排水畅通</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遇到雨季、台风季节等情况，无及时检视和清理，下雨时下水道排水不畅造成道路水浸的一处扣0.2分；保洁人员擅自离岗的一次扣0.5分，水浸时无及时清理排水口的树叶和垃圾等堵塞物的一处扣1分；扣完为止.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当出现内涝情况时，即时启动应急处理方案，采取相应措施，人员和设备要在20分钟内全部到位，尽快摆齐警示标志，做好安全保护措施，与其他部门互相配合，安排专人通宵值班，24小时开机，随时掌控情况并汇报</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当内涝启动应急方案时，人员和设备不在20分钟内全部到位的扣1分；无尽快摆齐警示标志,做好安全保护措施的扣1分；无安排专人值班，24小时开机的扣0.5分；无随时掌控情况及时汇报的扣0.5分；扣完为止.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五、河涌、护坡、堤围保洁(5分)</w:t>
            </w:r>
          </w:p>
        </w:tc>
        <w:tc>
          <w:tcPr>
            <w:tcW w:w="3710" w:type="dxa"/>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1、巡查时间8：00-18：00（6级或6级以上大风、红色暴雨警告以上天气除外）,有专人负责保洁和管理</w:t>
            </w:r>
          </w:p>
        </w:tc>
        <w:tc>
          <w:tcPr>
            <w:tcW w:w="3226" w:type="dxa"/>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在规定巡查时间内，无专人负责保洁和管理的扣0.5分</w:t>
            </w:r>
          </w:p>
        </w:tc>
        <w:tc>
          <w:tcPr>
            <w:tcW w:w="524"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2、每天根据卫生质量标准决定打捞水面漂浮垃圾和收集河涌护坡垃圾次数（河涌清淤除外）</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对超过卫生质量标准无及时打捞，发现扣0.5分</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3、水面无水浮莲等大件漂浮垃圾（≥1m</w:t>
            </w:r>
            <w:r>
              <w:rPr>
                <w:rStyle w:val="47"/>
                <w:rFonts w:hint="default"/>
                <w:color w:val="000000" w:themeColor="text1"/>
                <w:sz w:val="21"/>
                <w:szCs w:val="21"/>
                <w:highlight w:val="none"/>
                <w:lang w:bidi="ar"/>
                <w14:textFill>
                  <w14:solidFill>
                    <w14:schemeClr w14:val="tx1"/>
                  </w14:solidFill>
                </w14:textFill>
              </w:rPr>
              <w:t>2</w:t>
            </w:r>
            <w:r>
              <w:rPr>
                <w:rFonts w:hint="eastAsia" w:ascii="宋体" w:hAnsi="宋体" w:cs="宋体"/>
                <w:color w:val="000000" w:themeColor="text1"/>
                <w:kern w:val="0"/>
                <w:szCs w:val="21"/>
                <w:highlight w:val="none"/>
                <w:lang w:bidi="ar"/>
                <w14:textFill>
                  <w14:solidFill>
                    <w14:schemeClr w14:val="tx1"/>
                  </w14:solidFill>
                </w14:textFill>
              </w:rPr>
              <w:t>),小件零星垃圾两件之间最小间距≥20米</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水面存在水浮莲等大件漂浮垃圾和小件零星垃圾的一处扣0.1分；扣完为止.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4、做到河道畅通，岸坡整洁,无悬挂物、无垃圾杂物堆积,无漂浮物</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河道不畅通，岸坡不整洁，有悬挂物和漂浮物的一处扣0.2分；扣完为止.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5、汛期必须积极配合水利部门进行清疏、排灌</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汛期不积极配合水利部门进行清疏、排灌的扣0.3分</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6、打捞、收集的垃圾要定点堆放,送指定地点处理,日产日清</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打捞、收集的垃圾无定点堆放的发现一处扣0.5分，无日产日清的扣0.5分；扣完为止.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7、垃圾清运后必须把场地清扫干净，无垃圾和杂物堆放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垃圾清运后仍有垃圾和杂物堆放发现一处扣0.1分；扣完为止.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8、垃圾异味太大或有动物残体时要进行密封包装</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对垃圾异味太大和动物残体没有进行密封包装发现一处扣0.1分；扣完为止.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9、河道内船只、垃圾车辆容貌整洁，外观无缺损，无残留垃圾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河道内船只及垃圾车辆外观缺损扣0.1分；有残留垃圾的一处扣0.1分；扣完为止.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10、水上作业人员必须熟习水性，作业时要穿着救生衣，船上备用救生器材，落实有关安全措施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水上作业人员不熟习水性的一个扣0.1分；作业时无穿着救生衣的一个扣0.1分；船上无备用救生器材的扣0.1分；扣完为止.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六、垃圾收集清运(15分)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1、道路、临街店铺、住宅、公共场所等的垃圾收集与清扫保洁同步，要求每天上门收集不少于4次，上、下午各2次，所收集垃圾必须运到指定垃圾站（点）或收集车辆配合落实无缝接运，不得随意堆放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临街店铺、住宅、公共场所等的垃圾收集与清扫保洁无同步的扣0.5分；每天上门收集少于4次的扣0.5分；所收集垃圾无运到指定垃圾站（点）或无收集车辆配合落实无缝接运的扣0.5分；所收集垃圾随意堆放发现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2、旧村内巷垃圾收集与清扫保洁同步，每天收集不少于2次，上午、下午各1次，所收集垃圾必须运到指定垃圾站（点）或收集车辆配合落实无缝接运，不得随意堆放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旧村内巷垃圾收集与清扫保洁不同步的扣0.5分；每天收集少于2次的扣0.5分；所收集垃圾无运到指定垃圾站（点）或无收集车辆配合落实无缝接运的扣1分；所收集垃圾随意堆放发现一处扣0.5分；扣完为止.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3、绿化隔离带、公园广场、路旁绿地、行道树穴、渠化岛、草坪内的垃圾与保洁同步，根据垃圾量收集，每天不少于1次，所收集垃圾必须运到指定垃圾站（点）或收集车辆配合落实无缝接运，不得随意堆放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隔离带、公园广场、路旁绿地、行道树穴、渠化岛、草坪内的垃圾与保洁不同步的扣0.5分；所收集垃圾无运到指定垃圾站（点）或无收集车辆配合落实无缝接运的扣0.5分；所收集垃圾随意堆放发现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4、河边、鱼塘边、山边、闲置地等垃圾收集与保洁同步，根据垃圾量而定，所收集垃圾必须运到指定垃圾站（点）或收集车辆配合落实无缝接运，不得随意堆放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河边、鱼塘边、山边、闲置地等垃圾收集与保洁不同步的扣0.5分；所收集垃圾无运到指定垃圾站（点）或无收集车辆配合落实无缝接运的扣0.5分；扣完为止.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六、垃圾收集清运(15分)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5、按指定户数、指定路线、指定的单位、厂企、桶装收集的店铺指定收集点每天至少上门收集垃圾一次，落实无缝接运，不得擅自设点及随意堆放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无按指定户数、指定路线、指定的单位、厂企、店铺上门收集垃圾的一次扣0.5分；无特殊情况出现漏收的一次扣1分；擅自设点及随意堆放发现一处扣0.5分；扣完为止.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6、根据道路的宽度配备垃圾收集车辆，旧村按要求配置小型密闭自御垃圾收集车，车辆技术指标必须满足垃圾收集站收运设施正常使用的要求,禁止使用未报批的其他收集车辆</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旧村等狭窄道路无配备小型密闭垃圾收集机动车辆的扣0.5分，使用未报批的其他收集车辆的扣0.5分；扣完为止.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7、取得IC卡的垃圾运输车辆按指定路线运往镇指定转运站卸倒垃圾，入站后要服从站内工作人员的交通引导、安全卸载等指挥工作，不得随意偷倒</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取得IC卡的垃圾运输车辆不按指定路线运往镇指定转运站卸倒垃圾的一次扣0.5分，入站后不听指挥随意偷倒的扣0.5分；扣完为止.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8、禁止分拣垃圾，所有垃圾运输车辆加装密闭装置，全程密闭运输，车容整洁,外观无堆挂杂物,运输过程中垃圾不得扬、洒、拖挂，不得乱倒、乱卸、乱抛，不得有污水滴漏，以免造成二次污染</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有分拣垃圾现象的一次扣0.5分；全程输无密闭运输的，如后置式压缩车后盖打开行驶等，发现一次扣1分；车容不整洁,车身空隙塞有杂物或外观有堆挂杂物的一次扣0.5分；运输过程中垃圾存在扬、洒、拖挂，有污水滴漏的一次扣0.5分；发现乱倒、乱卸的一次扣.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9、保洁产生的垃圾要及时通过流动机械收集车或清洁工人通过手推车收集到附近指定转运站或垃圾收集点，落实无缝接运，确保保洁的质量与效率，不得擅自设点，不得裸露堆放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流动机械收集车或手推车收集的垃圾无运至指定转运站或垃圾收集点的一次扣0.5分；垃圾裸露堆放的一次扣0.5分；扣完为止.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10、垃圾运输车辆只限于收集生活垃圾和固体废弃物，不得收运工业垃圾、渣土余泥、建筑垃圾，不得收运剧毒、易燃易爆、医疗等有危险性的特种垃圾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垃圾运输车辆只限于收集生活垃圾和固体废弃物，发现收运工业垃圾、渣土余泥、建筑垃圾及剧毒、易燃易爆、医疗等有危险性的特种垃圾的一次扣0.5分；扣完为止.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11、密闭压缩式垃圾运输车收集垃圾时,必须严格遵守交通规则，亮警示灯,礼让行车，注意行人的安全，不得防碍交通；在辅道两旁沿路收集垃圾,出现的洒、漏垃圾要即时清理干净</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收集垃圾时,无亮警示灯,不礼让行车，不注意行人安全，防碍交通，违反交通规则的一次扣0.5分；收集垃圾时，出现洒、漏垃圾无即时清理干净的一次扣0.5分；扣完为止.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12、要求手推车、三轮车等垃圾收集专用车车辆性能良好，统一标识，外观无缺损、编号牌清晰，有密封设备且封盖严密，车容整洁，无残留垃圾、无陈旧积泥、无滋生蝇蛆</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手推车、三轮车等垃圾收集专用车性能差，无统一标识，外观缺损、编号牌不清晰的扣0.5分；无密封设备且封盖不严密的扣0.5分；有残留垃圾、陈旧积泥、滋生蝇蛆的扣0.5分；扣完为止.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13、安全、文明作业，尽量减少噪音扰民、防碍交通现象，禁止乱停乱放、随车配备清扫工具乱摆放，未按指定地点倾倒垃圾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无安全、文明作业，有噪音扰民和防碍交通现象的扣0.5分；乱停乱放、清扫工具乱摆放的扣0.5分；未按指定地点倾倒垃圾的扣0.5分；扣完为止.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14、作业结束后必须及时把车辆、作业工具擦洗干净，并按指定位置停放好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作业结束后无及时把车辆、作业工具擦洗干净的扣0.5分；无按指定位置停放好的扣0.5分；扣完为止.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七、公厕管理(5分)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1、从7:00-23:00配专人全时段看管、保洁,不得离岗,厕所免费开放,公示投诉电话</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在规定时间无专人看管、保洁的扣0.5分；厕所有收费的扣0.5分；无公示投诉电话的扣0.5分；扣完为止.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2、指示牌、标志牌、《公厕服务承诺》、《公厕使用守则》设置规范、明显、完整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无设置指示牌、标志牌、《公厕服务承诺》、《公厕使用守则》的扣0.5分；设置不规范、不明显、不完整扣0.5分；扣完为止.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3、无人为停水情况，保持水龙头和冲水器的出水量充足</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有人为停水情况扣0.1分；水龙头和冲水器的出水量不充足的一个扣0.1分；扣完为止.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4、公厕内采光、照明和通风良好，无明显臭味</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公厕内采光、照明不够的一处扣0.1分；不通风，有明显臭味扣0.1分；扣完为止.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5、公厕内地面光洁,无积水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公厕内地面不光亮洁静的扣0.2分；,有积水的扣0.3分；扣完为止.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6、内墙面、天花板、门窗、隔离板无积灰、污迹、蛛网，无乱涂乱画</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内墙面、天花板、门窗、隔离板有积灰、污迹、蛛网、乱涂乱画的一处扣0.1分；扣完为止.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7、蹲位整洁,大便槽两侧无粪便污物,槽内无积粪,洁净见底</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蹲位不整洁,大便槽两侧有粪便污物,槽内有积粪的一处扣0.1分；扣完为止.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8、下便槽(斗)无水锈、尿垢、垃圾、基本无臭味：沟眼、管道保持畅通</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下便槽(斗)有水锈、尿垢、垃圾、有臭味，沟眼、管道不畅通的一处扣0.1分；扣完为止.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9、门窗、照明灯具、洗手器皿、镜子、冲水设备等完好，无积灰、污物</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门窗、照明灯具、洗手器皿、镜子、冲水设备等不完好，有积灰、污物的一处扣0.1分；扣完为止.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10、公厕外环境整洁,无乱堆杂物,保持工具放置整齐，外墙面整洁</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公厕外环境不整洁,有乱堆杂物,工具放置不整齐，外墙面不整洁的一处扣0.1分；扣完为止.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11、定时喷洒灭蚊蝇、蟑螂药物，有效控制蝇蛆滋生,有真实的喷药时间和数量记录,并提供抽粪记录</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无定时喷洒灭蚊蝇、蟑螂药物，控制蝇蛆滋生,无真实的喷药时间和数量记录的扣0.1分；无提供抽粪记录的扣0.1分；扣完为止.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八、转运站和垃圾房管理 (5分)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1、禁止使用露天垃圾池用于垃圾收集和转运</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2、使用露天垃圾池用于垃圾收集和转运的扣0.5分</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2、垃圾转运站开放时间为5：30-23：00，有专人管理</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无配专人管理的扣0.25分；开放时间内无人在岗作业的扣0.25分；扣完为止.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3、无积存垃圾，做到日产日清,在规定时间内完成垃圾转运工作，每天冲洗3次，早、午、晚各一次</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有积存垃圾，无做到日产日清的扣0.3分,无在规定时间内完成垃圾转运工作的扣0.3分，每天冲洗不到3次每少一次的扣0.1分；扣完为止.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4、站内及站外周边环境保持清洁干净，不得分拣垃圾，不得存放废旧物品，不得堆放杂物，劳动工具定点有序摆放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站内及站外清洁不到位扣0.5分；有分拣垃圾现象扣0.3分；存放废旧物品和堆放杂物情况的扣0.3分；劳动工具不定点摆放或乱摆放的扣0.2分；扣完为止.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八、转运站和垃圾房管理(5分)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5、沟渠畅通，无垃圾积聚、及时排清污水,每天冲洗3次，早、午、晚各一次</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沟渠有垃圾、污水积聚的扣0.3分；排水不畅通的扣0.2分；扣完为止.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6、车辆进出有序，合理安排垃圾安全卸载，不得争先恐后</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车辆进出争先恐后，无合理安排垃圾安全卸载的发现一次扣0.1分；扣完为止.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7、工作人员要熟悉机械、安全操作，负责管理维护设施完好无缺，每天清运完毕要做好冲洗保洁、性能检查等维护保养工作，确保明天的正常使用</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工作人员不熟悉机械操作安全上岗的扣0.3分；每天清运完毕无做好机械冲洗保洁的扣0.2分；无做好检查维护保养工作，确保明天能正常使用的扣0.1分；扣完为止.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8、当天工作完毕必须把站清理干净，站内外检查一遍后再关门上锁</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工作完毕无把站清理干净的扣0.3分；无做好站内外检查关门上锁的扣0.1分；扣完为止.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九、“牛皮癣”清理(5分)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1、每天5：00-22：00清洁辖区范围内的乱张贴和乱涂画，根据工作量配足专业的专职人员和专业的清理工具</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没有在每天规定时间内清洁完成辖区范围内的乱张贴和乱涂画的扣0.5分；无根据工作量配足人员和专业的作业工具的扣0.5分；扣完为止.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2、辖区范围内的路面、路缘石、侧石、桥栏、护栏、墙壁、灯箱、灯柱、信号灯、电箱、公交车站、建筑物外墙、内街小巷、门闸、商铺卷闸门、树木、市政公共设施等可视范围内均无“牛皮癣” </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辖区范围可视范围内存在“牛皮癣” ，每发现一处扣0.2分；扣完为止.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3、质量监督员对管辖区域全面巡查，发现有乱张贴、乱涂画的必须在2小时内清理完毕，使其表面干净、整洁</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质量监督员对管辖区域无进行全面质量巡查的扣0.5分；发现乱张贴、乱涂画无在2小时内清理完毕的扣0.5分；扣完为止.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4.文明作业，将对群众的影响降到最低，接到群众投诉或相关单位通报的，必须在要求的时间内整改完毕，并及时回复</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接到投诉和通报，在要求的时间内未整改完毕，并及时回复的一笔扣0.1分；扣完为止.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5、“牛皮癣”清理作业方法：                                                                               ⑴所有张贴类“牛皮癣”须用“牛皮癣”清理机进行清理；                                                            ⑵镜面墙体如大理石、花岗岩、瓷砖、铝塑板等防水涂料等喷涂类“牛皮癣”，用喷壶装入药剂喷施在字体表面后进行擦洗，直至彻底清除；                                                                                    ⑶粗糙墙体如水泥、石材等喷涂类“牛皮癣”，在清洗不能解决时可调配相同颜色的涂料（或油漆）进行覆盖。</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无按“牛皮癣”清理方法进行清理，造成二次污染或更严重后果的一次扣0.1分；扣完为止.                                                                                                                            </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十、绿化养护(5分)</w:t>
            </w:r>
          </w:p>
        </w:tc>
        <w:tc>
          <w:tcPr>
            <w:tcW w:w="3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① 草坪植物叶片色泽正常,无明显枯黄叶;其它植物新梢枝叶萌发正常,叶片大小、色泽基 本正常,无明显枯枝败叶。</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② 乔木树冠基本完整,生长与开花结果正常;分枝基本不影响游览及观景。行道树的倾斜率小于 7%。乔木树杆无铁钉、木板等附着物。确保树木无遮挡交通设施情况。补植乔木必须做好支撑，并根据树木生长情况适时进行“松绑”处理。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③花灌木生长发育基本正常,木本地被覆盖率达 95%以上。</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④ 花坛、花带及绿篱基本无残缺,杂草覆盖率小于 5%,无死株、缺株。</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⑤ 造型植物的修剪基本合理。规则式种植的造型植物,形状、体量大致一致;自然式种植的, 形状和体量基本符合设计和景观的要求。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⑥ 藤本植物生长基本正常,开花适时,牵引合理,覆盖率不低于 80%;定期及时修剪、清除、疏删老弱藤蔓。</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⑦ 草本花卉基本正常,株型基本完整,开花时覆盖率达到 80%以上,杂草覆盖率小于 5%; 花后需修剪的,基本得到修剪。</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⑧ 草坪绿色期不少于 230 天,覆盖率不小于 85%,杂草的覆盖率不超过 5%,草坪表面积水 在雨后24小时内排清。</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⑨ 水生植物生长基本正常,开花适时。绿篱生长基本正常,无死株,无明显断垄,无高草杂草,无明显病虫害发生。</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⑩病虫害得到控制,被害植株不超过 7%,被害叶片不超过植株叶片总量的 5%。同时使用安全有效方法防治红火蚁。</w:t>
            </w: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（1）植株生长不良、长势差，部分树干死亡，扣0.5分/株。植株重度损坏，扣0.3分/株；                      </w:t>
            </w:r>
          </w:p>
        </w:tc>
        <w:tc>
          <w:tcPr>
            <w:tcW w:w="52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（2）缺乏修剪或修剪不适当，扣0.5分/株；枝叶遮挡交通灯或交通指示牌或路灯的，扣0.5分/株。                                                                             </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（3）有枯枝、折枝、或棕榈科的干枯叶片未及时清理的，扣0.2分/株。</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（4）树木根系生长覆盖路面未及时处理的，扣0.2分/处；树池或树池盖损坏、或树池盖不平整影响景观的，扣0.2分/穴。</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（5）树体腐烂（或开口）部位未及时剔除、消毒、封口处理的，每株扣1.0分。</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（6）护树设施、景观灯等固定框损坏树干的，扣0.2分/株。</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（7）死亡、缺株未及时补种的，每处或每平方米扣0.3分；植株老化未及时更换的，每处或每平方米扣0.2分；黄土裸露的，累计每平方米扣0.2分。</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（8）杂草过多未及时修剪清除的，每平方米扣0.2分。</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（9）草坪未及时修剪、未正确控制草坪高度及修剪留茬高度的，每平方米扣0.1分，最高扣4分。                                               </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（10）病虫害控制不及时，对树木叶片危害每株超过10%的，扣0.5分/株；蛀干性害虫危害未处理的扣0.5-1.0分/株；白蚁红火蚁等危害未处理的，视危害程度扣1.0-2.0分/株。</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866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合计总得分（    ）＝总分（100）－合计总扣分（     ）</w:t>
            </w: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4" w:type="dxa"/>
            <w:gridSpan w:val="2"/>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社区评分卫监签名:</w:t>
            </w:r>
          </w:p>
        </w:tc>
        <w:tc>
          <w:tcPr>
            <w:tcW w:w="3226" w:type="dxa"/>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社区环境办负责人签名(盖章):</w:t>
            </w: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4" w:type="dxa"/>
            <w:gridSpan w:val="2"/>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市场化公司现场陪同人员签名:</w:t>
            </w:r>
          </w:p>
        </w:tc>
        <w:tc>
          <w:tcPr>
            <w:tcW w:w="3750" w:type="dxa"/>
            <w:gridSpan w:val="2"/>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市场化公司负责人签名(盖章):</w:t>
            </w: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tbl>
      <w:tblPr>
        <w:tblStyle w:val="17"/>
        <w:tblW w:w="0" w:type="auto"/>
        <w:tblInd w:w="0" w:type="dxa"/>
        <w:tblLayout w:type="autofit"/>
        <w:tblCellMar>
          <w:top w:w="0" w:type="dxa"/>
          <w:left w:w="108" w:type="dxa"/>
          <w:bottom w:w="0" w:type="dxa"/>
          <w:right w:w="108" w:type="dxa"/>
        </w:tblCellMar>
      </w:tblPr>
      <w:tblGrid>
        <w:gridCol w:w="801"/>
        <w:gridCol w:w="431"/>
        <w:gridCol w:w="429"/>
        <w:gridCol w:w="429"/>
        <w:gridCol w:w="424"/>
        <w:gridCol w:w="424"/>
        <w:gridCol w:w="424"/>
        <w:gridCol w:w="424"/>
        <w:gridCol w:w="424"/>
        <w:gridCol w:w="579"/>
        <w:gridCol w:w="656"/>
        <w:gridCol w:w="640"/>
        <w:gridCol w:w="579"/>
        <w:gridCol w:w="579"/>
        <w:gridCol w:w="424"/>
        <w:gridCol w:w="424"/>
        <w:gridCol w:w="425"/>
      </w:tblGrid>
      <w:tr>
        <w:tblPrEx>
          <w:tblCellMar>
            <w:top w:w="0" w:type="dxa"/>
            <w:left w:w="108" w:type="dxa"/>
            <w:bottom w:w="0" w:type="dxa"/>
            <w:right w:w="108" w:type="dxa"/>
          </w:tblCellMar>
        </w:tblPrEx>
        <w:trPr>
          <w:trHeight w:val="480" w:hRule="atLeast"/>
        </w:trPr>
        <w:tc>
          <w:tcPr>
            <w:tcW w:w="0" w:type="auto"/>
            <w:tcBorders>
              <w:top w:val="nil"/>
              <w:left w:val="nil"/>
              <w:bottom w:val="single" w:color="000000" w:sz="4" w:space="0"/>
              <w:right w:val="nil"/>
            </w:tcBorders>
            <w:shd w:val="clear" w:color="auto" w:fill="auto"/>
            <w:noWrap/>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表1-2</w:t>
            </w:r>
          </w:p>
        </w:tc>
        <w:tc>
          <w:tcPr>
            <w:tcW w:w="0" w:type="auto"/>
            <w:gridSpan w:val="16"/>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b/>
                <w:bCs/>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w:t>
            </w:r>
            <w:r>
              <w:rPr>
                <w:rFonts w:hint="eastAsia" w:ascii="宋体" w:hAnsi="宋体" w:cs="宋体"/>
                <w:b/>
                <w:bCs/>
                <w:color w:val="000000" w:themeColor="text1"/>
                <w:kern w:val="0"/>
                <w:szCs w:val="21"/>
                <w:highlight w:val="none"/>
                <w:u w:val="single"/>
                <w:lang w:bidi="ar"/>
                <w14:textFill>
                  <w14:solidFill>
                    <w14:schemeClr w14:val="tx1"/>
                  </w14:solidFill>
                </w14:textFill>
              </w:rPr>
              <w:t>　　</w:t>
            </w:r>
            <w:r>
              <w:rPr>
                <w:rFonts w:hint="eastAsia" w:ascii="宋体" w:hAnsi="宋体" w:cs="宋体"/>
                <w:b/>
                <w:bCs/>
                <w:color w:val="000000" w:themeColor="text1"/>
                <w:kern w:val="0"/>
                <w:szCs w:val="21"/>
                <w:highlight w:val="none"/>
                <w:lang w:bidi="ar"/>
                <w14:textFill>
                  <w14:solidFill>
                    <w14:schemeClr w14:val="tx1"/>
                  </w14:solidFill>
                </w14:textFill>
              </w:rPr>
              <w:t>月环卫日检计分表</w:t>
            </w:r>
          </w:p>
        </w:tc>
      </w:tr>
      <w:tr>
        <w:tblPrEx>
          <w:tblCellMar>
            <w:top w:w="0" w:type="dxa"/>
            <w:left w:w="108" w:type="dxa"/>
            <w:bottom w:w="0" w:type="dxa"/>
            <w:right w:w="108" w:type="dxa"/>
          </w:tblCellMar>
        </w:tblPrEx>
        <w:trPr>
          <w:trHeight w:val="31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日期</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一队检查评分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二队检查评分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三队检查评分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总平均   得分</w:t>
            </w:r>
          </w:p>
        </w:tc>
      </w:tr>
      <w:tr>
        <w:tblPrEx>
          <w:tblCellMar>
            <w:top w:w="0" w:type="dxa"/>
            <w:left w:w="108" w:type="dxa"/>
            <w:bottom w:w="0" w:type="dxa"/>
            <w:right w:w="108" w:type="dxa"/>
          </w:tblCellMar>
        </w:tblPrEx>
        <w:trPr>
          <w:trHeight w:val="5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检查路线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上午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下午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晚上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平均 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检查路线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上午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下午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晚上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平均 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检查路线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上午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下午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晚上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平均 得分</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总平   均分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0" w:type="auto"/>
            <w:gridSpan w:val="4"/>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社区统计人员签名：</w:t>
            </w: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gridSpan w:val="2"/>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gridSpan w:val="5"/>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社区环境办负责人签名(盖章):</w:t>
            </w: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pStyle w:val="3"/>
        <w:pageBreakBefore/>
        <w:rPr>
          <w:rFonts w:hAnsi="宋体" w:cs="宋体"/>
          <w:color w:val="000000" w:themeColor="text1"/>
          <w:sz w:val="24"/>
          <w:highlight w:val="none"/>
          <w14:textFill>
            <w14:solidFill>
              <w14:schemeClr w14:val="tx1"/>
            </w14:solidFill>
          </w14:textFill>
        </w:rPr>
      </w:pPr>
      <w:bookmarkStart w:id="143" w:name="_Toc152951861"/>
      <w:r>
        <w:rPr>
          <w:rFonts w:hint="eastAsia" w:hAnsi="宋体" w:cs="宋体"/>
          <w:color w:val="000000" w:themeColor="text1"/>
          <w:sz w:val="24"/>
          <w:highlight w:val="none"/>
          <w14:textFill>
            <w14:solidFill>
              <w14:schemeClr w14:val="tx1"/>
            </w14:solidFill>
          </w14:textFill>
        </w:rPr>
        <w:t>附件：2、长安镇厦岗社区环卫管理架构人员配备评分表（半月检）</w:t>
      </w:r>
      <w:bookmarkEnd w:id="143"/>
    </w:p>
    <w:tbl>
      <w:tblPr>
        <w:tblStyle w:val="17"/>
        <w:tblW w:w="8575" w:type="dxa"/>
        <w:tblInd w:w="0" w:type="dxa"/>
        <w:tblLayout w:type="fixed"/>
        <w:tblCellMar>
          <w:top w:w="0" w:type="dxa"/>
          <w:left w:w="108" w:type="dxa"/>
          <w:bottom w:w="0" w:type="dxa"/>
          <w:right w:w="108" w:type="dxa"/>
        </w:tblCellMar>
      </w:tblPr>
      <w:tblGrid>
        <w:gridCol w:w="292"/>
        <w:gridCol w:w="292"/>
        <w:gridCol w:w="3497"/>
        <w:gridCol w:w="3645"/>
        <w:gridCol w:w="424"/>
        <w:gridCol w:w="425"/>
      </w:tblGrid>
      <w:tr>
        <w:tblPrEx>
          <w:tblCellMar>
            <w:top w:w="0" w:type="dxa"/>
            <w:left w:w="108" w:type="dxa"/>
            <w:bottom w:w="0" w:type="dxa"/>
            <w:right w:w="108" w:type="dxa"/>
          </w:tblCellMar>
        </w:tblPrEx>
        <w:trPr>
          <w:trHeight w:val="390" w:hRule="atLeast"/>
        </w:trPr>
        <w:tc>
          <w:tcPr>
            <w:tcW w:w="584" w:type="dxa"/>
            <w:gridSpan w:val="2"/>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表2</w:t>
            </w:r>
          </w:p>
        </w:tc>
        <w:tc>
          <w:tcPr>
            <w:tcW w:w="7991" w:type="dxa"/>
            <w:gridSpan w:val="4"/>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b/>
                <w:bCs/>
                <w:color w:val="000000" w:themeColor="text1"/>
                <w:kern w:val="0"/>
                <w:szCs w:val="21"/>
                <w:highlight w:val="none"/>
                <w:lang w:bidi="ar"/>
                <w14:textFill>
                  <w14:solidFill>
                    <w14:schemeClr w14:val="tx1"/>
                  </w14:solidFill>
                </w14:textFill>
              </w:rPr>
              <w:t>社区环卫管理架构人员配备评分表(半月检)</w:t>
            </w:r>
          </w:p>
        </w:tc>
      </w:tr>
      <w:tr>
        <w:tblPrEx>
          <w:tblCellMar>
            <w:top w:w="0" w:type="dxa"/>
            <w:left w:w="108" w:type="dxa"/>
            <w:bottom w:w="0" w:type="dxa"/>
            <w:right w:w="108" w:type="dxa"/>
          </w:tblCellMar>
        </w:tblPrEx>
        <w:trPr>
          <w:trHeight w:val="360" w:hRule="atLeast"/>
        </w:trPr>
        <w:tc>
          <w:tcPr>
            <w:tcW w:w="4081" w:type="dxa"/>
            <w:gridSpan w:val="3"/>
            <w:tcBorders>
              <w:top w:val="nil"/>
              <w:left w:val="nil"/>
              <w:bottom w:val="nil"/>
              <w:right w:val="nil"/>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总分:100分,得分:</w:t>
            </w:r>
          </w:p>
        </w:tc>
        <w:tc>
          <w:tcPr>
            <w:tcW w:w="4494" w:type="dxa"/>
            <w:gridSpan w:val="3"/>
            <w:tcBorders>
              <w:top w:val="nil"/>
              <w:left w:val="nil"/>
              <w:bottom w:val="nil"/>
              <w:right w:val="nil"/>
            </w:tcBorders>
            <w:shd w:val="clear" w:color="auto" w:fill="auto"/>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评分时间:   年  月   日</w:t>
            </w:r>
          </w:p>
        </w:tc>
      </w:tr>
      <w:tr>
        <w:tblPrEx>
          <w:tblCellMar>
            <w:top w:w="0" w:type="dxa"/>
            <w:left w:w="108" w:type="dxa"/>
            <w:bottom w:w="0" w:type="dxa"/>
            <w:right w:w="108" w:type="dxa"/>
          </w:tblCellMar>
        </w:tblPrEx>
        <w:trPr>
          <w:trHeight w:val="465" w:hRule="atLeast"/>
        </w:trPr>
        <w:tc>
          <w:tcPr>
            <w:tcW w:w="408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现场考核</w:t>
            </w:r>
          </w:p>
        </w:tc>
        <w:tc>
          <w:tcPr>
            <w:tcW w:w="36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扣分办法(提供资料证明)</w:t>
            </w:r>
          </w:p>
        </w:tc>
        <w:tc>
          <w:tcPr>
            <w:tcW w:w="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应得分</w:t>
            </w:r>
          </w:p>
        </w:tc>
        <w:tc>
          <w:tcPr>
            <w:tcW w:w="4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检查扣分</w:t>
            </w:r>
          </w:p>
        </w:tc>
      </w:tr>
      <w:tr>
        <w:tblPrEx>
          <w:tblCellMar>
            <w:top w:w="0" w:type="dxa"/>
            <w:left w:w="108" w:type="dxa"/>
            <w:bottom w:w="0" w:type="dxa"/>
            <w:right w:w="108" w:type="dxa"/>
          </w:tblCellMar>
        </w:tblPrEx>
        <w:trPr>
          <w:trHeight w:val="435" w:hRule="atLeast"/>
        </w:trPr>
        <w:tc>
          <w:tcPr>
            <w:tcW w:w="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项目内容</w:t>
            </w:r>
          </w:p>
        </w:tc>
        <w:tc>
          <w:tcPr>
            <w:tcW w:w="34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考核标准和依据</w:t>
            </w:r>
          </w:p>
        </w:tc>
        <w:tc>
          <w:tcPr>
            <w:tcW w:w="36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(出现以下未提及事项均参照合同依据的法律法规和办法)</w:t>
            </w:r>
          </w:p>
        </w:tc>
        <w:tc>
          <w:tcPr>
            <w:tcW w:w="36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一、管理架构和制度(40分)</w:t>
            </w:r>
          </w:p>
        </w:tc>
        <w:tc>
          <w:tcPr>
            <w:tcW w:w="3497" w:type="dxa"/>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1、具备环卫统筹项目经营范围的营业执照和资质证件</w:t>
            </w:r>
          </w:p>
        </w:tc>
        <w:tc>
          <w:tcPr>
            <w:tcW w:w="3645"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无营业执照和资质证件的扣2分,少一件扣</w:t>
            </w:r>
            <w:r>
              <w:rPr>
                <w:rStyle w:val="48"/>
                <w:rFonts w:hint="default"/>
                <w:color w:val="000000" w:themeColor="text1"/>
                <w:sz w:val="21"/>
                <w:szCs w:val="21"/>
                <w:highlight w:val="none"/>
                <w:lang w:bidi="ar"/>
                <w14:textFill>
                  <w14:solidFill>
                    <w14:schemeClr w14:val="tx1"/>
                  </w14:solidFill>
                </w14:textFill>
              </w:rPr>
              <w:t>2分；扣完为止.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5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2、在中标所在地注册成立子公司，已申办营业执照、税务登记证、法人代码证等相关证件，在中标所在地开设了银行帐号，缴纳相关税金</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未在中标所在地注册成立子公司的扣2分；无营业执照、税务登记证、法人代码证等相关证件的扣</w:t>
            </w:r>
            <w:r>
              <w:rPr>
                <w:rStyle w:val="48"/>
                <w:rFonts w:hint="default"/>
                <w:color w:val="000000" w:themeColor="text1"/>
                <w:sz w:val="21"/>
                <w:szCs w:val="21"/>
                <w:highlight w:val="none"/>
                <w:lang w:bidi="ar"/>
                <w14:textFill>
                  <w14:solidFill>
                    <w14:schemeClr w14:val="tx1"/>
                  </w14:solidFill>
                </w14:textFill>
              </w:rPr>
              <w:t>1分,少一件扣1分；未在中标所在地开设银行帐号的扣1分；无缴纳相关税金的1分；扣完为止.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9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3、在承包地域范围内设有固定的办公场所和独立管理办公室、员工宿舍和饭堂、停放作业车辆的停车场、摆放作业工具和药物的货仓等；配齐日常的办公用品和设备</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未在承包地域范围内设有管理办公室、员工宿舍和饭堂、停车场、作业工具和药物货仓等的扣2分；无配齐日常的办公用品和设备的扣</w:t>
            </w:r>
            <w:r>
              <w:rPr>
                <w:rStyle w:val="48"/>
                <w:rFonts w:hint="default"/>
                <w:color w:val="000000" w:themeColor="text1"/>
                <w:sz w:val="21"/>
                <w:szCs w:val="21"/>
                <w:highlight w:val="none"/>
                <w:lang w:bidi="ar"/>
                <w14:textFill>
                  <w14:solidFill>
                    <w14:schemeClr w14:val="tx1"/>
                  </w14:solidFill>
                </w14:textFill>
              </w:rPr>
              <w:t>2分,少一件扣2分；扣完为止.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81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4、有完善的管理架构，按统筹项目内容分别设立相应的管理部门，各部门、各岗位有明确分工和职责，建立相应职责分工表，及时更新并存档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未全部按统筹项目内容分别设立相应的管理部门、各部门设立相应的岗位的扣</w:t>
            </w:r>
            <w:r>
              <w:rPr>
                <w:rStyle w:val="48"/>
                <w:rFonts w:hint="default"/>
                <w:color w:val="000000" w:themeColor="text1"/>
                <w:sz w:val="21"/>
                <w:szCs w:val="21"/>
                <w:highlight w:val="none"/>
                <w:lang w:bidi="ar"/>
                <w14:textFill>
                  <w14:solidFill>
                    <w14:schemeClr w14:val="tx1"/>
                  </w14:solidFill>
                </w14:textFill>
              </w:rPr>
              <w:t>1分，存在部分的扣1分；各部门、各岗位全部未有明确分工和职责的扣1分，存在部分的扣1分；未及时更新存档的扣1分；扣完为止.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5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5、管理架构图、分工表、管理制度挂墙</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管理架构图片、分工表、管理制度全部或部分无挂墙的扣0.</w:t>
            </w:r>
            <w:r>
              <w:rPr>
                <w:rStyle w:val="48"/>
                <w:rFonts w:hint="default"/>
                <w:color w:val="000000" w:themeColor="text1"/>
                <w:sz w:val="21"/>
                <w:szCs w:val="21"/>
                <w:highlight w:val="none"/>
                <w:lang w:bidi="ar"/>
                <w14:textFill>
                  <w14:solidFill>
                    <w14:schemeClr w14:val="tx1"/>
                  </w14:solidFill>
                </w14:textFill>
              </w:rPr>
              <w:t>5分.</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6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6、有完善的管理制度，除国家、省、市相应的法律法规和镇制订的地方政策外，还有结合自己实际情况制订的规范和制度并存档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除了国家、省、市相应的法律法规和镇制订的地方政策外，无结合自己实际情况制定自己的管理制度并存档的少一个扣0</w:t>
            </w:r>
            <w:r>
              <w:rPr>
                <w:rStyle w:val="48"/>
                <w:rFonts w:hint="default"/>
                <w:color w:val="000000" w:themeColor="text1"/>
                <w:sz w:val="21"/>
                <w:szCs w:val="21"/>
                <w:highlight w:val="none"/>
                <w:lang w:bidi="ar"/>
                <w14:textFill>
                  <w14:solidFill>
                    <w14:schemeClr w14:val="tx1"/>
                  </w14:solidFill>
                </w14:textFill>
              </w:rPr>
              <w:t>.5分；扣完为止.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5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制订了工作应急预案，详细说明在出现自然灾害、社区突发事件或遇到重要活动、突击检查、交通事故等情况时的人员分工、应对措施及报送制度等。如遇到突发事件，接到通知后要在20分钟内所有人员全部到位，</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未制定工作应急预案的扣2分；如遇到突发事件等未按制度启动预案的扣</w:t>
            </w:r>
            <w:r>
              <w:rPr>
                <w:rStyle w:val="48"/>
                <w:rFonts w:hint="default"/>
                <w:color w:val="000000" w:themeColor="text1"/>
                <w:sz w:val="21"/>
                <w:szCs w:val="21"/>
                <w:highlight w:val="none"/>
                <w:lang w:bidi="ar"/>
                <w14:textFill>
                  <w14:solidFill>
                    <w14:schemeClr w14:val="tx1"/>
                  </w14:solidFill>
                </w14:textFill>
              </w:rPr>
              <w:t>2分；接到通知后未在20分钟内所有人员全部到位的扣2分；无在规定时间内处理完的扣2分；扣完为止.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07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办公场所、员工宿舍、饭堂和货仓等地方要落实防火措施，配足性能良好的消防器材；落实安全用电措施，不得乱拉、乱挂、乱接电线，不使用非生产性大功率的电器，不得超线路负载使用电器；不得存放易燃、易爆、剧毒等危险品，落实相关安全措施</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未在办公场所、员工宿舍、饭堂和货仓等地方落实相关安全措施，</w:t>
            </w:r>
            <w:r>
              <w:rPr>
                <w:rStyle w:val="48"/>
                <w:rFonts w:hint="default"/>
                <w:color w:val="000000" w:themeColor="text1"/>
                <w:sz w:val="21"/>
                <w:szCs w:val="21"/>
                <w:highlight w:val="none"/>
                <w:lang w:bidi="ar"/>
                <w14:textFill>
                  <w14:solidFill>
                    <w14:schemeClr w14:val="tx1"/>
                  </w14:solidFill>
                </w14:textFill>
              </w:rPr>
              <w:t>配足消防器材的扣0.5分；未落实安全用电措施，存在乱拉、乱挂、乱接电线的扣0.5分；使用非生产性大功率的电器或超线路负载使用电器的扣0.5分；存放易燃、易爆、剧毒等危险品的扣0.5分；扣完为止.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1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制订安全生产制度，定期对员工进行安全生产教育，落实责任制，落实有关安全措施；明晰各部门各岗位的安全作业规范，要求“安全第一，预防为主”，把安全工作作为搞好生产的前提条件，事先采取确实有效的安全措施，确保生产任务完成。发生安全生产事故的，要即时上报</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未制订安全生产制度的扣2分；</w:t>
            </w:r>
            <w:r>
              <w:rPr>
                <w:rStyle w:val="48"/>
                <w:rFonts w:hint="default"/>
                <w:color w:val="000000" w:themeColor="text1"/>
                <w:sz w:val="21"/>
                <w:szCs w:val="21"/>
                <w:highlight w:val="none"/>
                <w:lang w:bidi="ar"/>
                <w14:textFill>
                  <w14:solidFill>
                    <w14:schemeClr w14:val="tx1"/>
                  </w14:solidFill>
                </w14:textFill>
              </w:rPr>
              <w:t>无定期对员工进行安全生产教育的扣2分；无落实安全生产责任制的扣2分；无落实有关安全措施的扣4分；无明晰各部门各岗位安全作业规范的扣4分；发生安全生产事故的无即时上报的扣2分；扣完为止.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115" w:hRule="atLeast"/>
        </w:trPr>
        <w:tc>
          <w:tcPr>
            <w:tcW w:w="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一、管理架构和制度(40分)</w:t>
            </w: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制订培训制度，详细说明培训对象、培训内容、具体要求，培训达到的效果等等。对新入职员工进行岗前培训的内容要包括业务技能、质量标准、操作规程、安全生产、文明行为规范、交通规则、劳动合同法、社会治安条例等；对在岗期间经常出现问题的员工定期举行再培训教育。对每次培训要进行工作记录</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未制订培训制度的扣1分,</w:t>
            </w:r>
            <w:r>
              <w:rPr>
                <w:rStyle w:val="48"/>
                <w:rFonts w:hint="default"/>
                <w:color w:val="000000" w:themeColor="text1"/>
                <w:sz w:val="21"/>
                <w:szCs w:val="21"/>
                <w:highlight w:val="none"/>
                <w:lang w:bidi="ar"/>
                <w14:textFill>
                  <w14:solidFill>
                    <w14:schemeClr w14:val="tx1"/>
                  </w14:solidFill>
                </w14:textFill>
              </w:rPr>
              <w:t>对新入职员工未进行相关培训的扣1分；对在岗期间经常出现问题的员工无定期举行再培训教育的扣1分；每次培训无进行工作记录的一次扣1分；扣完为止.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1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制订投诉处理制度，介定通过来访、来信、来电登记转办单或其他部门反映，报刊、电视、网络等媒体曝光，经共同现场核实的都为有效投诉，要求对接到投诉的时间、渠道，被投诉地点、原因，处理的过程、处理结果、回复时间等都有专人负责组织人员处理，并跟踪落实做好记录</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未制订投诉处理制度的扣1分；无按流程安排收到投诉立即处理按时回复的扣1</w:t>
            </w:r>
            <w:r>
              <w:rPr>
                <w:rStyle w:val="48"/>
                <w:rFonts w:hint="default"/>
                <w:color w:val="000000" w:themeColor="text1"/>
                <w:sz w:val="21"/>
                <w:szCs w:val="21"/>
                <w:highlight w:val="none"/>
                <w:lang w:bidi="ar"/>
                <w14:textFill>
                  <w14:solidFill>
                    <w14:schemeClr w14:val="tx1"/>
                  </w14:solidFill>
                </w14:textFill>
              </w:rPr>
              <w:t>分；无设工作人员专职负责的扣1分；处理投诉后一段时间内无跟踪处理成果的扣1分；未做好相关记录的扣1分；扣完为止.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00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12、各部门、各岗位、各项工作活动有相应的工作登记记录、图片证明，记录和图片存档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各部门、各岗位、</w:t>
            </w:r>
            <w:r>
              <w:rPr>
                <w:rStyle w:val="48"/>
                <w:rFonts w:hint="default"/>
                <w:color w:val="000000" w:themeColor="text1"/>
                <w:sz w:val="21"/>
                <w:szCs w:val="21"/>
                <w:highlight w:val="none"/>
                <w:lang w:bidi="ar"/>
                <w14:textFill>
                  <w14:solidFill>
                    <w14:schemeClr w14:val="tx1"/>
                  </w14:solidFill>
                </w14:textFill>
              </w:rPr>
              <w:t>各项工作活动无登记相应的工作记录、图片证明，记录和图片存档的少一项扣0.5分；扣完为止.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96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13、填报资料真实、准确、无误，和报送资料一致</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填报的资料存在不真实、不准确情况的扣1分；和报送的资料不一致的一次扣1分；扣完为止.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9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14、无条件服从监督部门的监管、质量检查、日检评分、依据扣分等工作</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不配合监督部门监管、质量检查、日检评分、依据扣分等工作的一次扣0.5分；扣完为止.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5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15、无条件配合监督部门要求协助解决的各类问题</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不配合监督部门要求协助解决的各类问题的一次扣0.5分；扣完为止.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60" w:hRule="atLeast"/>
        </w:trPr>
        <w:tc>
          <w:tcPr>
            <w:tcW w:w="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二、人员配备和资金保障(60分)</w:t>
            </w: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1、岗们人员数量及相应的设施设备配备数量不少于《长安镇各社区环卫统筹人员设备清单》要求的至少配备数量</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岗们人员数量及相应的设施设备配备数量</w:t>
            </w:r>
            <w:r>
              <w:rPr>
                <w:rFonts w:hint="eastAsia" w:ascii="宋体" w:hAnsi="宋体" w:cs="宋体"/>
                <w:color w:val="000000" w:themeColor="text1"/>
                <w:kern w:val="0"/>
                <w:szCs w:val="21"/>
                <w:highlight w:val="none"/>
                <w:lang w:eastAsia="zh-CN" w:bidi="ar"/>
                <w14:textFill>
                  <w14:solidFill>
                    <w14:schemeClr w14:val="tx1"/>
                  </w14:solidFill>
                </w14:textFill>
              </w:rPr>
              <w:t>少于</w:t>
            </w:r>
            <w:r>
              <w:rPr>
                <w:rFonts w:hint="eastAsia" w:ascii="宋体" w:hAnsi="宋体" w:cs="宋体"/>
                <w:color w:val="000000" w:themeColor="text1"/>
                <w:kern w:val="0"/>
                <w:szCs w:val="21"/>
                <w:highlight w:val="none"/>
                <w:lang w:bidi="ar"/>
                <w14:textFill>
                  <w14:solidFill>
                    <w14:schemeClr w14:val="tx1"/>
                  </w14:solidFill>
                </w14:textFill>
              </w:rPr>
              <w:t>《长安镇各社区环卫统筹人员设备清单》要求的至少配备数量，少一人或少一台设备扣12分，扣完为止。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38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2、生产工人一人一岗且只能服务天本中标区域指定范围，不能出现借用借调其他区域或与其他区域共用等现象</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生产工人一人一岗且只能服务</w:t>
            </w:r>
            <w:r>
              <w:rPr>
                <w:rStyle w:val="48"/>
                <w:rFonts w:hint="default"/>
                <w:color w:val="000000" w:themeColor="text1"/>
                <w:sz w:val="21"/>
                <w:szCs w:val="21"/>
                <w:highlight w:val="none"/>
                <w:lang w:bidi="ar"/>
                <w14:textFill>
                  <w14:solidFill>
                    <w14:schemeClr w14:val="tx1"/>
                  </w14:solidFill>
                </w14:textFill>
              </w:rPr>
              <w:t>于本中标区域指定范围，出现借用借调其他区域或与其他区域共用等现象，发现一次扣0.5分,扣完为止.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51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3、在各服务半径范围内的中转站设置人员打卡或清点人数设备，安装摄像头及承担相应安装费用和维护费用（相关打卡设备需符合甲方要求），各服务半径范围内的作业人员每天必须定点打卡</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在各服务半径范围内的中转站设置人员打卡或清点人数设备，安装摄像头及承担相应安装费用和维护费用，一个点扣1分，服务半径范围内的作业人员每天必须定点打卡，少一人扣</w:t>
            </w:r>
            <w:r>
              <w:rPr>
                <w:rStyle w:val="48"/>
                <w:rFonts w:hint="default"/>
                <w:color w:val="000000" w:themeColor="text1"/>
                <w:sz w:val="21"/>
                <w:szCs w:val="21"/>
                <w:highlight w:val="none"/>
                <w:lang w:bidi="ar"/>
                <w14:textFill>
                  <w14:solidFill>
                    <w14:schemeClr w14:val="tx1"/>
                  </w14:solidFill>
                </w14:textFill>
              </w:rPr>
              <w:t>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59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4、按职能部门数量分别建立人员名册，名册上要登记入职人员的姓名、性别、身份证号码、本地住址、联系电话号码、职务、工号、工作职责和范围，每本人员名册都相应附上清晰身份证复印件</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未按职能部门数量分别建立人员名册的扣1分；名册上登记的项目不齐或人员漏登记的扣1分；扣完为止.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75" w:hRule="atLeast"/>
        </w:trPr>
        <w:tc>
          <w:tcPr>
            <w:tcW w:w="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二、人员配备和资金保障(6分)</w:t>
            </w: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5、明确部门分工，按部门职责确定岗位明确人员分工。分别建立部门职责分工表和岗位职责分工表，并注明每个部门、每个岗位的人员名单，做到定员定岗定责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无建立部门职责分工表和岗位职责分工表的扣1分，</w:t>
            </w:r>
            <w:r>
              <w:rPr>
                <w:rStyle w:val="48"/>
                <w:rFonts w:hint="default"/>
                <w:color w:val="000000" w:themeColor="text1"/>
                <w:sz w:val="21"/>
                <w:szCs w:val="21"/>
                <w:highlight w:val="none"/>
                <w:lang w:bidi="ar"/>
                <w14:textFill>
                  <w14:solidFill>
                    <w14:schemeClr w14:val="tx1"/>
                  </w14:solidFill>
                </w14:textFill>
              </w:rPr>
              <w:t>无注明每个部门、每个岗位的人员名单，做到定员定岗定责的扣1分，扣完为止。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3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6、有专业技能的岗位必须持有有效证件上岗，即司机必须持有效的驾驶证上岗，电工必须持有效的电工证上岗</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专业技能的岗位人员不具有相应有效证件的，发现一个扣1分，扣完为止.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42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7、路面作业人员人均配有一套以上有反光标识的统一工作服，标有服务社区名称、工号和投诉电话，并设有专人负责着装监督。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路面作业人员无人均配有一套以上有反光标识的统一工作服，工作服无标有服务社区名称、工号和投诉电话的一个扣1分，</w:t>
            </w:r>
            <w:r>
              <w:rPr>
                <w:rStyle w:val="48"/>
                <w:rFonts w:hint="default"/>
                <w:color w:val="000000" w:themeColor="text1"/>
                <w:sz w:val="21"/>
                <w:szCs w:val="21"/>
                <w:highlight w:val="none"/>
                <w:lang w:bidi="ar"/>
                <w14:textFill>
                  <w14:solidFill>
                    <w14:schemeClr w14:val="tx1"/>
                  </w14:solidFill>
                </w14:textFill>
              </w:rPr>
              <w:t>无设有专人负责着装监督的一个扣1分；扣完为止。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0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8、严禁弄虚作假，严禁利用工作便利从事超出合同条款的违规行为。各作业部门设立质量监督员全程跟进作业质量，确保达到规范质量标准。</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出现弄虚作假和利用工作便利从事超出合同条款的违规行为的扣1分。各作业部门无设立质量监督员全程跟进作业质量的扣</w:t>
            </w:r>
            <w:r>
              <w:rPr>
                <w:rStyle w:val="48"/>
                <w:rFonts w:hint="default"/>
                <w:color w:val="000000" w:themeColor="text1"/>
                <w:sz w:val="21"/>
                <w:szCs w:val="21"/>
                <w:highlight w:val="none"/>
                <w:lang w:bidi="ar"/>
                <w14:textFill>
                  <w14:solidFill>
                    <w14:schemeClr w14:val="tx1"/>
                  </w14:solidFill>
                </w14:textFill>
              </w:rPr>
              <w:t>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9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9、如实做好日常各项工作记录，各类调查、验收表格必须如实填写，各部门要有专人负责监督检查、定期将记录存档。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无如实做好日常各项工作记录的扣1分，无将各类调查、验收表格如实填写的扣</w:t>
            </w:r>
            <w:r>
              <w:rPr>
                <w:rStyle w:val="48"/>
                <w:rFonts w:hint="default"/>
                <w:color w:val="000000" w:themeColor="text1"/>
                <w:sz w:val="21"/>
                <w:szCs w:val="21"/>
                <w:highlight w:val="none"/>
                <w:lang w:bidi="ar"/>
                <w14:textFill>
                  <w14:solidFill>
                    <w14:schemeClr w14:val="tx1"/>
                  </w14:solidFill>
                </w14:textFill>
              </w:rPr>
              <w:t>1分，各部门无专人负责监督检查、定期将记录存档的扣1分，扣完为止。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99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按法律法规和员工签订雇用合同，按劳动法规向工人发放工资、加班费、高温补贴；按时支付员工工资和有关福利待遇；为员工购买社会养老、工伤、医疗、失业、意外等相关保险，为环卫工人、外勤人员投保团体意外保险。</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未按法律法规和员工签定雇佣合同的扣1分；未按劳动法规向工人发放工资、加班费、高温补贴、无按时支付员工工资和有关福利待遇的扣</w:t>
            </w:r>
            <w:r>
              <w:rPr>
                <w:rStyle w:val="48"/>
                <w:rFonts w:hint="default"/>
                <w:color w:val="000000" w:themeColor="text1"/>
                <w:sz w:val="21"/>
                <w:szCs w:val="21"/>
                <w:highlight w:val="none"/>
                <w:lang w:bidi="ar"/>
                <w14:textFill>
                  <w14:solidFill>
                    <w14:schemeClr w14:val="tx1"/>
                  </w14:solidFill>
                </w14:textFill>
              </w:rPr>
              <w:t>1分；无为员工购买社会养老、工伤、医疗、失业、意外等相关保险，无为环卫工人、外勤人员投保团体意外保险的扣1分；扣完为止.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00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11、交齐了履约保证金，在规定期限内及时补足保障资金</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未交齐了履约保证金的扣5分，在规定期限内未及时补足保障资金的扣5分；扣完为止.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40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  计</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57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合计总得分（  ）＝总分（ 100 ）－合计总扣分（  ）</w:t>
            </w:r>
          </w:p>
        </w:tc>
      </w:tr>
      <w:tr>
        <w:tblPrEx>
          <w:tblCellMar>
            <w:top w:w="0" w:type="dxa"/>
            <w:left w:w="108" w:type="dxa"/>
            <w:bottom w:w="0" w:type="dxa"/>
            <w:right w:w="108" w:type="dxa"/>
          </w:tblCellMar>
        </w:tblPrEx>
        <w:trPr>
          <w:trHeight w:val="480" w:hRule="atLeast"/>
        </w:trPr>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4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4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660" w:hRule="atLeast"/>
        </w:trPr>
        <w:tc>
          <w:tcPr>
            <w:tcW w:w="4081" w:type="dxa"/>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494" w:type="dxa"/>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4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4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65" w:hRule="atLeast"/>
        </w:trPr>
        <w:tc>
          <w:tcPr>
            <w:tcW w:w="4081"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社区环境办检查人员签名:</w:t>
            </w:r>
          </w:p>
        </w:tc>
        <w:tc>
          <w:tcPr>
            <w:tcW w:w="4494"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社区环境办负责人签名(盖章):</w:t>
            </w:r>
          </w:p>
        </w:tc>
      </w:tr>
      <w:tr>
        <w:tblPrEx>
          <w:tblCellMar>
            <w:top w:w="0" w:type="dxa"/>
            <w:left w:w="108" w:type="dxa"/>
            <w:bottom w:w="0" w:type="dxa"/>
            <w:right w:w="108" w:type="dxa"/>
          </w:tblCellMar>
        </w:tblPrEx>
        <w:trPr>
          <w:trHeight w:val="555" w:hRule="atLeast"/>
        </w:trPr>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4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4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810" w:hRule="atLeast"/>
        </w:trPr>
        <w:tc>
          <w:tcPr>
            <w:tcW w:w="4081"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市场化公司陪检人员签名:</w:t>
            </w:r>
          </w:p>
        </w:tc>
        <w:tc>
          <w:tcPr>
            <w:tcW w:w="4494"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市场化公司负责人签名(盖章):</w:t>
            </w:r>
          </w:p>
        </w:tc>
      </w:tr>
    </w:tbl>
    <w:p>
      <w:pPr>
        <w:rPr>
          <w:color w:val="000000" w:themeColor="text1"/>
          <w:highlight w:val="none"/>
          <w14:textFill>
            <w14:solidFill>
              <w14:schemeClr w14:val="tx1"/>
            </w14:solidFill>
          </w14:textFill>
        </w:rPr>
      </w:pPr>
    </w:p>
    <w:p>
      <w:pPr>
        <w:pStyle w:val="3"/>
        <w:pageBreakBefore/>
        <w:rPr>
          <w:rFonts w:hAnsi="宋体" w:cs="宋体"/>
          <w:color w:val="000000" w:themeColor="text1"/>
          <w:sz w:val="24"/>
          <w:highlight w:val="none"/>
          <w14:textFill>
            <w14:solidFill>
              <w14:schemeClr w14:val="tx1"/>
            </w14:solidFill>
          </w14:textFill>
        </w:rPr>
      </w:pPr>
      <w:bookmarkStart w:id="144" w:name="_Toc152951862"/>
      <w:r>
        <w:rPr>
          <w:rFonts w:hint="eastAsia" w:hAnsi="宋体" w:cs="宋体"/>
          <w:color w:val="000000" w:themeColor="text1"/>
          <w:sz w:val="24"/>
          <w:highlight w:val="none"/>
          <w14:textFill>
            <w14:solidFill>
              <w14:schemeClr w14:val="tx1"/>
            </w14:solidFill>
          </w14:textFill>
        </w:rPr>
        <w:t>附件：3、长安镇厦岗社区环卫设施设备车辆配备评分表（半月检）</w:t>
      </w:r>
      <w:bookmarkEnd w:id="144"/>
    </w:p>
    <w:tbl>
      <w:tblPr>
        <w:tblStyle w:val="17"/>
        <w:tblW w:w="8613" w:type="dxa"/>
        <w:tblInd w:w="0" w:type="dxa"/>
        <w:tblLayout w:type="fixed"/>
        <w:tblCellMar>
          <w:top w:w="0" w:type="dxa"/>
          <w:left w:w="108" w:type="dxa"/>
          <w:bottom w:w="0" w:type="dxa"/>
          <w:right w:w="108" w:type="dxa"/>
        </w:tblCellMar>
      </w:tblPr>
      <w:tblGrid>
        <w:gridCol w:w="579"/>
        <w:gridCol w:w="236"/>
        <w:gridCol w:w="3564"/>
        <w:gridCol w:w="3388"/>
        <w:gridCol w:w="423"/>
        <w:gridCol w:w="423"/>
      </w:tblGrid>
      <w:tr>
        <w:tblPrEx>
          <w:tblCellMar>
            <w:top w:w="0" w:type="dxa"/>
            <w:left w:w="108" w:type="dxa"/>
            <w:bottom w:w="0" w:type="dxa"/>
            <w:right w:w="108" w:type="dxa"/>
          </w:tblCellMar>
        </w:tblPrEx>
        <w:trPr>
          <w:trHeight w:val="465" w:hRule="atLeast"/>
        </w:trPr>
        <w:tc>
          <w:tcPr>
            <w:tcW w:w="581" w:type="dxa"/>
            <w:tcBorders>
              <w:top w:val="nil"/>
              <w:left w:val="nil"/>
              <w:bottom w:val="nil"/>
              <w:right w:val="nil"/>
            </w:tcBorders>
            <w:shd w:val="clear" w:color="auto" w:fill="auto"/>
            <w:noWrap/>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表3</w:t>
            </w:r>
          </w:p>
        </w:tc>
        <w:tc>
          <w:tcPr>
            <w:tcW w:w="222" w:type="dxa"/>
            <w:tcBorders>
              <w:top w:val="nil"/>
              <w:left w:val="nil"/>
              <w:bottom w:val="nil"/>
              <w:right w:val="nil"/>
            </w:tcBorders>
            <w:shd w:val="clear" w:color="auto" w:fill="auto"/>
            <w:noWrap/>
            <w:vAlign w:val="center"/>
          </w:tcPr>
          <w:p>
            <w:pPr>
              <w:rPr>
                <w:rFonts w:ascii="宋体" w:hAnsi="宋体" w:cs="宋体"/>
                <w:b/>
                <w:bCs/>
                <w:color w:val="000000" w:themeColor="text1"/>
                <w:szCs w:val="21"/>
                <w:highlight w:val="none"/>
                <w14:textFill>
                  <w14:solidFill>
                    <w14:schemeClr w14:val="tx1"/>
                  </w14:solidFill>
                </w14:textFill>
              </w:rPr>
            </w:pPr>
          </w:p>
        </w:tc>
        <w:tc>
          <w:tcPr>
            <w:tcW w:w="7810" w:type="dxa"/>
            <w:gridSpan w:val="4"/>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b/>
                <w:bCs/>
                <w:color w:val="000000" w:themeColor="text1"/>
                <w:kern w:val="0"/>
                <w:szCs w:val="21"/>
                <w:highlight w:val="none"/>
                <w:lang w:bidi="ar"/>
                <w14:textFill>
                  <w14:solidFill>
                    <w14:schemeClr w14:val="tx1"/>
                  </w14:solidFill>
                </w14:textFill>
              </w:rPr>
              <w:t>社区环卫设施设备车辆配备评分表(半月检)</w:t>
            </w:r>
          </w:p>
        </w:tc>
      </w:tr>
      <w:tr>
        <w:tblPrEx>
          <w:tblCellMar>
            <w:top w:w="0" w:type="dxa"/>
            <w:left w:w="108" w:type="dxa"/>
            <w:bottom w:w="0" w:type="dxa"/>
            <w:right w:w="108" w:type="dxa"/>
          </w:tblCellMar>
        </w:tblPrEx>
        <w:trPr>
          <w:trHeight w:val="345" w:hRule="atLeast"/>
        </w:trPr>
        <w:tc>
          <w:tcPr>
            <w:tcW w:w="4373" w:type="dxa"/>
            <w:gridSpan w:val="3"/>
            <w:tcBorders>
              <w:top w:val="nil"/>
              <w:left w:val="nil"/>
              <w:bottom w:val="nil"/>
              <w:right w:val="nil"/>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总分:100分,得分:</w:t>
            </w:r>
          </w:p>
        </w:tc>
        <w:tc>
          <w:tcPr>
            <w:tcW w:w="4240" w:type="dxa"/>
            <w:gridSpan w:val="3"/>
            <w:tcBorders>
              <w:top w:val="nil"/>
              <w:left w:val="nil"/>
              <w:bottom w:val="nil"/>
              <w:right w:val="nil"/>
            </w:tcBorders>
            <w:shd w:val="clear" w:color="auto" w:fill="auto"/>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评分时间:     年  月   日</w:t>
            </w:r>
          </w:p>
        </w:tc>
      </w:tr>
      <w:tr>
        <w:tblPrEx>
          <w:tblCellMar>
            <w:top w:w="0" w:type="dxa"/>
            <w:left w:w="108" w:type="dxa"/>
            <w:bottom w:w="0" w:type="dxa"/>
            <w:right w:w="108" w:type="dxa"/>
          </w:tblCellMar>
        </w:tblPrEx>
        <w:trPr>
          <w:trHeight w:val="720" w:hRule="atLeast"/>
        </w:trPr>
        <w:tc>
          <w:tcPr>
            <w:tcW w:w="4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现场考核</w:t>
            </w:r>
          </w:p>
        </w:tc>
        <w:tc>
          <w:tcPr>
            <w:tcW w:w="33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扣分办法(检查资料证明)</w:t>
            </w:r>
          </w:p>
        </w:tc>
        <w:tc>
          <w:tcPr>
            <w:tcW w:w="4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应得分</w:t>
            </w:r>
          </w:p>
        </w:tc>
        <w:tc>
          <w:tcPr>
            <w:tcW w:w="4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检查扣分</w:t>
            </w:r>
          </w:p>
        </w:tc>
      </w:tr>
      <w:tr>
        <w:tblPrEx>
          <w:tblCellMar>
            <w:top w:w="0" w:type="dxa"/>
            <w:left w:w="108" w:type="dxa"/>
            <w:bottom w:w="0" w:type="dxa"/>
            <w:right w:w="108" w:type="dxa"/>
          </w:tblCellMar>
        </w:tblPrEx>
        <w:trPr>
          <w:trHeight w:val="465" w:hRule="atLeast"/>
        </w:trPr>
        <w:tc>
          <w:tcPr>
            <w:tcW w:w="80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项目内容</w:t>
            </w:r>
          </w:p>
        </w:tc>
        <w:tc>
          <w:tcPr>
            <w:tcW w:w="3570" w:type="dxa"/>
            <w:tcBorders>
              <w:top w:val="single" w:color="000000" w:sz="4" w:space="0"/>
              <w:left w:val="single" w:color="000000" w:sz="4" w:space="0"/>
              <w:bottom w:val="nil"/>
              <w:right w:val="single" w:color="000000" w:sz="4" w:space="0"/>
            </w:tcBorders>
            <w:shd w:val="clear" w:color="auto" w:fill="auto"/>
            <w:noWrap/>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考核标准和依据</w:t>
            </w:r>
          </w:p>
        </w:tc>
        <w:tc>
          <w:tcPr>
            <w:tcW w:w="33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80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3570"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(出现以下未提及事项均参照合同依据的法律法规和办法)</w:t>
            </w:r>
          </w:p>
        </w:tc>
        <w:tc>
          <w:tcPr>
            <w:tcW w:w="33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6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设施设备车辆配备情况</w:t>
            </w:r>
          </w:p>
        </w:tc>
        <w:tc>
          <w:tcPr>
            <w:tcW w:w="222" w:type="dxa"/>
            <w:tcBorders>
              <w:top w:val="single" w:color="000000" w:sz="4" w:space="0"/>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1、各部门各岗位使用的办工设备、作业工具、环卫车辆、药物等设施设备要配备足够，车辆和相关设备的配备数以现有数为参考且不少于现有数，能满足相应的作业需求，确保相应的工作质量</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检查登记资料及现场情况，办工设备、作业工具、环卫车辆、药物等设施设备全部未配备足够的扣10分,每缺少一件设施设备设的扣2分；扣完为止.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0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2、所有设施设备的配置不得低于标书所列明的标准</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已购买的施设备的配置低于标书所列明的标准的发现一种设施或设备的扣2分；扣完为止。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51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3、设施设备是全新购买，以中标日期后购买的设施设备为有效；环卫车辆等设备登记的所有人和地址是在东莞市长安镇注册成立的子公司名称和地址</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检查相关证明资料，存在全部或部分设施设备不是全新购买的扣2分；不是中标日期后购买的扣2分；环卫车辆等设备登记的所有人和地址不是在东莞市长安镇注册成立的子公司名称和地址的扣5分；扣完为止.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9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4、标书配备的设施设备只服务于本中标区域指定范围，不能借用借调给中标区域外的其他区域或与中标区域外的其他区域共用</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存在全部或部分的设施设备不是服务于本中标区域指定范围的扣10分；借用借调给中标区域外的其他区域或与中标区域外的其他区域共用的扣10分；扣完为止.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5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定期召开车辆安全例会,落实《环卫车辆驾驶员安全管理制度》,做到"管理有规范,维护有周期,检查有标准,安全有体系",坚持每周对车辆的紧固、润滑、卫生、电器等进行检查,发现隐患及时进行修理，每天作业完毕在设定的地点对车辆进行清洗干净和检查，确保明天的正常使用；并登记相关检查清洗记录</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没有定期召开车辆安全例会的扣1分,每天作业完毕没有在设定的地点对车辆进行清洗干净和检查的扣2分,无登记相关检查清洗记录的扣2分；扣完为止.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30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6、每月至少一次组织司机学习《道路交通管理法》，强化安全意识，利用电视录像，典型事故案例分析或请交警同志讲课等形式，对驾驶员进行教育；并登记相关记录</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没有每月组织司机学习,强化安全意识的扣1分；没有登记学习内容、参加人员等相关资料的每次扣1分；扣完为止.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98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7、所有车辆行驶必须严格遵守交通规则，按标准要求贴上荧光标识；车身标明社区名称、车（压缩箱）编号、投诉电话及宣传标语，没报批存档的车辆不得使用</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车辆登记资料及图册，车辆存在违反交通规则情况的一车扣1分；没有按标准要求贴上荧光标识的一车扣1分；车身没有标明社区名称、车（压缩箱）编号、投诉电话及宣传标语的一车扣1分；使用没有报批车辆的一车扣1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02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所有车辆密闭性良好，车身无脏物、无污水滴漏、、车容整洁、车况良好;车身无破损、锈迹，定期检修刷漆翻新，有胶条封边的手推车及三轮车至少三个月更换胶条一次，垃圾运输车至少半年更换胶条一次，扫路车等其他车辆至少一年更换胶条一次。以上内容要有相关记录</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车辆外观及资料，发现车身附有脏物、车容不整洁、密闭性差、散发臭味、污水滴漏等情况的一辆车扣5分；车况差、车身破损、有锈迹、无定期检修刷漆翻新无相关记录的一次扣5分，各类车辆无按要求定期更换接口胶条并无相关记录的一次扣5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0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设备车辆配备情况</w:t>
            </w: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9、所有机动车辆安装GPS定位跟踪动态监控系统，与联网系统接轨；在中标地域范围内按指定路线行驶</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存在全部或部分车辆没有安装GPS定位跟踪动态监控系统的扣3分；没有在中标地域范围内按指定路线行驶的扣2分；扣完为止.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35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10、对所有进入镇垃圾转运站倾倒垃圾的垃圾运输车辆安装入站IC卡（一个车牌号码对应一张IC卡），未取得核发IC卡的车辆不允许进入站内</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存在全部或部分进入镇垃圾转运站的垃圾运输车辆没有安装入站IC卡的扣5分；未取得核发IC卡的车辆未经审批闯入站内的扣5分；扣完为止.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30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11、垃圾称磅单设专人统一收集，次日及时送社区指定人员留存，协助镇和社区做好垃圾清运管理工作，在规定时间内完成垃圾量数据核对工作</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没设专人统一收集垃圾称磅单的扣2分；次日没有及时送社区指定人员留存，影响社区没在规定时间内完成垃圾量数据核对的扣5分；扣完为止.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4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12、做好车辆备案，按职能部门分别设立环卫设施设备资产登记本，按要求拍照存档，设专人管理</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没有做好车辆备案的扣2分；没有按职能部门分别设立环卫设施设备资产登记本的扣2分，没有设专人管理的扣2分；扣完为止.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94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13、环卫机动车辆要证照齐全，按期办理保险、年审缴费等相关手续</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环卫机动车辆要证照不全的扣2分；没有按期办理保险、年审缴费等相关手续的扣2分；扣完为止.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91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14、上门收集、清运垃圾要按指定用户名单、上门收集次数、指定桶数收集、并按指定运输路线行驶</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上门收集、清运垃圾没有按指定用户名单、上门收集次数、指定桶数收集、无按指定运输路线行驶的发现一次扣2分，扣完为止.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30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15、垃圾桶、果皮箱等设备的数量不变（以移交数量为准），从承包后第二年开始每年更新数量不少于移交数量的20%，完好率不得低于98%，有相关的清洁工作记录</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垃圾桶、果皮箱数量每减少一只扣1分；无按时间要求及时更新的扣1分，完好率低于98%的扣1分,无清洁记录的少一次扣1分；扣完为止.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80" w:hRule="atLeast"/>
        </w:trPr>
        <w:tc>
          <w:tcPr>
            <w:tcW w:w="4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  计</w:t>
            </w:r>
          </w:p>
        </w:tc>
        <w:tc>
          <w:tcPr>
            <w:tcW w:w="3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61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合计总得分（   ）＝总分（ 100 ）－合计总扣分（   ）</w:t>
            </w:r>
          </w:p>
        </w:tc>
      </w:tr>
      <w:tr>
        <w:tblPrEx>
          <w:tblCellMar>
            <w:top w:w="0" w:type="dxa"/>
            <w:left w:w="108" w:type="dxa"/>
            <w:bottom w:w="0" w:type="dxa"/>
            <w:right w:w="108" w:type="dxa"/>
          </w:tblCellMar>
        </w:tblPrEx>
        <w:trPr>
          <w:trHeight w:val="510" w:hRule="atLeast"/>
        </w:trPr>
        <w:tc>
          <w:tcPr>
            <w:tcW w:w="58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2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57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810" w:hRule="atLeast"/>
        </w:trPr>
        <w:tc>
          <w:tcPr>
            <w:tcW w:w="58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2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57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4373"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社区环境办检查人员签名:</w:t>
            </w:r>
          </w:p>
        </w:tc>
        <w:tc>
          <w:tcPr>
            <w:tcW w:w="4240"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社区环境办负责人签名(盖章):</w:t>
            </w:r>
          </w:p>
        </w:tc>
      </w:tr>
      <w:tr>
        <w:tblPrEx>
          <w:tblCellMar>
            <w:top w:w="0" w:type="dxa"/>
            <w:left w:w="108" w:type="dxa"/>
            <w:bottom w:w="0" w:type="dxa"/>
            <w:right w:w="108" w:type="dxa"/>
          </w:tblCellMar>
        </w:tblPrEx>
        <w:trPr>
          <w:trHeight w:val="885" w:hRule="atLeast"/>
        </w:trPr>
        <w:tc>
          <w:tcPr>
            <w:tcW w:w="58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2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57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05" w:hRule="atLeast"/>
        </w:trPr>
        <w:tc>
          <w:tcPr>
            <w:tcW w:w="4373"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市场化公司陪检人员签名:</w:t>
            </w:r>
          </w:p>
        </w:tc>
        <w:tc>
          <w:tcPr>
            <w:tcW w:w="4240"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市场化公司负责人签名(盖章):</w:t>
            </w:r>
          </w:p>
        </w:tc>
      </w:tr>
    </w:tbl>
    <w:p>
      <w:pPr>
        <w:pStyle w:val="2"/>
        <w:tabs>
          <w:tab w:val="left" w:pos="567"/>
        </w:tabs>
        <w:spacing w:line="360" w:lineRule="auto"/>
        <w:rPr>
          <w:color w:val="000000" w:themeColor="text1"/>
          <w:highlight w:val="none"/>
          <w14:textFill>
            <w14:solidFill>
              <w14:schemeClr w14:val="tx1"/>
            </w14:solidFill>
          </w14:textFill>
        </w:rPr>
      </w:pPr>
    </w:p>
    <w:p>
      <w:pPr>
        <w:pStyle w:val="3"/>
        <w:pageBreakBefore/>
        <w:rPr>
          <w:rFonts w:hAnsi="宋体" w:cs="宋体"/>
          <w:color w:val="000000" w:themeColor="text1"/>
          <w:sz w:val="24"/>
          <w:highlight w:val="none"/>
          <w14:textFill>
            <w14:solidFill>
              <w14:schemeClr w14:val="tx1"/>
            </w14:solidFill>
          </w14:textFill>
        </w:rPr>
      </w:pPr>
      <w:bookmarkStart w:id="145" w:name="_Toc152951863"/>
      <w:r>
        <w:rPr>
          <w:rFonts w:hint="eastAsia" w:hAnsi="宋体" w:cs="宋体"/>
          <w:color w:val="000000" w:themeColor="text1"/>
          <w:sz w:val="24"/>
          <w:highlight w:val="none"/>
          <w14:textFill>
            <w14:solidFill>
              <w14:schemeClr w14:val="tx1"/>
            </w14:solidFill>
          </w14:textFill>
        </w:rPr>
        <w:t>附件：4、长安镇厦岗社区环卫月考核检查评分表</w:t>
      </w:r>
      <w:bookmarkEnd w:id="145"/>
    </w:p>
    <w:tbl>
      <w:tblPr>
        <w:tblStyle w:val="17"/>
        <w:tblW w:w="0" w:type="auto"/>
        <w:tblInd w:w="0" w:type="dxa"/>
        <w:tblLayout w:type="fixed"/>
        <w:tblCellMar>
          <w:top w:w="0" w:type="dxa"/>
          <w:left w:w="108" w:type="dxa"/>
          <w:bottom w:w="0" w:type="dxa"/>
          <w:right w:w="108" w:type="dxa"/>
        </w:tblCellMar>
      </w:tblPr>
      <w:tblGrid>
        <w:gridCol w:w="888"/>
        <w:gridCol w:w="4797"/>
        <w:gridCol w:w="1970"/>
        <w:gridCol w:w="432"/>
        <w:gridCol w:w="429"/>
      </w:tblGrid>
      <w:tr>
        <w:tblPrEx>
          <w:tblCellMar>
            <w:top w:w="0" w:type="dxa"/>
            <w:left w:w="108" w:type="dxa"/>
            <w:bottom w:w="0" w:type="dxa"/>
            <w:right w:w="108" w:type="dxa"/>
          </w:tblCellMar>
        </w:tblPrEx>
        <w:trPr>
          <w:trHeight w:val="525" w:hRule="atLeast"/>
        </w:trPr>
        <w:tc>
          <w:tcPr>
            <w:tcW w:w="8516" w:type="dxa"/>
            <w:gridSpan w:val="5"/>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长安镇环卫月考核现场检查评分表</w:t>
            </w:r>
          </w:p>
        </w:tc>
      </w:tr>
      <w:tr>
        <w:tblPrEx>
          <w:tblCellMar>
            <w:top w:w="0" w:type="dxa"/>
            <w:left w:w="108" w:type="dxa"/>
            <w:bottom w:w="0" w:type="dxa"/>
            <w:right w:w="108" w:type="dxa"/>
          </w:tblCellMar>
        </w:tblPrEx>
        <w:trPr>
          <w:trHeight w:val="465" w:hRule="atLeast"/>
        </w:trPr>
        <w:tc>
          <w:tcPr>
            <w:tcW w:w="888" w:type="dxa"/>
            <w:tcBorders>
              <w:top w:val="nil"/>
              <w:left w:val="nil"/>
              <w:bottom w:val="nil"/>
              <w:right w:val="nil"/>
            </w:tcBorders>
            <w:shd w:val="clear" w:color="auto" w:fill="auto"/>
            <w:noWrap/>
            <w:vAlign w:val="center"/>
          </w:tcPr>
          <w:p>
            <w:pPr>
              <w:rPr>
                <w:rFonts w:ascii="宋体" w:hAnsi="宋体" w:cs="宋体"/>
                <w:b/>
                <w:bCs/>
                <w:color w:val="000000" w:themeColor="text1"/>
                <w:szCs w:val="21"/>
                <w:highlight w:val="none"/>
                <w14:textFill>
                  <w14:solidFill>
                    <w14:schemeClr w14:val="tx1"/>
                  </w14:solidFill>
                </w14:textFill>
              </w:rPr>
            </w:pPr>
          </w:p>
        </w:tc>
        <w:tc>
          <w:tcPr>
            <w:tcW w:w="7199" w:type="dxa"/>
            <w:gridSpan w:val="3"/>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Style w:val="49"/>
                <w:rFonts w:hint="eastAsia" w:ascii="宋体" w:hAnsi="宋体" w:eastAsia="宋体" w:cs="宋体"/>
                <w:color w:val="000000" w:themeColor="text1"/>
                <w:sz w:val="21"/>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w:t>
            </w:r>
            <w:r>
              <w:rPr>
                <w:rStyle w:val="49"/>
                <w:rFonts w:hint="eastAsia" w:ascii="宋体" w:hAnsi="宋体" w:eastAsia="宋体" w:cs="宋体"/>
                <w:color w:val="000000" w:themeColor="text1"/>
                <w:sz w:val="21"/>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年</w:t>
            </w:r>
            <w:r>
              <w:rPr>
                <w:rStyle w:val="49"/>
                <w:rFonts w:hint="eastAsia" w:ascii="宋体" w:hAnsi="宋体" w:eastAsia="宋体" w:cs="宋体"/>
                <w:color w:val="000000" w:themeColor="text1"/>
                <w:sz w:val="21"/>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月</w:t>
            </w:r>
          </w:p>
        </w:tc>
        <w:tc>
          <w:tcPr>
            <w:tcW w:w="429" w:type="dxa"/>
            <w:tcBorders>
              <w:top w:val="nil"/>
              <w:left w:val="nil"/>
              <w:bottom w:val="nil"/>
              <w:right w:val="nil"/>
            </w:tcBorders>
            <w:shd w:val="clear" w:color="auto" w:fill="auto"/>
            <w:noWrap/>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5685" w:type="dxa"/>
            <w:gridSpan w:val="2"/>
            <w:tcBorders>
              <w:top w:val="nil"/>
              <w:left w:val="nil"/>
              <w:bottom w:val="single" w:color="000000" w:sz="4" w:space="0"/>
              <w:right w:val="nil"/>
            </w:tcBorders>
            <w:shd w:val="clear" w:color="auto" w:fill="auto"/>
            <w:noWrap/>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总分100分</w:t>
            </w:r>
          </w:p>
        </w:tc>
        <w:tc>
          <w:tcPr>
            <w:tcW w:w="2831" w:type="dxa"/>
            <w:gridSpan w:val="3"/>
            <w:tcBorders>
              <w:top w:val="nil"/>
              <w:left w:val="nil"/>
              <w:bottom w:val="single" w:color="000000" w:sz="4" w:space="0"/>
              <w:right w:val="nil"/>
            </w:tcBorders>
            <w:shd w:val="clear" w:color="auto" w:fill="auto"/>
            <w:noWrap/>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年  月  日</w:t>
            </w:r>
          </w:p>
        </w:tc>
      </w:tr>
      <w:tr>
        <w:tblPrEx>
          <w:tblCellMar>
            <w:top w:w="0" w:type="dxa"/>
            <w:left w:w="108" w:type="dxa"/>
            <w:bottom w:w="0" w:type="dxa"/>
            <w:right w:w="108" w:type="dxa"/>
          </w:tblCellMar>
        </w:tblPrEx>
        <w:trPr>
          <w:trHeight w:val="312"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检查   项目</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检查标准</w:t>
            </w:r>
          </w:p>
        </w:tc>
        <w:tc>
          <w:tcPr>
            <w:tcW w:w="19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地点</w:t>
            </w:r>
          </w:p>
        </w:tc>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扣分项目</w:t>
            </w: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得分</w:t>
            </w:r>
          </w:p>
        </w:tc>
      </w:tr>
      <w:tr>
        <w:tblPrEx>
          <w:tblCellMar>
            <w:top w:w="0" w:type="dxa"/>
            <w:left w:w="108" w:type="dxa"/>
            <w:bottom w:w="0" w:type="dxa"/>
            <w:right w:w="108" w:type="dxa"/>
          </w:tblCellMar>
        </w:tblPrEx>
        <w:trPr>
          <w:trHeight w:val="465"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19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nil"/>
              <w:right w:val="nil"/>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1、清扫保洁情况  (30分）</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（1）道路、公共场所早上七点前未完成普扫；                                          （2）未及时进行旧村、河塘河涌水面、绿化带、建筑外立面保洁；                                                             （3）使用露天垃圾池；                        （4）使用竹箩、非密闭垃圾收集容器，垃圾桶、果皮箱、收集箱摆放不整齐，外观脏乱差；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（5）排水井口、井盖无及时清理周边垃圾</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（6）未按规定上门收集垃圾的。                （7）存在生活垃圾和建筑垃圾堆积、卫生死角；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w:t>
            </w:r>
            <w:r>
              <w:rPr>
                <w:rStyle w:val="51"/>
                <w:rFonts w:hint="eastAsia" w:ascii="宋体" w:hAnsi="宋体" w:eastAsia="宋体" w:cs="宋体"/>
                <w:color w:val="000000" w:themeColor="text1"/>
                <w:sz w:val="21"/>
                <w:szCs w:val="21"/>
                <w:highlight w:val="none"/>
                <w:lang w:bidi="ar"/>
                <w14:textFill>
                  <w14:solidFill>
                    <w14:schemeClr w14:val="tx1"/>
                  </w14:solidFill>
                </w14:textFill>
              </w:rPr>
              <w:t>1</w:t>
            </w:r>
            <w:r>
              <w:rPr>
                <w:rStyle w:val="50"/>
                <w:rFonts w:hint="eastAsia" w:ascii="宋体" w:hAnsi="宋体" w:eastAsia="宋体" w:cs="宋体"/>
                <w:color w:val="000000" w:themeColor="text1"/>
                <w:sz w:val="21"/>
                <w:szCs w:val="21"/>
                <w:highlight w:val="none"/>
                <w:lang w:bidi="ar"/>
                <w14:textFill>
                  <w14:solidFill>
                    <w14:schemeClr w14:val="tx1"/>
                  </w14:solidFill>
                </w14:textFill>
              </w:rPr>
              <w:t>分，共发现 （ ）例，扣完此项分为止。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nil"/>
              <w:right w:val="nil"/>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2、环卫作业情况  (10分）</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（1）垃圾运输车、环卫手推车未密闭；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（2）环卫作业车辆车容不整，外观脏乱差，有污水滴漏、垃圾抛洒等现象；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（3）环卫工人作业未穿着环卫反光衣。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w:t>
            </w:r>
            <w:r>
              <w:rPr>
                <w:rStyle w:val="51"/>
                <w:rFonts w:hint="eastAsia" w:ascii="宋体" w:hAnsi="宋体" w:eastAsia="宋体" w:cs="宋体"/>
                <w:color w:val="000000" w:themeColor="text1"/>
                <w:sz w:val="21"/>
                <w:szCs w:val="21"/>
                <w:highlight w:val="none"/>
                <w:lang w:bidi="ar"/>
                <w14:textFill>
                  <w14:solidFill>
                    <w14:schemeClr w14:val="tx1"/>
                  </w14:solidFill>
                </w14:textFill>
              </w:rPr>
              <w:t>1</w:t>
            </w:r>
            <w:r>
              <w:rPr>
                <w:rStyle w:val="50"/>
                <w:rFonts w:hint="eastAsia" w:ascii="宋体" w:hAnsi="宋体" w:eastAsia="宋体" w:cs="宋体"/>
                <w:color w:val="000000" w:themeColor="text1"/>
                <w:sz w:val="21"/>
                <w:szCs w:val="21"/>
                <w:highlight w:val="none"/>
                <w:lang w:bidi="ar"/>
                <w14:textFill>
                  <w14:solidFill>
                    <w14:schemeClr w14:val="tx1"/>
                  </w14:solidFill>
                </w14:textFill>
              </w:rPr>
              <w:t>分，共发现  （ ）例，扣完此项分为止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 3、“三边”（路边、山边、水边）情况      (10分)</w:t>
            </w:r>
          </w:p>
        </w:tc>
        <w:tc>
          <w:tcPr>
            <w:tcW w:w="479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（1）“三边”（路边、山边、水边）积存垃圾未清理；</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（2）“三边”（路边、山边、水边）堆放淤泥渣土；</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（3）“三边”（路边、山边、水边）有焚烧生活垃圾现象；</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现场发现以上情况，每例扣1分,共发现(    )处，扣完此项分止。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4、垃圾桶（箱）的配备及保洁工作（10分) </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 商业、金融街道每50-100m设置一个；主干路、次干路、有辅道的快速路每100-200m设置一个；支路、有人行道的快速路每200-400m设置一个；①垃圾桶（箱）残破；</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②垃圾桶（箱）表面有明显的污迹；</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③未按标准配置垃圾桶（箱）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④周边环境“脏乱差”。</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现场发现以上情况，每例扣1分,共发现(    )处，扣完此项分止。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5、公厕管理情况(10分）</w:t>
            </w:r>
          </w:p>
        </w:tc>
        <w:tc>
          <w:tcPr>
            <w:tcW w:w="479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（1）公共厕所内有异味；                            （2）显眼位置未设置统一编号、标识；                                              （3）设备有损坏；                              （4）无管理人员在岗保洁、管理；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（5）公厕不开放使用；　　　　　　　　　　　　　（6）公厕存在收费现象。</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（7） 辖区内所属公厕未达到国家二类标准。                      </w:t>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w:t>
            </w:r>
            <w:r>
              <w:rPr>
                <w:rStyle w:val="51"/>
                <w:rFonts w:hint="eastAsia" w:ascii="宋体" w:hAnsi="宋体" w:eastAsia="宋体" w:cs="宋体"/>
                <w:color w:val="000000" w:themeColor="text1"/>
                <w:sz w:val="21"/>
                <w:szCs w:val="21"/>
                <w:highlight w:val="none"/>
                <w:lang w:bidi="ar"/>
                <w14:textFill>
                  <w14:solidFill>
                    <w14:schemeClr w14:val="tx1"/>
                  </w14:solidFill>
                </w14:textFill>
              </w:rPr>
              <w:t>1</w:t>
            </w:r>
            <w:r>
              <w:rPr>
                <w:rStyle w:val="50"/>
                <w:rFonts w:hint="eastAsia" w:ascii="宋体" w:hAnsi="宋体" w:eastAsia="宋体" w:cs="宋体"/>
                <w:color w:val="000000" w:themeColor="text1"/>
                <w:sz w:val="21"/>
                <w:szCs w:val="21"/>
                <w:highlight w:val="none"/>
                <w:lang w:bidi="ar"/>
                <w14:textFill>
                  <w14:solidFill>
                    <w14:schemeClr w14:val="tx1"/>
                  </w14:solidFill>
                </w14:textFill>
              </w:rPr>
              <w:t>分，共发现（ ）例，扣完此项分为止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88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6、转运站管理情况(5分）</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（1）转运站内有异味；                           （2）无统一编号和规章制度；                            （3）设备未密闭，存在露天垃圾池；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（4）无管理人员在岗保洁、管理；                    （5）周边环境“脏乱差”；</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（6） 垃圾转运站（含收集点）无配备水电。                            </w:t>
            </w:r>
            <w:r>
              <w:rPr>
                <w:rStyle w:val="50"/>
                <w:rFonts w:hint="eastAsia" w:ascii="宋体" w:hAnsi="宋体" w:eastAsia="宋体" w:cs="宋体"/>
                <w:color w:val="000000" w:themeColor="text1"/>
                <w:sz w:val="21"/>
                <w:szCs w:val="21"/>
                <w:highlight w:val="none"/>
                <w:lang w:bidi="ar"/>
                <w14:textFill>
                  <w14:solidFill>
                    <w14:schemeClr w14:val="tx1"/>
                  </w14:solidFill>
                </w14:textFill>
              </w:rPr>
              <w:t xml:space="preserve">现场发现以上情况，每例扣1分，共发现（ ）例，扣完此项分为止。           </w:t>
            </w:r>
            <w:r>
              <w:rPr>
                <w:rStyle w:val="51"/>
                <w:rFonts w:hint="eastAsia" w:ascii="宋体" w:hAnsi="宋体" w:eastAsia="宋体" w:cs="宋体"/>
                <w:color w:val="000000" w:themeColor="text1"/>
                <w:sz w:val="21"/>
                <w:szCs w:val="21"/>
                <w:highlight w:val="none"/>
                <w:lang w:bidi="ar"/>
                <w14:textFill>
                  <w14:solidFill>
                    <w14:schemeClr w14:val="tx1"/>
                  </w14:solidFill>
                </w14:textFill>
              </w:rPr>
              <w:t xml:space="preserve">              </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nil"/>
              <w:left w:val="nil"/>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7、“牛皮癣”管理情况（15分）   </w:t>
            </w:r>
            <w:r>
              <w:rPr>
                <w:rStyle w:val="52"/>
                <w:rFonts w:hint="default" w:ascii="宋体" w:eastAsia="宋体" w:cs="宋体"/>
                <w:color w:val="000000" w:themeColor="text1"/>
                <w:sz w:val="21"/>
                <w:szCs w:val="21"/>
                <w:highlight w:val="none"/>
                <w:lang w:bidi="ar"/>
                <w14:textFill>
                  <w14:solidFill>
                    <w14:schemeClr w14:val="tx1"/>
                  </w14:solidFill>
                </w14:textFill>
              </w:rPr>
              <w:t xml:space="preserve">                                                 </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路面、市政设施、灯箱、灯柱、电箱、护栏、墙壁、公交车站、内街小巷、商铺卷闸门等可视范围内有“牛皮癣”的。</w:t>
            </w:r>
            <w:r>
              <w:rPr>
                <w:rStyle w:val="50"/>
                <w:rFonts w:hint="eastAsia" w:ascii="宋体" w:hAnsi="宋体" w:eastAsia="宋体" w:cs="宋体"/>
                <w:color w:val="000000" w:themeColor="text1"/>
                <w:sz w:val="21"/>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w:t>
            </w:r>
            <w:r>
              <w:rPr>
                <w:rStyle w:val="51"/>
                <w:rFonts w:hint="eastAsia" w:ascii="宋体" w:hAnsi="宋体" w:eastAsia="宋体" w:cs="宋体"/>
                <w:color w:val="000000" w:themeColor="text1"/>
                <w:sz w:val="21"/>
                <w:szCs w:val="21"/>
                <w:highlight w:val="none"/>
                <w:lang w:bidi="ar"/>
                <w14:textFill>
                  <w14:solidFill>
                    <w14:schemeClr w14:val="tx1"/>
                  </w14:solidFill>
                </w14:textFill>
              </w:rPr>
              <w:t>1.5</w:t>
            </w:r>
            <w:r>
              <w:rPr>
                <w:rStyle w:val="50"/>
                <w:rFonts w:hint="eastAsia" w:ascii="宋体" w:hAnsi="宋体" w:eastAsia="宋体" w:cs="宋体"/>
                <w:color w:val="000000" w:themeColor="text1"/>
                <w:sz w:val="21"/>
                <w:szCs w:val="21"/>
                <w:highlight w:val="none"/>
                <w:lang w:bidi="ar"/>
                <w14:textFill>
                  <w14:solidFill>
                    <w14:schemeClr w14:val="tx1"/>
                  </w14:solidFill>
                </w14:textFill>
              </w:rPr>
              <w:t>分，共发现（  )例，扣完此项分为止。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8、绿化养护（5分）</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（1）植株生长不良、长势差，部分树干死亡，植株重度损坏。                                                          （2）缺乏修剪或修剪不适当，枝叶遮挡交通灯或交通指示牌或路灯的。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（3）病虫害控制不及时。</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（4）有枯枝、折枝、或棕榈科的干枯叶片未及时清理的。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（5）树木根系生长覆盖路面未及时处理的，树池或树池盖损坏、或树池盖不平整影响景观的。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（6）树体腐烂（或开口）部位未及时剔除、消毒、封口处理的。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（7）护树设施、景观灯等固定框损坏树干的，残花、枯萎的黄叶和黄蒂（梗）未及时清除，未及时修剪影响景观的。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（8）死亡、缺株未及时补种的。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（9）草坪杂草过多又无法净化或草坪衰老，未及时更新或重建的。                                                             （10）草坪未及时修剪、未正确控制草坪高度及修剪留茬高度的。                                                                              （11）黄土裸露的。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现场发现以上情况，每例扣0.5分，共发现（  )例，扣完此项分为止。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9、每月重点工作配合（5分） </w:t>
            </w:r>
            <w:r>
              <w:rPr>
                <w:rStyle w:val="52"/>
                <w:rFonts w:hint="default" w:ascii="宋体" w:eastAsia="宋体" w:cs="宋体"/>
                <w:color w:val="000000" w:themeColor="text1"/>
                <w:sz w:val="21"/>
                <w:szCs w:val="21"/>
                <w:highlight w:val="none"/>
                <w:lang w:bidi="ar"/>
                <w14:textFill>
                  <w14:solidFill>
                    <w14:schemeClr w14:val="tx1"/>
                  </w14:solidFill>
                </w14:textFill>
              </w:rPr>
              <w:t xml:space="preserve">                                                </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（1）每日督导办函整改不到位扣0.5分；                 （2）重点工作督导问题整改不到位，情节严重扣0.5分；                                                                                   （3）重点工作督导问题不整改，情节严重扣1分；</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（4）未按时参加会议的、不按时上报资料的、未经请示同意不参加学习培训的扣1分；</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（5）卫生收费日常工作不配合：如不按规范流程操作，不按时交资料，处理态度恶劣，其他不配合事项等扣1分；</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（6）垃圾处理日常工作不配合：如不按规范流程操作，不按时交资料，处理态度恶劣，其他不配合事项等扣1分。</w:t>
            </w:r>
          </w:p>
        </w:tc>
        <w:tc>
          <w:tcPr>
            <w:tcW w:w="240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50" w:hRule="atLeast"/>
        </w:trPr>
        <w:tc>
          <w:tcPr>
            <w:tcW w:w="5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总合计</w:t>
            </w:r>
          </w:p>
        </w:tc>
        <w:tc>
          <w:tcPr>
            <w:tcW w:w="28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888" w:type="dxa"/>
            <w:tcBorders>
              <w:top w:val="nil"/>
              <w:left w:val="nil"/>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1970" w:type="dxa"/>
            <w:tcBorders>
              <w:top w:val="nil"/>
              <w:left w:val="nil"/>
              <w:bottom w:val="nil"/>
              <w:right w:val="nil"/>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nil"/>
              <w:left w:val="nil"/>
              <w:bottom w:val="nil"/>
              <w:right w:val="nil"/>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tcBorders>
              <w:top w:val="nil"/>
              <w:left w:val="nil"/>
              <w:bottom w:val="nil"/>
              <w:right w:val="nil"/>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690" w:hRule="atLeast"/>
        </w:trPr>
        <w:tc>
          <w:tcPr>
            <w:tcW w:w="5685" w:type="dxa"/>
            <w:gridSpan w:val="2"/>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831" w:type="dxa"/>
            <w:gridSpan w:val="3"/>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888"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社区环境办检查人员签名：</w:t>
            </w:r>
          </w:p>
        </w:tc>
        <w:tc>
          <w:tcPr>
            <w:tcW w:w="1970" w:type="dxa"/>
            <w:tcBorders>
              <w:top w:val="nil"/>
              <w:left w:val="nil"/>
              <w:bottom w:val="nil"/>
              <w:right w:val="nil"/>
            </w:tcBorders>
            <w:shd w:val="clear" w:color="auto" w:fill="auto"/>
            <w:noWrap/>
            <w:vAlign w:val="bottom"/>
          </w:tcPr>
          <w:p>
            <w:pPr>
              <w:widowControl/>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市场化检查人员签名：</w:t>
            </w:r>
          </w:p>
        </w:tc>
        <w:tc>
          <w:tcPr>
            <w:tcW w:w="43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888"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70"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32"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29"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888"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70"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32"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29"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888"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70"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32"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29"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915" w:hRule="atLeast"/>
        </w:trPr>
        <w:tc>
          <w:tcPr>
            <w:tcW w:w="888"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社区环境办主任签名：（盖章）</w:t>
            </w:r>
          </w:p>
        </w:tc>
        <w:tc>
          <w:tcPr>
            <w:tcW w:w="2402" w:type="dxa"/>
            <w:gridSpan w:val="2"/>
            <w:tcBorders>
              <w:top w:val="nil"/>
              <w:left w:val="nil"/>
              <w:bottom w:val="nil"/>
              <w:right w:val="nil"/>
            </w:tcBorders>
            <w:shd w:val="clear" w:color="auto" w:fill="auto"/>
            <w:noWrap/>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市场化公司负责人签名：（盖章）</w:t>
            </w:r>
          </w:p>
        </w:tc>
        <w:tc>
          <w:tcPr>
            <w:tcW w:w="429"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pStyle w:val="2"/>
        <w:tabs>
          <w:tab w:val="left" w:pos="567"/>
        </w:tabs>
        <w:rPr>
          <w:color w:val="000000" w:themeColor="text1"/>
          <w:highlight w:val="none"/>
          <w14:textFill>
            <w14:solidFill>
              <w14:schemeClr w14:val="tx1"/>
            </w14:solidFill>
          </w14:textFill>
        </w:rPr>
      </w:pPr>
    </w:p>
    <w:p>
      <w:pPr>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br w:type="page"/>
      </w:r>
    </w:p>
    <w:tbl>
      <w:tblPr>
        <w:tblStyle w:val="17"/>
        <w:tblW w:w="5000" w:type="pct"/>
        <w:tblInd w:w="0" w:type="dxa"/>
        <w:tblLayout w:type="autofit"/>
        <w:tblCellMar>
          <w:top w:w="0" w:type="dxa"/>
          <w:left w:w="108" w:type="dxa"/>
          <w:bottom w:w="0" w:type="dxa"/>
          <w:right w:w="108" w:type="dxa"/>
        </w:tblCellMar>
      </w:tblPr>
      <w:tblGrid>
        <w:gridCol w:w="468"/>
        <w:gridCol w:w="468"/>
        <w:gridCol w:w="468"/>
        <w:gridCol w:w="468"/>
        <w:gridCol w:w="468"/>
        <w:gridCol w:w="468"/>
        <w:gridCol w:w="342"/>
        <w:gridCol w:w="468"/>
        <w:gridCol w:w="468"/>
        <w:gridCol w:w="468"/>
        <w:gridCol w:w="468"/>
        <w:gridCol w:w="468"/>
        <w:gridCol w:w="342"/>
        <w:gridCol w:w="468"/>
        <w:gridCol w:w="468"/>
        <w:gridCol w:w="468"/>
        <w:gridCol w:w="468"/>
        <w:gridCol w:w="469"/>
        <w:gridCol w:w="343"/>
      </w:tblGrid>
      <w:tr>
        <w:tblPrEx>
          <w:tblCellMar>
            <w:top w:w="0" w:type="dxa"/>
            <w:left w:w="108" w:type="dxa"/>
            <w:bottom w:w="0" w:type="dxa"/>
            <w:right w:w="108" w:type="dxa"/>
          </w:tblCellMar>
        </w:tblPrEx>
        <w:trPr>
          <w:trHeight w:val="1080" w:hRule="atLeast"/>
        </w:trPr>
        <w:tc>
          <w:tcPr>
            <w:tcW w:w="5000" w:type="pct"/>
            <w:gridSpan w:val="19"/>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lang w:bidi="ar"/>
                <w14:textFill>
                  <w14:solidFill>
                    <w14:schemeClr w14:val="tx1"/>
                  </w14:solidFill>
                </w14:textFill>
              </w:rPr>
              <w:t>社区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月环卫作业项目现场检查评分明细表</w:t>
            </w:r>
          </w:p>
        </w:tc>
      </w:tr>
      <w:tr>
        <w:tblPrEx>
          <w:tblCellMar>
            <w:top w:w="0" w:type="dxa"/>
            <w:left w:w="108" w:type="dxa"/>
            <w:bottom w:w="0" w:type="dxa"/>
            <w:right w:w="108" w:type="dxa"/>
          </w:tblCellMar>
        </w:tblPrEx>
        <w:trPr>
          <w:trHeight w:val="360" w:hRule="atLeast"/>
        </w:trPr>
        <w:tc>
          <w:tcPr>
            <w:tcW w:w="5000" w:type="pct"/>
            <w:gridSpan w:val="19"/>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表4-2</w:t>
            </w:r>
          </w:p>
        </w:tc>
      </w:tr>
      <w:tr>
        <w:tblPrEx>
          <w:tblCellMar>
            <w:top w:w="0" w:type="dxa"/>
            <w:left w:w="108" w:type="dxa"/>
            <w:bottom w:w="0" w:type="dxa"/>
            <w:right w:w="108" w:type="dxa"/>
          </w:tblCellMar>
        </w:tblPrEx>
        <w:trPr>
          <w:trHeight w:val="375" w:hRule="atLeast"/>
        </w:trPr>
        <w:tc>
          <w:tcPr>
            <w:tcW w:w="5000" w:type="pct"/>
            <w:gridSpan w:val="19"/>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日期:     年   月    日</w:t>
            </w:r>
          </w:p>
        </w:tc>
      </w:tr>
      <w:tr>
        <w:tblPrEx>
          <w:tblCellMar>
            <w:top w:w="0" w:type="dxa"/>
            <w:left w:w="108" w:type="dxa"/>
            <w:bottom w:w="0" w:type="dxa"/>
            <w:right w:w="108" w:type="dxa"/>
          </w:tblCellMar>
        </w:tblPrEx>
        <w:trPr>
          <w:trHeight w:val="555" w:hRule="atLeast"/>
        </w:trPr>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w:t>
            </w:r>
          </w:p>
        </w:tc>
        <w:tc>
          <w:tcPr>
            <w:tcW w:w="147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社区领导评分明细</w:t>
            </w:r>
          </w:p>
        </w:tc>
        <w:tc>
          <w:tcPr>
            <w:tcW w:w="147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环境办评分明细</w:t>
            </w:r>
          </w:p>
        </w:tc>
        <w:tc>
          <w:tcPr>
            <w:tcW w:w="147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市场化公司（作参考）</w:t>
            </w:r>
          </w:p>
        </w:tc>
      </w:tr>
      <w:tr>
        <w:tblPrEx>
          <w:tblCellMar>
            <w:top w:w="0" w:type="dxa"/>
            <w:left w:w="108" w:type="dxa"/>
            <w:bottom w:w="0" w:type="dxa"/>
            <w:right w:w="108" w:type="dxa"/>
          </w:tblCellMar>
        </w:tblPrEx>
        <w:trPr>
          <w:trHeight w:val="630" w:hRule="atLeast"/>
        </w:trPr>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280" w:type="pct"/>
            <w:gridSpan w:val="5"/>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实际评分明细</w:t>
            </w:r>
          </w:p>
        </w:tc>
        <w:tc>
          <w:tcPr>
            <w:tcW w:w="191"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实际平均分</w:t>
            </w:r>
          </w:p>
        </w:tc>
        <w:tc>
          <w:tcPr>
            <w:tcW w:w="1282" w:type="pct"/>
            <w:gridSpan w:val="5"/>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实际评分明细</w:t>
            </w:r>
          </w:p>
        </w:tc>
        <w:tc>
          <w:tcPr>
            <w:tcW w:w="191"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实际平均分</w:t>
            </w:r>
          </w:p>
        </w:tc>
        <w:tc>
          <w:tcPr>
            <w:tcW w:w="1282" w:type="pct"/>
            <w:gridSpan w:val="5"/>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实际评分明细</w:t>
            </w:r>
          </w:p>
        </w:tc>
        <w:tc>
          <w:tcPr>
            <w:tcW w:w="191"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实际平均分</w:t>
            </w:r>
          </w:p>
        </w:tc>
      </w:tr>
      <w:tr>
        <w:tblPrEx>
          <w:tblCellMar>
            <w:top w:w="0" w:type="dxa"/>
            <w:left w:w="108" w:type="dxa"/>
            <w:bottom w:w="0" w:type="dxa"/>
            <w:right w:w="108" w:type="dxa"/>
          </w:tblCellMar>
        </w:tblPrEx>
        <w:trPr>
          <w:trHeight w:val="630" w:hRule="atLeast"/>
        </w:trPr>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日检</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人员</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设备</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暗防</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日检</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人员</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设备</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暗防</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日检</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人员</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设备</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暗防</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80" w:hRule="atLeast"/>
        </w:trPr>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1347" w:type="pct"/>
            <w:gridSpan w:val="4"/>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217" w:type="pct"/>
            <w:gridSpan w:val="5"/>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217" w:type="pct"/>
            <w:gridSpan w:val="5"/>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olor w:val="000000" w:themeColor="text1"/>
          <w:sz w:val="24"/>
          <w:highlight w:val="none"/>
          <w14:textFill>
            <w14:solidFill>
              <w14:schemeClr w14:val="tx1"/>
            </w14:solidFill>
          </w14:textFill>
        </w:rPr>
      </w:pPr>
    </w:p>
    <w:p>
      <w:pPr>
        <w:pStyle w:val="2"/>
        <w:tabs>
          <w:tab w:val="left" w:pos="567"/>
        </w:tabs>
        <w:rPr>
          <w:color w:val="000000" w:themeColor="text1"/>
          <w:highlight w:val="none"/>
          <w14:textFill>
            <w14:solidFill>
              <w14:schemeClr w14:val="tx1"/>
            </w14:solidFill>
          </w14:textFill>
        </w:rPr>
      </w:pPr>
    </w:p>
    <w:p>
      <w:pPr>
        <w:pStyle w:val="2"/>
        <w:tabs>
          <w:tab w:val="left" w:pos="567"/>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tbl>
      <w:tblPr>
        <w:tblStyle w:val="17"/>
        <w:tblW w:w="5000" w:type="pct"/>
        <w:tblInd w:w="0" w:type="dxa"/>
        <w:tblLayout w:type="fixed"/>
        <w:tblCellMar>
          <w:top w:w="0" w:type="dxa"/>
          <w:left w:w="108" w:type="dxa"/>
          <w:bottom w:w="0" w:type="dxa"/>
          <w:right w:w="108" w:type="dxa"/>
        </w:tblCellMar>
      </w:tblPr>
      <w:tblGrid>
        <w:gridCol w:w="326"/>
        <w:gridCol w:w="503"/>
        <w:gridCol w:w="299"/>
        <w:gridCol w:w="339"/>
        <w:gridCol w:w="298"/>
        <w:gridCol w:w="341"/>
        <w:gridCol w:w="300"/>
        <w:gridCol w:w="341"/>
        <w:gridCol w:w="298"/>
        <w:gridCol w:w="341"/>
        <w:gridCol w:w="298"/>
        <w:gridCol w:w="341"/>
        <w:gridCol w:w="298"/>
        <w:gridCol w:w="341"/>
        <w:gridCol w:w="298"/>
        <w:gridCol w:w="341"/>
        <w:gridCol w:w="300"/>
        <w:gridCol w:w="342"/>
        <w:gridCol w:w="298"/>
        <w:gridCol w:w="341"/>
        <w:gridCol w:w="298"/>
        <w:gridCol w:w="341"/>
        <w:gridCol w:w="298"/>
        <w:gridCol w:w="341"/>
        <w:gridCol w:w="298"/>
        <w:gridCol w:w="356"/>
      </w:tblGrid>
      <w:tr>
        <w:tblPrEx>
          <w:tblCellMar>
            <w:top w:w="0" w:type="dxa"/>
            <w:left w:w="108" w:type="dxa"/>
            <w:bottom w:w="0" w:type="dxa"/>
            <w:right w:w="108" w:type="dxa"/>
          </w:tblCellMar>
        </w:tblPrEx>
        <w:trPr>
          <w:trHeight w:val="620" w:hRule="atLeast"/>
        </w:trPr>
        <w:tc>
          <w:tcPr>
            <w:tcW w:w="5000" w:type="pct"/>
            <w:gridSpan w:val="26"/>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lang w:bidi="ar"/>
                <w14:textFill>
                  <w14:solidFill>
                    <w14:schemeClr w14:val="tx1"/>
                  </w14:solidFill>
                </w14:textFill>
              </w:rPr>
              <w:t>社区环卫投诉处理评分统计表</w:t>
            </w:r>
          </w:p>
        </w:tc>
      </w:tr>
      <w:tr>
        <w:tblPrEx>
          <w:tblCellMar>
            <w:top w:w="0" w:type="dxa"/>
            <w:left w:w="108" w:type="dxa"/>
            <w:bottom w:w="0" w:type="dxa"/>
            <w:right w:w="108" w:type="dxa"/>
          </w:tblCellMar>
        </w:tblPrEx>
        <w:trPr>
          <w:trHeight w:val="285" w:hRule="atLeast"/>
        </w:trPr>
        <w:tc>
          <w:tcPr>
            <w:tcW w:w="5000" w:type="pct"/>
            <w:gridSpan w:val="26"/>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表4-3</w:t>
            </w:r>
          </w:p>
        </w:tc>
      </w:tr>
      <w:tr>
        <w:tblPrEx>
          <w:tblCellMar>
            <w:top w:w="0" w:type="dxa"/>
            <w:left w:w="108" w:type="dxa"/>
            <w:bottom w:w="0" w:type="dxa"/>
            <w:right w:w="108" w:type="dxa"/>
          </w:tblCellMar>
        </w:tblPrEx>
        <w:trPr>
          <w:trHeight w:val="375" w:hRule="atLeast"/>
        </w:trPr>
        <w:tc>
          <w:tcPr>
            <w:tcW w:w="5000" w:type="pct"/>
            <w:gridSpan w:val="26"/>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日期:     年  月  日</w:t>
            </w:r>
          </w:p>
        </w:tc>
      </w:tr>
      <w:tr>
        <w:tblPrEx>
          <w:tblCellMar>
            <w:top w:w="0" w:type="dxa"/>
            <w:left w:w="108" w:type="dxa"/>
            <w:bottom w:w="0" w:type="dxa"/>
            <w:right w:w="108" w:type="dxa"/>
          </w:tblCellMar>
        </w:tblPrEx>
        <w:trPr>
          <w:trHeight w:val="520" w:hRule="atLeast"/>
        </w:trPr>
        <w:tc>
          <w:tcPr>
            <w:tcW w:w="1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  名称</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一月</w:t>
            </w:r>
          </w:p>
        </w:tc>
        <w:tc>
          <w:tcPr>
            <w:tcW w:w="37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二月</w:t>
            </w:r>
          </w:p>
        </w:tc>
        <w:tc>
          <w:tcPr>
            <w:tcW w:w="3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四月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五月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六月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七月</w:t>
            </w:r>
          </w:p>
        </w:tc>
        <w:tc>
          <w:tcPr>
            <w:tcW w:w="3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八月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九月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十一月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十二月</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全年投诉合计（笔）</w:t>
            </w:r>
          </w:p>
        </w:tc>
      </w:tr>
      <w:tr>
        <w:tblPrEx>
          <w:tblCellMar>
            <w:top w:w="0" w:type="dxa"/>
            <w:left w:w="108" w:type="dxa"/>
            <w:bottom w:w="0" w:type="dxa"/>
            <w:right w:w="108" w:type="dxa"/>
          </w:tblCellMar>
        </w:tblPrEx>
        <w:trPr>
          <w:trHeight w:val="1980" w:hRule="atLeast"/>
        </w:trPr>
        <w:tc>
          <w:tcPr>
            <w:tcW w:w="1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2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222" w:type="pct"/>
            <w:gridSpan w:val="6"/>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302" w:type="pct"/>
            <w:gridSpan w:val="7"/>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222" w:type="pct"/>
            <w:gridSpan w:val="6"/>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复核人员签名：</w:t>
            </w: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27" w:type="pct"/>
            <w:gridSpan w:val="6"/>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pStyle w:val="2"/>
        <w:tabs>
          <w:tab w:val="left" w:pos="567"/>
        </w:tabs>
        <w:rPr>
          <w:color w:val="000000" w:themeColor="text1"/>
          <w:highlight w:val="none"/>
          <w14:textFill>
            <w14:solidFill>
              <w14:schemeClr w14:val="tx1"/>
            </w14:solidFill>
          </w14:textFill>
        </w:rPr>
      </w:pPr>
    </w:p>
    <w:p>
      <w:pPr>
        <w:rPr>
          <w:rFonts w:ascii="宋体" w:hAnsi="宋体"/>
          <w:color w:val="000000" w:themeColor="text1"/>
          <w:sz w:val="24"/>
          <w:highlight w:val="none"/>
          <w14:textFill>
            <w14:solidFill>
              <w14:schemeClr w14:val="tx1"/>
            </w14:solidFill>
          </w14:textFill>
        </w:rPr>
      </w:pPr>
    </w:p>
    <w:p>
      <w:pPr>
        <w:pStyle w:val="2"/>
        <w:tabs>
          <w:tab w:val="left" w:pos="567"/>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tbl>
      <w:tblPr>
        <w:tblStyle w:val="17"/>
        <w:tblW w:w="5000" w:type="pct"/>
        <w:tblInd w:w="0" w:type="dxa"/>
        <w:tblLayout w:type="autofit"/>
        <w:tblCellMar>
          <w:top w:w="0" w:type="dxa"/>
          <w:left w:w="108" w:type="dxa"/>
          <w:bottom w:w="0" w:type="dxa"/>
          <w:right w:w="108" w:type="dxa"/>
        </w:tblCellMar>
      </w:tblPr>
      <w:tblGrid>
        <w:gridCol w:w="260"/>
        <w:gridCol w:w="351"/>
        <w:gridCol w:w="306"/>
        <w:gridCol w:w="351"/>
        <w:gridCol w:w="306"/>
        <w:gridCol w:w="352"/>
        <w:gridCol w:w="307"/>
        <w:gridCol w:w="352"/>
        <w:gridCol w:w="307"/>
        <w:gridCol w:w="352"/>
        <w:gridCol w:w="307"/>
        <w:gridCol w:w="352"/>
        <w:gridCol w:w="307"/>
        <w:gridCol w:w="352"/>
        <w:gridCol w:w="307"/>
        <w:gridCol w:w="352"/>
        <w:gridCol w:w="307"/>
        <w:gridCol w:w="352"/>
        <w:gridCol w:w="307"/>
        <w:gridCol w:w="352"/>
        <w:gridCol w:w="307"/>
        <w:gridCol w:w="352"/>
        <w:gridCol w:w="307"/>
        <w:gridCol w:w="352"/>
        <w:gridCol w:w="307"/>
        <w:gridCol w:w="352"/>
      </w:tblGrid>
      <w:tr>
        <w:tblPrEx>
          <w:tblCellMar>
            <w:top w:w="0" w:type="dxa"/>
            <w:left w:w="108" w:type="dxa"/>
            <w:bottom w:w="0" w:type="dxa"/>
            <w:right w:w="108" w:type="dxa"/>
          </w:tblCellMar>
        </w:tblPrEx>
        <w:trPr>
          <w:trHeight w:val="620" w:hRule="atLeast"/>
        </w:trPr>
        <w:tc>
          <w:tcPr>
            <w:tcW w:w="5000" w:type="pct"/>
            <w:gridSpan w:val="26"/>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厦岗 </w:t>
            </w:r>
            <w:r>
              <w:rPr>
                <w:rFonts w:hint="eastAsia" w:ascii="宋体" w:hAnsi="宋体" w:cs="宋体"/>
                <w:color w:val="000000" w:themeColor="text1"/>
                <w:kern w:val="0"/>
                <w:szCs w:val="21"/>
                <w:highlight w:val="none"/>
                <w:lang w:bidi="ar"/>
                <w14:textFill>
                  <w14:solidFill>
                    <w14:schemeClr w14:val="tx1"/>
                  </w14:solidFill>
                </w14:textFill>
              </w:rPr>
              <w:t>社区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月环卫明查暗访评分统计表</w:t>
            </w:r>
          </w:p>
        </w:tc>
      </w:tr>
      <w:tr>
        <w:tblPrEx>
          <w:tblCellMar>
            <w:top w:w="0" w:type="dxa"/>
            <w:left w:w="108" w:type="dxa"/>
            <w:bottom w:w="0" w:type="dxa"/>
            <w:right w:w="108" w:type="dxa"/>
          </w:tblCellMar>
        </w:tblPrEx>
        <w:trPr>
          <w:trHeight w:val="285" w:hRule="atLeast"/>
        </w:trPr>
        <w:tc>
          <w:tcPr>
            <w:tcW w:w="5000" w:type="pct"/>
            <w:gridSpan w:val="26"/>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表4-4</w:t>
            </w:r>
          </w:p>
        </w:tc>
      </w:tr>
      <w:tr>
        <w:tblPrEx>
          <w:tblCellMar>
            <w:top w:w="0" w:type="dxa"/>
            <w:left w:w="108" w:type="dxa"/>
            <w:bottom w:w="0" w:type="dxa"/>
            <w:right w:w="108" w:type="dxa"/>
          </w:tblCellMar>
        </w:tblPrEx>
        <w:trPr>
          <w:trHeight w:val="375" w:hRule="atLeast"/>
        </w:trPr>
        <w:tc>
          <w:tcPr>
            <w:tcW w:w="5000" w:type="pct"/>
            <w:gridSpan w:val="26"/>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日期:    年    月     日</w:t>
            </w:r>
          </w:p>
        </w:tc>
      </w:tr>
      <w:tr>
        <w:tblPrEx>
          <w:tblCellMar>
            <w:top w:w="0" w:type="dxa"/>
            <w:left w:w="108" w:type="dxa"/>
            <w:bottom w:w="0" w:type="dxa"/>
            <w:right w:w="108" w:type="dxa"/>
          </w:tblCellMar>
        </w:tblPrEx>
        <w:trPr>
          <w:trHeight w:val="540"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  名称</w:t>
            </w:r>
          </w:p>
        </w:tc>
        <w:tc>
          <w:tcPr>
            <w:tcW w:w="3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一月</w:t>
            </w:r>
          </w:p>
        </w:tc>
        <w:tc>
          <w:tcPr>
            <w:tcW w:w="3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四月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五月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六月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七月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八月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九月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十一月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十二月</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全年明查暗访合计（笔）</w:t>
            </w:r>
          </w:p>
        </w:tc>
      </w:tr>
      <w:tr>
        <w:tblPrEx>
          <w:tblCellMar>
            <w:top w:w="0" w:type="dxa"/>
            <w:left w:w="108" w:type="dxa"/>
            <w:bottom w:w="0" w:type="dxa"/>
            <w:right w:w="108" w:type="dxa"/>
          </w:tblCellMar>
        </w:tblPrEx>
        <w:trPr>
          <w:trHeight w:val="19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20" w:hRule="atLeast"/>
        </w:trPr>
        <w:tc>
          <w:tcPr>
            <w:tcW w:w="1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58" w:type="pct"/>
            <w:gridSpan w:val="6"/>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60" w:type="pct"/>
            <w:gridSpan w:val="6"/>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58" w:type="pct"/>
            <w:gridSpan w:val="6"/>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复核人员签名：</w:t>
            </w: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54" w:type="pct"/>
            <w:gridSpan w:val="5"/>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pStyle w:val="2"/>
        <w:tabs>
          <w:tab w:val="left" w:pos="567"/>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pP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tbl>
      <w:tblPr>
        <w:tblStyle w:val="17"/>
        <w:tblW w:w="5000" w:type="pct"/>
        <w:tblInd w:w="0" w:type="dxa"/>
        <w:tblLayout w:type="autofit"/>
        <w:tblCellMar>
          <w:top w:w="0" w:type="dxa"/>
          <w:left w:w="108" w:type="dxa"/>
          <w:bottom w:w="0" w:type="dxa"/>
          <w:right w:w="108" w:type="dxa"/>
        </w:tblCellMar>
      </w:tblPr>
      <w:tblGrid>
        <w:gridCol w:w="629"/>
        <w:gridCol w:w="1686"/>
        <w:gridCol w:w="942"/>
        <w:gridCol w:w="760"/>
        <w:gridCol w:w="917"/>
        <w:gridCol w:w="676"/>
        <w:gridCol w:w="768"/>
        <w:gridCol w:w="749"/>
        <w:gridCol w:w="655"/>
        <w:gridCol w:w="734"/>
      </w:tblGrid>
      <w:tr>
        <w:tblPrEx>
          <w:tblCellMar>
            <w:top w:w="0" w:type="dxa"/>
            <w:left w:w="108" w:type="dxa"/>
            <w:bottom w:w="0" w:type="dxa"/>
            <w:right w:w="108" w:type="dxa"/>
          </w:tblCellMar>
        </w:tblPrEx>
        <w:trPr>
          <w:trHeight w:val="720" w:hRule="atLeast"/>
        </w:trPr>
        <w:tc>
          <w:tcPr>
            <w:tcW w:w="5000" w:type="pct"/>
            <w:gridSpan w:val="10"/>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lang w:bidi="ar"/>
                <w14:textFill>
                  <w14:solidFill>
                    <w14:schemeClr w14:val="tx1"/>
                  </w14:solidFill>
                </w14:textFill>
              </w:rPr>
              <w:t>社区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月环卫作业项目现场检查评分汇总表（30分）</w:t>
            </w:r>
          </w:p>
        </w:tc>
      </w:tr>
      <w:tr>
        <w:tblPrEx>
          <w:tblCellMar>
            <w:top w:w="0" w:type="dxa"/>
            <w:left w:w="108" w:type="dxa"/>
            <w:bottom w:w="0" w:type="dxa"/>
            <w:right w:w="108" w:type="dxa"/>
          </w:tblCellMar>
        </w:tblPrEx>
        <w:trPr>
          <w:trHeight w:val="285" w:hRule="atLeast"/>
        </w:trPr>
        <w:tc>
          <w:tcPr>
            <w:tcW w:w="5000" w:type="pct"/>
            <w:gridSpan w:val="10"/>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表4-5</w:t>
            </w:r>
          </w:p>
        </w:tc>
      </w:tr>
      <w:tr>
        <w:tblPrEx>
          <w:tblCellMar>
            <w:top w:w="0" w:type="dxa"/>
            <w:left w:w="108" w:type="dxa"/>
            <w:bottom w:w="0" w:type="dxa"/>
            <w:right w:w="108" w:type="dxa"/>
          </w:tblCellMar>
        </w:tblPrEx>
        <w:trPr>
          <w:trHeight w:val="375" w:hRule="atLeast"/>
        </w:trPr>
        <w:tc>
          <w:tcPr>
            <w:tcW w:w="5000" w:type="pct"/>
            <w:gridSpan w:val="10"/>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日期:    年   月   日</w:t>
            </w:r>
          </w:p>
        </w:tc>
      </w:tr>
      <w:tr>
        <w:tblPrEx>
          <w:tblCellMar>
            <w:top w:w="0" w:type="dxa"/>
            <w:left w:w="108" w:type="dxa"/>
            <w:bottom w:w="0" w:type="dxa"/>
            <w:right w:w="108" w:type="dxa"/>
          </w:tblCellMar>
        </w:tblPrEx>
        <w:trPr>
          <w:trHeight w:val="690" w:hRule="atLeast"/>
        </w:trPr>
        <w:tc>
          <w:tcPr>
            <w:tcW w:w="3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社区</w:t>
            </w:r>
          </w:p>
        </w:tc>
        <w:tc>
          <w:tcPr>
            <w:tcW w:w="279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月考核现场检查（20分）</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投诉处理得分（5分）</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明查暗访得分 （5分）</w:t>
            </w:r>
          </w:p>
        </w:tc>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月考核  总分</w:t>
            </w:r>
          </w:p>
        </w:tc>
        <w:tc>
          <w:tcPr>
            <w:tcW w:w="4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备注</w:t>
            </w:r>
          </w:p>
        </w:tc>
      </w:tr>
      <w:tr>
        <w:tblPrEx>
          <w:tblCellMar>
            <w:top w:w="0" w:type="dxa"/>
            <w:left w:w="108" w:type="dxa"/>
            <w:bottom w:w="0" w:type="dxa"/>
            <w:right w:w="108" w:type="dxa"/>
          </w:tblCellMar>
        </w:tblPrEx>
        <w:trPr>
          <w:trHeight w:val="480" w:hRule="atLeast"/>
        </w:trPr>
        <w:tc>
          <w:tcPr>
            <w:tcW w:w="3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13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社区领导评名占60%（12分）</w:t>
            </w:r>
          </w:p>
        </w:tc>
        <w:tc>
          <w:tcPr>
            <w:tcW w:w="103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环境办评分占40%（8分）</w:t>
            </w:r>
          </w:p>
        </w:tc>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合计得分</w:t>
            </w: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855" w:hRule="atLeast"/>
        </w:trPr>
        <w:tc>
          <w:tcPr>
            <w:tcW w:w="3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7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实际平均分</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按12分换算得分</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实际平均分</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按8分换算得分</w:t>
            </w:r>
          </w:p>
        </w:tc>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825"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229" w:type="pct"/>
            <w:gridSpan w:val="5"/>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r>
      <w:tr>
        <w:tblPrEx>
          <w:tblCellMar>
            <w:top w:w="0" w:type="dxa"/>
            <w:left w:w="108" w:type="dxa"/>
            <w:bottom w:w="0" w:type="dxa"/>
            <w:right w:w="108" w:type="dxa"/>
          </w:tblCellMar>
        </w:tblPrEx>
        <w:trPr>
          <w:trHeight w:val="375"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11" w:type="pct"/>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复核人员签名：</w:t>
            </w: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229" w:type="pct"/>
            <w:gridSpan w:val="5"/>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r>
    </w:tbl>
    <w:p>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p>
    <w:p>
      <w:pPr>
        <w:pStyle w:val="3"/>
        <w:pageBreakBefore/>
        <w:spacing w:line="360" w:lineRule="auto"/>
        <w:rPr>
          <w:rFonts w:hAnsi="宋体" w:cs="仿宋_GB2312"/>
          <w:color w:val="000000" w:themeColor="text1"/>
          <w:sz w:val="24"/>
          <w:highlight w:val="none"/>
          <w14:textFill>
            <w14:solidFill>
              <w14:schemeClr w14:val="tx1"/>
            </w14:solidFill>
          </w14:textFill>
        </w:rPr>
      </w:pPr>
      <w:bookmarkStart w:id="146" w:name="_Toc152951864"/>
      <w:r>
        <w:rPr>
          <w:rFonts w:hint="eastAsia" w:hAnsi="宋体" w:cs="仿宋_GB2312"/>
          <w:color w:val="000000" w:themeColor="text1"/>
          <w:sz w:val="24"/>
          <w:highlight w:val="none"/>
          <w14:textFill>
            <w14:solidFill>
              <w14:schemeClr w14:val="tx1"/>
            </w14:solidFill>
          </w14:textFill>
        </w:rPr>
        <w:t>附件：5、长安镇厦岗社区*年*月环卫工作项目考核评分结果汇总及扣分扣费情况表</w:t>
      </w:r>
      <w:bookmarkEnd w:id="146"/>
    </w:p>
    <w:tbl>
      <w:tblPr>
        <w:tblStyle w:val="17"/>
        <w:tblW w:w="8554" w:type="dxa"/>
        <w:tblInd w:w="0" w:type="dxa"/>
        <w:tblLayout w:type="fixed"/>
        <w:tblCellMar>
          <w:top w:w="0" w:type="dxa"/>
          <w:left w:w="108" w:type="dxa"/>
          <w:bottom w:w="0" w:type="dxa"/>
          <w:right w:w="108" w:type="dxa"/>
        </w:tblCellMar>
      </w:tblPr>
      <w:tblGrid>
        <w:gridCol w:w="560"/>
        <w:gridCol w:w="563"/>
        <w:gridCol w:w="708"/>
        <w:gridCol w:w="877"/>
        <w:gridCol w:w="915"/>
        <w:gridCol w:w="666"/>
        <w:gridCol w:w="542"/>
        <w:gridCol w:w="625"/>
        <w:gridCol w:w="375"/>
        <w:gridCol w:w="542"/>
        <w:gridCol w:w="521"/>
        <w:gridCol w:w="830"/>
        <w:gridCol w:w="830"/>
      </w:tblGrid>
      <w:tr>
        <w:trPr>
          <w:trHeight w:val="700" w:hRule="atLeast"/>
        </w:trPr>
        <w:tc>
          <w:tcPr>
            <w:tcW w:w="8554" w:type="dxa"/>
            <w:gridSpan w:val="13"/>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lang w:bidi="ar"/>
                <w14:textFill>
                  <w14:solidFill>
                    <w14:schemeClr w14:val="tx1"/>
                  </w14:solidFill>
                </w14:textFill>
              </w:rPr>
              <w:t>社区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年</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月环卫作业项目考核评分结果汇总及扣分扣费情况表</w:t>
            </w:r>
          </w:p>
        </w:tc>
      </w:tr>
      <w:tr>
        <w:tblPrEx>
          <w:tblCellMar>
            <w:top w:w="0" w:type="dxa"/>
            <w:left w:w="108" w:type="dxa"/>
            <w:bottom w:w="0" w:type="dxa"/>
            <w:right w:w="108" w:type="dxa"/>
          </w:tblCellMar>
        </w:tblPrEx>
        <w:trPr>
          <w:trHeight w:val="375" w:hRule="atLeast"/>
        </w:trPr>
        <w:tc>
          <w:tcPr>
            <w:tcW w:w="8554" w:type="dxa"/>
            <w:gridSpan w:val="13"/>
            <w:tcBorders>
              <w:top w:val="nil"/>
              <w:left w:val="nil"/>
              <w:bottom w:val="single" w:color="000000" w:sz="4" w:space="0"/>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单位（盖章）                                            日期:      年     月   日</w:t>
            </w:r>
          </w:p>
        </w:tc>
      </w:tr>
      <w:tr>
        <w:tblPrEx>
          <w:tblCellMar>
            <w:top w:w="0" w:type="dxa"/>
            <w:left w:w="108" w:type="dxa"/>
            <w:bottom w:w="0" w:type="dxa"/>
            <w:right w:w="108" w:type="dxa"/>
          </w:tblCellMar>
        </w:tblPrEx>
        <w:trPr>
          <w:trHeight w:val="495" w:hRule="atLeast"/>
        </w:trPr>
        <w:tc>
          <w:tcPr>
            <w:tcW w:w="5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社区名称</w:t>
            </w:r>
          </w:p>
        </w:tc>
        <w:tc>
          <w:tcPr>
            <w:tcW w:w="5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承包公司</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名称</w:t>
            </w:r>
          </w:p>
        </w:tc>
        <w:tc>
          <w:tcPr>
            <w:tcW w:w="52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环卫作业项目总分100分</w:t>
            </w:r>
          </w:p>
        </w:tc>
        <w:tc>
          <w:tcPr>
            <w:tcW w:w="5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总扣分（分）</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总扣减费用（元）</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月支付费用（元）</w:t>
            </w:r>
          </w:p>
        </w:tc>
      </w:tr>
      <w:tr>
        <w:tblPrEx>
          <w:tblCellMar>
            <w:top w:w="0" w:type="dxa"/>
            <w:left w:w="108" w:type="dxa"/>
            <w:bottom w:w="0" w:type="dxa"/>
            <w:right w:w="108" w:type="dxa"/>
          </w:tblCellMar>
        </w:tblPrEx>
        <w:trPr>
          <w:trHeight w:val="570"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日检（50分）</w:t>
            </w:r>
          </w:p>
        </w:tc>
        <w:tc>
          <w:tcPr>
            <w:tcW w:w="1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半月检（20分）</w:t>
            </w:r>
          </w:p>
        </w:tc>
        <w:tc>
          <w:tcPr>
            <w:tcW w:w="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月检（30分）</w:t>
            </w:r>
          </w:p>
        </w:tc>
        <w:tc>
          <w:tcPr>
            <w:tcW w:w="3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各项合计得分</w:t>
            </w:r>
          </w:p>
        </w:tc>
        <w:tc>
          <w:tcPr>
            <w:tcW w:w="5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承包公司得分</w:t>
            </w:r>
          </w:p>
        </w:tc>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720"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当月日检平均分</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管理架构、制度、人员配备等两次平均得分（10分）</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车辆配备两次平均得分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（10分）</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月考核现场评分（20分）</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投诉处理（5分）</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明查暗访（5分）</w:t>
            </w: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5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885"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42"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831" w:type="dxa"/>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84" w:type="dxa"/>
            <w:gridSpan w:val="4"/>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831" w:type="dxa"/>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复核人员签名：</w:t>
            </w: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05" w:hRule="atLeast"/>
        </w:trPr>
        <w:tc>
          <w:tcPr>
            <w:tcW w:w="1831"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84" w:type="dxa"/>
            <w:gridSpan w:val="4"/>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社区负责人签名：</w:t>
            </w: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pStyle w:val="2"/>
        <w:tabs>
          <w:tab w:val="left" w:pos="567"/>
        </w:tabs>
        <w:rPr>
          <w:color w:val="000000" w:themeColor="text1"/>
          <w:sz w:val="21"/>
          <w:szCs w:val="21"/>
          <w:highlight w:val="none"/>
          <w14:textFill>
            <w14:solidFill>
              <w14:schemeClr w14:val="tx1"/>
            </w14:solidFill>
          </w14:textFill>
        </w:rPr>
      </w:pPr>
    </w:p>
    <w:p>
      <w:pP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pPr>
        <w:pStyle w:val="3"/>
        <w:pageBreakBefore/>
        <w:spacing w:line="360" w:lineRule="auto"/>
        <w:rPr>
          <w:rFonts w:hAnsi="宋体" w:cs="仿宋_GB2312"/>
          <w:color w:val="000000" w:themeColor="text1"/>
          <w:sz w:val="24"/>
          <w:highlight w:val="none"/>
          <w14:textFill>
            <w14:solidFill>
              <w14:schemeClr w14:val="tx1"/>
            </w14:solidFill>
          </w14:textFill>
        </w:rPr>
      </w:pPr>
      <w:bookmarkStart w:id="147" w:name="_Toc152951865"/>
      <w:r>
        <w:rPr>
          <w:rFonts w:hint="eastAsia" w:hAnsi="宋体" w:cs="仿宋_GB2312"/>
          <w:color w:val="000000" w:themeColor="text1"/>
          <w:sz w:val="24"/>
          <w:highlight w:val="none"/>
          <w14:textFill>
            <w14:solidFill>
              <w14:schemeClr w14:val="tx1"/>
            </w14:solidFill>
          </w14:textFill>
        </w:rPr>
        <w:t>附件：6、*年长安镇厦岗社区环卫年终考核评分表</w:t>
      </w:r>
      <w:bookmarkEnd w:id="147"/>
    </w:p>
    <w:tbl>
      <w:tblPr>
        <w:tblStyle w:val="17"/>
        <w:tblW w:w="5000" w:type="pct"/>
        <w:tblInd w:w="0" w:type="dxa"/>
        <w:tblLayout w:type="autofit"/>
        <w:tblCellMar>
          <w:top w:w="0" w:type="dxa"/>
          <w:left w:w="108" w:type="dxa"/>
          <w:bottom w:w="0" w:type="dxa"/>
          <w:right w:w="108" w:type="dxa"/>
        </w:tblCellMar>
      </w:tblPr>
      <w:tblGrid>
        <w:gridCol w:w="567"/>
        <w:gridCol w:w="694"/>
        <w:gridCol w:w="627"/>
        <w:gridCol w:w="624"/>
        <w:gridCol w:w="624"/>
        <w:gridCol w:w="624"/>
        <w:gridCol w:w="624"/>
        <w:gridCol w:w="624"/>
        <w:gridCol w:w="624"/>
        <w:gridCol w:w="633"/>
        <w:gridCol w:w="626"/>
        <w:gridCol w:w="626"/>
        <w:gridCol w:w="654"/>
        <w:gridCol w:w="345"/>
      </w:tblGrid>
      <w:tr>
        <w:tblPrEx>
          <w:tblCellMar>
            <w:top w:w="0" w:type="dxa"/>
            <w:left w:w="108" w:type="dxa"/>
            <w:bottom w:w="0" w:type="dxa"/>
            <w:right w:w="108" w:type="dxa"/>
          </w:tblCellMar>
        </w:tblPrEx>
        <w:trPr>
          <w:trHeight w:val="680" w:hRule="atLeast"/>
        </w:trPr>
        <w:tc>
          <w:tcPr>
            <w:tcW w:w="5000" w:type="pct"/>
            <w:gridSpan w:val="14"/>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kern w:val="0"/>
                <w:szCs w:val="21"/>
                <w:highlight w:val="none"/>
                <w:u w:val="single"/>
                <w:lang w:bidi="ar"/>
                <w14:textFill>
                  <w14:solidFill>
                    <w14:schemeClr w14:val="tx1"/>
                  </w14:solidFill>
                </w14:textFill>
              </w:rPr>
              <w:t xml:space="preserve">            年长安镇厦岗社区环卫年终考核评分表</w:t>
            </w:r>
          </w:p>
        </w:tc>
      </w:tr>
      <w:tr>
        <w:tblPrEx>
          <w:tblCellMar>
            <w:top w:w="0" w:type="dxa"/>
            <w:left w:w="108" w:type="dxa"/>
            <w:bottom w:w="0" w:type="dxa"/>
            <w:right w:w="108" w:type="dxa"/>
          </w:tblCellMar>
        </w:tblPrEx>
        <w:trPr>
          <w:trHeight w:val="285" w:hRule="atLeast"/>
        </w:trPr>
        <w:tc>
          <w:tcPr>
            <w:tcW w:w="740" w:type="pct"/>
            <w:gridSpan w:val="2"/>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表6</w:t>
            </w: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4796" w:type="pct"/>
            <w:gridSpan w:val="13"/>
            <w:tcBorders>
              <w:top w:val="nil"/>
              <w:left w:val="nil"/>
              <w:bottom w:val="single" w:color="000000" w:sz="4" w:space="0"/>
              <w:right w:val="nil"/>
            </w:tcBorders>
            <w:shd w:val="clear" w:color="auto" w:fill="auto"/>
            <w:noWrap/>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日期:    年   月    日</w:t>
            </w: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455" w:hRule="atLeast"/>
        </w:trPr>
        <w:tc>
          <w:tcPr>
            <w:tcW w:w="327"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社区名称</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一月月检平均得分</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四月月检平均得分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五月月检平均得分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六月月检平均得分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七月月检平均得分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八月月检平均得分</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九月月检平均得分</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十月月检平均得分</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十一月</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月检平均得分</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十二月</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月检平均得分</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年终平均得分</w:t>
            </w:r>
          </w:p>
        </w:tc>
      </w:tr>
      <w:tr>
        <w:tblPrEx>
          <w:tblCellMar>
            <w:top w:w="0" w:type="dxa"/>
            <w:left w:w="108" w:type="dxa"/>
            <w:bottom w:w="0" w:type="dxa"/>
            <w:right w:w="108" w:type="dxa"/>
          </w:tblCellMar>
        </w:tblPrEx>
        <w:trPr>
          <w:trHeight w:val="99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4796" w:type="pct"/>
            <w:gridSpan w:val="13"/>
            <w:tcBorders>
              <w:top w:val="single" w:color="000000" w:sz="4" w:space="0"/>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注：每月填写分数是指参评人员在当月“月考核现场检查评表”打分的平均分数。总分100分。</w:t>
            </w: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108" w:type="pct"/>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04" w:type="pct"/>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108" w:type="pct"/>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复核人员签名：</w:t>
            </w: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04" w:type="pct"/>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pStyle w:val="2"/>
        <w:tabs>
          <w:tab w:val="left" w:pos="567"/>
        </w:tabs>
        <w:rPr>
          <w:color w:val="000000" w:themeColor="text1"/>
          <w:kern w:val="0"/>
          <w:sz w:val="21"/>
          <w:szCs w:val="21"/>
          <w:highlight w:val="none"/>
          <w14:textFill>
            <w14:solidFill>
              <w14:schemeClr w14:val="tx1"/>
            </w14:solidFill>
          </w14:textFill>
        </w:rPr>
      </w:pPr>
    </w:p>
    <w:p>
      <w:pPr>
        <w:rPr>
          <w:color w:val="000000" w:themeColor="text1"/>
          <w:highlight w:val="none"/>
          <w14:textFill>
            <w14:solidFill>
              <w14:schemeClr w14:val="tx1"/>
            </w14:solidFill>
          </w14:textFill>
        </w:rPr>
      </w:pPr>
    </w:p>
    <w:p>
      <w:pPr>
        <w:widowControl/>
        <w:spacing w:line="360" w:lineRule="auto"/>
        <w:rPr>
          <w:rFonts w:ascii="宋体" w:hAnsi="宋体" w:cs="宋体"/>
          <w:b/>
          <w:color w:val="000000" w:themeColor="text1"/>
          <w:szCs w:val="21"/>
          <w:highlight w:val="none"/>
          <w14:textFill>
            <w14:solidFill>
              <w14:schemeClr w14:val="tx1"/>
            </w14:solidFill>
          </w14:textFill>
        </w:rPr>
      </w:pPr>
    </w:p>
    <w:p>
      <w:pPr>
        <w:pStyle w:val="2"/>
        <w:rPr>
          <w:color w:val="000000" w:themeColor="text1"/>
          <w:highlight w:val="none"/>
          <w:lang w:val="en-US"/>
          <w14:textFill>
            <w14:solidFill>
              <w14:schemeClr w14:val="tx1"/>
            </w14:solidFill>
          </w14:textFill>
        </w:rPr>
      </w:pPr>
    </w:p>
    <w:p>
      <w:pPr>
        <w:rPr>
          <w:rFonts w:ascii="宋体" w:hAnsi="宋体" w:cs="宋体"/>
          <w:b/>
          <w:bCs/>
          <w:color w:val="000000" w:themeColor="text1"/>
          <w:kern w:val="0"/>
          <w:szCs w:val="21"/>
          <w:highlight w:val="none"/>
          <w:lang w:val="zh-CN" w:bidi="zh-CN"/>
          <w14:textFill>
            <w14:solidFill>
              <w14:schemeClr w14:val="tx1"/>
            </w14:solidFill>
          </w14:textFill>
        </w:rPr>
      </w:pPr>
    </w:p>
    <w:p>
      <w:pPr>
        <w:autoSpaceDE w:val="0"/>
        <w:autoSpaceDN w:val="0"/>
        <w:spacing w:line="360" w:lineRule="auto"/>
        <w:ind w:left="632" w:right="565" w:rightChars="269" w:hanging="632" w:hangingChars="300"/>
        <w:rPr>
          <w:rFonts w:ascii="宋体" w:hAnsi="宋体" w:cs="宋体"/>
          <w:b/>
          <w:bCs/>
          <w:color w:val="000000" w:themeColor="text1"/>
          <w:kern w:val="0"/>
          <w:szCs w:val="21"/>
          <w:highlight w:val="none"/>
          <w:lang w:val="zh-CN" w:bidi="zh-CN"/>
          <w14:textFill>
            <w14:solidFill>
              <w14:schemeClr w14:val="tx1"/>
            </w14:solidFill>
          </w14:textFill>
        </w:rPr>
      </w:pPr>
      <w:r>
        <w:rPr>
          <w:rFonts w:hint="eastAsia" w:ascii="宋体" w:hAnsi="宋体" w:cs="宋体"/>
          <w:b/>
          <w:bCs/>
          <w:color w:val="000000" w:themeColor="text1"/>
          <w:kern w:val="0"/>
          <w:szCs w:val="21"/>
          <w:highlight w:val="none"/>
          <w:lang w:val="zh-CN" w:bidi="zh-CN"/>
          <w14:textFill>
            <w14:solidFill>
              <w14:schemeClr w14:val="tx1"/>
            </w14:solidFill>
          </w14:textFill>
        </w:rPr>
        <w:t>说明</w:t>
      </w:r>
      <w:r>
        <w:rPr>
          <w:rFonts w:hint="eastAsia" w:ascii="宋体" w:hAnsi="宋体" w:cs="宋体"/>
          <w:b/>
          <w:bCs/>
          <w:color w:val="000000" w:themeColor="text1"/>
          <w:kern w:val="0"/>
          <w:szCs w:val="21"/>
          <w:highlight w:val="none"/>
          <w:lang w:bidi="zh-CN"/>
          <w14:textFill>
            <w14:solidFill>
              <w14:schemeClr w14:val="tx1"/>
            </w14:solidFill>
          </w14:textFill>
        </w:rPr>
        <w:t>:1、</w:t>
      </w:r>
      <w:r>
        <w:rPr>
          <w:rFonts w:hint="eastAsia" w:ascii="宋体" w:hAnsi="宋体" w:cs="宋体"/>
          <w:b/>
          <w:bCs/>
          <w:color w:val="000000" w:themeColor="text1"/>
          <w:kern w:val="0"/>
          <w:szCs w:val="21"/>
          <w:highlight w:val="none"/>
          <w:lang w:val="zh-CN" w:bidi="zh-CN"/>
          <w14:textFill>
            <w14:solidFill>
              <w14:schemeClr w14:val="tx1"/>
            </w14:solidFill>
          </w14:textFill>
        </w:rPr>
        <w:t>打“★”号条款为实质性条款，若有任何一条负偏离或不满足则导致投标（响应）无效。</w:t>
      </w:r>
    </w:p>
    <w:p>
      <w:pPr>
        <w:pStyle w:val="2"/>
        <w:spacing w:before="0" w:line="360" w:lineRule="auto"/>
        <w:ind w:left="638" w:leftChars="304"/>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val="en-US"/>
          <w14:textFill>
            <w14:solidFill>
              <w14:schemeClr w14:val="tx1"/>
            </w14:solidFill>
          </w14:textFill>
        </w:rPr>
        <w:t>2、</w:t>
      </w:r>
      <w:r>
        <w:rPr>
          <w:rFonts w:hint="eastAsia"/>
          <w:b/>
          <w:bCs/>
          <w:color w:val="000000" w:themeColor="text1"/>
          <w:kern w:val="0"/>
          <w:sz w:val="21"/>
          <w:szCs w:val="21"/>
          <w:highlight w:val="none"/>
          <w14:textFill>
            <w14:solidFill>
              <w14:schemeClr w14:val="tx1"/>
            </w14:solidFill>
          </w14:textFill>
        </w:rPr>
        <w:t>打“▲”号条款为重要技术参数（如有），若有部分“▲”条款未响应或不满足，将根据评审要求影响其得分，但不作为无效投标（响应）条款。</w:t>
      </w:r>
    </w:p>
    <w:p>
      <w:pPr>
        <w:rPr>
          <w:color w:val="000000" w:themeColor="text1"/>
          <w:highlight w:val="none"/>
          <w14:textFill>
            <w14:solidFill>
              <w14:schemeClr w14:val="tx1"/>
            </w14:solidFill>
          </w14:textFill>
        </w:rPr>
      </w:pPr>
      <w:bookmarkStart w:id="148" w:name="_Toc28584"/>
      <w:r>
        <w:rPr>
          <w:rFonts w:hint="eastAsia"/>
          <w:color w:val="000000" w:themeColor="text1"/>
          <w:highlight w:val="none"/>
          <w14:textFill>
            <w14:solidFill>
              <w14:schemeClr w14:val="tx1"/>
            </w14:solidFill>
          </w14:textFill>
        </w:rPr>
        <w:br w:type="page"/>
      </w:r>
    </w:p>
    <w:p>
      <w:pPr>
        <w:pStyle w:val="3"/>
        <w:numPr>
          <w:ilvl w:val="0"/>
          <w:numId w:val="1"/>
        </w:num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详细评审</w:t>
      </w:r>
      <w:bookmarkEnd w:id="148"/>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9"/>
        <w:gridCol w:w="734"/>
        <w:gridCol w:w="28"/>
        <w:gridCol w:w="5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b/>
                <w:bCs/>
                <w:color w:val="000000" w:themeColor="text1"/>
                <w:sz w:val="21"/>
                <w:szCs w:val="21"/>
                <w:highlight w:val="none"/>
                <w14:textFill>
                  <w14:solidFill>
                    <w14:schemeClr w14:val="tx1"/>
                  </w14:solidFill>
                </w14:textFill>
              </w:rPr>
            </w:pPr>
            <w:r>
              <w:rPr>
                <w:rFonts w:hint="eastAsia" w:ascii="宋体" w:eastAsia="宋体" w:cs="宋体"/>
                <w:b/>
                <w:bCs/>
                <w:color w:val="000000" w:themeColor="text1"/>
                <w:sz w:val="21"/>
                <w:szCs w:val="21"/>
                <w:highlight w:val="none"/>
                <w14:textFill>
                  <w14:solidFill>
                    <w14:schemeClr w14:val="tx1"/>
                  </w14:solidFill>
                </w14:textFill>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b/>
                <w:bCs/>
                <w:color w:val="000000" w:themeColor="text1"/>
                <w:sz w:val="21"/>
                <w:szCs w:val="21"/>
                <w:highlight w:val="none"/>
                <w14:textFill>
                  <w14:solidFill>
                    <w14:schemeClr w14:val="tx1"/>
                  </w14:solidFill>
                </w14:textFill>
              </w:rPr>
            </w:pPr>
            <w:r>
              <w:rPr>
                <w:rFonts w:hint="eastAsia" w:ascii="宋体" w:eastAsia="宋体" w:cs="宋体"/>
                <w:b/>
                <w:bCs/>
                <w:color w:val="000000" w:themeColor="text1"/>
                <w:sz w:val="21"/>
                <w:szCs w:val="21"/>
                <w:highlight w:val="none"/>
                <w14:textFill>
                  <w14:solidFill>
                    <w14:schemeClr w14:val="tx1"/>
                  </w14:solidFill>
                </w14:textFill>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b/>
                <w:bCs/>
                <w:color w:val="000000" w:themeColor="text1"/>
                <w:sz w:val="21"/>
                <w:szCs w:val="21"/>
                <w:highlight w:val="none"/>
                <w14:textFill>
                  <w14:solidFill>
                    <w14:schemeClr w14:val="tx1"/>
                  </w14:solidFill>
                </w14:textFill>
              </w:rPr>
            </w:pPr>
            <w:r>
              <w:rPr>
                <w:rFonts w:hint="eastAsia" w:ascii="宋体" w:eastAsia="宋体" w:cs="宋体"/>
                <w:b/>
                <w:bCs/>
                <w:color w:val="000000" w:themeColor="text1"/>
                <w:sz w:val="21"/>
                <w:szCs w:val="21"/>
                <w:highlight w:val="none"/>
                <w14:textFill>
                  <w14:solidFill>
                    <w14:schemeClr w14:val="tx1"/>
                  </w14:solidFill>
                </w14:textFill>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b/>
                <w:bCs/>
                <w:color w:val="000000" w:themeColor="text1"/>
                <w:sz w:val="21"/>
                <w:szCs w:val="21"/>
                <w:highlight w:val="none"/>
                <w14:textFill>
                  <w14:solidFill>
                    <w14:schemeClr w14:val="tx1"/>
                  </w14:solidFill>
                </w14:textFill>
              </w:rPr>
            </w:pPr>
            <w:r>
              <w:rPr>
                <w:rFonts w:hint="eastAsia" w:ascii="宋体" w:eastAsia="宋体" w:cs="宋体"/>
                <w:b/>
                <w:bCs/>
                <w:color w:val="000000" w:themeColor="text1"/>
                <w:sz w:val="21"/>
                <w:szCs w:val="21"/>
                <w:highlight w:val="none"/>
                <w14:textFill>
                  <w14:solidFill>
                    <w14:schemeClr w14:val="tx1"/>
                  </w14:solidFill>
                </w14:textFill>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b/>
                <w:bCs/>
                <w:color w:val="000000" w:themeColor="text1"/>
                <w:sz w:val="21"/>
                <w:szCs w:val="21"/>
                <w:highlight w:val="none"/>
                <w14:textFill>
                  <w14:solidFill>
                    <w14:schemeClr w14:val="tx1"/>
                  </w14:solidFill>
                </w14:textFill>
              </w:rPr>
            </w:pPr>
            <w:r>
              <w:rPr>
                <w:rFonts w:hint="eastAsia" w:ascii="宋体" w:eastAsia="宋体" w:cs="宋体"/>
                <w:b/>
                <w:bCs/>
                <w:color w:val="000000" w:themeColor="text1"/>
                <w:sz w:val="21"/>
                <w:szCs w:val="21"/>
                <w:highlight w:val="none"/>
                <w14:textFill>
                  <w14:solidFill>
                    <w14:schemeClr w14:val="tx1"/>
                  </w14:solidFill>
                </w14:textFill>
              </w:rPr>
              <w:t>商务评审（30分）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690" w:type="dxa"/>
            <w:tcBorders>
              <w:top w:val="single" w:color="auto" w:sz="4" w:space="0"/>
              <w:left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1</w:t>
            </w:r>
          </w:p>
        </w:tc>
        <w:tc>
          <w:tcPr>
            <w:tcW w:w="1607" w:type="dxa"/>
            <w:tcBorders>
              <w:top w:val="single" w:color="auto" w:sz="4" w:space="0"/>
              <w:left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体系认证</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6</w:t>
            </w:r>
          </w:p>
        </w:tc>
        <w:tc>
          <w:tcPr>
            <w:tcW w:w="5463" w:type="dxa"/>
            <w:tcBorders>
              <w:top w:val="single" w:color="auto" w:sz="4" w:space="0"/>
              <w:left w:val="single" w:color="auto" w:sz="4" w:space="0"/>
              <w:bottom w:val="single" w:color="auto" w:sz="4" w:space="0"/>
              <w:right w:val="single" w:color="auto" w:sz="4" w:space="0"/>
            </w:tcBorders>
            <w:vAlign w:val="center"/>
          </w:tcPr>
          <w:p>
            <w:pPr>
              <w:pStyle w:val="25"/>
              <w:spacing w:line="288"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 xml:space="preserve">投标人具有由国家认证认可监督管理部门批准设立的认证机构颁发并在有效期内质量管理体系认证证书、环境管理体系认证证书、职业健康安全管理体系证书的，每项证书2分，满分6分。 </w:t>
            </w:r>
          </w:p>
          <w:p>
            <w:pPr>
              <w:pStyle w:val="25"/>
              <w:spacing w:line="288" w:lineRule="auto"/>
              <w:ind w:firstLine="420" w:firstLineChars="200"/>
              <w:rPr>
                <w:rFonts w:ascii="宋体" w:eastAsia="宋体" w:cs="宋体"/>
                <w:bCs/>
                <w:color w:val="000000" w:themeColor="text1"/>
                <w:sz w:val="21"/>
                <w:szCs w:val="21"/>
                <w:highlight w:val="none"/>
                <w:lang w:val="zh-CN"/>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注：须提供有效期内的证书复印件加盖投标人公章，否则不得分。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相关业绩</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20</w:t>
            </w:r>
          </w:p>
        </w:tc>
        <w:tc>
          <w:tcPr>
            <w:tcW w:w="5463" w:type="dxa"/>
            <w:tcBorders>
              <w:top w:val="single" w:color="auto" w:sz="4" w:space="0"/>
              <w:left w:val="single" w:color="auto" w:sz="4" w:space="0"/>
              <w:bottom w:val="single" w:color="auto" w:sz="4" w:space="0"/>
              <w:right w:val="single" w:color="auto" w:sz="4" w:space="0"/>
            </w:tcBorders>
            <w:vAlign w:val="center"/>
          </w:tcPr>
          <w:p>
            <w:pPr>
              <w:pStyle w:val="25"/>
              <w:spacing w:line="288" w:lineRule="auto"/>
              <w:ind w:firstLine="420" w:firstLineChars="200"/>
              <w:jc w:val="left"/>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投标人自2020年1月1日（以合同签订日期为准）以来正在管理或已完成的清扫（保洁）或垃圾收集或垃圾清运或公厕管养类业绩，每提供一个得4分，最高得20分。</w:t>
            </w:r>
          </w:p>
          <w:p>
            <w:pPr>
              <w:pStyle w:val="25"/>
              <w:spacing w:line="288" w:lineRule="auto"/>
              <w:ind w:firstLine="420" w:firstLineChars="200"/>
              <w:rPr>
                <w:rFonts w:ascii="宋体" w:eastAsia="宋体" w:cs="宋体"/>
                <w:bCs/>
                <w:color w:val="000000" w:themeColor="text1"/>
                <w:sz w:val="21"/>
                <w:szCs w:val="21"/>
                <w:highlight w:val="none"/>
                <w:lang w:val="zh-CN"/>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注：须提供合同扫描件并加盖投标人公章。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cs="宋体"/>
                <w:color w:val="000000" w:themeColor="text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服务便利性</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cs="宋体"/>
                <w:color w:val="000000" w:themeColor="text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4</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根据投标人提供的服务响应时间承诺进行评分。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投标人承诺在接到采购人通知后1小时（含）内到现场，得4分；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投标人承诺在接到采购人通知后2小时（含）内到现场，得2分；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投标人承诺在接到采购人通知后4小时（含）内到现场，得1分；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投标人承诺在接到采购人通知后超过4小时到现场，不得分。</w:t>
            </w:r>
          </w:p>
          <w:p>
            <w:pPr>
              <w:pStyle w:val="25"/>
              <w:spacing w:line="288" w:lineRule="auto"/>
              <w:ind w:firstLine="420" w:firstLineChars="200"/>
              <w:rPr>
                <w:rFonts w:ascii="宋体" w:cs="宋体"/>
                <w:bCs/>
                <w:color w:val="000000" w:themeColor="text1"/>
                <w:szCs w:val="21"/>
                <w:highlight w:val="none"/>
                <w:lang w:val="zh-CN"/>
                <w14:textFill>
                  <w14:solidFill>
                    <w14:schemeClr w14:val="tx1"/>
                  </w14:solidFill>
                </w14:textFill>
              </w:rPr>
            </w:pPr>
            <w:r>
              <w:rPr>
                <w:rFonts w:hint="eastAsia" w:ascii="宋体" w:eastAsia="宋体" w:cs="宋体"/>
                <w:bCs/>
                <w:color w:val="000000" w:themeColor="text1"/>
                <w:sz w:val="21"/>
                <w:szCs w:val="21"/>
                <w:highlight w:val="none"/>
                <w14:textFill>
                  <w14:solidFill>
                    <w14:schemeClr w14:val="tx1"/>
                  </w14:solidFill>
                </w14:textFill>
              </w:rPr>
              <w:t>提供服务承诺书并加盖投标人公章。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b/>
                <w:bCs/>
                <w:color w:val="000000" w:themeColor="text1"/>
                <w:sz w:val="21"/>
                <w:szCs w:val="21"/>
                <w:highlight w:val="none"/>
                <w14:textFill>
                  <w14:solidFill>
                    <w14:schemeClr w14:val="tx1"/>
                  </w14:solidFill>
                </w14:textFill>
              </w:rPr>
              <w:t>技术评审（60分）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对项目实施区域及项目内容的熟悉程度</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5463" w:type="dxa"/>
            <w:tcBorders>
              <w:top w:val="single" w:color="auto" w:sz="4" w:space="0"/>
              <w:left w:val="single" w:color="auto" w:sz="4" w:space="0"/>
              <w:bottom w:val="single" w:color="auto" w:sz="4" w:space="0"/>
              <w:right w:val="single" w:color="auto" w:sz="4" w:space="0"/>
            </w:tcBorders>
          </w:tcPr>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根据投标人的对项目的熟悉程度进行综合评分：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1.投标人熟悉了解本次采购项目实施区域环境现状，对本项目服务内容熟悉，非常了解本项目服务重点，能详细说明辖区内的工作难点、重点，完全贴合项目需求，得10分；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2.投标人对本次采购项目实施区域环境现状较为清楚，对本项目服务内容熟悉，了解本项目服务重点，能概述辖区内的工作难点、重点 ，基本贴合项目需求，得6分； </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3.投标人对本次采购项目实施区域环境现状了解欠缺，对本项目服务内容不够熟悉，对本项目服务重点不够了解，不能说明辖区内的工作难点、重点，部分贴合项目需求，得3分； </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4.投标人对本次采购项目实施区域环境现状不了解，对本项目服务内容不熟悉，对本项目服务重点不了解，不能说明辖区内的工作难点、重点，未能贴合项目需求，得1分；  </w:t>
            </w:r>
          </w:p>
          <w:p>
            <w:pPr>
              <w:spacing w:line="288" w:lineRule="auto"/>
              <w:ind w:firstLine="420" w:firstLineChars="200"/>
              <w:rPr>
                <w:rFonts w:ascii="宋体" w:cs="宋体"/>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5.未提供相关方案的，不得分。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环卫绿化保洁实施方案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5463" w:type="dxa"/>
            <w:tcBorders>
              <w:top w:val="single" w:color="auto" w:sz="4" w:space="0"/>
              <w:left w:val="single" w:color="auto" w:sz="4" w:space="0"/>
              <w:bottom w:val="single" w:color="auto" w:sz="4" w:space="0"/>
              <w:right w:val="single" w:color="auto" w:sz="4" w:space="0"/>
            </w:tcBorders>
          </w:tcPr>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根据投标人提供的环卫绿化保洁实施方案（包含但不仅限于清扫保洁、洒水冲洗、绿化养护、垃圾收集容器清洗保洁、公共厕所管理与保洁及水域绿地保洁等环卫绿化保洁作业等）进行综合评分： </w:t>
            </w:r>
          </w:p>
          <w:p>
            <w:pPr>
              <w:spacing w:line="288" w:lineRule="auto"/>
              <w:ind w:firstLine="420" w:firstLineChars="200"/>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1.清扫保洁、洒水冲洗、绿化养护</w:t>
            </w:r>
            <w:r>
              <w:rPr>
                <w:rFonts w:hint="eastAsia" w:ascii="宋体" w:hAnsi="宋体" w:cs="宋体"/>
                <w:bCs/>
                <w:color w:val="000000" w:themeColor="text1"/>
                <w:szCs w:val="21"/>
                <w:highlight w:val="none"/>
                <w:lang w:val="zh-CN"/>
                <w14:textFill>
                  <w14:solidFill>
                    <w14:schemeClr w14:val="tx1"/>
                  </w14:solidFill>
                </w14:textFill>
              </w:rPr>
              <w:t>准备工作十分充分，</w:t>
            </w:r>
            <w:r>
              <w:rPr>
                <w:rFonts w:hint="eastAsia" w:ascii="宋体" w:hAnsi="宋体" w:cs="宋体"/>
                <w:bCs/>
                <w:color w:val="000000" w:themeColor="text1"/>
                <w:szCs w:val="21"/>
                <w:highlight w:val="none"/>
                <w14:textFill>
                  <w14:solidFill>
                    <w14:schemeClr w14:val="tx1"/>
                  </w14:solidFill>
                </w14:textFill>
              </w:rPr>
              <w:t>生活垃圾收集至转运站（收集点）</w:t>
            </w:r>
            <w:r>
              <w:rPr>
                <w:rFonts w:hint="eastAsia" w:ascii="宋体" w:hAnsi="宋体" w:cs="宋体"/>
                <w:bCs/>
                <w:color w:val="000000" w:themeColor="text1"/>
                <w:szCs w:val="21"/>
                <w:highlight w:val="none"/>
                <w:lang w:val="zh-CN"/>
                <w14:textFill>
                  <w14:solidFill>
                    <w14:schemeClr w14:val="tx1"/>
                  </w14:solidFill>
                </w14:textFill>
              </w:rPr>
              <w:t>方案非常具体可行、科学合理、详细明确，</w:t>
            </w:r>
            <w:r>
              <w:rPr>
                <w:rFonts w:hint="eastAsia" w:ascii="宋体" w:hAnsi="宋体" w:cs="宋体"/>
                <w:bCs/>
                <w:color w:val="000000" w:themeColor="text1"/>
                <w:szCs w:val="21"/>
                <w:highlight w:val="none"/>
                <w14:textFill>
                  <w14:solidFill>
                    <w14:schemeClr w14:val="tx1"/>
                  </w14:solidFill>
                </w14:textFill>
              </w:rPr>
              <w:t>水域绿地保洁等保洁作业</w:t>
            </w:r>
            <w:r>
              <w:rPr>
                <w:rFonts w:hint="eastAsia" w:ascii="宋体" w:hAnsi="宋体" w:cs="宋体"/>
                <w:bCs/>
                <w:color w:val="000000" w:themeColor="text1"/>
                <w:szCs w:val="21"/>
                <w:highlight w:val="none"/>
                <w:lang w:val="zh-CN"/>
                <w14:textFill>
                  <w14:solidFill>
                    <w14:schemeClr w14:val="tx1"/>
                  </w14:solidFill>
                </w14:textFill>
              </w:rPr>
              <w:t>安排非常合理，得</w:t>
            </w:r>
            <w:r>
              <w:rPr>
                <w:rFonts w:hint="eastAsia" w:ascii="宋体" w:hAnsi="宋体" w:cs="宋体"/>
                <w:bCs/>
                <w:color w:val="000000" w:themeColor="text1"/>
                <w:szCs w:val="21"/>
                <w:highlight w:val="none"/>
                <w14:textFill>
                  <w14:solidFill>
                    <w14:schemeClr w14:val="tx1"/>
                  </w14:solidFill>
                </w14:textFill>
              </w:rPr>
              <w:t>20</w:t>
            </w:r>
            <w:r>
              <w:rPr>
                <w:rFonts w:hint="eastAsia" w:ascii="宋体" w:hAnsi="宋体" w:cs="宋体"/>
                <w:bCs/>
                <w:color w:val="000000" w:themeColor="text1"/>
                <w:szCs w:val="21"/>
                <w:highlight w:val="none"/>
                <w:lang w:val="zh-CN"/>
                <w14:textFill>
                  <w14:solidFill>
                    <w14:schemeClr w14:val="tx1"/>
                  </w14:solidFill>
                </w14:textFill>
              </w:rPr>
              <w:t>分；</w:t>
            </w:r>
          </w:p>
          <w:p>
            <w:pPr>
              <w:spacing w:line="288" w:lineRule="auto"/>
              <w:ind w:firstLine="420" w:firstLineChars="200"/>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2.清扫保洁、洒水冲洗、绿化养护</w:t>
            </w:r>
            <w:r>
              <w:rPr>
                <w:rFonts w:hint="eastAsia" w:ascii="宋体" w:hAnsi="宋体" w:cs="宋体"/>
                <w:bCs/>
                <w:color w:val="000000" w:themeColor="text1"/>
                <w:szCs w:val="21"/>
                <w:highlight w:val="none"/>
                <w:lang w:val="zh-CN"/>
                <w14:textFill>
                  <w14:solidFill>
                    <w14:schemeClr w14:val="tx1"/>
                  </w14:solidFill>
                </w14:textFill>
              </w:rPr>
              <w:t>准备工作充分，</w:t>
            </w:r>
            <w:r>
              <w:rPr>
                <w:rFonts w:hint="eastAsia" w:ascii="宋体" w:hAnsi="宋体" w:cs="宋体"/>
                <w:bCs/>
                <w:color w:val="000000" w:themeColor="text1"/>
                <w:szCs w:val="21"/>
                <w:highlight w:val="none"/>
                <w14:textFill>
                  <w14:solidFill>
                    <w14:schemeClr w14:val="tx1"/>
                  </w14:solidFill>
                </w14:textFill>
              </w:rPr>
              <w:t>垃圾收集容器清洗保洁、公共厕所管理与保洁</w:t>
            </w:r>
            <w:r>
              <w:rPr>
                <w:rFonts w:hint="eastAsia" w:ascii="宋体" w:hAnsi="宋体" w:cs="宋体"/>
                <w:bCs/>
                <w:color w:val="000000" w:themeColor="text1"/>
                <w:szCs w:val="21"/>
                <w:highlight w:val="none"/>
                <w:lang w:val="zh-CN"/>
                <w14:textFill>
                  <w14:solidFill>
                    <w14:schemeClr w14:val="tx1"/>
                  </w14:solidFill>
                </w14:textFill>
              </w:rPr>
              <w:t>方案较具体可行、合理、详细明确，</w:t>
            </w:r>
            <w:r>
              <w:rPr>
                <w:rFonts w:hint="eastAsia" w:ascii="宋体" w:hAnsi="宋体" w:cs="宋体"/>
                <w:bCs/>
                <w:color w:val="000000" w:themeColor="text1"/>
                <w:szCs w:val="21"/>
                <w:highlight w:val="none"/>
                <w14:textFill>
                  <w14:solidFill>
                    <w14:schemeClr w14:val="tx1"/>
                  </w14:solidFill>
                </w14:textFill>
              </w:rPr>
              <w:t>水域绿地保洁等保洁作业</w:t>
            </w:r>
            <w:r>
              <w:rPr>
                <w:rFonts w:hint="eastAsia" w:ascii="宋体" w:hAnsi="宋体" w:cs="宋体"/>
                <w:bCs/>
                <w:color w:val="000000" w:themeColor="text1"/>
                <w:szCs w:val="21"/>
                <w:highlight w:val="none"/>
                <w:lang w:val="zh-CN"/>
                <w14:textFill>
                  <w14:solidFill>
                    <w14:schemeClr w14:val="tx1"/>
                  </w14:solidFill>
                </w14:textFill>
              </w:rPr>
              <w:t>安排较合理，得</w:t>
            </w:r>
            <w:r>
              <w:rPr>
                <w:rFonts w:hint="eastAsia" w:ascii="宋体" w:hAnsi="宋体" w:cs="宋体"/>
                <w:bCs/>
                <w:color w:val="000000" w:themeColor="text1"/>
                <w:szCs w:val="21"/>
                <w:highlight w:val="none"/>
                <w14:textFill>
                  <w14:solidFill>
                    <w14:schemeClr w14:val="tx1"/>
                  </w14:solidFill>
                </w14:textFill>
              </w:rPr>
              <w:t>13</w:t>
            </w:r>
            <w:r>
              <w:rPr>
                <w:rFonts w:hint="eastAsia" w:ascii="宋体" w:hAnsi="宋体" w:cs="宋体"/>
                <w:bCs/>
                <w:color w:val="000000" w:themeColor="text1"/>
                <w:szCs w:val="21"/>
                <w:highlight w:val="none"/>
                <w:lang w:val="zh-CN"/>
                <w14:textFill>
                  <w14:solidFill>
                    <w14:schemeClr w14:val="tx1"/>
                  </w14:solidFill>
                </w14:textFill>
              </w:rPr>
              <w:t>分；</w:t>
            </w:r>
          </w:p>
          <w:p>
            <w:pPr>
              <w:spacing w:line="288" w:lineRule="auto"/>
              <w:ind w:firstLine="420" w:firstLineChars="200"/>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3.清扫保洁、洒水冲洗、绿化养护</w:t>
            </w:r>
            <w:r>
              <w:rPr>
                <w:rFonts w:hint="eastAsia" w:ascii="宋体" w:hAnsi="宋体" w:cs="宋体"/>
                <w:bCs/>
                <w:color w:val="000000" w:themeColor="text1"/>
                <w:szCs w:val="21"/>
                <w:highlight w:val="none"/>
                <w:lang w:val="zh-CN"/>
                <w14:textFill>
                  <w14:solidFill>
                    <w14:schemeClr w14:val="tx1"/>
                  </w14:solidFill>
                </w14:textFill>
              </w:rPr>
              <w:t>准备工作方案可行性一般，</w:t>
            </w:r>
            <w:r>
              <w:rPr>
                <w:rFonts w:hint="eastAsia" w:ascii="宋体" w:hAnsi="宋体" w:cs="宋体"/>
                <w:bCs/>
                <w:color w:val="000000" w:themeColor="text1"/>
                <w:szCs w:val="21"/>
                <w:highlight w:val="none"/>
                <w14:textFill>
                  <w14:solidFill>
                    <w14:schemeClr w14:val="tx1"/>
                  </w14:solidFill>
                </w14:textFill>
              </w:rPr>
              <w:t>垃圾收集容器清洗保洁、公共厕所管理与保洁</w:t>
            </w:r>
            <w:r>
              <w:rPr>
                <w:rFonts w:hint="eastAsia" w:ascii="宋体" w:hAnsi="宋体" w:cs="宋体"/>
                <w:bCs/>
                <w:color w:val="000000" w:themeColor="text1"/>
                <w:szCs w:val="21"/>
                <w:highlight w:val="none"/>
                <w:lang w:val="zh-CN"/>
                <w14:textFill>
                  <w14:solidFill>
                    <w14:schemeClr w14:val="tx1"/>
                  </w14:solidFill>
                </w14:textFill>
              </w:rPr>
              <w:t>方案可行性一般，详细度一般，</w:t>
            </w:r>
            <w:r>
              <w:rPr>
                <w:rFonts w:hint="eastAsia" w:ascii="宋体" w:hAnsi="宋体" w:cs="宋体"/>
                <w:bCs/>
                <w:color w:val="000000" w:themeColor="text1"/>
                <w:szCs w:val="21"/>
                <w:highlight w:val="none"/>
                <w14:textFill>
                  <w14:solidFill>
                    <w14:schemeClr w14:val="tx1"/>
                  </w14:solidFill>
                </w14:textFill>
              </w:rPr>
              <w:t>水域绿地保洁等环卫保洁作业</w:t>
            </w:r>
            <w:r>
              <w:rPr>
                <w:rFonts w:hint="eastAsia" w:ascii="宋体" w:hAnsi="宋体" w:cs="宋体"/>
                <w:bCs/>
                <w:color w:val="000000" w:themeColor="text1"/>
                <w:szCs w:val="21"/>
                <w:highlight w:val="none"/>
                <w:lang w:val="zh-CN"/>
                <w14:textFill>
                  <w14:solidFill>
                    <w14:schemeClr w14:val="tx1"/>
                  </w14:solidFill>
                </w14:textFill>
              </w:rPr>
              <w:t>安排合理性一般，得</w:t>
            </w:r>
            <w:r>
              <w:rPr>
                <w:rFonts w:hint="eastAsia" w:ascii="宋体" w:hAnsi="宋体" w:cs="宋体"/>
                <w:bCs/>
                <w:color w:val="000000" w:themeColor="text1"/>
                <w:szCs w:val="21"/>
                <w:highlight w:val="none"/>
                <w14:textFill>
                  <w14:solidFill>
                    <w14:schemeClr w14:val="tx1"/>
                  </w14:solidFill>
                </w14:textFill>
              </w:rPr>
              <w:t>6</w:t>
            </w:r>
            <w:r>
              <w:rPr>
                <w:rFonts w:hint="eastAsia" w:ascii="宋体" w:hAnsi="宋体" w:cs="宋体"/>
                <w:bCs/>
                <w:color w:val="000000" w:themeColor="text1"/>
                <w:szCs w:val="21"/>
                <w:highlight w:val="none"/>
                <w:lang w:val="zh-CN"/>
                <w14:textFill>
                  <w14:solidFill>
                    <w14:schemeClr w14:val="tx1"/>
                  </w14:solidFill>
                </w14:textFill>
              </w:rPr>
              <w:t>分；</w:t>
            </w:r>
          </w:p>
          <w:p>
            <w:pPr>
              <w:spacing w:line="288" w:lineRule="auto"/>
              <w:ind w:firstLine="420" w:firstLineChars="200"/>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4.清扫保洁、洒水冲洗、绿化养护</w:t>
            </w:r>
            <w:r>
              <w:rPr>
                <w:rFonts w:hint="eastAsia" w:ascii="宋体" w:hAnsi="宋体" w:cs="宋体"/>
                <w:bCs/>
                <w:color w:val="000000" w:themeColor="text1"/>
                <w:szCs w:val="21"/>
                <w:highlight w:val="none"/>
                <w:lang w:val="zh-CN"/>
                <w14:textFill>
                  <w14:solidFill>
                    <w14:schemeClr w14:val="tx1"/>
                  </w14:solidFill>
                </w14:textFill>
              </w:rPr>
              <w:t>准备工作方案不充分，</w:t>
            </w:r>
            <w:r>
              <w:rPr>
                <w:rFonts w:hint="eastAsia" w:ascii="宋体" w:hAnsi="宋体" w:cs="宋体"/>
                <w:bCs/>
                <w:color w:val="000000" w:themeColor="text1"/>
                <w:szCs w:val="21"/>
                <w:highlight w:val="none"/>
                <w14:textFill>
                  <w14:solidFill>
                    <w14:schemeClr w14:val="tx1"/>
                  </w14:solidFill>
                </w14:textFill>
              </w:rPr>
              <w:t>垃圾收集容器清洗保洁、公共厕所管理与保洁</w:t>
            </w:r>
            <w:r>
              <w:rPr>
                <w:rFonts w:hint="eastAsia" w:ascii="宋体" w:hAnsi="宋体" w:cs="宋体"/>
                <w:bCs/>
                <w:color w:val="000000" w:themeColor="text1"/>
                <w:szCs w:val="21"/>
                <w:highlight w:val="none"/>
                <w:lang w:val="zh-CN"/>
                <w14:textFill>
                  <w14:solidFill>
                    <w14:schemeClr w14:val="tx1"/>
                  </w14:solidFill>
                </w14:textFill>
              </w:rPr>
              <w:t>方案可行性差，</w:t>
            </w:r>
            <w:r>
              <w:rPr>
                <w:rFonts w:hint="eastAsia" w:ascii="宋体" w:hAnsi="宋体" w:cs="宋体"/>
                <w:bCs/>
                <w:color w:val="000000" w:themeColor="text1"/>
                <w:szCs w:val="21"/>
                <w:highlight w:val="none"/>
                <w14:textFill>
                  <w14:solidFill>
                    <w14:schemeClr w14:val="tx1"/>
                  </w14:solidFill>
                </w14:textFill>
              </w:rPr>
              <w:t>水域绿地保洁等保洁作业</w:t>
            </w:r>
            <w:r>
              <w:rPr>
                <w:rFonts w:hint="eastAsia" w:ascii="宋体" w:hAnsi="宋体" w:cs="宋体"/>
                <w:bCs/>
                <w:color w:val="000000" w:themeColor="text1"/>
                <w:szCs w:val="21"/>
                <w:highlight w:val="none"/>
                <w:lang w:val="zh-CN"/>
                <w14:textFill>
                  <w14:solidFill>
                    <w14:schemeClr w14:val="tx1"/>
                  </w14:solidFill>
                </w14:textFill>
              </w:rPr>
              <w:t>安排不合理，得1分；</w:t>
            </w:r>
          </w:p>
          <w:p>
            <w:pPr>
              <w:spacing w:line="288" w:lineRule="auto"/>
              <w:ind w:firstLine="420" w:firstLineChars="200"/>
              <w:rPr>
                <w:rFonts w:ascii="宋体" w:cs="宋体"/>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质量保障方案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根据投标人针对本项目提供的质量保障方案，包括但不限于质量目标、质量管理制度、质量控制措施等进行综合评分： </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1.质量管理制度十分全面、具体，质量目标十分明确，有十分完整的质量保障方案、科学合理，质量控制措施针对性强、切实可行，得10分；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2.质量管理制度较全面、具体，质量目标较明确，有较完整的质量保障方案、较合理，质量控制措施针对性较强、切实可行，得6分；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3.质量管理制度基本全面，质量目标基本明确，质量保障方案较简单，合理性一般，质量控制措施针对性一般、基本可行，得3分；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4.质量管理制度不全面，质量目标不明确，质量保障方案不完整、合理性差，合理性差质量控制措施无针对性、不可行，得1分； </w:t>
            </w:r>
          </w:p>
          <w:p>
            <w:pPr>
              <w:spacing w:line="288" w:lineRule="auto"/>
              <w:ind w:firstLine="420" w:firstLineChars="200"/>
              <w:rPr>
                <w:rFonts w:ascii="宋体" w:cs="宋体"/>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5.未提供相关方案的，不得分。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应急处置方案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根据投标人针对台风、暴雨等天气影响，重大接待任务，重大节假日或活动等特殊情况提供应急处置方案（包括传达机制、人员和设备调配、责任分工、恶劣天气应急、市容环境治理支援、传达机制、应急人员等）进行评审： </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1.应急处置方案中针对台风、暴雨等天气影响，重大接待任务，重大节假日或活动等特殊情况制定的应急处置方案，传达机制有效、人员和设备调配合理、责任分工明确的，得7分；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2.应急处置方案中针对台风、暴雨等天气影响，重大接待任务，重大节假日或活动等特殊情况制定的应急处置方案，传达机制较有效、人员和设备调配较合理、责任分工较明确的，得4分；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3.应急处置方案中针对台风、暴雨等天气影响，重大接待任务，重大节假日或活动等特殊情况制定的应急处置方案，传达机制一般、人员和设备调配一般、责任分工一般的，得2分； </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4.应急处置方案中针对台风、暴雨等天气影响，重大接待任务，重大节假日或活动等特殊情况制定的应急处置方案，传达机制一般、人员和设备调配不合理、责任分工不明确的，得1分。 </w:t>
            </w:r>
          </w:p>
          <w:p>
            <w:pPr>
              <w:spacing w:line="288" w:lineRule="auto"/>
              <w:ind w:firstLine="420" w:firstLineChars="200"/>
              <w:rPr>
                <w:rFonts w:ascii="宋体" w:cs="宋体"/>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工作人员培训及管理</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根据投标人针对本项目提供的工作人员培训及管理方案，包括但不限于培训目标、培训计划、培训内容以及人员管理制度、奖惩规定、绩效考核等进行综合评分： </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1.工作人员培训方案非常完整、详细，能十分有效提高工作人员的积极性和专业性，具体培训计划、录用考核以及处罚标准完整可行，人员管理方案科学合理，能保障项目高效运作，得7分； </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2.工作人员培训方案比较完整、详细，能有效提高工作人员的积极性和专业性，培训计划、录用考核以及处罚标准基本完整可行，人员管理方案较科学合理，能较好满足项目需求，得4分；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3.工作人员培训方案基本完整，工作人员的积极性和专业性一般，培训计划、录用考核以及处罚标准简单，人员管理方案合理性一般，能基本满足项目需求，得2分；</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4.工作人员培训方案不完整，工作人员的积极性和专业性较差，培训计划、录用考核以及处罚标准简单，人员管理方案合理性差，无法满足项目需求，得1分；</w:t>
            </w:r>
          </w:p>
          <w:p>
            <w:pPr>
              <w:spacing w:line="288" w:lineRule="auto"/>
              <w:ind w:firstLine="420" w:firstLineChars="200"/>
              <w:rPr>
                <w:rFonts w:ascii="宋体" w:cs="宋体"/>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6</w:t>
            </w:r>
          </w:p>
        </w:tc>
        <w:tc>
          <w:tcPr>
            <w:tcW w:w="1607" w:type="dxa"/>
            <w:tcBorders>
              <w:top w:val="single" w:color="auto" w:sz="4" w:space="0"/>
              <w:left w:val="single" w:color="auto" w:sz="4" w:space="0"/>
              <w:bottom w:val="single" w:color="auto" w:sz="4" w:space="0"/>
              <w:right w:val="single" w:color="auto" w:sz="4" w:space="0"/>
            </w:tcBorders>
            <w:vAlign w:val="center"/>
          </w:tcPr>
          <w:p>
            <w:pPr>
              <w:pStyle w:val="25"/>
              <w:spacing w:line="360" w:lineRule="exact"/>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设备投入</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5463" w:type="dxa"/>
            <w:tcBorders>
              <w:top w:val="single" w:color="auto" w:sz="4" w:space="0"/>
              <w:left w:val="single" w:color="auto" w:sz="4" w:space="0"/>
              <w:bottom w:val="single" w:color="auto" w:sz="4" w:space="0"/>
              <w:right w:val="single" w:color="auto" w:sz="4" w:space="0"/>
            </w:tcBorders>
          </w:tcPr>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根据投标人提供的设备投入方案，包括但不限于设备日常使用、维护保养的保障程度等进行评审： </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1.设备投入方案完整合理，详细，可行性强，设备日常使用合理明确，设备维护保养详细，得6分； </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2.设备投入方案基本完整，可行性一般，设备日常使用基本合理明确，设备维护保养较简单，得3分； </w:t>
            </w:r>
          </w:p>
          <w:p>
            <w:pPr>
              <w:spacing w:line="288"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3.设备投入方案简陋，可行性差，设备日常使用不合理明确，设备维护保养差，得1分； </w:t>
            </w:r>
          </w:p>
          <w:p>
            <w:pPr>
              <w:spacing w:line="288" w:lineRule="auto"/>
              <w:ind w:firstLine="420" w:firstLineChars="200"/>
              <w:rPr>
                <w:rFonts w:ascii="宋体" w:cs="宋体"/>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tabs>
                <w:tab w:val="left" w:pos="907"/>
              </w:tabs>
              <w:ind w:firstLine="422" w:firstLineChars="200"/>
              <w:jc w:val="both"/>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注：</w:t>
            </w:r>
          </w:p>
          <w:p>
            <w:pPr>
              <w:tabs>
                <w:tab w:val="left" w:pos="907"/>
              </w:tabs>
              <w:ind w:firstLine="422" w:firstLineChars="200"/>
              <w:jc w:val="both"/>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（1）无特殊说明外，以上评审项，同一证明文件不重复计分。</w:t>
            </w:r>
          </w:p>
          <w:p>
            <w:pPr>
              <w:tabs>
                <w:tab w:val="left" w:pos="907"/>
              </w:tabs>
              <w:ind w:firstLine="422" w:firstLineChars="200"/>
              <w:jc w:val="both"/>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（2）投标人根据以上评分要求提供的投标材料因模糊不清导致评标委员会无法清晰辨认进行评审的，视为无效材料。</w:t>
            </w:r>
          </w:p>
          <w:p>
            <w:pPr>
              <w:tabs>
                <w:tab w:val="left" w:pos="907"/>
              </w:tabs>
              <w:ind w:firstLine="422" w:firstLineChars="200"/>
              <w:jc w:val="both"/>
              <w:rPr>
                <w:rFonts w:ascii="宋体" w:cs="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lang w:val="zh-CN"/>
                <w14:textFill>
                  <w14:solidFill>
                    <w14:schemeClr w14:val="tx1"/>
                  </w14:solidFill>
                </w14:textFill>
              </w:rPr>
            </w:pPr>
            <w:r>
              <w:rPr>
                <w:rFonts w:hint="eastAsia" w:ascii="宋体" w:eastAsia="宋体" w:cs="宋体"/>
                <w:b/>
                <w:bCs/>
                <w:color w:val="000000" w:themeColor="text1"/>
                <w:sz w:val="21"/>
                <w:szCs w:val="21"/>
                <w:highlight w:val="none"/>
                <w14:textFill>
                  <w14:solidFill>
                    <w14:schemeClr w14:val="tx1"/>
                  </w14:solidFill>
                </w14:textFill>
              </w:rPr>
              <w:t>价格评审（10分）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5"/>
              <w:spacing w:line="240" w:lineRule="auto"/>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1</w:t>
            </w:r>
          </w:p>
        </w:tc>
        <w:tc>
          <w:tcPr>
            <w:tcW w:w="16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投标总价</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5488" w:type="dxa"/>
            <w:gridSpan w:val="2"/>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价格分计算方法：满足招标文件要求且投标价格最低的投标报价为评标基准价，其价格分为满分。其他投标人的价格分统一按照下列公式计算：</w:t>
            </w:r>
          </w:p>
          <w:p>
            <w:pPr>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投标报价得分=(评标基准价／投标报价)×价格权值</w:t>
            </w:r>
          </w:p>
        </w:tc>
      </w:tr>
    </w:tbl>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3"/>
        <w:numPr>
          <w:ilvl w:val="0"/>
          <w:numId w:val="1"/>
        </w:numPr>
        <w:rPr>
          <w:color w:val="000000" w:themeColor="text1"/>
          <w:highlight w:val="none"/>
          <w14:textFill>
            <w14:solidFill>
              <w14:schemeClr w14:val="tx1"/>
            </w14:solidFill>
          </w14:textFill>
        </w:rPr>
      </w:pPr>
      <w:bookmarkStart w:id="149" w:name="_Toc32522"/>
      <w:r>
        <w:rPr>
          <w:rFonts w:hint="eastAsia"/>
          <w:color w:val="000000" w:themeColor="text1"/>
          <w:highlight w:val="none"/>
          <w14:textFill>
            <w14:solidFill>
              <w14:schemeClr w14:val="tx1"/>
            </w14:solidFill>
          </w14:textFill>
        </w:rPr>
        <w:t>合同文本参考格式</w:t>
      </w:r>
      <w:bookmarkEnd w:id="149"/>
    </w:p>
    <w:p>
      <w:pPr>
        <w:jc w:val="center"/>
        <w:outlineLvl w:val="1"/>
        <w:rPr>
          <w:color w:val="000000" w:themeColor="text1"/>
          <w:sz w:val="18"/>
          <w:szCs w:val="21"/>
          <w:highlight w:val="none"/>
          <w14:textFill>
            <w14:solidFill>
              <w14:schemeClr w14:val="tx1"/>
            </w14:solidFill>
          </w14:textFill>
        </w:rPr>
      </w:pPr>
      <w:bookmarkStart w:id="150" w:name="_Toc1541"/>
      <w:r>
        <w:rPr>
          <w:rFonts w:hint="eastAsia" w:ascii="宋体" w:hAnsi="宋体" w:cs="宋体"/>
          <w:b/>
          <w:bCs/>
          <w:color w:val="000000" w:themeColor="text1"/>
          <w:sz w:val="22"/>
          <w:szCs w:val="22"/>
          <w:highlight w:val="none"/>
          <w14:textFill>
            <w14:solidFill>
              <w14:schemeClr w14:val="tx1"/>
            </w14:solidFill>
          </w14:textFill>
        </w:rPr>
        <w:t>（本格式编排在招标文件中，供投标人参考，投标时不需填写）</w:t>
      </w:r>
      <w:bookmarkEnd w:id="150"/>
    </w:p>
    <w:p>
      <w:pPr>
        <w:suppressAutoHyphens/>
        <w:spacing w:line="600" w:lineRule="exact"/>
        <w:jc w:val="center"/>
        <w:rPr>
          <w:rFonts w:ascii="Calibri" w:hAnsi="宋体" w:cs="Times New Roman"/>
          <w:color w:val="000000" w:themeColor="text1"/>
          <w:sz w:val="44"/>
          <w:szCs w:val="44"/>
          <w:highlight w:val="none"/>
          <w14:textFill>
            <w14:solidFill>
              <w14:schemeClr w14:val="tx1"/>
            </w14:solidFill>
          </w14:textFill>
        </w:rPr>
      </w:pPr>
    </w:p>
    <w:p>
      <w:pPr>
        <w:suppressAutoHyphens/>
        <w:spacing w:line="600" w:lineRule="exact"/>
        <w:jc w:val="center"/>
        <w:rPr>
          <w:rFonts w:ascii="Calibri" w:hAnsi="宋体" w:cs="Times New Roman"/>
          <w:color w:val="000000" w:themeColor="text1"/>
          <w:sz w:val="44"/>
          <w:szCs w:val="44"/>
          <w:highlight w:val="none"/>
          <w14:textFill>
            <w14:solidFill>
              <w14:schemeClr w14:val="tx1"/>
            </w14:solidFill>
          </w14:textFill>
        </w:rPr>
      </w:pPr>
    </w:p>
    <w:p>
      <w:pPr>
        <w:suppressAutoHyphens/>
        <w:spacing w:line="600" w:lineRule="exact"/>
        <w:jc w:val="center"/>
        <w:rPr>
          <w:rFonts w:ascii="Calibri" w:hAnsi="宋体" w:cs="Times New Roman"/>
          <w:color w:val="000000" w:themeColor="text1"/>
          <w:sz w:val="44"/>
          <w:szCs w:val="44"/>
          <w:highlight w:val="none"/>
          <w14:textFill>
            <w14:solidFill>
              <w14:schemeClr w14:val="tx1"/>
            </w14:solidFill>
          </w14:textFill>
        </w:rPr>
      </w:pPr>
      <w:r>
        <w:rPr>
          <w:rFonts w:hint="eastAsia" w:ascii="Calibri" w:hAnsi="宋体" w:cs="Times New Roman"/>
          <w:color w:val="000000" w:themeColor="text1"/>
          <w:sz w:val="44"/>
          <w:szCs w:val="44"/>
          <w:highlight w:val="none"/>
          <w14:textFill>
            <w14:solidFill>
              <w14:schemeClr w14:val="tx1"/>
            </w14:solidFill>
          </w14:textFill>
        </w:rPr>
        <w:t>东莞市长安镇厦岗社区环卫保洁服务项目合同</w:t>
      </w:r>
    </w:p>
    <w:p>
      <w:pPr>
        <w:suppressAutoHyphens/>
        <w:jc w:val="both"/>
        <w:rPr>
          <w:rFonts w:ascii="仿宋_GB2312" w:hAnsi="仿宋_GB2312" w:eastAsia="仿宋_GB2312" w:cs="仿宋_GB2312"/>
          <w:color w:val="000000" w:themeColor="text1"/>
          <w:sz w:val="28"/>
          <w:szCs w:val="28"/>
          <w:highlight w:val="none"/>
          <w14:textFill>
            <w14:solidFill>
              <w14:schemeClr w14:val="tx1"/>
            </w14:solidFill>
          </w14:textFill>
        </w:rPr>
      </w:pPr>
    </w:p>
    <w:p>
      <w:pPr>
        <w:suppressAutoHyphens/>
        <w:jc w:val="both"/>
        <w:rPr>
          <w:rFonts w:ascii="仿宋_GB2312" w:hAnsi="仿宋_GB2312" w:eastAsia="仿宋_GB2312" w:cs="仿宋_GB2312"/>
          <w:color w:val="000000" w:themeColor="text1"/>
          <w:sz w:val="28"/>
          <w:szCs w:val="28"/>
          <w:highlight w:val="none"/>
          <w14:textFill>
            <w14:solidFill>
              <w14:schemeClr w14:val="tx1"/>
            </w14:solidFill>
          </w14:textFill>
        </w:rPr>
      </w:pPr>
    </w:p>
    <w:p>
      <w:pPr>
        <w:suppressAutoHyphens/>
        <w:jc w:val="both"/>
        <w:rPr>
          <w:rFonts w:ascii="仿宋_GB2312" w:hAnsi="仿宋_GB2312" w:eastAsia="仿宋_GB2312" w:cs="仿宋_GB2312"/>
          <w:color w:val="000000" w:themeColor="text1"/>
          <w:sz w:val="28"/>
          <w:szCs w:val="28"/>
          <w:highlight w:val="none"/>
          <w14:textFill>
            <w14:solidFill>
              <w14:schemeClr w14:val="tx1"/>
            </w14:solidFill>
          </w14:textFill>
        </w:rPr>
      </w:pPr>
    </w:p>
    <w:p>
      <w:pPr>
        <w:suppressAutoHyphens/>
        <w:jc w:val="both"/>
        <w:rPr>
          <w:rFonts w:ascii="仿宋_GB2312" w:hAnsi="仿宋_GB2312" w:eastAsia="仿宋_GB2312" w:cs="仿宋_GB2312"/>
          <w:color w:val="000000" w:themeColor="text1"/>
          <w:sz w:val="28"/>
          <w:szCs w:val="28"/>
          <w:highlight w:val="none"/>
          <w14:textFill>
            <w14:solidFill>
              <w14:schemeClr w14:val="tx1"/>
            </w14:solidFill>
          </w14:textFill>
        </w:rPr>
      </w:pPr>
    </w:p>
    <w:p>
      <w:pPr>
        <w:suppressAutoHyphens/>
        <w:jc w:val="both"/>
        <w:rPr>
          <w:rFonts w:ascii="仿宋_GB2312" w:hAnsi="仿宋_GB2312" w:eastAsia="仿宋_GB2312" w:cs="仿宋_GB2312"/>
          <w:color w:val="000000" w:themeColor="text1"/>
          <w:sz w:val="28"/>
          <w:szCs w:val="28"/>
          <w:highlight w:val="none"/>
          <w14:textFill>
            <w14:solidFill>
              <w14:schemeClr w14:val="tx1"/>
            </w14:solidFill>
          </w14:textFill>
        </w:rPr>
      </w:pPr>
    </w:p>
    <w:p>
      <w:pPr>
        <w:suppressAutoHyphens/>
        <w:jc w:val="both"/>
        <w:rPr>
          <w:rFonts w:ascii="仿宋_GB2312" w:hAnsi="仿宋_GB2312" w:eastAsia="仿宋_GB2312" w:cs="仿宋_GB2312"/>
          <w:color w:val="000000" w:themeColor="text1"/>
          <w:sz w:val="28"/>
          <w:szCs w:val="28"/>
          <w:highlight w:val="none"/>
          <w14:textFill>
            <w14:solidFill>
              <w14:schemeClr w14:val="tx1"/>
            </w14:solidFill>
          </w14:textFill>
        </w:rPr>
      </w:pPr>
    </w:p>
    <w:p>
      <w:pPr>
        <w:suppressAutoHyphens/>
        <w:jc w:val="both"/>
        <w:rPr>
          <w:rFonts w:ascii="仿宋_GB2312" w:hAnsi="仿宋_GB2312" w:eastAsia="仿宋_GB2312" w:cs="仿宋_GB2312"/>
          <w:color w:val="000000" w:themeColor="text1"/>
          <w:sz w:val="28"/>
          <w:szCs w:val="28"/>
          <w:highlight w:val="none"/>
          <w14:textFill>
            <w14:solidFill>
              <w14:schemeClr w14:val="tx1"/>
            </w14:solidFill>
          </w14:textFill>
        </w:rPr>
      </w:pPr>
    </w:p>
    <w:p>
      <w:pPr>
        <w:suppressAutoHyphens/>
        <w:jc w:val="both"/>
        <w:rPr>
          <w:rFonts w:ascii="仿宋_GB2312" w:hAnsi="仿宋_GB2312" w:eastAsia="仿宋_GB2312" w:cs="仿宋_GB2312"/>
          <w:color w:val="000000" w:themeColor="text1"/>
          <w:sz w:val="28"/>
          <w:szCs w:val="28"/>
          <w:highlight w:val="none"/>
          <w14:textFill>
            <w14:solidFill>
              <w14:schemeClr w14:val="tx1"/>
            </w14:solidFill>
          </w14:textFill>
        </w:rPr>
      </w:pPr>
    </w:p>
    <w:p>
      <w:pPr>
        <w:suppressAutoHyphens/>
        <w:jc w:val="both"/>
        <w:rPr>
          <w:rFonts w:ascii="仿宋_GB2312" w:hAnsi="仿宋_GB2312" w:eastAsia="仿宋_GB2312" w:cs="仿宋_GB2312"/>
          <w:color w:val="000000" w:themeColor="text1"/>
          <w:sz w:val="28"/>
          <w:szCs w:val="28"/>
          <w:highlight w:val="none"/>
          <w14:textFill>
            <w14:solidFill>
              <w14:schemeClr w14:val="tx1"/>
            </w14:solidFill>
          </w14:textFill>
        </w:rPr>
      </w:pPr>
    </w:p>
    <w:p>
      <w:pPr>
        <w:suppressAutoHyphens/>
        <w:jc w:val="both"/>
        <w:rPr>
          <w:rFonts w:ascii="仿宋_GB2312" w:hAnsi="仿宋_GB2312" w:eastAsia="仿宋_GB2312" w:cs="仿宋_GB2312"/>
          <w:color w:val="000000" w:themeColor="text1"/>
          <w:sz w:val="28"/>
          <w:szCs w:val="28"/>
          <w:highlight w:val="none"/>
          <w14:textFill>
            <w14:solidFill>
              <w14:schemeClr w14:val="tx1"/>
            </w14:solidFill>
          </w14:textFill>
        </w:rPr>
      </w:pPr>
    </w:p>
    <w:p>
      <w:pPr>
        <w:suppressAutoHyphens/>
        <w:spacing w:line="1000" w:lineRule="exact"/>
        <w:ind w:firstLine="640" w:firstLineChars="200"/>
        <w:jc w:val="both"/>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项目名称：</w:t>
      </w:r>
      <w:r>
        <w:rPr>
          <w:rFonts w:hint="eastAsia" w:ascii="宋体" w:hAnsi="宋体" w:cs="宋体"/>
          <w:color w:val="000000" w:themeColor="text1"/>
          <w:sz w:val="32"/>
          <w:szCs w:val="32"/>
          <w:highlight w:val="none"/>
          <w:u w:val="single"/>
          <w14:textFill>
            <w14:solidFill>
              <w14:schemeClr w14:val="tx1"/>
            </w14:solidFill>
          </w14:textFill>
        </w:rPr>
        <w:t xml:space="preserve"> 东莞市长安镇厦岗社区环卫保洁服务项目  </w:t>
      </w:r>
    </w:p>
    <w:p>
      <w:pPr>
        <w:suppressAutoHyphens/>
        <w:spacing w:line="1000" w:lineRule="exact"/>
        <w:ind w:firstLine="640" w:firstLineChars="200"/>
        <w:jc w:val="both"/>
        <w:rPr>
          <w:rFonts w:ascii="宋体" w:hAnsi="宋体" w:cs="宋体"/>
          <w:color w:val="000000" w:themeColor="text1"/>
          <w:sz w:val="32"/>
          <w:szCs w:val="32"/>
          <w:highlight w:val="none"/>
          <w:u w:val="singl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发包方：</w:t>
      </w:r>
      <w:r>
        <w:rPr>
          <w:rFonts w:hint="eastAsia" w:ascii="宋体" w:hAnsi="宋体" w:cs="宋体"/>
          <w:color w:val="000000" w:themeColor="text1"/>
          <w:sz w:val="32"/>
          <w:szCs w:val="32"/>
          <w:highlight w:val="none"/>
          <w:u w:val="single"/>
          <w14:textFill>
            <w14:solidFill>
              <w14:schemeClr w14:val="tx1"/>
            </w14:solidFill>
          </w14:textFill>
        </w:rPr>
        <w:tab/>
      </w:r>
      <w:r>
        <w:rPr>
          <w:rFonts w:hint="eastAsia" w:ascii="宋体" w:hAnsi="宋体" w:cs="宋体"/>
          <w:color w:val="000000" w:themeColor="text1"/>
          <w:sz w:val="32"/>
          <w:szCs w:val="32"/>
          <w:highlight w:val="none"/>
          <w:u w:val="single"/>
          <w14:textFill>
            <w14:solidFill>
              <w14:schemeClr w14:val="tx1"/>
            </w14:solidFill>
          </w14:textFill>
        </w:rPr>
        <w:t xml:space="preserve">东莞市长安镇厦岗社区居民委员会  </w:t>
      </w:r>
    </w:p>
    <w:p>
      <w:pPr>
        <w:spacing w:line="1000" w:lineRule="exact"/>
        <w:ind w:firstLine="640" w:firstLineChars="200"/>
        <w:rPr>
          <w:rFonts w:ascii="Times New Roman" w:hAnsi="Times New Roman"/>
          <w:color w:val="000000" w:themeColor="text1"/>
          <w:highlight w:val="none"/>
          <w14:textFill>
            <w14:solidFill>
              <w14:schemeClr w14:val="tx1"/>
            </w14:solidFill>
          </w14:textFill>
        </w:rPr>
        <w:sectPr>
          <w:footerReference r:id="rId5" w:type="default"/>
          <w:pgSz w:w="11906" w:h="16838"/>
          <w:pgMar w:top="1440" w:right="1803" w:bottom="1440" w:left="1803" w:header="851" w:footer="992" w:gutter="0"/>
          <w:cols w:space="720" w:num="1"/>
          <w:docGrid w:type="lines" w:linePitch="312" w:charSpace="0"/>
        </w:sectPr>
      </w:pPr>
      <w:r>
        <w:rPr>
          <w:rFonts w:hint="eastAsia" w:ascii="宋体" w:hAnsi="宋体" w:cs="宋体"/>
          <w:color w:val="000000" w:themeColor="text1"/>
          <w:sz w:val="32"/>
          <w:szCs w:val="32"/>
          <w:highlight w:val="none"/>
          <w14:textFill>
            <w14:solidFill>
              <w14:schemeClr w14:val="tx1"/>
            </w14:solidFill>
          </w14:textFill>
        </w:rPr>
        <w:t>承包方：</w:t>
      </w:r>
      <w:r>
        <w:rPr>
          <w:rFonts w:hint="eastAsia" w:ascii="宋体" w:hAnsi="宋体" w:cs="宋体"/>
          <w:color w:val="000000" w:themeColor="text1"/>
          <w:sz w:val="32"/>
          <w:szCs w:val="32"/>
          <w:highlight w:val="none"/>
          <w:u w:val="single"/>
          <w14:textFill>
            <w14:solidFill>
              <w14:schemeClr w14:val="tx1"/>
            </w14:solidFill>
          </w14:textFill>
        </w:rPr>
        <w:tab/>
      </w:r>
      <w:r>
        <w:rPr>
          <w:rFonts w:hint="eastAsia" w:ascii="宋体" w:hAnsi="宋体" w:cs="宋体"/>
          <w:color w:val="000000" w:themeColor="text1"/>
          <w:sz w:val="32"/>
          <w:szCs w:val="32"/>
          <w:highlight w:val="none"/>
          <w:u w:val="single"/>
          <w14:textFill>
            <w14:solidFill>
              <w14:schemeClr w14:val="tx1"/>
            </w14:solidFill>
          </w14:textFill>
        </w:rPr>
        <w:tab/>
      </w:r>
      <w:r>
        <w:rPr>
          <w:rFonts w:hint="eastAsia" w:ascii="宋体" w:hAnsi="宋体" w:cs="宋体"/>
          <w:color w:val="000000" w:themeColor="text1"/>
          <w:sz w:val="32"/>
          <w:szCs w:val="32"/>
          <w:highlight w:val="none"/>
          <w:u w:val="single"/>
          <w14:textFill>
            <w14:solidFill>
              <w14:schemeClr w14:val="tx1"/>
            </w14:solidFill>
          </w14:textFill>
        </w:rPr>
        <w:t xml:space="preserve">                  </w:t>
      </w:r>
    </w:p>
    <w:p>
      <w:pPr>
        <w:suppressAutoHyphens/>
        <w:jc w:val="both"/>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甲方：</w:t>
      </w:r>
      <w:r>
        <w:rPr>
          <w:rFonts w:hint="eastAsia" w:ascii="宋体" w:hAnsi="宋体" w:cs="宋体"/>
          <w:color w:val="000000" w:themeColor="text1"/>
          <w:highlight w:val="none"/>
          <w:u w:val="single"/>
          <w14:textFill>
            <w14:solidFill>
              <w14:schemeClr w14:val="tx1"/>
            </w14:solidFill>
          </w14:textFill>
        </w:rPr>
        <w:t xml:space="preserve">  东莞市长安镇厦岗社区居民委员会   </w:t>
      </w:r>
    </w:p>
    <w:p>
      <w:pPr>
        <w:suppressAutoHyphens/>
        <w:jc w:val="both"/>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乙方：</w:t>
      </w:r>
      <w:r>
        <w:rPr>
          <w:rFonts w:hint="eastAsia" w:ascii="宋体" w:hAnsi="宋体" w:cs="宋体"/>
          <w:color w:val="000000" w:themeColor="text1"/>
          <w:highlight w:val="none"/>
          <w:u w:val="single"/>
          <w14:textFill>
            <w14:solidFill>
              <w14:schemeClr w14:val="tx1"/>
            </w14:solidFill>
          </w14:textFill>
        </w:rPr>
        <w:t xml:space="preserve">                                   </w:t>
      </w:r>
    </w:p>
    <w:p>
      <w:pPr>
        <w:suppressAutoHyphens/>
        <w:jc w:val="both"/>
        <w:rPr>
          <w:rFonts w:ascii="宋体" w:hAnsi="宋体" w:cs="宋体"/>
          <w:color w:val="000000" w:themeColor="text1"/>
          <w:highlight w:val="none"/>
          <w14:textFill>
            <w14:solidFill>
              <w14:schemeClr w14:val="tx1"/>
            </w14:solidFill>
          </w14:textFill>
        </w:rPr>
      </w:pPr>
    </w:p>
    <w:p>
      <w:pPr>
        <w:suppressAutoHyphens/>
        <w:spacing w:after="156" w:afterLines="50"/>
        <w:ind w:firstLine="42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受甲方委托，</w:t>
      </w:r>
      <w:r>
        <w:rPr>
          <w:rFonts w:hint="eastAsia" w:ascii="宋体" w:hAnsi="宋体" w:cs="宋体"/>
          <w:color w:val="000000" w:themeColor="text1"/>
          <w:highlight w:val="none"/>
          <w:u w:val="single"/>
          <w14:textFill>
            <w14:solidFill>
              <w14:schemeClr w14:val="tx1"/>
            </w14:solidFill>
          </w14:textFill>
        </w:rPr>
        <w:t xml:space="preserve"> 国顺招标有限公司 组织对 东莞市长安镇厦岗社区环卫保洁服务项目 </w:t>
      </w:r>
      <w:r>
        <w:rPr>
          <w:rFonts w:hint="eastAsia" w:ascii="宋体" w:hAnsi="宋体" w:cs="宋体"/>
          <w:color w:val="000000" w:themeColor="text1"/>
          <w:highlight w:val="none"/>
          <w14:textFill>
            <w14:solidFill>
              <w14:schemeClr w14:val="tx1"/>
            </w14:solidFill>
          </w14:textFill>
        </w:rPr>
        <w:t>（采购编号：GSDG2023-045C）进行招标采购，于</w:t>
      </w:r>
      <w:r>
        <w:rPr>
          <w:rFonts w:hint="eastAsia" w:ascii="宋体" w:hAnsi="宋体" w:cs="宋体"/>
          <w:color w:val="000000" w:themeColor="text1"/>
          <w:highlight w:val="none"/>
          <w:u w:val="single"/>
          <w14:textFill>
            <w14:solidFill>
              <w14:schemeClr w14:val="tx1"/>
            </w14:solidFill>
          </w14:textFill>
        </w:rPr>
        <w:t xml:space="preserve"> 20   </w:t>
      </w:r>
      <w:r>
        <w:rPr>
          <w:rFonts w:hint="eastAsia" w:ascii="宋体" w:hAnsi="宋体" w:cs="宋体"/>
          <w:color w:val="000000" w:themeColor="text1"/>
          <w:highlight w:val="none"/>
          <w14:textFill>
            <w14:solidFill>
              <w14:schemeClr w14:val="tx1"/>
            </w14:solidFill>
          </w14:textFill>
        </w:rPr>
        <w:t>年</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月</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日经公开招标后确定由乙方为中标供应商。按照《中华人民共和国民法典》等规定，经双方协商一致，订立本合同。</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一、项目名称</w:t>
      </w:r>
    </w:p>
    <w:p>
      <w:pPr>
        <w:suppressAutoHyphens/>
        <w:ind w:firstLine="42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东莞市长安镇厦岗社区环卫保洁服务项目。</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二、合同组成</w:t>
      </w:r>
    </w:p>
    <w:p>
      <w:pPr>
        <w:suppressAutoHyphens/>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文件、投标文件、中标通知书及附件均为本合同的有效组成部分，本合同书及本合同的各有效组成部分就同一事项规定不一致的，以对乙方要求最高者或最为严格者为准。（如乙方在投标文件中承诺的设备多于招标文件中要求乙方投入的设备的，以乙方在投标文件中的承诺为准；又如乙方在投标文件中承诺的道路冲洗频次高于招标文件中要求的道路冲洗频次的，以乙方在投标文件中的承诺为准；其他诸如此类情形均按该原则解释）。</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三、服务范围</w:t>
      </w:r>
    </w:p>
    <w:p>
      <w:pPr>
        <w:overflowPunct w:val="0"/>
        <w:autoSpaceDE w:val="0"/>
        <w:autoSpaceDN w:val="0"/>
        <w:spacing w:before="156" w:beforeLines="50" w:after="156" w:afterLines="50" w:line="360" w:lineRule="auto"/>
        <w:textAlignment w:val="baseline"/>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（一）服务范围及内容</w:t>
      </w:r>
    </w:p>
    <w:p>
      <w:pPr>
        <w:widowControl/>
        <w:adjustRightInd w:val="0"/>
        <w:snapToGrid w:val="0"/>
        <w:spacing w:line="360" w:lineRule="auto"/>
        <w:ind w:firstLine="420" w:firstLineChars="200"/>
        <w:rPr>
          <w:rFonts w:ascii="宋体" w:hAnsi="宋体" w:cs="宋体"/>
          <w:color w:val="000000" w:themeColor="text1"/>
          <w:szCs w:val="21"/>
          <w:highlight w:val="none"/>
          <w:lang w:val="zh-CN" w:bidi="zh-CN"/>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主要包含厦岗社区区域范围面积内的清扫保洁、绿化保洁、冲洗降尘、“牛皮癣”清理（3米以下）、雨水井清理、生活垃圾收集至转运站（收集点）、环卫器具清洗管理等环卫保洁作业内容，以及</w:t>
      </w:r>
      <w:r>
        <w:rPr>
          <w:rFonts w:hint="eastAsia" w:ascii="宋体" w:hAnsi="宋体" w:cs="宋体"/>
          <w:color w:val="000000" w:themeColor="text1"/>
          <w:szCs w:val="21"/>
          <w:highlight w:val="none"/>
          <w:lang w:bidi="zh-CN"/>
          <w14:textFill>
            <w14:solidFill>
              <w14:schemeClr w14:val="tx1"/>
            </w14:solidFill>
          </w14:textFill>
        </w:rPr>
        <w:t>绿化养护、</w:t>
      </w:r>
      <w:r>
        <w:rPr>
          <w:rFonts w:hint="eastAsia" w:ascii="宋体" w:hAnsi="宋体" w:cs="宋体"/>
          <w:color w:val="000000" w:themeColor="text1"/>
          <w:szCs w:val="21"/>
          <w:highlight w:val="none"/>
          <w:lang w:val="zh-CN" w:bidi="zh-CN"/>
          <w14:textFill>
            <w14:solidFill>
              <w14:schemeClr w14:val="tx1"/>
            </w14:solidFill>
          </w14:textFill>
        </w:rPr>
        <w:t>中转站管养、公厕管养、水面保洁等内容。保洁面积约1454637.03平方米。共计9个公厕，</w:t>
      </w:r>
      <w:r>
        <w:rPr>
          <w:rFonts w:hint="eastAsia" w:ascii="宋体" w:hAnsi="宋体" w:cs="宋体"/>
          <w:color w:val="000000" w:themeColor="text1"/>
          <w:szCs w:val="21"/>
          <w:highlight w:val="none"/>
          <w:lang w:bidi="zh-CN"/>
          <w14:textFill>
            <w14:solidFill>
              <w14:schemeClr w14:val="tx1"/>
            </w14:solidFill>
          </w14:textFill>
        </w:rPr>
        <w:t>3</w:t>
      </w:r>
      <w:r>
        <w:rPr>
          <w:rFonts w:hint="eastAsia" w:ascii="宋体" w:hAnsi="宋体" w:cs="宋体"/>
          <w:color w:val="000000" w:themeColor="text1"/>
          <w:szCs w:val="21"/>
          <w:highlight w:val="none"/>
          <w:lang w:val="zh-CN" w:bidi="zh-CN"/>
          <w14:textFill>
            <w14:solidFill>
              <w14:schemeClr w14:val="tx1"/>
            </w14:solidFill>
          </w14:textFill>
        </w:rPr>
        <w:t>个中转站。河涌</w:t>
      </w:r>
      <w:r>
        <w:rPr>
          <w:rFonts w:hint="eastAsia" w:ascii="宋体" w:hAnsi="宋体" w:cs="宋体"/>
          <w:color w:val="000000" w:themeColor="text1"/>
          <w:szCs w:val="21"/>
          <w:highlight w:val="none"/>
          <w:lang w:bidi="zh-CN"/>
          <w14:textFill>
            <w14:solidFill>
              <w14:schemeClr w14:val="tx1"/>
            </w14:solidFill>
          </w14:textFill>
        </w:rPr>
        <w:t>6</w:t>
      </w:r>
      <w:r>
        <w:rPr>
          <w:rFonts w:hint="eastAsia" w:ascii="宋体" w:hAnsi="宋体" w:cs="宋体"/>
          <w:color w:val="000000" w:themeColor="text1"/>
          <w:szCs w:val="21"/>
          <w:highlight w:val="none"/>
          <w:lang w:val="zh-CN" w:bidi="zh-CN"/>
          <w14:textFill>
            <w14:solidFill>
              <w14:schemeClr w14:val="tx1"/>
            </w14:solidFill>
          </w14:textFill>
        </w:rPr>
        <w:t>段。</w:t>
      </w:r>
    </w:p>
    <w:p>
      <w:pPr>
        <w:widowControl/>
        <w:adjustRightInd w:val="0"/>
        <w:snapToGrid w:val="0"/>
        <w:spacing w:line="360" w:lineRule="auto"/>
        <w:ind w:firstLine="420" w:firstLineChars="200"/>
        <w:rPr>
          <w:rFonts w:ascii="宋体" w:hAnsi="宋体" w:cs="宋体"/>
          <w:color w:val="000000" w:themeColor="text1"/>
          <w:szCs w:val="21"/>
          <w:highlight w:val="none"/>
          <w:lang w:val="zh-CN" w:bidi="zh-CN"/>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具体工作内容包括：</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1、道路保洁。社区公共区域内的道路（含地面和地下人行道、人行天桥、车行隧道等）和公共场所（含公园广场、步行街、过往车辆洒落物等）清扫保洁，以及冲洗、清洗、洒水降尘作业。</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2、水面保洁。含社区地域范围内所有池塘等水面区域保洁，包括水面区域内水草的清理和垃圾、水面漂浮物的打捞和清理等相关水面保洁工作内容。</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3、河道保洁。社区范围内的河道清扫保洁（含河道左右两岸各往外延伸6米范围内的区域保洁）。</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4、绿化保洁（含绿地）。各社区范围内的所有绿化（含绿地保洁）作业保洁内容，绿化带垃圾清理，保持绿化地无枯枝、干叶、杂物、无烟蒂、无其他非绿地装饰品的放置，确保绿化地美观整洁。</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5、</w:t>
      </w:r>
      <w:r>
        <w:rPr>
          <w:rFonts w:hint="eastAsia"/>
          <w:color w:val="000000" w:themeColor="text1"/>
          <w:highlight w:val="none"/>
          <w:lang w:val="zh-CN"/>
          <w14:textFill>
            <w14:solidFill>
              <w14:schemeClr w14:val="tx1"/>
            </w14:solidFill>
          </w14:textFill>
        </w:rPr>
        <w:t>绿化养护。</w:t>
      </w:r>
      <w:r>
        <w:rPr>
          <w:rFonts w:hint="eastAsia"/>
          <w:color w:val="000000" w:themeColor="text1"/>
          <w:highlight w:val="none"/>
          <w14:textFill>
            <w14:solidFill>
              <w14:schemeClr w14:val="tx1"/>
            </w14:solidFill>
          </w14:textFill>
        </w:rPr>
        <w:t>福海路、厦岗振安路至沿江高速口路段</w:t>
      </w:r>
      <w:r>
        <w:rPr>
          <w:rFonts w:hint="eastAsia"/>
          <w:color w:val="000000" w:themeColor="text1"/>
          <w:highlight w:val="none"/>
          <w:lang w:val="zh-CN"/>
          <w14:textFill>
            <w14:solidFill>
              <w14:schemeClr w14:val="tx1"/>
            </w14:solidFill>
          </w14:textFill>
        </w:rPr>
        <w:t>范围内行道树和绿化带植物施肥、病害处理、淋水、苗木修剪等工作内容。该部分工作涉及的费用已包含在环卫保洁总费用中，</w:t>
      </w:r>
      <w:r>
        <w:rPr>
          <w:rFonts w:hint="eastAsia"/>
          <w:color w:val="000000" w:themeColor="text1"/>
          <w:highlight w:val="none"/>
          <w14:textFill>
            <w14:solidFill>
              <w14:schemeClr w14:val="tx1"/>
            </w14:solidFill>
          </w14:textFill>
        </w:rPr>
        <w:t>甲方</w:t>
      </w:r>
      <w:r>
        <w:rPr>
          <w:rFonts w:hint="eastAsia"/>
          <w:color w:val="000000" w:themeColor="text1"/>
          <w:highlight w:val="none"/>
          <w:lang w:val="zh-CN"/>
          <w14:textFill>
            <w14:solidFill>
              <w14:schemeClr w14:val="tx1"/>
            </w14:solidFill>
          </w14:textFill>
        </w:rPr>
        <w:t>不再另行支付费用。</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14:textFill>
            <w14:solidFill>
              <w14:schemeClr w14:val="tx1"/>
            </w14:solidFill>
          </w14:textFill>
        </w:rPr>
        <w:t>6、</w:t>
      </w:r>
      <w:r>
        <w:rPr>
          <w:rFonts w:hint="eastAsia"/>
          <w:color w:val="000000" w:themeColor="text1"/>
          <w:szCs w:val="21"/>
          <w:highlight w:val="none"/>
          <w:lang w:val="zh-CN"/>
          <w14:textFill>
            <w14:solidFill>
              <w14:schemeClr w14:val="tx1"/>
            </w14:solidFill>
          </w14:textFill>
        </w:rPr>
        <w:t>立面保洁。外立面3米范围内的“牛皮癣”清理（含3米）。-牛皮癣为3米以下区域</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14:textFill>
            <w14:solidFill>
              <w14:schemeClr w14:val="tx1"/>
            </w14:solidFill>
          </w14:textFill>
        </w:rPr>
        <w:t>7</w:t>
      </w:r>
      <w:r>
        <w:rPr>
          <w:rFonts w:hint="eastAsia"/>
          <w:color w:val="000000" w:themeColor="text1"/>
          <w:szCs w:val="21"/>
          <w:highlight w:val="none"/>
          <w:lang w:val="zh-CN"/>
          <w14:textFill>
            <w14:solidFill>
              <w14:schemeClr w14:val="tx1"/>
            </w14:solidFill>
          </w14:textFill>
        </w:rPr>
        <w:t>、社区公厕管养与保洁；包括公厕的管养维护，每座公共厕所要实施专人管理，专职保洁管理人员不少于2人，实行轮班制，保洁管理时间不少于16小时，巡回对厕所及其5米范围内周边环境进行清扫、冲洗、消毒，管养及维护，并定期清理化粪池。公共厕所免费开放、公共厕所内设施完好无损，免费提供卫生纸、洗手液，“星级公厕”提供便民服务。</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14:textFill>
            <w14:solidFill>
              <w14:schemeClr w14:val="tx1"/>
            </w14:solidFill>
          </w14:textFill>
        </w:rPr>
        <w:t>8</w:t>
      </w:r>
      <w:r>
        <w:rPr>
          <w:rFonts w:hint="eastAsia"/>
          <w:color w:val="000000" w:themeColor="text1"/>
          <w:szCs w:val="21"/>
          <w:highlight w:val="none"/>
          <w:lang w:val="zh-CN"/>
          <w14:textFill>
            <w14:solidFill>
              <w14:schemeClr w14:val="tx1"/>
            </w14:solidFill>
          </w14:textFill>
        </w:rPr>
        <w:t>、社区中转站管养与保洁。包括中转站的运营维护，每座中转站要实施专人管理，专职保洁管理人员不少于2人，实行轮班制，保洁管理时间不少于16小时；中转站运行期间必须开启除臭设施；垃圾转运站内生活垃圾必须日产日清，因特殊情况不能日清必须落实除臭措施，严禁在站外堆积。优化设置垃圾收集点。</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14:textFill>
            <w14:solidFill>
              <w14:schemeClr w14:val="tx1"/>
            </w14:solidFill>
          </w14:textFill>
        </w:rPr>
        <w:t>9</w:t>
      </w:r>
      <w:r>
        <w:rPr>
          <w:rFonts w:hint="eastAsia"/>
          <w:color w:val="000000" w:themeColor="text1"/>
          <w:szCs w:val="21"/>
          <w:highlight w:val="none"/>
          <w:lang w:val="zh-CN"/>
          <w14:textFill>
            <w14:solidFill>
              <w14:schemeClr w14:val="tx1"/>
            </w14:solidFill>
          </w14:textFill>
        </w:rPr>
        <w:t>、社区清扫保洁范围内所有果皮箱、垃圾桶、垃圾收集点的清掏、保洁、维护、维修、丢失（损坏）补齐等，确保果皮箱（桶）、垃圾收集点内垃圾日产日清无积压，外壳清洁，摆放整齐。路面垃圾、果皮箱垃圾、660L以下垃圾桶垃圾由环卫工人使用手推车或三轮车收集运至社区中转站。</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14:textFill>
            <w14:solidFill>
              <w14:schemeClr w14:val="tx1"/>
            </w14:solidFill>
          </w14:textFill>
        </w:rPr>
        <w:t>10</w:t>
      </w:r>
      <w:r>
        <w:rPr>
          <w:rFonts w:hint="eastAsia"/>
          <w:color w:val="000000" w:themeColor="text1"/>
          <w:szCs w:val="21"/>
          <w:highlight w:val="none"/>
          <w:lang w:val="zh-CN"/>
          <w14:textFill>
            <w14:solidFill>
              <w14:schemeClr w14:val="tx1"/>
            </w14:solidFill>
          </w14:textFill>
        </w:rPr>
        <w:t>、社区清扫保洁范围内所有环卫作业设施设备、市政设施、公共设施、收集容器、沙井、交通护栏、道路两侧休闲椅、康体娱乐设施、雕塑、灯杆、道路两侧路牌、邮筒、读报栏、站亭、广告牌等设备的清理冲洗保洁。</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1</w:t>
      </w:r>
      <w:r>
        <w:rPr>
          <w:rFonts w:hint="eastAsia"/>
          <w:color w:val="000000" w:themeColor="text1"/>
          <w:szCs w:val="21"/>
          <w:highlight w:val="none"/>
          <w14:textFill>
            <w14:solidFill>
              <w14:schemeClr w14:val="tx1"/>
            </w14:solidFill>
          </w14:textFill>
        </w:rPr>
        <w:t>1</w:t>
      </w:r>
      <w:r>
        <w:rPr>
          <w:rFonts w:hint="eastAsia"/>
          <w:color w:val="000000" w:themeColor="text1"/>
          <w:szCs w:val="21"/>
          <w:highlight w:val="none"/>
          <w:lang w:val="zh-CN"/>
          <w14:textFill>
            <w14:solidFill>
              <w14:schemeClr w14:val="tx1"/>
            </w14:solidFill>
          </w14:textFill>
        </w:rPr>
        <w:t>、各社区区域内规定的其他环卫保洁内容。包括但不限于大件垃圾、园林废弃物等垃圾的收运清理。</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1</w:t>
      </w:r>
      <w:r>
        <w:rPr>
          <w:rFonts w:hint="eastAsia"/>
          <w:color w:val="000000" w:themeColor="text1"/>
          <w:szCs w:val="21"/>
          <w:highlight w:val="none"/>
          <w14:textFill>
            <w14:solidFill>
              <w14:schemeClr w14:val="tx1"/>
            </w14:solidFill>
          </w14:textFill>
        </w:rPr>
        <w:t>2</w:t>
      </w:r>
      <w:r>
        <w:rPr>
          <w:rFonts w:hint="eastAsia"/>
          <w:color w:val="000000" w:themeColor="text1"/>
          <w:szCs w:val="21"/>
          <w:highlight w:val="none"/>
          <w:lang w:val="zh-CN"/>
          <w14:textFill>
            <w14:solidFill>
              <w14:schemeClr w14:val="tx1"/>
            </w14:solidFill>
          </w14:textFill>
        </w:rPr>
        <w:t>、生活垃圾收运。包括两条线的收运：生活垃圾的直接收运和中转收运。直接收运指将社区范围内的工厂企业、物业小区、路面660L垃圾桶垃圾及公共场所等场所垃圾由后置压缩车直接收集运至红花坑中转站；中转收运指将社区垃圾中转站垃圾由勾臂车压缩运至红花坑转运站。</w:t>
      </w:r>
    </w:p>
    <w:p>
      <w:pPr>
        <w:widowControl/>
        <w:adjustRightInd w:val="0"/>
        <w:snapToGrid w:val="0"/>
        <w:spacing w:line="360" w:lineRule="auto"/>
        <w:ind w:firstLine="420" w:firstLineChars="200"/>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1</w:t>
      </w:r>
      <w:r>
        <w:rPr>
          <w:rFonts w:hint="eastAsia"/>
          <w:color w:val="000000" w:themeColor="text1"/>
          <w:szCs w:val="21"/>
          <w:highlight w:val="none"/>
          <w14:textFill>
            <w14:solidFill>
              <w14:schemeClr w14:val="tx1"/>
            </w14:solidFill>
          </w14:textFill>
        </w:rPr>
        <w:t>3</w:t>
      </w:r>
      <w:r>
        <w:rPr>
          <w:rFonts w:hint="eastAsia"/>
          <w:color w:val="000000" w:themeColor="text1"/>
          <w:szCs w:val="21"/>
          <w:highlight w:val="none"/>
          <w:lang w:val="zh-CN"/>
          <w14:textFill>
            <w14:solidFill>
              <w14:schemeClr w14:val="tx1"/>
            </w14:solidFill>
          </w14:textFill>
        </w:rPr>
        <w:t>、有害垃圾收运。包括社区有害垃圾收集站的管养和维护，以及在社区范围内的有害垃圾存放点收取有害垃圾。负责每天有害垃圾的清点，统计，登记造册，做好有害垃圾的清运台账，每月提交至城管部门。每天工作结束后清理消毒有害垃圾回收车。具体根据实际情况进行合理调配。有害垃圾及时运输至指定终端处置点，由处置单位接收，中途不混入其它垃圾或水等非有害垃圾。</w:t>
      </w:r>
    </w:p>
    <w:p>
      <w:pPr>
        <w:widowControl/>
        <w:adjustRightInd w:val="0"/>
        <w:snapToGrid w:val="0"/>
        <w:spacing w:line="360" w:lineRule="auto"/>
        <w:ind w:firstLine="422" w:firstLineChars="200"/>
        <w:rPr>
          <w:rFonts w:ascii="宋体" w:hAnsi="宋体" w:cs="宋体"/>
          <w:b/>
          <w:bCs/>
          <w:color w:val="000000" w:themeColor="text1"/>
          <w:szCs w:val="21"/>
          <w:highlight w:val="none"/>
          <w:lang w:bidi="zh-CN"/>
          <w14:textFill>
            <w14:solidFill>
              <w14:schemeClr w14:val="tx1"/>
            </w14:solidFill>
          </w14:textFill>
        </w:rPr>
      </w:pPr>
      <w:r>
        <w:rPr>
          <w:rFonts w:hint="eastAsia" w:ascii="宋体" w:hAnsi="宋体" w:cs="宋体"/>
          <w:b/>
          <w:bCs/>
          <w:color w:val="000000" w:themeColor="text1"/>
          <w:szCs w:val="21"/>
          <w:highlight w:val="none"/>
          <w:lang w:bidi="zh-CN"/>
          <w14:textFill>
            <w14:solidFill>
              <w14:schemeClr w14:val="tx1"/>
            </w14:solidFill>
          </w14:textFill>
        </w:rPr>
        <w:t>注：以下面积仅供参考，具体实际面积数量以乙方与甲方核实为准。如实施过程中因道路扩建、改建或施工围蔽期间造成清扫保洁面积增减，根据相关规定进行确定，具体面积按实际丈量计算。</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（一）长安镇厦岗社区道路环卫保洁测量面积统计表如下：</w:t>
      </w:r>
    </w:p>
    <w:tbl>
      <w:tblPr>
        <w:tblStyle w:val="17"/>
        <w:tblW w:w="4869" w:type="pct"/>
        <w:tblInd w:w="0" w:type="dxa"/>
        <w:tblLayout w:type="fixed"/>
        <w:tblCellMar>
          <w:top w:w="0" w:type="dxa"/>
          <w:left w:w="108" w:type="dxa"/>
          <w:bottom w:w="0" w:type="dxa"/>
          <w:right w:w="108" w:type="dxa"/>
        </w:tblCellMar>
      </w:tblPr>
      <w:tblGrid>
        <w:gridCol w:w="665"/>
        <w:gridCol w:w="3169"/>
        <w:gridCol w:w="1565"/>
        <w:gridCol w:w="2900"/>
      </w:tblGrid>
      <w:tr>
        <w:tblPrEx>
          <w:tblCellMar>
            <w:top w:w="0" w:type="dxa"/>
            <w:left w:w="108" w:type="dxa"/>
            <w:bottom w:w="0" w:type="dxa"/>
            <w:right w:w="108" w:type="dxa"/>
          </w:tblCellMar>
        </w:tblPrEx>
        <w:trPr>
          <w:trHeight w:val="6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序号</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名称</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面积(㎡)</w:t>
            </w:r>
          </w:p>
        </w:tc>
        <w:tc>
          <w:tcPr>
            <w:tcW w:w="17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备注</w:t>
            </w: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395232.84</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工业园区环卫保洁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307721.01</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公园、广场环卫保洁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52401.9</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围闭式无物管住宅区环卫保洁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51585</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无围闭住宅区环卫保洁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155565.93</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33765.91</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99"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闲置地环卫保洁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55"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河涌、鱼塘保洁（水域保洁）</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430238.24</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55"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9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河岸6米</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28126.2</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690" w:hRule="atLeast"/>
        </w:trPr>
        <w:tc>
          <w:tcPr>
            <w:tcW w:w="23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 计</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 1454637.03</w:t>
            </w:r>
          </w:p>
        </w:tc>
        <w:tc>
          <w:tcPr>
            <w:tcW w:w="1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其中包含绿化(49523.15)</w:t>
            </w:r>
          </w:p>
        </w:tc>
      </w:tr>
    </w:tbl>
    <w:p>
      <w:pPr>
        <w:rPr>
          <w:rFonts w:ascii="宋体" w:hAnsi="宋体" w:cs="宋体"/>
          <w:color w:val="000000" w:themeColor="text1"/>
          <w:szCs w:val="21"/>
          <w:highlight w:val="none"/>
          <w:lang w:bidi="zh-CN"/>
          <w14:textFill>
            <w14:solidFill>
              <w14:schemeClr w14:val="tx1"/>
            </w14:solidFill>
          </w14:textFill>
        </w:rPr>
      </w:pPr>
    </w:p>
    <w:p>
      <w:pPr>
        <w:spacing w:line="288" w:lineRule="auto"/>
        <w:ind w:firstLine="422" w:firstLineChars="200"/>
        <w:jc w:val="center"/>
        <w:rPr>
          <w:rFonts w:ascii="宋体" w:hAnsi="宋体" w:cs="宋体"/>
          <w:b/>
          <w:bCs/>
          <w:color w:val="000000" w:themeColor="text1"/>
          <w:szCs w:val="21"/>
          <w:highlight w:val="none"/>
          <w:lang w:bidi="zh-CN"/>
          <w14:textFill>
            <w14:solidFill>
              <w14:schemeClr w14:val="tx1"/>
            </w14:solidFill>
          </w14:textFill>
        </w:rPr>
      </w:pPr>
      <w:r>
        <w:rPr>
          <w:rFonts w:hint="eastAsia" w:ascii="宋体" w:hAnsi="宋体" w:cs="宋体"/>
          <w:b/>
          <w:bCs/>
          <w:color w:val="000000" w:themeColor="text1"/>
          <w:szCs w:val="21"/>
          <w:highlight w:val="none"/>
          <w:lang w:bidi="zh-CN"/>
          <w14:textFill>
            <w14:solidFill>
              <w14:schemeClr w14:val="tx1"/>
            </w14:solidFill>
          </w14:textFill>
        </w:rPr>
        <w:t>《东莞市长安镇</w:t>
      </w:r>
      <w:r>
        <w:rPr>
          <w:rFonts w:hint="eastAsia"/>
          <w:b/>
          <w:bCs/>
          <w:color w:val="000000" w:themeColor="text1"/>
          <w:highlight w:val="none"/>
          <w:lang w:val="zh-CN"/>
          <w14:textFill>
            <w14:solidFill>
              <w14:schemeClr w14:val="tx1"/>
            </w14:solidFill>
          </w14:textFill>
        </w:rPr>
        <w:t>厦岗</w:t>
      </w:r>
      <w:r>
        <w:rPr>
          <w:rFonts w:hint="eastAsia" w:ascii="宋体" w:hAnsi="宋体" w:cs="宋体"/>
          <w:b/>
          <w:bCs/>
          <w:color w:val="000000" w:themeColor="text1"/>
          <w:szCs w:val="21"/>
          <w:highlight w:val="none"/>
          <w:lang w:bidi="zh-CN"/>
          <w14:textFill>
            <w14:solidFill>
              <w14:schemeClr w14:val="tx1"/>
            </w14:solidFill>
          </w14:textFill>
        </w:rPr>
        <w:t>社区环卫保洁测量面积统计表》</w:t>
      </w:r>
    </w:p>
    <w:tbl>
      <w:tblPr>
        <w:tblStyle w:val="17"/>
        <w:tblW w:w="5000" w:type="pct"/>
        <w:tblInd w:w="0" w:type="dxa"/>
        <w:tblLayout w:type="autofit"/>
        <w:tblCellMar>
          <w:top w:w="0" w:type="dxa"/>
          <w:left w:w="108" w:type="dxa"/>
          <w:bottom w:w="0" w:type="dxa"/>
          <w:right w:w="108" w:type="dxa"/>
        </w:tblCellMar>
      </w:tblPr>
      <w:tblGrid>
        <w:gridCol w:w="426"/>
        <w:gridCol w:w="2151"/>
        <w:gridCol w:w="951"/>
        <w:gridCol w:w="747"/>
        <w:gridCol w:w="1169"/>
        <w:gridCol w:w="1169"/>
        <w:gridCol w:w="1169"/>
        <w:gridCol w:w="740"/>
      </w:tblGrid>
      <w:tr>
        <w:tblPrEx>
          <w:tblCellMar>
            <w:top w:w="0" w:type="dxa"/>
            <w:left w:w="108" w:type="dxa"/>
            <w:bottom w:w="0" w:type="dxa"/>
            <w:right w:w="108" w:type="dxa"/>
          </w:tblCellMar>
        </w:tblPrEx>
        <w:trPr>
          <w:trHeight w:val="362"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tcPr>
          <w:p>
            <w:pPr>
              <w:widowControl/>
              <w:ind w:firstLine="422" w:firstLineChars="20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社区道路环卫保洁测量面积统计表</w:t>
            </w:r>
          </w:p>
        </w:tc>
      </w:tr>
      <w:tr>
        <w:tblPrEx>
          <w:tblCellMar>
            <w:top w:w="0" w:type="dxa"/>
            <w:left w:w="108" w:type="dxa"/>
            <w:bottom w:w="0" w:type="dxa"/>
            <w:right w:w="108" w:type="dxa"/>
          </w:tblCellMar>
        </w:tblPrEx>
        <w:trPr>
          <w:trHeight w:val="375"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tcPr>
          <w:p>
            <w:pPr>
              <w:widowControl/>
              <w:ind w:firstLine="632" w:firstLineChars="30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(五条主干道除外)</w:t>
            </w:r>
          </w:p>
        </w:tc>
      </w:tr>
      <w:tr>
        <w:tblPrEx>
          <w:tblCellMar>
            <w:top w:w="0" w:type="dxa"/>
            <w:left w:w="108" w:type="dxa"/>
            <w:bottom w:w="0" w:type="dxa"/>
            <w:right w:w="108" w:type="dxa"/>
          </w:tblCellMar>
        </w:tblPrEx>
        <w:trPr>
          <w:trHeight w:val="600" w:hRule="atLeast"/>
        </w:trPr>
        <w:tc>
          <w:tcPr>
            <w:tcW w:w="25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262"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路段名称</w:t>
            </w:r>
          </w:p>
        </w:tc>
        <w:tc>
          <w:tcPr>
            <w:tcW w:w="558" w:type="pct"/>
            <w:tcBorders>
              <w:top w:val="single" w:color="auto"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道路长度</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(m)</w:t>
            </w:r>
          </w:p>
        </w:tc>
        <w:tc>
          <w:tcPr>
            <w:tcW w:w="438" w:type="pct"/>
            <w:tcBorders>
              <w:top w:val="single" w:color="auto"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道路宽度</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(m)</w:t>
            </w:r>
          </w:p>
        </w:tc>
        <w:tc>
          <w:tcPr>
            <w:tcW w:w="686" w:type="pct"/>
            <w:tcBorders>
              <w:top w:val="single" w:color="auto"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机动车道面</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积(㎡)</w:t>
            </w:r>
          </w:p>
        </w:tc>
        <w:tc>
          <w:tcPr>
            <w:tcW w:w="686" w:type="pct"/>
            <w:tcBorders>
              <w:top w:val="single" w:color="auto"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人行道面积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w:t>
            </w:r>
          </w:p>
        </w:tc>
        <w:tc>
          <w:tcPr>
            <w:tcW w:w="686" w:type="pct"/>
            <w:tcBorders>
              <w:top w:val="single" w:color="auto"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清扫总面积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w:t>
            </w:r>
          </w:p>
        </w:tc>
        <w:tc>
          <w:tcPr>
            <w:tcW w:w="43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(5-1)福海路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4486.79</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62.37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144812.36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70702.55</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256010.44</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(5-3)得富西路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278.26</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33.33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4199.3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4092.1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8517</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(5-4)金沙西路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187.77</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34.04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3078.61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3025.37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6103.98</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(5-5)逢新街</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311.82</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2900.46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1507.75</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4408.21</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(5-6)盘福东路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338.23</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16.84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3017.15</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1918.29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5142.7</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(6-2)金沙西路二巷</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112.89</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5.62</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484.18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211.46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695.64</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(6-4)嘉美厂前巷道</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119.35</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7.12</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1136.54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1136.54</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(6-5)盘福南路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345.82</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8.49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2385.19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609.17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2994.36</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(7-2)先兴中街</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264.72</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2032.79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2218.27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4251.06</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(8-5)盘福北路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255.69</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1784.5</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642.12</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2426.62</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(8-6)盘福西路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139.85</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1552.53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1552.53</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(8-9)同心路二巷</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268.37</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1658.57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391.01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2142.22</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(8-10)同心路一巷</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683.89</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15.37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8052.84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8374.91</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(8-11)同心路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837</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25.03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13452.98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6441.66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21033.66</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(8-14)大塘路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114.8</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924.83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301.94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1226.77</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(8-15)先兴南街</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343.33</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16.97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3094.64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3094.64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6496.49</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(8-16)沿江北街</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1196.26</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5.17</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6609.6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6609.6</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(11-23)屠宰场门前路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233.07</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2323.4</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2323.4</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新增</w:t>
            </w: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(12-2)祥隆路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6809.92</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10123.33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19043.49</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w:t>
            </w: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(12-7)隆裕苑四巷</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494.63</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25.33</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7507.52</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5018.39</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12525.91</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w:t>
            </w: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（12-5）码头路</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1937.33</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22217.31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22217.31</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新增</w:t>
            </w:r>
          </w:p>
        </w:tc>
      </w:tr>
      <w:tr>
        <w:tblPrEx>
          <w:tblCellMar>
            <w:top w:w="0" w:type="dxa"/>
            <w:left w:w="108" w:type="dxa"/>
            <w:bottom w:w="0" w:type="dxa"/>
            <w:right w:w="108" w:type="dxa"/>
          </w:tblCellMar>
        </w:tblPrEx>
        <w:trPr>
          <w:trHeight w:val="592"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1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558"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222683.71</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127649.56</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395232.84</w:t>
            </w:r>
          </w:p>
        </w:tc>
        <w:tc>
          <w:tcPr>
            <w:tcW w:w="431"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206"/>
        <w:gridCol w:w="951"/>
        <w:gridCol w:w="803"/>
        <w:gridCol w:w="1063"/>
        <w:gridCol w:w="1169"/>
        <w:gridCol w:w="1170"/>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8"/>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社区工业园区环卫保洁测量面积统计表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000" w:type="pct"/>
            <w:gridSpan w:val="8"/>
            <w:shd w:val="clear" w:color="auto" w:fill="auto"/>
          </w:tcPr>
          <w:p>
            <w:pPr>
              <w:widowControl/>
              <w:jc w:val="center"/>
              <w:textAlignment w:val="top"/>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(围闭式工业园除外)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324"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工业园区路段名称</w:t>
            </w:r>
          </w:p>
        </w:tc>
        <w:tc>
          <w:tcPr>
            <w:tcW w:w="541"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道路长度</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(m)</w:t>
            </w:r>
          </w:p>
        </w:tc>
        <w:tc>
          <w:tcPr>
            <w:tcW w:w="501"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道路宽度</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(m)</w:t>
            </w:r>
          </w:p>
        </w:tc>
        <w:tc>
          <w:tcPr>
            <w:tcW w:w="628"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机动车道面</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积(㎡)</w:t>
            </w:r>
          </w:p>
        </w:tc>
        <w:tc>
          <w:tcPr>
            <w:tcW w:w="682"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人行道面积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w:t>
            </w:r>
          </w:p>
        </w:tc>
        <w:tc>
          <w:tcPr>
            <w:tcW w:w="601"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清扫总面积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w:t>
            </w:r>
          </w:p>
        </w:tc>
        <w:tc>
          <w:tcPr>
            <w:tcW w:w="4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(1-1)大山东街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509.7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4317.67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4317.67</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(1-2)岗沙路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573.13</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2728.39</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1664.77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4523.18</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(2-1)康明街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312.57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12.62</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3327.66</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3327.66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(2-2)龙源街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274.87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9.51</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2662.89</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2662.89</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(2-3)茅山东街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176.03</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16.46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1272.03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1438.03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2710.06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(2-4)环亚商标厂前巷</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140.25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1018.08</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1323.37</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(2-6)康明街北侧巷道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140.73</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9.87</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1330.25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1330.25</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(2-7)茅山西街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90.54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13.15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692.21</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522.22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1214.43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(3-1)开源路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520.83</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11144.82</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6462.42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17834.15</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(3-2)佛子前路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196.72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12.31</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1638.77</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1062.57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2830.04</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(3-3)先兴北街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458.6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14.9</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3560.93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2370.75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7061.33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(3-4)先兴北街西侧巷道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127.77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10.43</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1164.91</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1257.13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(3-6)福荫路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718.29</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20.11</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8496.26</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5856.34</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14464.93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(3-7)富荣街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248.61</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13.91</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2959.99</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2959.99</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(3-8)厦岗小学西侧巷道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188.48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9.04</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1600.2</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(3-9)宝越厂西侧巷道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61.82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6.28</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399.46</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399.46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(4-1)朗蟹东街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219.98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11.89</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2470.08</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2470.08</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(4-2)朗蟹西街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312.75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20.36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3449.39</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2402.31</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6008.81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(4-3)金沙东路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272.78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24.31</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3856.19</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2566.68</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6774.61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(4-4)新业东街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210.25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2761.13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2761.13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(4-5)新业北路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15.08</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3291.94</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2349.13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5641.07</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(4-6)得富东路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128.32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27.06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1968.06</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1514.17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3482.23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(4-7)新业南路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299.25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2720.85</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1693.77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4414.62</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(4-8)正扬厂北侧巷道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75.76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16.27</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756.66</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463.01</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1219.67</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(10-1)艾迪索东侧巷道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199.02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9.59</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1838.29</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1901.33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(10-2)市场东街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316.48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2476.26</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2190.25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4666.52</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(10-3)辰林厂西侧巷道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245.77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15.85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2594.07</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1225.84</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3819.91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(10-4)艾迪索西侧巷道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204.24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2236.86</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2236.86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(10-5)晟太东街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261.07</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14.28</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3759.73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3759.73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(10-7)江南南街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863.22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8703.01</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7870.05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16573.06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(10-9)沿江南街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821.85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9.63</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7080.16</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7080.16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(10-10)联合路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1039.8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11277.9</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7270.87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19464.3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(10-12)晟太西街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510.44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18.33</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5403.41</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4069.72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9473.13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(10-13)永正厂西侧巷道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465.01</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12.13</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5135.73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5135.73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(10-14)厦联路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815.46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25.17</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12269.86</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7383.2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20450.65</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(10-15)江南二街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172.76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1720.82</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1153.29</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2874.11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(10-16)江南西街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821.5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16.19</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8262.88</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4900.81</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13163.69</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(10-18)辰林厂西侧巷道</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163.24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7.42</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1507.15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1507.15</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(10-19)丽枫酒店后巷</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161.54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1740.68</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1740.68</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(10-21)市场西街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314.9</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17.55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2587.13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1793.18</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4900.93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(11-1)环球路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297.99</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19.69</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2675.83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3316.65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5992.48</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(11-2)复兴北路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1185.89</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26.42</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18399.2</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13603.05</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32002.25</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(11-3)福海路三巷</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199.19</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16.46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1996.43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1219.43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3215.86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(11-4)福海路七巷</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208.95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2006.66</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2006.66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(11-5)步行街</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636.25</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37.38</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18105.57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18105.57</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(11-8)恒业路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447.08</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18.13</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4514.68</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4004.32</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8519</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(11-19)复兴路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496.54</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15.16</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7860.63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7860.63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(11-20)复兴路西侧支路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173.52</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10.97</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1463.69</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437.57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1901.26</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(11-21)博业工业园西侧巷</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306.96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15.65</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2424.33</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2294.97</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4719.3</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w:t>
            </w:r>
          </w:p>
        </w:tc>
        <w:tc>
          <w:tcPr>
            <w:tcW w:w="1324"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(11-22)好景厂前路</w:t>
            </w:r>
          </w:p>
        </w:tc>
        <w:tc>
          <w:tcPr>
            <w:tcW w:w="54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223.86</w:t>
            </w:r>
          </w:p>
        </w:tc>
        <w:tc>
          <w:tcPr>
            <w:tcW w:w="5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9.07</w:t>
            </w:r>
          </w:p>
        </w:tc>
        <w:tc>
          <w:tcPr>
            <w:tcW w:w="62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1798.1</w:t>
            </w:r>
          </w:p>
        </w:tc>
        <w:tc>
          <w:tcPr>
            <w:tcW w:w="68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263</w:t>
            </w:r>
          </w:p>
        </w:tc>
        <w:tc>
          <w:tcPr>
            <w:tcW w:w="6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2061.1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37"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324"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541"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501"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628"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134144.1</w:t>
            </w:r>
          </w:p>
        </w:tc>
        <w:tc>
          <w:tcPr>
            <w:tcW w:w="682"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168646.15</w:t>
            </w:r>
          </w:p>
        </w:tc>
        <w:tc>
          <w:tcPr>
            <w:tcW w:w="601"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307721.01</w:t>
            </w:r>
          </w:p>
        </w:tc>
        <w:tc>
          <w:tcPr>
            <w:tcW w:w="482" w:type="pct"/>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Layout w:type="autofit"/>
        <w:tblCellMar>
          <w:top w:w="0" w:type="dxa"/>
          <w:left w:w="108" w:type="dxa"/>
          <w:bottom w:w="0" w:type="dxa"/>
          <w:right w:w="108" w:type="dxa"/>
        </w:tblCellMar>
      </w:tblPr>
      <w:tblGrid>
        <w:gridCol w:w="426"/>
        <w:gridCol w:w="1842"/>
        <w:gridCol w:w="1472"/>
        <w:gridCol w:w="1784"/>
        <w:gridCol w:w="1434"/>
        <w:gridCol w:w="1564"/>
      </w:tblGrid>
      <w:tr>
        <w:tblPrEx>
          <w:tblCellMar>
            <w:top w:w="0" w:type="dxa"/>
            <w:left w:w="108" w:type="dxa"/>
            <w:bottom w:w="0" w:type="dxa"/>
            <w:right w:w="108" w:type="dxa"/>
          </w:tblCellMar>
        </w:tblPrEx>
        <w:trPr>
          <w:trHeight w:val="57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211" w:firstLineChars="10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社区公园、广场环卫保洁测量面积统计表</w:t>
            </w:r>
          </w:p>
        </w:tc>
      </w:tr>
      <w:tr>
        <w:tblPrEx>
          <w:tblCellMar>
            <w:top w:w="0" w:type="dxa"/>
            <w:left w:w="108" w:type="dxa"/>
            <w:bottom w:w="0" w:type="dxa"/>
            <w:right w:w="108" w:type="dxa"/>
          </w:tblCellMar>
        </w:tblPrEx>
        <w:trPr>
          <w:trHeight w:val="572"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0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公园、广场名称</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清扫保洁面积(㎡)</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绿化面积(㎡)</w:t>
            </w:r>
          </w:p>
        </w:tc>
        <w:tc>
          <w:tcPr>
            <w:tcW w:w="84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(9-2)螺山公园</w:t>
            </w:r>
          </w:p>
        </w:tc>
        <w:tc>
          <w:tcPr>
            <w:tcW w:w="864"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104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4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14470.16</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减少</w:t>
            </w: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81"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(8-13)南湖公园</w:t>
            </w:r>
          </w:p>
        </w:tc>
        <w:tc>
          <w:tcPr>
            <w:tcW w:w="864" w:type="pct"/>
            <w:tcBorders>
              <w:top w:val="single" w:color="auto"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1047" w:type="pct"/>
            <w:tcBorders>
              <w:top w:val="single" w:color="auto"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42"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26918.41</w:t>
            </w:r>
          </w:p>
        </w:tc>
        <w:tc>
          <w:tcPr>
            <w:tcW w:w="915" w:type="pct"/>
            <w:tcBorders>
              <w:top w:val="single" w:color="auto"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(2-5)厦岗公墓</w:t>
            </w:r>
          </w:p>
        </w:tc>
        <w:tc>
          <w:tcPr>
            <w:tcW w:w="864"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1047"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11013.33</w:t>
            </w:r>
          </w:p>
        </w:tc>
        <w:tc>
          <w:tcPr>
            <w:tcW w:w="915"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92" w:hRule="atLeast"/>
        </w:trPr>
        <w:tc>
          <w:tcPr>
            <w:tcW w:w="13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864"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1047"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52401.9</w:t>
            </w:r>
          </w:p>
        </w:tc>
        <w:tc>
          <w:tcPr>
            <w:tcW w:w="915" w:type="pct"/>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Layout w:type="autofit"/>
        <w:tblCellMar>
          <w:top w:w="0" w:type="dxa"/>
          <w:left w:w="108" w:type="dxa"/>
          <w:bottom w:w="0" w:type="dxa"/>
          <w:right w:w="108" w:type="dxa"/>
        </w:tblCellMar>
      </w:tblPr>
      <w:tblGrid>
        <w:gridCol w:w="426"/>
        <w:gridCol w:w="2210"/>
        <w:gridCol w:w="1722"/>
        <w:gridCol w:w="1391"/>
        <w:gridCol w:w="1484"/>
        <w:gridCol w:w="1289"/>
      </w:tblGrid>
      <w:tr>
        <w:tblPrEx>
          <w:tblCellMar>
            <w:top w:w="0" w:type="dxa"/>
            <w:left w:w="108" w:type="dxa"/>
            <w:bottom w:w="0" w:type="dxa"/>
            <w:right w:w="108" w:type="dxa"/>
          </w:tblCellMar>
        </w:tblPrEx>
        <w:trPr>
          <w:trHeight w:val="555"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社区围闭式无物管住宅区环卫保洁测量面积统计表</w:t>
            </w:r>
          </w:p>
        </w:tc>
      </w:tr>
      <w:tr>
        <w:tblPrEx>
          <w:tblCellMar>
            <w:top w:w="0" w:type="dxa"/>
            <w:left w:w="108" w:type="dxa"/>
            <w:bottom w:w="0" w:type="dxa"/>
            <w:right w:w="108" w:type="dxa"/>
          </w:tblCellMar>
        </w:tblPrEx>
        <w:trPr>
          <w:trHeight w:val="572"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2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住宅区名称</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清扫保洁面积(㎡)</w:t>
            </w:r>
          </w:p>
        </w:tc>
        <w:tc>
          <w:tcPr>
            <w:tcW w:w="8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绿化面积(㎡)</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w:t>
            </w:r>
          </w:p>
        </w:tc>
        <w:tc>
          <w:tcPr>
            <w:tcW w:w="75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2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(9-6)厦岗居委会</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792.66</w:t>
            </w:r>
          </w:p>
        </w:tc>
        <w:tc>
          <w:tcPr>
            <w:tcW w:w="81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792.66</w:t>
            </w:r>
          </w:p>
        </w:tc>
        <w:tc>
          <w:tcPr>
            <w:tcW w:w="756"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2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(3-5)派出所</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5708.45</w:t>
            </w:r>
          </w:p>
        </w:tc>
        <w:tc>
          <w:tcPr>
            <w:tcW w:w="8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650.79</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6359.24</w:t>
            </w:r>
          </w:p>
        </w:tc>
        <w:tc>
          <w:tcPr>
            <w:tcW w:w="756"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2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(12-3)隆盛村</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17718.16</w:t>
            </w:r>
          </w:p>
        </w:tc>
        <w:tc>
          <w:tcPr>
            <w:tcW w:w="81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17718.16</w:t>
            </w:r>
          </w:p>
        </w:tc>
        <w:tc>
          <w:tcPr>
            <w:tcW w:w="756"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7" w:hRule="atLeast"/>
        </w:trPr>
        <w:tc>
          <w:tcPr>
            <w:tcW w:w="2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2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(12-4)隆裕苑</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26714.94</w:t>
            </w:r>
          </w:p>
        </w:tc>
        <w:tc>
          <w:tcPr>
            <w:tcW w:w="817"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26714.94</w:t>
            </w:r>
          </w:p>
        </w:tc>
        <w:tc>
          <w:tcPr>
            <w:tcW w:w="756"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92" w:hRule="atLeast"/>
        </w:trPr>
        <w:tc>
          <w:tcPr>
            <w:tcW w:w="154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50934.21</w:t>
            </w:r>
          </w:p>
        </w:tc>
        <w:tc>
          <w:tcPr>
            <w:tcW w:w="8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650.79</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51585</w:t>
            </w:r>
          </w:p>
        </w:tc>
        <w:tc>
          <w:tcPr>
            <w:tcW w:w="756" w:type="pct"/>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099"/>
        <w:gridCol w:w="1702"/>
        <w:gridCol w:w="1293"/>
        <w:gridCol w:w="1706"/>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6"/>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社区无围闭住宅区环卫保洁测量面积统计表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23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住宅区名称</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清扫保洁面积(㎡)</w:t>
            </w:r>
          </w:p>
        </w:tc>
        <w:tc>
          <w:tcPr>
            <w:tcW w:w="75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绿化面积(㎡)</w:t>
            </w: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w:t>
            </w:r>
          </w:p>
        </w:tc>
        <w:tc>
          <w:tcPr>
            <w:tcW w:w="756"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(5-2)北坊村</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12175.25</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12175.25</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(6-1)南坊村</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5520.56</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5520.56</w:t>
            </w:r>
          </w:p>
        </w:tc>
        <w:tc>
          <w:tcPr>
            <w:tcW w:w="756"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(7-1)西坊村住宅区</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17865.11</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17865.11</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(7-3)大围住宅区</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34583.67</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34583.67</w:t>
            </w:r>
          </w:p>
        </w:tc>
        <w:tc>
          <w:tcPr>
            <w:tcW w:w="756"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(8-2)西坊村</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26664.11</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26664.11</w:t>
            </w:r>
          </w:p>
        </w:tc>
        <w:tc>
          <w:tcPr>
            <w:tcW w:w="756"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(10-6)江南南街南侧住宅区</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2257.11</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2257.11</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(10-8)江南南街北侧住宅区</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7251.93</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7251.93</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(11-6)福海路9-19巷</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31190.74</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31190.74</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1232"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(11-7)福海路1-7巷</w:t>
            </w:r>
          </w:p>
        </w:tc>
        <w:tc>
          <w:tcPr>
            <w:tcW w:w="99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18057.45</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18057.45</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50"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23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999"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155565.93</w:t>
            </w:r>
          </w:p>
        </w:tc>
        <w:tc>
          <w:tcPr>
            <w:tcW w:w="759"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01"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155565.93</w:t>
            </w:r>
          </w:p>
        </w:tc>
        <w:tc>
          <w:tcPr>
            <w:tcW w:w="756" w:type="pct"/>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946"/>
        <w:gridCol w:w="1251"/>
        <w:gridCol w:w="1914"/>
        <w:gridCol w:w="1936"/>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6"/>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社区旧村环卫保洁测量面积统计表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14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旧村名称</w:t>
            </w:r>
          </w:p>
        </w:tc>
        <w:tc>
          <w:tcPr>
            <w:tcW w:w="734"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总面积(㎡)</w:t>
            </w:r>
          </w:p>
        </w:tc>
        <w:tc>
          <w:tcPr>
            <w:tcW w:w="112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其中:保洁面积(㎡)</w:t>
            </w:r>
          </w:p>
        </w:tc>
        <w:tc>
          <w:tcPr>
            <w:tcW w:w="1136"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其中:绿化面积(㎡)</w:t>
            </w:r>
          </w:p>
        </w:tc>
        <w:tc>
          <w:tcPr>
            <w:tcW w:w="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142" w:type="pct"/>
            <w:shd w:val="clear" w:color="auto" w:fill="auto"/>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(9-1)旧村停车场</w:t>
            </w:r>
          </w:p>
        </w:tc>
        <w:tc>
          <w:tcPr>
            <w:tcW w:w="734"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33765.91</w:t>
            </w:r>
          </w:p>
        </w:tc>
        <w:tc>
          <w:tcPr>
            <w:tcW w:w="112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33765.91</w:t>
            </w:r>
          </w:p>
        </w:tc>
        <w:tc>
          <w:tcPr>
            <w:tcW w:w="1136" w:type="pct"/>
            <w:shd w:val="clear" w:color="auto" w:fill="auto"/>
          </w:tcPr>
          <w:p>
            <w:pPr>
              <w:widowControl/>
              <w:rPr>
                <w:rFonts w:ascii="宋体" w:hAnsi="宋体" w:cs="宋体"/>
                <w:color w:val="000000" w:themeColor="text1"/>
                <w:szCs w:val="21"/>
                <w:highlight w:val="none"/>
                <w14:textFill>
                  <w14:solidFill>
                    <w14:schemeClr w14:val="tx1"/>
                  </w14:solidFill>
                </w14:textFill>
              </w:rPr>
            </w:pPr>
          </w:p>
        </w:tc>
        <w:tc>
          <w:tcPr>
            <w:tcW w:w="612" w:type="pct"/>
            <w:shd w:val="clear" w:color="auto" w:fill="auto"/>
          </w:tcPr>
          <w:p>
            <w:pPr>
              <w:widowControl/>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392" w:type="pct"/>
            <w:gridSpan w:val="2"/>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734"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33765.91</w:t>
            </w:r>
          </w:p>
        </w:tc>
        <w:tc>
          <w:tcPr>
            <w:tcW w:w="1123"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33765.91</w:t>
            </w:r>
          </w:p>
        </w:tc>
        <w:tc>
          <w:tcPr>
            <w:tcW w:w="1136" w:type="pct"/>
            <w:shd w:val="clear" w:color="auto" w:fill="auto"/>
          </w:tcPr>
          <w:p>
            <w:pPr>
              <w:widowControl/>
              <w:rPr>
                <w:rFonts w:ascii="宋体" w:hAnsi="宋体" w:cs="宋体"/>
                <w:color w:val="000000" w:themeColor="text1"/>
                <w:szCs w:val="21"/>
                <w:highlight w:val="none"/>
                <w14:textFill>
                  <w14:solidFill>
                    <w14:schemeClr w14:val="tx1"/>
                  </w14:solidFill>
                </w14:textFill>
              </w:rPr>
            </w:pPr>
          </w:p>
        </w:tc>
        <w:tc>
          <w:tcPr>
            <w:tcW w:w="612" w:type="pct"/>
            <w:shd w:val="clear" w:color="auto" w:fill="auto"/>
          </w:tcPr>
          <w:p>
            <w:pPr>
              <w:widowControl/>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871"/>
        <w:gridCol w:w="1116"/>
        <w:gridCol w:w="1002"/>
        <w:gridCol w:w="2076"/>
        <w:gridCol w:w="840"/>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7"/>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社区闲置地环卫保洁测量面积统计表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50"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097"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闲置地位置(地址)</w:t>
            </w:r>
          </w:p>
        </w:tc>
        <w:tc>
          <w:tcPr>
            <w:tcW w:w="655"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长度(m)</w:t>
            </w:r>
          </w:p>
        </w:tc>
        <w:tc>
          <w:tcPr>
            <w:tcW w:w="5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宽度(m)</w:t>
            </w:r>
          </w:p>
        </w:tc>
        <w:tc>
          <w:tcPr>
            <w:tcW w:w="121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总面积(㎡)</w:t>
            </w:r>
          </w:p>
        </w:tc>
        <w:tc>
          <w:tcPr>
            <w:tcW w:w="493" w:type="pct"/>
            <w:shd w:val="clear" w:color="auto" w:fill="auto"/>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是否有围</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闭</w:t>
            </w:r>
          </w:p>
        </w:tc>
        <w:tc>
          <w:tcPr>
            <w:tcW w:w="695"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348" w:type="pct"/>
            <w:gridSpan w:val="2"/>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 计</w:t>
            </w:r>
          </w:p>
        </w:tc>
        <w:tc>
          <w:tcPr>
            <w:tcW w:w="6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588"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218"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0</w:t>
            </w:r>
          </w:p>
        </w:tc>
        <w:tc>
          <w:tcPr>
            <w:tcW w:w="493"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695" w:type="pct"/>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1797"/>
        <w:gridCol w:w="846"/>
        <w:gridCol w:w="801"/>
        <w:gridCol w:w="1169"/>
        <w:gridCol w:w="846"/>
        <w:gridCol w:w="712"/>
        <w:gridCol w:w="1014"/>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gridSpan w:val="9"/>
            <w:shd w:val="clear" w:color="auto" w:fill="auto"/>
            <w:vAlign w:val="center"/>
          </w:tcPr>
          <w:p>
            <w:pPr>
              <w:widowControl/>
              <w:ind w:firstLine="211" w:firstLineChars="10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社区河涌、鱼塘保洁测量面积统计表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0" w:type="auto"/>
            <w:gridSpan w:val="9"/>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(私人承担的鱼塘水域除外)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河涌或鱼塘位置(名称)</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水域长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度(m)</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水域宽</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度(m)</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水域总面</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积(㎡)</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岸边长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度(m)</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岸边宽</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度(m)</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岸边总面</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积(㎡)</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(7-5)横圳水库排洪渠</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237.76</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7.5</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889.42</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190.5</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919.7</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(8-1)北塘公园人工湖</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7759.1</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(8-8)西坊人工湖</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4331.85</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(8-12)南湖公园人工湖</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37487.58</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(10-17)东引河</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3836.8</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24.56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63721.96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868.83</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5236.1</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(11-18)复兴工业区鱼塘</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5866.82</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(13-1)塞古涌</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2345.3</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78.15</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168460.4</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3666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21970.4</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增加河岸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孖斗涌</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2187.7</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48.5</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106158.88</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厦岗涌</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747.4</w:t>
            </w:r>
          </w:p>
        </w:tc>
        <w:tc>
          <w:tcPr>
            <w:tcW w:w="0" w:type="auto"/>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53.3</w:t>
            </w:r>
          </w:p>
        </w:tc>
        <w:tc>
          <w:tcPr>
            <w:tcW w:w="0" w:type="auto"/>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35562.23</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0" w:type="auto"/>
            <w:gridSpan w:val="2"/>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430238.24</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c>
          <w:tcPr>
            <w:tcW w:w="0" w:type="auto"/>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28126.2</w:t>
            </w:r>
          </w:p>
        </w:tc>
        <w:tc>
          <w:tcPr>
            <w:tcW w:w="0" w:type="auto"/>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2188"/>
        <w:gridCol w:w="1217"/>
        <w:gridCol w:w="1286"/>
        <w:gridCol w:w="1828"/>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6"/>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社区道路绿化带测量面积统计表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000" w:type="pct"/>
            <w:gridSpan w:val="6"/>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(五条主干道除外)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28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绿化带路段名称</w:t>
            </w:r>
          </w:p>
        </w:tc>
        <w:tc>
          <w:tcPr>
            <w:tcW w:w="714"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长度(m)</w:t>
            </w:r>
          </w:p>
        </w:tc>
        <w:tc>
          <w:tcPr>
            <w:tcW w:w="755"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宽度(m)</w:t>
            </w: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绿化面积(㎡)</w:t>
            </w:r>
          </w:p>
        </w:tc>
        <w:tc>
          <w:tcPr>
            <w:tcW w:w="77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(1-2)岗沙路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130.02</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(2-4)环亚商标厂前巷</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305.29</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(3-1)开源路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226.91</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(3-2)佛子前路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128.74</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(3-3)先兴北街</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1129.65</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(3-4)先兴北街西侧巷道</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92.22</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(3-6)福荫路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112.33</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(4-2)朗蟹西街</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157.11</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(4-3)金沙东路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351.74</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(5-1)福海路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40495.53</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(5-3)得富西路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225.6</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(5-6)盘福东路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207.26</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(8-9)同心路二巷</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92.64</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(8-10)同心路一巷</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322.07</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(8-11)同心路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1139.02</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(10-1)艾迪索东侧巷道</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63.04</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(10-10)联合路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915.53</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(10-14)厦联路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797.59</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(10-21)市场西街</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520.62</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1283" w:type="pct"/>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(12-2)祥隆路</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2110.24</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685" w:type="pct"/>
            <w:gridSpan w:val="2"/>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714"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755" w:type="pct"/>
            <w:shd w:val="clear" w:color="auto" w:fill="auto"/>
          </w:tcPr>
          <w:p>
            <w:pPr>
              <w:rPr>
                <w:rFonts w:ascii="宋体" w:hAnsi="宋体" w:cs="宋体"/>
                <w:color w:val="000000" w:themeColor="text1"/>
                <w:szCs w:val="21"/>
                <w:highlight w:val="none"/>
                <w14:textFill>
                  <w14:solidFill>
                    <w14:schemeClr w14:val="tx1"/>
                  </w14:solidFill>
                </w14:textFill>
              </w:rPr>
            </w:pPr>
          </w:p>
        </w:tc>
        <w:tc>
          <w:tcPr>
            <w:tcW w:w="1073"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49523.15</w:t>
            </w:r>
          </w:p>
        </w:tc>
        <w:tc>
          <w:tcPr>
            <w:tcW w:w="771" w:type="pct"/>
            <w:shd w:val="clear" w:color="auto" w:fill="auto"/>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lang w:bidi="zh-CN"/>
          <w14:textFill>
            <w14:solidFill>
              <w14:schemeClr w14:val="tx1"/>
            </w14:solidFill>
          </w14:textFill>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2749"/>
        <w:gridCol w:w="2350"/>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00" w:type="pct"/>
            <w:gridSpan w:val="4"/>
            <w:shd w:val="clear" w:color="auto" w:fill="auto"/>
            <w:vAlign w:val="center"/>
          </w:tcPr>
          <w:p>
            <w:pPr>
              <w:widowControl/>
              <w:ind w:firstLine="211" w:firstLineChars="10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社区环卫保洁面积测量登记总统计表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000" w:type="pct"/>
            <w:gridSpan w:val="4"/>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(五条主干道除外)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名称</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面积(㎡)</w:t>
            </w:r>
          </w:p>
        </w:tc>
        <w:tc>
          <w:tcPr>
            <w:tcW w:w="171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395232.84</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工业园区环卫保洁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307721.01</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公园、广场环卫保洁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52401.9</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围闭式无物管住宅区环卫保洁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51585</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无围闭住宅区环卫保洁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155565.93</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33765.91</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闲置地环卫保洁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河涌、鱼塘保洁</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430238.24</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612"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河岸6米</w:t>
            </w:r>
          </w:p>
        </w:tc>
        <w:tc>
          <w:tcPr>
            <w:tcW w:w="1379"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28126.2</w:t>
            </w:r>
          </w:p>
        </w:tc>
        <w:tc>
          <w:tcPr>
            <w:tcW w:w="1718" w:type="pct"/>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901" w:type="pct"/>
            <w:gridSpan w:val="2"/>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w:t>
            </w: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计</w:t>
            </w:r>
          </w:p>
        </w:tc>
        <w:tc>
          <w:tcPr>
            <w:tcW w:w="1379" w:type="pct"/>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1454637.03</w:t>
            </w:r>
          </w:p>
        </w:tc>
        <w:tc>
          <w:tcPr>
            <w:tcW w:w="1718" w:type="pct"/>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其中包含绿化(49523.15)</w:t>
            </w:r>
          </w:p>
        </w:tc>
      </w:tr>
    </w:tbl>
    <w:p>
      <w:pPr>
        <w:rPr>
          <w:rFonts w:ascii="宋体" w:hAnsi="宋体" w:cs="宋体"/>
          <w:color w:val="000000" w:themeColor="text1"/>
          <w:szCs w:val="21"/>
          <w:highlight w:val="none"/>
          <w:lang w:bidi="zh-CN"/>
          <w14:textFill>
            <w14:solidFill>
              <w14:schemeClr w14:val="tx1"/>
            </w14:solidFill>
          </w14:textFill>
        </w:rPr>
      </w:pPr>
    </w:p>
    <w:p>
      <w:pPr>
        <w:spacing w:line="288" w:lineRule="auto"/>
        <w:ind w:firstLine="420" w:firstLineChars="200"/>
        <w:rPr>
          <w:rFonts w:ascii="宋体" w:hAnsi="宋体" w:cs="宋体"/>
          <w:color w:val="000000" w:themeColor="text1"/>
          <w:szCs w:val="21"/>
          <w:highlight w:val="none"/>
          <w:lang w:bidi="zh-CN"/>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t>（1）除以上明确的环卫保洁面积外，处于道路边线向外延伸2米范围（含“三边三地”等）也需中标供应商进行清理保洁。</w:t>
      </w:r>
    </w:p>
    <w:p>
      <w:pPr>
        <w:spacing w:line="288" w:lineRule="auto"/>
        <w:ind w:firstLine="420" w:firstLineChars="200"/>
        <w:rPr>
          <w:rFonts w:ascii="宋体" w:hAnsi="宋体" w:cs="宋体"/>
          <w:color w:val="000000" w:themeColor="text1"/>
          <w:szCs w:val="21"/>
          <w:highlight w:val="none"/>
          <w:lang w:bidi="zh-CN"/>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t>（2）水域保洁及绿化保洁单价按清扫保洁综合单价的30%计取（即水域保洁及绿化保洁按实际测量面积的30%计取环卫保洁服务费）；</w:t>
      </w:r>
    </w:p>
    <w:p>
      <w:pPr>
        <w:widowControl/>
        <w:adjustRightInd w:val="0"/>
        <w:snapToGrid w:val="0"/>
        <w:spacing w:line="360" w:lineRule="auto"/>
        <w:ind w:firstLine="420" w:firstLineChars="200"/>
        <w:rPr>
          <w:color w:val="000000" w:themeColor="text1"/>
          <w:highlight w:val="none"/>
          <w:lang w:val="zh-CN"/>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t>（3）本项目实际计取服务费面积为：社区原面积-（绿化面积+水域面积）×70%=折算后面积（即实际计算服务费面积），服务费=实际计取服务费面积×中标综合单价×服务年限。即：实际计算服务费时，水域保洁和绿化保洁面积：（</w:t>
      </w:r>
      <w:r>
        <w:rPr>
          <w:rFonts w:hint="eastAsia" w:ascii="宋体" w:hAnsi="宋体" w:cs="宋体"/>
          <w:color w:val="000000" w:themeColor="text1"/>
          <w:kern w:val="0"/>
          <w:szCs w:val="21"/>
          <w:highlight w:val="none"/>
          <w:lang w:bidi="ar"/>
          <w14:textFill>
            <w14:solidFill>
              <w14:schemeClr w14:val="tx1"/>
            </w14:solidFill>
          </w14:textFill>
        </w:rPr>
        <w:t>430238.24+49523.15</w:t>
      </w:r>
      <w:r>
        <w:rPr>
          <w:rFonts w:hint="eastAsia" w:ascii="宋体" w:hAnsi="宋体" w:cs="宋体"/>
          <w:color w:val="000000" w:themeColor="text1"/>
          <w:szCs w:val="21"/>
          <w:highlight w:val="none"/>
          <w:lang w:bidi="zh-CN"/>
          <w14:textFill>
            <w14:solidFill>
              <w14:schemeClr w14:val="tx1"/>
            </w14:solidFill>
          </w14:textFill>
        </w:rPr>
        <w:t>）</w:t>
      </w:r>
      <w:r>
        <w:rPr>
          <w:rFonts w:hint="eastAsia" w:ascii="宋体" w:hAnsi="宋体" w:cs="宋体"/>
          <w:color w:val="000000" w:themeColor="text1"/>
          <w:kern w:val="0"/>
          <w:szCs w:val="21"/>
          <w:highlight w:val="none"/>
          <w:lang w:bidi="ar"/>
          <w14:textFill>
            <w14:solidFill>
              <w14:schemeClr w14:val="tx1"/>
            </w14:solidFill>
          </w14:textFill>
        </w:rPr>
        <w:t>*0.3≈143928.42㎡；实际计算服务费时，环卫保洁折算后总面积：1118804.06㎡。</w:t>
      </w:r>
    </w:p>
    <w:p>
      <w:pPr>
        <w:widowControl/>
        <w:adjustRightInd w:val="0"/>
        <w:snapToGrid w:val="0"/>
        <w:spacing w:line="360" w:lineRule="auto"/>
        <w:ind w:firstLine="420" w:firstLineChars="200"/>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（二）道路明细表</w:t>
      </w:r>
    </w:p>
    <w:tbl>
      <w:tblPr>
        <w:tblStyle w:val="17"/>
        <w:tblW w:w="0" w:type="auto"/>
        <w:tblInd w:w="0" w:type="dxa"/>
        <w:shd w:val="clear" w:color="auto" w:fill="FFFFFF" w:themeFill="background1"/>
        <w:tblLayout w:type="fixed"/>
        <w:tblCellMar>
          <w:top w:w="0" w:type="dxa"/>
          <w:left w:w="108" w:type="dxa"/>
          <w:bottom w:w="0" w:type="dxa"/>
          <w:right w:w="108" w:type="dxa"/>
        </w:tblCellMar>
      </w:tblPr>
      <w:tblGrid>
        <w:gridCol w:w="362"/>
        <w:gridCol w:w="802"/>
        <w:gridCol w:w="363"/>
        <w:gridCol w:w="838"/>
        <w:gridCol w:w="457"/>
        <w:gridCol w:w="402"/>
        <w:gridCol w:w="586"/>
        <w:gridCol w:w="384"/>
        <w:gridCol w:w="402"/>
        <w:gridCol w:w="622"/>
        <w:gridCol w:w="457"/>
        <w:gridCol w:w="860"/>
        <w:gridCol w:w="458"/>
        <w:gridCol w:w="721"/>
        <w:gridCol w:w="802"/>
      </w:tblGrid>
      <w:tr>
        <w:tblPrEx>
          <w:tblCellMar>
            <w:top w:w="0" w:type="dxa"/>
            <w:left w:w="108" w:type="dxa"/>
            <w:bottom w:w="0" w:type="dxa"/>
            <w:right w:w="108" w:type="dxa"/>
          </w:tblCellMar>
        </w:tblPrEx>
        <w:trPr>
          <w:trHeight w:val="486" w:hRule="atLeast"/>
        </w:trPr>
        <w:tc>
          <w:tcPr>
            <w:tcW w:w="36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80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道路名称</w:t>
            </w:r>
          </w:p>
        </w:tc>
        <w:tc>
          <w:tcPr>
            <w:tcW w:w="363"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道路等级</w:t>
            </w:r>
          </w:p>
        </w:tc>
        <w:tc>
          <w:tcPr>
            <w:tcW w:w="83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对应道路等级类别</w:t>
            </w:r>
          </w:p>
        </w:tc>
        <w:tc>
          <w:tcPr>
            <w:tcW w:w="2231"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道路断面形式（m，以下5列数量之和为道路红线宽度）</w:t>
            </w:r>
          </w:p>
        </w:tc>
        <w:tc>
          <w:tcPr>
            <w:tcW w:w="62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道路红线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宽度(m)</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道路长度</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（m）</w:t>
            </w:r>
          </w:p>
        </w:tc>
        <w:tc>
          <w:tcPr>
            <w:tcW w:w="86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清扫保洁方式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（机扫/人扫/人</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工配合机械）</w:t>
            </w:r>
          </w:p>
        </w:tc>
        <w:tc>
          <w:tcPr>
            <w:tcW w:w="45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其他面积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道路总面积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（不含绿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化）（㎡）</w:t>
            </w:r>
          </w:p>
        </w:tc>
        <w:tc>
          <w:tcPr>
            <w:tcW w:w="80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绿地和绿化</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分隔设施面</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积（㎡）</w:t>
            </w:r>
          </w:p>
        </w:tc>
      </w:tr>
      <w:tr>
        <w:tblPrEx>
          <w:shd w:val="clear" w:color="auto" w:fill="FFFFFF" w:themeFill="background1"/>
          <w:tblCellMar>
            <w:top w:w="0" w:type="dxa"/>
            <w:left w:w="108" w:type="dxa"/>
            <w:bottom w:w="0" w:type="dxa"/>
            <w:right w:w="108" w:type="dxa"/>
          </w:tblCellMar>
        </w:tblPrEx>
        <w:trPr>
          <w:trHeight w:val="810" w:hRule="atLeast"/>
        </w:trPr>
        <w:tc>
          <w:tcPr>
            <w:tcW w:w="36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80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36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人行道</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辅道或非</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机动车道</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机动与非</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机动车道</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隔离带</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机动车道</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中央分隔</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带</w:t>
            </w:r>
          </w:p>
        </w:tc>
        <w:tc>
          <w:tcPr>
            <w:tcW w:w="62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45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c>
          <w:tcPr>
            <w:tcW w:w="80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(3-1)开源路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520.83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17607.24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226.91</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(3-6)福荫路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20.11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718.29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14352.6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112.33</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(5-1)福海路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绿化带</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62.37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4486.79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215514.91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40495.53</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(5-3)得富西路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33.33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278.26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8291.4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225.6</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(5-4)金沙西路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19.04</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34.04</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187.77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6103.98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(11-2)复兴北路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26.42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1185.89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32002.25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(10-7)江南南街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景观道路、重要道路</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10.56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863.22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16573.06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(3-3)先兴北街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458.6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5931.68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1129.65</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(4-3)金沙东路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24.31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272.78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6422.87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351.74</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(4-6)得富东路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27.06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128.32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3482.23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(5-5)逢新街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11.98</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311.82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4408.21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(5-6)盘福东路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7.84</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16.84</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338.23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4935.44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207.26</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(6-5)盘福南路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8.49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345.82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2994.36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(7-2)先兴中街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264.72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4251.06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(8-5)盘福北路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255.69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2426.62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(8-6)盘福西路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139.85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1552.53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(8-11)同心路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25.03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837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19894.64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1139.02</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(8-13)南湖公园</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村（社区）群众广场、 一般城市公园</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26918.41</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(8-14)大塘路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1226.77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(8-15)先兴南街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16.97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343.33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6496.49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(9-2)螺山公园</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村（社区）群众广场、 一般城市公园</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14470.16</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(10-14)厦联路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25.17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815.46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19653.06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797.59</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(11-1)环球路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297.99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5992.48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(11-5)步行街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37.38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37.38</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636.25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18105.57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(11-19)复兴路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496.54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7860.63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(12-2)祥隆路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16933.25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2110.24</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(12-7)隆裕苑四巷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一般城市道路、国省道、重要县道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10.33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25.33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494.63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12525.91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(1-1)大山东街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509.7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4317.67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(1-2)岗沙路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573.13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4393.16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130.02</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(2-1)康明街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12.62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12.62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312.57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3327.66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(2-2)龙源街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274.87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2662.89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(2-3)茅山东街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8.46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16.46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176.03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2710.06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(2-4)环亚商标厂前巷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140.25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1018.08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305.29</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(2-6)康明街北侧巷道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9.87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9.87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140.73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1330.25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(2-7)茅山西街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13.15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90.54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1214.43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(3-2)佛子前路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12.31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196.72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2701.3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128.74</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(3-4)先兴北街西侧巷道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10.43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10.43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127.77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1164.91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92.22</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(3-7)富荣街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13.91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13.91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248.61</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2959.99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(3-8)厦岗小学西侧巷道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9.04</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9.04</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188.48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(3-9)宝越厂西侧巷道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6.28</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61.82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399.46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(4-1)朗蟹东街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219.98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2470.08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(4-2)朗蟹西街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9.36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20.36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312.75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5851.7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157.11</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(4-4)新业东街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210.25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2761.13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(4-5)新业北路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15.08</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356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5641.07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(4-7)新业南路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15.15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299.25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4414.62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(4-8)正扬厂北侧巷道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rPr>
                <w:rFonts w:ascii="宋体" w:hAnsi="宋体" w:cs="宋体"/>
                <w:color w:val="000000" w:themeColor="text1"/>
                <w:szCs w:val="21"/>
                <w:highlight w:val="none"/>
                <w14:textFill>
                  <w14:solidFill>
                    <w14:schemeClr w14:val="tx1"/>
                  </w14:solidFill>
                </w14:textFill>
              </w:rPr>
            </w:pP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16.27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75.76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1219.67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(6-2)金沙西路二巷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112.89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695.64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(6-4)嘉美厂前巷道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119.35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1136.54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(8-9)同心路二巷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7.81</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268.37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2049.58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92.64</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(8-10)同心路一巷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15.37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15.37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683.89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8052.84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322.07</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(8-16)沿江北街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1196.26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6609.6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(10-1)艾迪索东侧巷道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199.02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1838.29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63.04</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(10-2)市场东街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316.48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4666.52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(10-3)辰林厂西侧巷道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15.85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245.77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3819.91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(10-4)艾迪索西侧巷道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204.24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2236.86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(10-5)晟太东街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14.28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14.28</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261.07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3759.73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(10-9)沿江南街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821.85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7080.16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(10-10)联合路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1039.8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18548.77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915.53</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(10-12)晟太西街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8.33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18.33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510.44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9473.13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(10-13)永正厂西侧巷道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12.13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465.01</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5135.73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(10-15)江南二街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6.05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172.76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2874.11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(10-16)江南西街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16.19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821.5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13163.69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(10-18)辰林厂西侧巷道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163.24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1507.15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(10-19)丽枫酒店后巷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10.12</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161.54</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1740.68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(10-21)市场西街</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17.55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314.9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4380.31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520.62</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(11-3)福海路三巷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6.46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16.46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199.19</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3215.86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(11-4)福海路七巷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208.95</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2006.66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68</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(11-8)恒业路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8.13</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18.13</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447.08</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8519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69</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(11-20)复兴路西侧支路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10.97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173.52</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1901.26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(11-21)博业工业园西侧巷</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7.65</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15.65</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306.96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4719.3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(11-22)好景厂前路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1.07</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9.07</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223.86</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人工配合机械</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2061.1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72</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(11-23)屠宰场门前路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4.39</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4.39</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233.07</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2323.4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73</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（12-5）码头路</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7.6</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7.6</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1937.33</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机扫</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22217.31</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余下各村、小组、居民区巷道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村（社区）中心区域及居住区巷道</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240266.05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650.79</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(2-5)厦岗公墓</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四级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11013.33</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r>
        <w:tblPrEx>
          <w:shd w:val="clear" w:color="auto" w:fill="FFFFFF" w:themeFill="background1"/>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76</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河岸6米</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四级</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28126.2</w:t>
            </w:r>
          </w:p>
        </w:tc>
      </w:tr>
      <w:tr>
        <w:tblPrEx>
          <w:tblCellMar>
            <w:top w:w="0" w:type="dxa"/>
            <w:left w:w="108" w:type="dxa"/>
            <w:bottom w:w="0" w:type="dxa"/>
            <w:right w:w="108" w:type="dxa"/>
          </w:tblCellMar>
        </w:tblPrEx>
        <w:trPr>
          <w:trHeight w:val="210" w:hRule="atLeast"/>
        </w:trPr>
        <w:tc>
          <w:tcPr>
            <w:tcW w:w="3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77</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河涌、鱼塘</w:t>
            </w:r>
          </w:p>
        </w:tc>
        <w:tc>
          <w:tcPr>
            <w:tcW w:w="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待定</w:t>
            </w:r>
          </w:p>
        </w:tc>
        <w:tc>
          <w:tcPr>
            <w:tcW w:w="8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5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3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6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4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人工</w:t>
            </w:r>
          </w:p>
        </w:tc>
        <w:tc>
          <w:tcPr>
            <w:tcW w:w="45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c>
          <w:tcPr>
            <w:tcW w:w="72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430238.24</w:t>
            </w:r>
          </w:p>
        </w:tc>
        <w:tc>
          <w:tcPr>
            <w:tcW w:w="8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w:t>
            </w:r>
          </w:p>
        </w:tc>
      </w:tr>
    </w:tbl>
    <w:p>
      <w:pPr>
        <w:widowControl/>
        <w:adjustRightInd w:val="0"/>
        <w:snapToGrid w:val="0"/>
        <w:spacing w:line="360" w:lineRule="auto"/>
        <w:ind w:firstLine="420" w:firstLineChars="200"/>
        <w:rPr>
          <w:color w:val="000000" w:themeColor="text1"/>
          <w:highlight w:val="none"/>
          <w14:textFill>
            <w14:solidFill>
              <w14:schemeClr w14:val="tx1"/>
            </w14:solidFill>
          </w14:textFill>
        </w:rPr>
      </w:pPr>
    </w:p>
    <w:p>
      <w:pPr>
        <w:widowControl/>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t>（三）</w:t>
      </w:r>
      <w:r>
        <w:rPr>
          <w:rFonts w:hint="eastAsia" w:ascii="宋体" w:hAnsi="宋体" w:cs="宋体"/>
          <w:color w:val="000000" w:themeColor="text1"/>
          <w:szCs w:val="21"/>
          <w:highlight w:val="none"/>
          <w14:textFill>
            <w14:solidFill>
              <w14:schemeClr w14:val="tx1"/>
            </w14:solidFill>
          </w14:textFill>
        </w:rPr>
        <w:t>公厕设置现状情况</w:t>
      </w:r>
    </w:p>
    <w:tbl>
      <w:tblPr>
        <w:tblStyle w:val="17"/>
        <w:tblW w:w="4995" w:type="pct"/>
        <w:tblInd w:w="0" w:type="dxa"/>
        <w:tblLayout w:type="autofit"/>
        <w:tblCellMar>
          <w:top w:w="0" w:type="dxa"/>
          <w:left w:w="108" w:type="dxa"/>
          <w:bottom w:w="0" w:type="dxa"/>
          <w:right w:w="108" w:type="dxa"/>
        </w:tblCellMar>
      </w:tblPr>
      <w:tblGrid>
        <w:gridCol w:w="337"/>
        <w:gridCol w:w="460"/>
        <w:gridCol w:w="550"/>
        <w:gridCol w:w="914"/>
        <w:gridCol w:w="338"/>
        <w:gridCol w:w="582"/>
        <w:gridCol w:w="615"/>
        <w:gridCol w:w="521"/>
        <w:gridCol w:w="521"/>
        <w:gridCol w:w="521"/>
        <w:gridCol w:w="521"/>
        <w:gridCol w:w="521"/>
        <w:gridCol w:w="765"/>
        <w:gridCol w:w="704"/>
        <w:gridCol w:w="652"/>
      </w:tblGrid>
      <w:tr>
        <w:tblPrEx>
          <w:tblCellMar>
            <w:top w:w="0" w:type="dxa"/>
            <w:left w:w="108" w:type="dxa"/>
            <w:bottom w:w="0" w:type="dxa"/>
            <w:right w:w="108" w:type="dxa"/>
          </w:tblCellMar>
        </w:tblPrEx>
        <w:trPr>
          <w:trHeight w:val="402" w:hRule="atLeast"/>
        </w:trPr>
        <w:tc>
          <w:tcPr>
            <w:tcW w:w="4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序号</w:t>
            </w:r>
          </w:p>
        </w:tc>
        <w:tc>
          <w:tcPr>
            <w:tcW w:w="1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所属社区</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公厕名称</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详细地址</w:t>
            </w:r>
          </w:p>
        </w:tc>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类别</w:t>
            </w:r>
          </w:p>
        </w:tc>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是否为活动式</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保洁时长（</w:t>
            </w:r>
            <w:r>
              <w:rPr>
                <w:rStyle w:val="38"/>
                <w:rFonts w:eastAsia="等线"/>
                <w:color w:val="000000" w:themeColor="text1"/>
                <w:highlight w:val="none"/>
                <w:lang w:bidi="ar"/>
                <w14:textFill>
                  <w14:solidFill>
                    <w14:schemeClr w14:val="tx1"/>
                  </w14:solidFill>
                </w14:textFill>
              </w:rPr>
              <w:t>h</w:t>
            </w:r>
            <w:r>
              <w:rPr>
                <w:rStyle w:val="37"/>
                <w:rFonts w:hint="default"/>
                <w:color w:val="000000" w:themeColor="text1"/>
                <w:highlight w:val="none"/>
                <w:lang w:bidi="ar"/>
                <w14:textFill>
                  <w14:solidFill>
                    <w14:schemeClr w14:val="tx1"/>
                  </w14:solidFill>
                </w14:textFill>
              </w:rPr>
              <w:t>）</w:t>
            </w:r>
          </w:p>
        </w:tc>
        <w:tc>
          <w:tcPr>
            <w:tcW w:w="91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男厕</w:t>
            </w:r>
          </w:p>
        </w:tc>
        <w:tc>
          <w:tcPr>
            <w:tcW w:w="6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女厕</w:t>
            </w:r>
          </w:p>
        </w:tc>
        <w:tc>
          <w:tcPr>
            <w:tcW w:w="3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妇婴专用厕位（个）</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无障碍厕位（个）</w:t>
            </w:r>
          </w:p>
        </w:tc>
        <w:tc>
          <w:tcPr>
            <w:tcW w:w="2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占地面积（</w:t>
            </w:r>
            <w:r>
              <w:rPr>
                <w:rStyle w:val="38"/>
                <w:rFonts w:eastAsia="等线"/>
                <w:color w:val="000000" w:themeColor="text1"/>
                <w:highlight w:val="none"/>
                <w:lang w:bidi="ar"/>
                <w14:textFill>
                  <w14:solidFill>
                    <w14:schemeClr w14:val="tx1"/>
                  </w14:solidFill>
                </w14:textFill>
              </w:rPr>
              <w:t>m</w:t>
            </w:r>
            <w:r>
              <w:rPr>
                <w:rStyle w:val="39"/>
                <w:rFonts w:eastAsia="等线"/>
                <w:color w:val="000000" w:themeColor="text1"/>
                <w:highlight w:val="none"/>
                <w:lang w:bidi="ar"/>
                <w14:textFill>
                  <w14:solidFill>
                    <w14:schemeClr w14:val="tx1"/>
                  </w14:solidFill>
                </w14:textFill>
              </w:rPr>
              <w:t>2</w:t>
            </w:r>
            <w:r>
              <w:rPr>
                <w:rStyle w:val="37"/>
                <w:rFonts w:hint="default"/>
                <w:color w:val="000000" w:themeColor="text1"/>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4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1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坐位（个）</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蹲位（个）</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站位（个）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坐位（个）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Style w:val="37"/>
                <w:rFonts w:hint="default"/>
                <w:color w:val="000000" w:themeColor="text1"/>
                <w:highlight w:val="none"/>
                <w:lang w:bidi="ar"/>
                <w14:textFill>
                  <w14:solidFill>
                    <w14:schemeClr w14:val="tx1"/>
                  </w14:solidFill>
                </w14:textFill>
              </w:rPr>
              <w:t>蹲位（个）</w:t>
            </w:r>
          </w:p>
        </w:tc>
        <w:tc>
          <w:tcPr>
            <w:tcW w:w="3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92</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厦岗盘福东街</w:t>
            </w:r>
            <w:r>
              <w:rPr>
                <w:rStyle w:val="41"/>
                <w:rFonts w:eastAsia="等线"/>
                <w:color w:val="000000" w:themeColor="text1"/>
                <w:highlight w:val="none"/>
                <w:lang w:bidi="ar"/>
                <w14:textFill>
                  <w14:solidFill>
                    <w14:schemeClr w14:val="tx1"/>
                  </w14:solidFill>
                </w14:textFill>
              </w:rPr>
              <w:t>19</w:t>
            </w:r>
            <w:r>
              <w:rPr>
                <w:rStyle w:val="40"/>
                <w:rFonts w:hint="default"/>
                <w:color w:val="000000" w:themeColor="text1"/>
                <w:highlight w:val="none"/>
                <w:lang w:bidi="ar"/>
                <w14:textFill>
                  <w14:solidFill>
                    <w14:schemeClr w14:val="tx1"/>
                  </w14:solidFill>
                </w14:textFill>
              </w:rPr>
              <w:t>号旁</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8</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8</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106</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93</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厦岗先兴南街</w:t>
            </w:r>
            <w:r>
              <w:rPr>
                <w:rStyle w:val="41"/>
                <w:rFonts w:eastAsia="等线"/>
                <w:color w:val="000000" w:themeColor="text1"/>
                <w:highlight w:val="none"/>
                <w:lang w:bidi="ar"/>
                <w14:textFill>
                  <w14:solidFill>
                    <w14:schemeClr w14:val="tx1"/>
                  </w14:solidFill>
                </w14:textFill>
              </w:rPr>
              <w:t>17</w:t>
            </w:r>
            <w:r>
              <w:rPr>
                <w:rStyle w:val="40"/>
                <w:rFonts w:hint="default"/>
                <w:color w:val="000000" w:themeColor="text1"/>
                <w:highlight w:val="none"/>
                <w:lang w:bidi="ar"/>
                <w14:textFill>
                  <w14:solidFill>
                    <w14:schemeClr w14:val="tx1"/>
                  </w14:solidFill>
                </w14:textFill>
              </w:rPr>
              <w:t>号对面</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14</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4</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140</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94</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厦岗开源路八巷</w:t>
            </w:r>
            <w:r>
              <w:rPr>
                <w:rStyle w:val="41"/>
                <w:rFonts w:eastAsia="等线"/>
                <w:color w:val="000000" w:themeColor="text1"/>
                <w:highlight w:val="none"/>
                <w:lang w:bidi="ar"/>
                <w14:textFill>
                  <w14:solidFill>
                    <w14:schemeClr w14:val="tx1"/>
                  </w14:solidFill>
                </w14:textFill>
              </w:rPr>
              <w:t>13</w:t>
            </w:r>
            <w:r>
              <w:rPr>
                <w:rStyle w:val="40"/>
                <w:rFonts w:hint="default"/>
                <w:color w:val="000000" w:themeColor="text1"/>
                <w:highlight w:val="none"/>
                <w:lang w:bidi="ar"/>
                <w14:textFill>
                  <w14:solidFill>
                    <w14:schemeClr w14:val="tx1"/>
                  </w14:solidFill>
                </w14:textFill>
              </w:rPr>
              <w:t>号对面</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6</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无</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72</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4</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95</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厦岗福海路</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4</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60</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5</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97</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同心路南湖公园</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45</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6</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98</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厦岗福海路</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6</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7</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60</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7</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长安</w:t>
            </w:r>
            <w:r>
              <w:rPr>
                <w:rStyle w:val="41"/>
                <w:rFonts w:eastAsia="等线"/>
                <w:color w:val="000000" w:themeColor="text1"/>
                <w:highlight w:val="none"/>
                <w:lang w:bidi="ar"/>
                <w14:textFill>
                  <w14:solidFill>
                    <w14:schemeClr w14:val="tx1"/>
                  </w14:solidFill>
                </w14:textFill>
              </w:rPr>
              <w:t>99</w:t>
            </w:r>
            <w:r>
              <w:rPr>
                <w:rStyle w:val="40"/>
                <w:rFonts w:hint="default"/>
                <w:color w:val="000000" w:themeColor="text1"/>
                <w:highlight w:val="none"/>
                <w:lang w:bidi="ar"/>
                <w14:textFill>
                  <w14:solidFill>
                    <w14:schemeClr w14:val="tx1"/>
                  </w14:solidFill>
                </w14:textFill>
              </w:rPr>
              <w:t>公厕</w:t>
            </w:r>
          </w:p>
        </w:tc>
        <w:tc>
          <w:tcPr>
            <w:tcW w:w="4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厦联路</w:t>
            </w:r>
            <w:r>
              <w:rPr>
                <w:rStyle w:val="41"/>
                <w:rFonts w:eastAsia="等线"/>
                <w:color w:val="000000" w:themeColor="text1"/>
                <w:highlight w:val="none"/>
                <w:lang w:bidi="ar"/>
                <w14:textFill>
                  <w14:solidFill>
                    <w14:schemeClr w14:val="tx1"/>
                  </w14:solidFill>
                </w14:textFill>
              </w:rPr>
              <w:t>12</w:t>
            </w:r>
            <w:r>
              <w:rPr>
                <w:rStyle w:val="40"/>
                <w:rFonts w:hint="default"/>
                <w:color w:val="000000" w:themeColor="text1"/>
                <w:highlight w:val="none"/>
                <w:lang w:bidi="ar"/>
                <w14:textFill>
                  <w14:solidFill>
                    <w14:schemeClr w14:val="tx1"/>
                  </w14:solidFill>
                </w14:textFill>
              </w:rPr>
              <w:t>号</w:t>
            </w:r>
            <w:r>
              <w:rPr>
                <w:rStyle w:val="41"/>
                <w:rFonts w:eastAsia="等线"/>
                <w:color w:val="000000" w:themeColor="text1"/>
                <w:highlight w:val="none"/>
                <w:lang w:bidi="ar"/>
                <w14:textFill>
                  <w14:solidFill>
                    <w14:schemeClr w14:val="tx1"/>
                  </w14:solidFill>
                </w14:textFill>
              </w:rPr>
              <w:t>101</w:t>
            </w:r>
            <w:r>
              <w:rPr>
                <w:rStyle w:val="40"/>
                <w:rFonts w:hint="default"/>
                <w:color w:val="000000" w:themeColor="text1"/>
                <w:highlight w:val="none"/>
                <w:lang w:bidi="ar"/>
                <w14:textFill>
                  <w14:solidFill>
                    <w14:schemeClr w14:val="tx1"/>
                  </w14:solidFill>
                </w14:textFill>
              </w:rPr>
              <w:t>铺后面</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5</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39</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8</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隆盛公厕</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厦岗祥隆路</w:t>
            </w:r>
            <w:r>
              <w:rPr>
                <w:rStyle w:val="41"/>
                <w:rFonts w:eastAsia="等线"/>
                <w:color w:val="000000" w:themeColor="text1"/>
                <w:highlight w:val="none"/>
                <w:lang w:bidi="ar"/>
                <w14:textFill>
                  <w14:solidFill>
                    <w14:schemeClr w14:val="tx1"/>
                  </w14:solidFill>
                </w14:textFill>
              </w:rPr>
              <w:t>70</w:t>
            </w:r>
            <w:r>
              <w:rPr>
                <w:rStyle w:val="40"/>
                <w:rFonts w:hint="default"/>
                <w:color w:val="000000" w:themeColor="text1"/>
                <w:highlight w:val="none"/>
                <w:lang w:bidi="ar"/>
                <w14:textFill>
                  <w14:solidFill>
                    <w14:schemeClr w14:val="tx1"/>
                  </w14:solidFill>
                </w14:textFill>
              </w:rPr>
              <w:t>号</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二类</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100</w:t>
            </w:r>
          </w:p>
        </w:tc>
      </w:tr>
      <w:tr>
        <w:tblPrEx>
          <w:tblCellMar>
            <w:top w:w="0" w:type="dxa"/>
            <w:left w:w="108" w:type="dxa"/>
            <w:bottom w:w="0" w:type="dxa"/>
            <w:right w:w="108" w:type="dxa"/>
          </w:tblCellMar>
        </w:tblPrEx>
        <w:trPr>
          <w:trHeight w:val="402"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9</w:t>
            </w:r>
          </w:p>
        </w:tc>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Style w:val="40"/>
                <w:rFonts w:hint="default"/>
                <w:color w:val="000000" w:themeColor="text1"/>
                <w:highlight w:val="none"/>
                <w:lang w:bidi="ar"/>
                <w14:textFill>
                  <w14:solidFill>
                    <w14:schemeClr w14:val="tx1"/>
                  </w14:solidFill>
                </w14:textFill>
              </w:rPr>
            </w:pPr>
            <w:r>
              <w:rPr>
                <w:rStyle w:val="40"/>
                <w:rFonts w:hint="default"/>
                <w:color w:val="000000" w:themeColor="text1"/>
                <w:highlight w:val="none"/>
                <w:lang w:bidi="ar"/>
                <w14:textFill>
                  <w14:solidFill>
                    <w14:schemeClr w14:val="tx1"/>
                  </w14:solidFill>
                </w14:textFill>
              </w:rPr>
              <w:t>厦岗</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Style w:val="40"/>
                <w:rFonts w:hint="default"/>
                <w:color w:val="000000" w:themeColor="text1"/>
                <w:highlight w:val="none"/>
                <w:lang w:bidi="ar"/>
                <w14:textFill>
                  <w14:solidFill>
                    <w14:schemeClr w14:val="tx1"/>
                  </w14:solidFill>
                </w14:textFill>
              </w:rPr>
            </w:pPr>
            <w:r>
              <w:rPr>
                <w:rStyle w:val="40"/>
                <w:rFonts w:hint="default"/>
                <w:color w:val="000000" w:themeColor="text1"/>
                <w:highlight w:val="none"/>
                <w:lang w:bidi="ar"/>
                <w14:textFill>
                  <w14:solidFill>
                    <w14:schemeClr w14:val="tx1"/>
                  </w14:solidFill>
                </w14:textFill>
              </w:rPr>
              <w:t>螺山公厕</w:t>
            </w: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Style w:val="40"/>
                <w:rFonts w:hint="default"/>
                <w:color w:val="000000" w:themeColor="text1"/>
                <w:highlight w:val="none"/>
                <w:lang w:bidi="ar"/>
                <w14:textFill>
                  <w14:solidFill>
                    <w14:schemeClr w14:val="tx1"/>
                  </w14:solidFill>
                </w14:textFill>
              </w:rPr>
            </w:pPr>
            <w:r>
              <w:rPr>
                <w:rStyle w:val="40"/>
                <w:rFonts w:hint="default"/>
                <w:color w:val="000000" w:themeColor="text1"/>
                <w:highlight w:val="none"/>
                <w:lang w:bidi="ar"/>
                <w14:textFill>
                  <w14:solidFill>
                    <w14:schemeClr w14:val="tx1"/>
                  </w14:solidFill>
                </w14:textFill>
              </w:rPr>
              <w:t>螺山公园</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Style w:val="40"/>
                <w:rFonts w:hint="default"/>
                <w:color w:val="000000" w:themeColor="text1"/>
                <w:highlight w:val="none"/>
                <w:lang w:bidi="ar"/>
                <w14:textFill>
                  <w14:solidFill>
                    <w14:schemeClr w14:val="tx1"/>
                  </w14:solidFill>
                </w14:textFill>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Style w:val="40"/>
                <w:rFonts w:hint="default"/>
                <w:color w:val="000000" w:themeColor="text1"/>
                <w:highlight w:val="none"/>
                <w:lang w:bidi="ar"/>
                <w14:textFill>
                  <w14:solidFill>
                    <w14:schemeClr w14:val="tx1"/>
                  </w14:solidFill>
                </w14:textFill>
              </w:rPr>
            </w:pPr>
            <w:r>
              <w:rPr>
                <w:rStyle w:val="40"/>
                <w:rFonts w:hint="default"/>
                <w:color w:val="000000" w:themeColor="text1"/>
                <w:highlight w:val="none"/>
                <w:lang w:bidi="ar"/>
                <w14:textFill>
                  <w14:solidFill>
                    <w14:schemeClr w14:val="tx1"/>
                  </w14:solidFill>
                </w14:textFill>
              </w:rPr>
              <w:t>否</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5</w:t>
            </w:r>
          </w:p>
        </w:tc>
        <w:tc>
          <w:tcPr>
            <w:tcW w:w="3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0</w:t>
            </w:r>
          </w:p>
        </w:tc>
        <w:tc>
          <w:tcPr>
            <w:tcW w:w="3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等线" w:cs="Times New Roman"/>
                <w:color w:val="000000" w:themeColor="text1"/>
                <w:kern w:val="0"/>
                <w:sz w:val="20"/>
                <w:szCs w:val="20"/>
                <w:highlight w:val="none"/>
                <w:lang w:bidi="ar"/>
                <w14:textFill>
                  <w14:solidFill>
                    <w14:schemeClr w14:val="tx1"/>
                  </w14:solidFill>
                </w14:textFill>
              </w:rPr>
              <w:t>80</w:t>
            </w:r>
          </w:p>
        </w:tc>
      </w:tr>
    </w:tbl>
    <w:p>
      <w:pPr>
        <w:widowControl/>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t>（四）</w:t>
      </w:r>
      <w:r>
        <w:rPr>
          <w:rFonts w:hint="eastAsia" w:ascii="宋体" w:hAnsi="宋体" w:cs="宋体"/>
          <w:color w:val="000000" w:themeColor="text1"/>
          <w:szCs w:val="21"/>
          <w:highlight w:val="none"/>
          <w14:textFill>
            <w14:solidFill>
              <w14:schemeClr w14:val="tx1"/>
            </w14:solidFill>
          </w14:textFill>
        </w:rPr>
        <w:t>垃圾转运站现状情况</w:t>
      </w:r>
    </w:p>
    <w:tbl>
      <w:tblPr>
        <w:tblStyle w:val="17"/>
        <w:tblW w:w="4995" w:type="pct"/>
        <w:tblInd w:w="0" w:type="dxa"/>
        <w:tblLayout w:type="autofit"/>
        <w:tblCellMar>
          <w:top w:w="0" w:type="dxa"/>
          <w:left w:w="108" w:type="dxa"/>
          <w:bottom w:w="0" w:type="dxa"/>
          <w:right w:w="108" w:type="dxa"/>
        </w:tblCellMar>
      </w:tblPr>
      <w:tblGrid>
        <w:gridCol w:w="371"/>
        <w:gridCol w:w="527"/>
        <w:gridCol w:w="642"/>
        <w:gridCol w:w="1106"/>
        <w:gridCol w:w="773"/>
        <w:gridCol w:w="850"/>
        <w:gridCol w:w="916"/>
        <w:gridCol w:w="527"/>
        <w:gridCol w:w="772"/>
        <w:gridCol w:w="937"/>
        <w:gridCol w:w="1101"/>
      </w:tblGrid>
      <w:tr>
        <w:tblPrEx>
          <w:tblCellMar>
            <w:top w:w="0" w:type="dxa"/>
            <w:left w:w="108" w:type="dxa"/>
            <w:bottom w:w="0" w:type="dxa"/>
            <w:right w:w="108" w:type="dxa"/>
          </w:tblCellMar>
        </w:tblPrEx>
        <w:trPr>
          <w:trHeight w:val="402" w:hRule="atLeast"/>
        </w:trPr>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序号</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所属社区</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转运站名称</w:t>
            </w:r>
          </w:p>
        </w:tc>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地址</w:t>
            </w:r>
          </w:p>
        </w:tc>
        <w:tc>
          <w:tcPr>
            <w:tcW w:w="4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设计规模（</w:t>
            </w:r>
            <w:r>
              <w:rPr>
                <w:rFonts w:ascii="Times New Roman" w:hAnsi="Times New Roman" w:eastAsia="等线" w:cs="Times New Roman"/>
                <w:b/>
                <w:bCs/>
                <w:color w:val="000000" w:themeColor="text1"/>
                <w:kern w:val="0"/>
                <w:sz w:val="20"/>
                <w:szCs w:val="20"/>
                <w:highlight w:val="none"/>
                <w:lang w:bidi="ar"/>
                <w14:textFill>
                  <w14:solidFill>
                    <w14:schemeClr w14:val="tx1"/>
                  </w14:solidFill>
                </w14:textFill>
              </w:rPr>
              <w:t>t/d</w:t>
            </w:r>
            <w:r>
              <w:rPr>
                <w:rFonts w:hint="eastAsia" w:ascii="宋体" w:hAnsi="宋体" w:cs="宋体"/>
                <w:b/>
                <w:bCs/>
                <w:color w:val="000000" w:themeColor="text1"/>
                <w:kern w:val="0"/>
                <w:sz w:val="20"/>
                <w:szCs w:val="20"/>
                <w:highlight w:val="none"/>
                <w:lang w:bidi="ar"/>
                <w14:textFill>
                  <w14:solidFill>
                    <w14:schemeClr w14:val="tx1"/>
                  </w14:solidFill>
                </w14:textFill>
              </w:rPr>
              <w:t>）</w:t>
            </w:r>
          </w:p>
        </w:tc>
        <w:tc>
          <w:tcPr>
            <w:tcW w:w="4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现日转运量（</w:t>
            </w:r>
            <w:r>
              <w:rPr>
                <w:rFonts w:ascii="Times New Roman" w:hAnsi="Times New Roman" w:eastAsia="等线" w:cs="Times New Roman"/>
                <w:b/>
                <w:bCs/>
                <w:color w:val="000000" w:themeColor="text1"/>
                <w:kern w:val="0"/>
                <w:sz w:val="20"/>
                <w:szCs w:val="20"/>
                <w:highlight w:val="none"/>
                <w:lang w:bidi="ar"/>
                <w14:textFill>
                  <w14:solidFill>
                    <w14:schemeClr w14:val="tx1"/>
                  </w14:solidFill>
                </w14:textFill>
              </w:rPr>
              <w:t>t/d</w:t>
            </w:r>
            <w:r>
              <w:rPr>
                <w:rFonts w:hint="eastAsia" w:ascii="宋体" w:hAnsi="宋体" w:cs="宋体"/>
                <w:b/>
                <w:bCs/>
                <w:color w:val="000000" w:themeColor="text1"/>
                <w:kern w:val="0"/>
                <w:sz w:val="20"/>
                <w:szCs w:val="20"/>
                <w:highlight w:val="none"/>
                <w:lang w:bidi="ar"/>
                <w14:textFill>
                  <w14:solidFill>
                    <w14:schemeClr w14:val="tx1"/>
                  </w14:solidFill>
                </w14:textFill>
              </w:rPr>
              <w:t>）</w:t>
            </w:r>
          </w:p>
        </w:tc>
        <w:tc>
          <w:tcPr>
            <w:tcW w:w="5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转运箱体个数（个）</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压缩工艺</w:t>
            </w:r>
          </w:p>
        </w:tc>
        <w:tc>
          <w:tcPr>
            <w:tcW w:w="3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箱体规格（</w:t>
            </w:r>
            <w:r>
              <w:rPr>
                <w:rFonts w:ascii="Times New Roman" w:hAnsi="Times New Roman" w:eastAsia="等线" w:cs="Times New Roman"/>
                <w:b/>
                <w:bCs/>
                <w:color w:val="000000" w:themeColor="text1"/>
                <w:kern w:val="0"/>
                <w:sz w:val="20"/>
                <w:szCs w:val="20"/>
                <w:highlight w:val="none"/>
                <w:lang w:bidi="ar"/>
                <w14:textFill>
                  <w14:solidFill>
                    <w14:schemeClr w14:val="tx1"/>
                  </w14:solidFill>
                </w14:textFill>
              </w:rPr>
              <w:t>m</w:t>
            </w:r>
            <w:r>
              <w:rPr>
                <w:rFonts w:ascii="Times New Roman" w:hAnsi="Times New Roman" w:eastAsia="等线" w:cs="Times New Roman"/>
                <w:b/>
                <w:bCs/>
                <w:color w:val="000000" w:themeColor="text1"/>
                <w:kern w:val="0"/>
                <w:sz w:val="20"/>
                <w:szCs w:val="20"/>
                <w:highlight w:val="none"/>
                <w:vertAlign w:val="superscript"/>
                <w:lang w:bidi="ar"/>
                <w14:textFill>
                  <w14:solidFill>
                    <w14:schemeClr w14:val="tx1"/>
                  </w14:solidFill>
                </w14:textFill>
              </w:rPr>
              <w:t>3</w:t>
            </w:r>
            <w:r>
              <w:rPr>
                <w:rFonts w:hint="eastAsia" w:ascii="宋体" w:hAnsi="宋体" w:cs="宋体"/>
                <w:b/>
                <w:bCs/>
                <w:color w:val="000000" w:themeColor="text1"/>
                <w:kern w:val="0"/>
                <w:sz w:val="20"/>
                <w:szCs w:val="20"/>
                <w:highlight w:val="none"/>
                <w:lang w:bidi="ar"/>
                <w14:textFill>
                  <w14:solidFill>
                    <w14:schemeClr w14:val="tx1"/>
                  </w14:solidFill>
                </w14:textFill>
              </w:rPr>
              <w:t>）</w:t>
            </w:r>
          </w:p>
        </w:tc>
        <w:tc>
          <w:tcPr>
            <w:tcW w:w="5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日转运次数（次</w:t>
            </w:r>
            <w:r>
              <w:rPr>
                <w:rFonts w:ascii="Times New Roman" w:hAnsi="Times New Roman" w:eastAsia="等线" w:cs="Times New Roman"/>
                <w:b/>
                <w:bCs/>
                <w:color w:val="000000" w:themeColor="text1"/>
                <w:kern w:val="0"/>
                <w:sz w:val="20"/>
                <w:szCs w:val="20"/>
                <w:highlight w:val="none"/>
                <w:lang w:bidi="ar"/>
                <w14:textFill>
                  <w14:solidFill>
                    <w14:schemeClr w14:val="tx1"/>
                  </w14:solidFill>
                </w14:textFill>
              </w:rPr>
              <w:t>/</w:t>
            </w:r>
            <w:r>
              <w:rPr>
                <w:rFonts w:hint="eastAsia" w:ascii="宋体" w:hAnsi="宋体" w:cs="宋体"/>
                <w:b/>
                <w:bCs/>
                <w:color w:val="000000" w:themeColor="text1"/>
                <w:kern w:val="0"/>
                <w:sz w:val="20"/>
                <w:szCs w:val="20"/>
                <w:highlight w:val="none"/>
                <w:lang w:bidi="ar"/>
                <w14:textFill>
                  <w14:solidFill>
                    <w14:schemeClr w14:val="tx1"/>
                  </w14:solidFill>
                </w14:textFill>
              </w:rPr>
              <w:t>日）</w:t>
            </w:r>
          </w:p>
        </w:tc>
        <w:tc>
          <w:tcPr>
            <w:tcW w:w="6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b/>
                <w:bCs/>
                <w:color w:val="000000" w:themeColor="text1"/>
                <w:sz w:val="20"/>
                <w:szCs w:val="20"/>
                <w:highlight w:val="none"/>
                <w14:textFill>
                  <w14:solidFill>
                    <w14:schemeClr w14:val="tx1"/>
                  </w14:solidFill>
                </w14:textFill>
              </w:rPr>
            </w:pPr>
            <w:r>
              <w:rPr>
                <w:rFonts w:hint="eastAsia" w:ascii="宋体" w:hAnsi="宋体" w:cs="宋体"/>
                <w:b/>
                <w:bCs/>
                <w:color w:val="000000" w:themeColor="text1"/>
                <w:kern w:val="0"/>
                <w:sz w:val="20"/>
                <w:szCs w:val="20"/>
                <w:highlight w:val="none"/>
                <w:lang w:bidi="ar"/>
                <w14:textFill>
                  <w14:solidFill>
                    <w14:schemeClr w14:val="tx1"/>
                  </w14:solidFill>
                </w14:textFill>
              </w:rPr>
              <w:t>距红花坑单程运距（</w:t>
            </w:r>
            <w:r>
              <w:rPr>
                <w:rFonts w:ascii="Times New Roman" w:hAnsi="Times New Roman" w:eastAsia="等线" w:cs="Times New Roman"/>
                <w:b/>
                <w:bCs/>
                <w:color w:val="000000" w:themeColor="text1"/>
                <w:kern w:val="0"/>
                <w:sz w:val="20"/>
                <w:szCs w:val="20"/>
                <w:highlight w:val="none"/>
                <w:lang w:bidi="ar"/>
                <w14:textFill>
                  <w14:solidFill>
                    <w14:schemeClr w14:val="tx1"/>
                  </w14:solidFill>
                </w14:textFill>
              </w:rPr>
              <w:t>km</w:t>
            </w:r>
            <w:r>
              <w:rPr>
                <w:rFonts w:hint="eastAsia" w:ascii="宋体" w:hAnsi="宋体" w:cs="宋体"/>
                <w:b/>
                <w:bCs/>
                <w:color w:val="000000" w:themeColor="text1"/>
                <w:kern w:val="0"/>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b/>
                <w:bCs/>
                <w:color w:val="000000" w:themeColor="text1"/>
                <w:sz w:val="20"/>
                <w:szCs w:val="20"/>
                <w:highlight w:val="none"/>
                <w14:textFill>
                  <w14:solidFill>
                    <w14:schemeClr w14:val="tx1"/>
                  </w14:solidFill>
                </w14:textFill>
              </w:rPr>
            </w:pP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4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4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5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3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c>
          <w:tcPr>
            <w:tcW w:w="6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等线" w:cs="Times New Roman"/>
                <w:b/>
                <w:bCs/>
                <w:color w:val="000000" w:themeColor="text1"/>
                <w:sz w:val="20"/>
                <w:szCs w:val="20"/>
                <w:highlight w:val="none"/>
                <w14:textFill>
                  <w14:solidFill>
                    <w14:schemeClr w14:val="tx1"/>
                  </w14:solidFill>
                </w14:textFill>
              </w:rPr>
            </w:pPr>
          </w:p>
        </w:tc>
      </w:tr>
      <w:tr>
        <w:tblPrEx>
          <w:tblCellMar>
            <w:top w:w="0" w:type="dxa"/>
            <w:left w:w="108" w:type="dxa"/>
            <w:bottom w:w="0" w:type="dxa"/>
            <w:right w:w="108" w:type="dxa"/>
          </w:tblCellMar>
        </w:tblPrEx>
        <w:trPr>
          <w:trHeight w:val="402" w:hRule="atLeast"/>
        </w:trPr>
        <w:tc>
          <w:tcPr>
            <w:tcW w:w="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长安</w:t>
            </w: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32</w:t>
            </w:r>
            <w:r>
              <w:rPr>
                <w:rFonts w:hint="eastAsia" w:ascii="宋体" w:hAnsi="宋体" w:cs="宋体"/>
                <w:color w:val="000000" w:themeColor="text1"/>
                <w:kern w:val="0"/>
                <w:sz w:val="20"/>
                <w:szCs w:val="20"/>
                <w:highlight w:val="none"/>
                <w:lang w:bidi="ar"/>
                <w14:textFill>
                  <w14:solidFill>
                    <w14:schemeClr w14:val="tx1"/>
                  </w14:solidFill>
                </w14:textFill>
              </w:rPr>
              <w:t>号站</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厦岗先兴南街</w:t>
            </w: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17</w:t>
            </w:r>
            <w:r>
              <w:rPr>
                <w:rFonts w:hint="eastAsia" w:ascii="宋体" w:hAnsi="宋体" w:cs="宋体"/>
                <w:color w:val="000000" w:themeColor="text1"/>
                <w:kern w:val="0"/>
                <w:sz w:val="20"/>
                <w:szCs w:val="20"/>
                <w:highlight w:val="none"/>
                <w:lang w:bidi="ar"/>
                <w14:textFill>
                  <w14:solidFill>
                    <w14:schemeClr w14:val="tx1"/>
                  </w14:solidFill>
                </w14:textFill>
              </w:rPr>
              <w:t>号对面</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12</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水平</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13</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14</w:t>
            </w:r>
          </w:p>
        </w:tc>
      </w:tr>
      <w:tr>
        <w:tblPrEx>
          <w:tblCellMar>
            <w:top w:w="0" w:type="dxa"/>
            <w:left w:w="108" w:type="dxa"/>
            <w:bottom w:w="0" w:type="dxa"/>
            <w:right w:w="108" w:type="dxa"/>
          </w:tblCellMar>
        </w:tblPrEx>
        <w:trPr>
          <w:trHeight w:val="402" w:hRule="atLeast"/>
        </w:trPr>
        <w:tc>
          <w:tcPr>
            <w:tcW w:w="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长安</w:t>
            </w: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33</w:t>
            </w:r>
            <w:r>
              <w:rPr>
                <w:rFonts w:hint="eastAsia" w:ascii="宋体" w:hAnsi="宋体" w:cs="宋体"/>
                <w:color w:val="000000" w:themeColor="text1"/>
                <w:kern w:val="0"/>
                <w:sz w:val="20"/>
                <w:szCs w:val="20"/>
                <w:highlight w:val="none"/>
                <w:lang w:bidi="ar"/>
                <w14:textFill>
                  <w14:solidFill>
                    <w14:schemeClr w14:val="tx1"/>
                  </w14:solidFill>
                </w14:textFill>
              </w:rPr>
              <w:t>号站</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厦岗开源路八巷</w:t>
            </w: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13</w:t>
            </w:r>
            <w:r>
              <w:rPr>
                <w:rFonts w:hint="eastAsia" w:ascii="宋体" w:hAnsi="宋体" w:cs="宋体"/>
                <w:color w:val="000000" w:themeColor="text1"/>
                <w:kern w:val="0"/>
                <w:sz w:val="20"/>
                <w:szCs w:val="20"/>
                <w:highlight w:val="none"/>
                <w:lang w:bidi="ar"/>
                <w14:textFill>
                  <w14:solidFill>
                    <w14:schemeClr w14:val="tx1"/>
                  </w14:solidFill>
                </w14:textFill>
              </w:rPr>
              <w:t>号对面</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24</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水平</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13</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14</w:t>
            </w:r>
          </w:p>
        </w:tc>
      </w:tr>
      <w:tr>
        <w:tblPrEx>
          <w:tblCellMar>
            <w:top w:w="0" w:type="dxa"/>
            <w:left w:w="108" w:type="dxa"/>
            <w:bottom w:w="0" w:type="dxa"/>
            <w:right w:w="108" w:type="dxa"/>
          </w:tblCellMar>
        </w:tblPrEx>
        <w:trPr>
          <w:trHeight w:val="402" w:hRule="atLeast"/>
        </w:trPr>
        <w:tc>
          <w:tcPr>
            <w:tcW w:w="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长安</w:t>
            </w: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34</w:t>
            </w:r>
            <w:r>
              <w:rPr>
                <w:rFonts w:hint="eastAsia" w:ascii="宋体" w:hAnsi="宋体" w:cs="宋体"/>
                <w:color w:val="000000" w:themeColor="text1"/>
                <w:kern w:val="0"/>
                <w:sz w:val="20"/>
                <w:szCs w:val="20"/>
                <w:highlight w:val="none"/>
                <w:lang w:bidi="ar"/>
                <w14:textFill>
                  <w14:solidFill>
                    <w14:schemeClr w14:val="tx1"/>
                  </w14:solidFill>
                </w14:textFill>
              </w:rPr>
              <w:t>号站</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厦岗福海路</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12</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水平</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13</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等线" w:cs="Times New Roman"/>
                <w:color w:val="000000" w:themeColor="text1"/>
                <w:sz w:val="20"/>
                <w:szCs w:val="20"/>
                <w:highlight w:val="none"/>
                <w14:textFill>
                  <w14:solidFill>
                    <w14:schemeClr w14:val="tx1"/>
                  </w14:solidFill>
                </w14:textFill>
              </w:rPr>
            </w:pPr>
            <w:r>
              <w:rPr>
                <w:rFonts w:ascii="Times New Roman" w:hAnsi="Times New Roman" w:eastAsia="等线" w:cs="Times New Roman"/>
                <w:color w:val="000000" w:themeColor="text1"/>
                <w:kern w:val="0"/>
                <w:sz w:val="20"/>
                <w:szCs w:val="20"/>
                <w:highlight w:val="none"/>
                <w:lang w:bidi="ar"/>
                <w14:textFill>
                  <w14:solidFill>
                    <w14:schemeClr w14:val="tx1"/>
                  </w14:solidFill>
                </w14:textFill>
              </w:rPr>
              <w:t>15</w:t>
            </w:r>
          </w:p>
        </w:tc>
      </w:tr>
    </w:tbl>
    <w:p>
      <w:pPr>
        <w:widowControl/>
        <w:adjustRightInd w:val="0"/>
        <w:snapToGrid w:val="0"/>
        <w:spacing w:line="360" w:lineRule="auto"/>
        <w:ind w:firstLine="420" w:firstLineChars="200"/>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（五）环卫保洁测量面积</w:t>
      </w:r>
    </w:p>
    <w:p>
      <w:pPr>
        <w:rPr>
          <w:rFonts w:ascii="宋体" w:hAnsi="宋体" w:cs="宋体"/>
          <w:color w:val="000000" w:themeColor="text1"/>
          <w:szCs w:val="21"/>
          <w:highlight w:val="none"/>
          <w:lang w:bidi="zh-CN"/>
          <w14:textFill>
            <w14:solidFill>
              <w14:schemeClr w14:val="tx1"/>
            </w14:solidFill>
          </w14:textFill>
        </w:rPr>
      </w:pPr>
      <w:r>
        <w:rPr>
          <w:rFonts w:hint="eastAsia" w:ascii="宋体" w:hAnsi="宋体" w:cs="宋体"/>
          <w:color w:val="000000" w:themeColor="text1"/>
          <w:szCs w:val="21"/>
          <w:highlight w:val="none"/>
          <w:lang w:bidi="zh-CN"/>
          <w14:textFill>
            <w14:solidFill>
              <w14:schemeClr w14:val="tx1"/>
            </w14:solidFill>
          </w14:textFill>
        </w:rPr>
        <w:br w:type="page"/>
      </w:r>
    </w:p>
    <w:p>
      <w:pPr>
        <w:widowControl/>
        <w:adjustRightInd w:val="0"/>
        <w:snapToGrid w:val="0"/>
        <w:spacing w:line="360" w:lineRule="auto"/>
        <w:ind w:firstLine="422" w:firstLineChars="200"/>
        <w:jc w:val="center"/>
        <w:rPr>
          <w:b/>
          <w:bCs/>
          <w:color w:val="000000" w:themeColor="text1"/>
          <w:highlight w:val="none"/>
          <w14:textFill>
            <w14:solidFill>
              <w14:schemeClr w14:val="tx1"/>
            </w14:solidFill>
          </w14:textFill>
        </w:rPr>
      </w:pPr>
      <w:r>
        <w:rPr>
          <w:rFonts w:hint="eastAsia" w:ascii="宋体" w:hAnsi="宋体" w:cs="宋体"/>
          <w:b/>
          <w:bCs/>
          <w:color w:val="000000" w:themeColor="text1"/>
          <w:szCs w:val="21"/>
          <w:highlight w:val="none"/>
          <w:lang w:bidi="zh-CN"/>
          <w14:textFill>
            <w14:solidFill>
              <w14:schemeClr w14:val="tx1"/>
            </w14:solidFill>
          </w14:textFill>
        </w:rPr>
        <w:t>《东莞市厦岗社区环卫面积测量成果图》</w:t>
      </w:r>
    </w:p>
    <w:p>
      <w:pPr>
        <w:widowControl/>
        <w:adjustRightInd w:val="0"/>
        <w:snapToGrid w:val="0"/>
        <w:spacing w:line="360" w:lineRule="auto"/>
        <w:rPr>
          <w:color w:val="000000" w:themeColor="text1"/>
          <w:szCs w:val="21"/>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drawing>
          <wp:inline distT="0" distB="0" distL="114300" distR="114300">
            <wp:extent cx="5638165" cy="7974330"/>
            <wp:effectExtent l="0" t="0" r="635" b="7620"/>
            <wp:docPr id="23" name="图片 23" descr="东莞市厦岗社区环卫面积测量成果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东莞市厦岗社区环卫面积测量成果图_00"/>
                    <pic:cNvPicPr>
                      <a:picLocks noChangeAspect="1"/>
                    </pic:cNvPicPr>
                  </pic:nvPicPr>
                  <pic:blipFill>
                    <a:blip r:embed="rId9"/>
                    <a:stretch>
                      <a:fillRect/>
                    </a:stretch>
                  </pic:blipFill>
                  <pic:spPr>
                    <a:xfrm>
                      <a:off x="0" y="0"/>
                      <a:ext cx="5638165" cy="7974330"/>
                    </a:xfrm>
                    <a:prstGeom prst="rect">
                      <a:avLst/>
                    </a:prstGeom>
                  </pic:spPr>
                </pic:pic>
              </a:graphicData>
            </a:graphic>
          </wp:inline>
        </w:drawing>
      </w:r>
    </w:p>
    <w:p>
      <w:pPr>
        <w:overflowPunct w:val="0"/>
        <w:autoSpaceDE w:val="0"/>
        <w:autoSpaceDN w:val="0"/>
        <w:spacing w:before="156" w:beforeLines="50" w:after="156" w:afterLines="50" w:line="360" w:lineRule="auto"/>
        <w:textAlignment w:val="baseline"/>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四、服务方式和要求</w:t>
      </w:r>
    </w:p>
    <w:p>
      <w:pPr>
        <w:widowControl/>
        <w:adjustRightInd w:val="0"/>
        <w:snapToGrid w:val="0"/>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（一）服务方式</w:t>
      </w:r>
    </w:p>
    <w:p>
      <w:pPr>
        <w:widowControl/>
        <w:adjustRightInd w:val="0"/>
        <w:snapToGrid w:val="0"/>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采用全包干形式，即业务包干、经费包干。甲方将上述清扫保洁、水面保洁、厕所和中转站管养、生活垃圾运输等业务发包给乙方，乙方按甲方的要求和标准组织开展相关业务工作，并接受甲方的指导、监督、检查、考核和验收，乙方不得将业务转包或将项目的主体、关键性工作分包。乙方需在签订合同后一个月内申请业务行政主管部门颁发的《城市生活垃圾经营性清扫、收集、运输服务许可证》。</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（二）环境卫生质量要求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1、城市道路、广场、步行街清扫保洁的质量要求：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（1）日间，一至四级清扫保洁区域的路面废弃物总数应符合下表规定。</w:t>
      </w:r>
    </w:p>
    <w:p>
      <w:pPr>
        <w:pStyle w:val="2"/>
        <w:spacing w:before="0" w:line="360" w:lineRule="auto"/>
        <w:ind w:left="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表1城市道路路面废弃物控制指标</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2615"/>
        <w:gridCol w:w="1484"/>
        <w:gridCol w:w="1998"/>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保洁等级</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果皮、纸屑、塑膜及其他杂物（件/500平方米）</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烟蒂（个/500平方米）</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污水、污渍（平方米/500平方米）</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尘土量（千克/500平方米）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一级</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二级</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三级</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四级</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0.5</w:t>
            </w:r>
          </w:p>
        </w:tc>
        <w:tc>
          <w:tcPr>
            <w:tcW w:w="0" w:type="auto"/>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≤25</w:t>
            </w:r>
          </w:p>
        </w:tc>
      </w:tr>
    </w:tbl>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（2）夜间保洁时，一级清扫保洁道路的路面垃圾杂物（仅计塑料袋、纸屑、饭盒等超过火柴盒大小的较大垃圾）每500平方米不超过4件，二至四级清扫保洁道路的路面垃圾杂物每500平方米不超过8件。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2、交通护栏、灯杆保洁质量要求：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（1）交通护栏无明显积尘、无明显污迹；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（2）灯杆无明显积尘、无明显污迹。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3、道路两侧休闲椅、广告牌、路牌等设施的清理应符合以下要求：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（1）道路两侧休闲椅、康体娱乐设施、雕塑等无明显积尘、无明显污迹；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（2）道路两侧广告牌、路牌、邮筒、读报栏、站亭等设施无污迹、积尘。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4、人行天桥的保洁应符合以下要求：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（1）人行天桥应与所连接的道路保洁质量标准相同，人行天桥桥面应无明显垃圾，注意清理口香糖渣等污垢，做到桥面见本色，阶梯、扶手、栏杆应干净整洁，无乱张贴、乱涂写；</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（2）人行天桥雨篷应定期进行清理，确保无暴露垃圾。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5、地下人行通道的保洁应符合以下要求： </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地下人行通道应与所连接的道路保洁质量标准相同，地下人行通道地面、阶梯、扶手应干净，注意清理口香糖渣等污垢，做到地面见本色，两侧墙面无乱张贴、乱涂写。</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6、车行隧道的保洁应符合以下要求：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（1）车行隧道的路面应干净，无积存污水和垃圾；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（2）隧道两壁应无明显污物；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（3）隧道进出口保洁质量应与所连接路段保洁质量标准相同。</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（三）环卫保洁作业要求</w:t>
      </w:r>
    </w:p>
    <w:p>
      <w:pPr>
        <w:pStyle w:val="2"/>
        <w:spacing w:before="0" w:line="360" w:lineRule="auto"/>
        <w:ind w:left="0" w:firstLine="422" w:firstLineChars="200"/>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针对服务范围内相应道路、区域养护等级，分类落实不同等级作业要求。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1、一级区域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（1）景观道路、重要道路</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①清扫作业：机动车道机械化清扫率达到100%，每日清扫次数不少于2次；非机动车道及人行道实行小型机械和人工配合清扫或实行人工清扫，每日清扫次数不少于2次。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②保洁作业：机动车道使用机械化车辆辅以人工保洁方式进行保洁，非机动车道、人行道实行人工保洁作业，保洁时间18小时。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机动车道使用高压冲洗车进行冲洗作业，冲洗次数不少于1次/日；路沿石冲洗使用小型冲洗车作业，冲洗次数不少于1次/日；人行道冲刷除尘采用手推式扫（洗）地机进行洗刷或高压水枪进行洗刷，不少于1次/日，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④洒水喷雾降尘作业：主干道洒水次数不少于4次/日，辅道洒水次数不少于2次/日，喷雾降尘不少于2次/日，阴雨天气可减少或不进行洒水喷雾降尘。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⑤绿化带、树池、背景林清理作业：宜采用鼓风机或低压冲水枪进行清理，配合人工保洁，保洁时间不少于12小时。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⑥果皮箱、垃圾桶清掏擦拭作业：清掏果皮箱、垃圾桶频次不少于3次/日，并在清掏后进行擦拭，确保无明显污渍。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（2）繁华商业步行街</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②保洁作业：使用小型机械化车辆辅以人工保洁方式或采取人工保洁方式作业，保洁时间18小时。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③清洗作业：使用小型冲洗车或人工使用高压水枪作业，每日冲洗次数不少于1次；果皮箱、垃圾桶、灯杆、护栏清洗频次不少于1次/周。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④洒水喷雾降尘作业：喷雾降尘不少于4次/日，鼓励采用固定式喷雾机进行喷雾降尘，阴雨天气可减少或不进行洒水喷雾降尘。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⑤绿化带、树池清理作业：宜采用人工作业方式进行清理，清理次数不少于3次/日。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⑥果皮箱、垃圾桶清掏擦拭作业：清掏果皮箱、垃圾桶频次不少于3次/日，并在清掏后进行擦拭，确保无明显污渍；实行上门收集垃圾，每日上门收集垃圾不少于3次。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（3）市、镇街（园区）中心广场</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②保洁作业：采取人工保洁方式作业，保洁时间18小时。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③清洗作业：使用小型冲洗车或人工使用高压水枪作业, 每日冲洗次数不少于1次；果皮箱、垃圾桶、灯杆、护栏清洗频次不少于1次/周。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④洒水喷雾降尘作业：喷雾降尘不少于4次/日，鼓励采用固定式喷雾机进行喷雾降尘，阴雨天气可减少或不进行洒水喷雾降尘。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⑤绿化带、树池清理作业：宜采用人工作业方式进行清理,清理次数不少于2次/日。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⑥果皮箱、垃圾桶清掏擦拭作业：清掏果皮箱、垃圾桶频次不少于3次/日，并在清掏后进行擦拭，确保无明显污渍。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2、二级区域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（1）一般城市道路、国道、重要省道、重要县道</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①清扫作业：机动车道机械化清扫率达到95%以上，不能机械化作业区域采用人工清扫作业，每日清扫次数不少于2次；非机动车道及人行道实行小型机械和人工配合清扫或实行人工清扫，每日清扫次数不少于2次。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②保洁作业：机动车道使用机械化车辆辅以人工保洁方式进行保洁，非机动车道、人行道实行人工保洁作业，保洁时间16小时。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机动车道使用高压冲洗车进行冲洗作业，冲洗次数不少于1次/2日；路沿石冲洗使用小型冲洗车作业，冲洗次数不少于1次/2日；人行道冲刷除尘采用手推式扫（洗)地机进行洗刷或高压水枪进行洗刷，不少于1次/2日，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④洒水喷雾降尘作业：主干道洒水次数不少于3次/日，辅道洒水次数不少于1次/日，喷雾降尘不少于2次/日，阴雨天气可减少或不进行洒水喷雾降尘。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⑤绿化带、树池、背景林清理作业：宜采用鼓风机或低压冲水枪进行清理，配合人工进行保洁，保洁时间不少于12小时/日。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⑥果皮箱、垃圾桶清掏擦拭作业：清掏果皮箱、垃圾桶频次不少于2次/日，并在清掏后进行擦拭，确保无明显污渍。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（2）一般商业街</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②保洁作业：使用小型机械化车辆辅以人工保洁方式或采取人工保洁方式作业，保洁时间16小时。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③清洗作业：使用小型冲洗车或人工使用高压水枪作业，冲洗次数不少于1次/2日；果皮箱、垃圾桶、灯杆、护栏清洗频次不少于1次/周。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④洒水喷雾降尘作业：洒水次数不少于2次/日，喷雾降尘不少于2次/日，阴雨天气可减少或不进行洒水喷雾降尘。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⑤绿化带、树池清理作业：宜采用人工作业方式进行清理，清理次数不少于1次/日。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⑥果皮箱、垃圾桶清掏擦拭作业：清掏果皮箱、垃圾桶频次不少于3次/日，并在清掏后进行擦拭，确保无明显污渍；实行上门收集垃圾，每日上门收集垃圾不少于2次。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（3）村（社区）群众广场、一般城市公园</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①清扫作业：实行小型机械和人工配合清扫或实行人工清扫，每日清扫次数不少于2次。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②保洁作业：采取人工保洁方式作业，保洁时间16小时。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③清洗作业：使用小型冲洗车或人工使用高压水枪作业，每周冲洗次数不少于3次；果皮箱、垃圾桶、灯杆、护栏清洗频次不少于1次/周。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④洒水喷雾降尘作业：喷雾降尘不少于2次/日，鼓励采用固定式喷雾机进行喷雾降尘，阴雨天气可减少或不进行洒水喷雾降尘。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⑤绿化带、树池清理作业：宜采用人工作业方式进行清理,清理次数不少于1次/日。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⑥果皮箱、垃圾桶清掏擦拭作业：清掏果皮箱、垃圾桶频次不少于2次/日，并在清掏后进行擦拭，确保无明显污渍。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3、三级区域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（1）一般省道、一般县道、乡村公路</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①清扫作业：机械化清扫率达到90%以上，不能机械化作业区域采用人工进行清扫作业，每日清扫次数不少于1次；人行道实行人工清扫，每日清扫次数不少于1次。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②保洁作业：机动车道使用机械化车辆辅以人工保洁方式进行保洁，人行道实行人工保洁作业，保洁时间12小时。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机动车道使用高压冲洗车进行冲洗作业，冲洗次数不少于1次/3日；路沿石冲洗使用小型冲洗车作业，冲洗次数不少于1次/3日;人行道冲刷除尘采用高压水枪进行洗刷，不少于1次/月，果皮箱、垃圾桶、灯杆、护栏清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④洒水作业：洒水次数不少于2次/日，阴雨天气可减少或不进行洒水。</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⑤绿化带、树池、背景林清理作业：宜采用人工对白色垃圾进行清理，保洁时间不少于8小时/日。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⑥果皮箱、垃圾桶清掏擦拭作业：清掏果皮箱、垃圾桶频次不少于1次/日，并在清掏后进行擦拭，确保无明显污渍。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⑦沉沙井清理作业：采用人工作业方式清理,正常季节（1-4月、9-12月）清理频次为1次/周；雨季（5-8月）清理频次为2次/周；遇暴雨等恶劣天气需及时清理。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（2）村（社区）中心区域及居住区巷道</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①清扫作业：采用人工进行清扫作业，每日清扫次数不少于2次.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②保洁作业：实行人工保洁作业，保洁时间16小时。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③清洗作业：使用高压水枪对明显污渍进行冲洗作业，冲洗次数不少于3次/周；果皮箱、垃圾桶、灯杆、护栏滑洗频次不少于1次/周。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④绿化带、树池清理作业：宜采用人工对白色垃圾进行清理，保洁时间不少于8小时/日；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⑤果皮箱、垃圾桶清掏擦拭作业：清掏果皮箱、垃圾桶频次不少于2次1日，并在清掏后进行擦拭，确保无明显污渍。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⑥沉沙井清理作业：采用人工作业方式清理,正常季节（1-4月、9-12月）清理频次为1次/周；雨季（5-8月）清理频次为2次/周；遇暴雨等恶劣天气需及时清理。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4、四级区域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位于远离居住区、企事业单位和公共场所的人流量、车流量较少的道路，无排水管道、路沿石及人行道未硬化等简陋道路。</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①清扫作业：实行人工清扫，清扫次数不少于1次。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②保洁作业：实行人工保洁作业，清理白色垃圾，保洁时间8小时。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③清洗作业：使用高压水枪对明显污渍进行冲洗作业,冲洗次数不少于2次/月；果皮箱、垃圾桶、灯杆、护栏清洗频次不少于2次/月。</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④绿化带、树池、背景林清理作业：采用人工对白色垃圾进行清理，保洁时间不少于6小时/日；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⑤果皮箱、垃圾桶清掏擦拭作业：清掏果皮箱、垃圾桶频次不少于1次/日，并在清掏后进行擦拭，确保无明显污渍。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⑥沉沙井清理作业：采用人工作业方式清理，正常季节（1-4月、9-12月）清理频次为1次/周；雨季（5-8月）清理频次为2次/周：遇暴雨等恶劣天气需及时清理。</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（四）垃圾收集点保洁要求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1、垃圾收集容器应定位设置，摆放整齐。设置点及周围2~3m内应整洁，无散落、存留垃圾和污水。</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2、垃圾收集容器应无残缺、破损，封闭性好，外体干净。垃圾房内外墙面、垃圾亭等建筑设施不得有明显积灰、污物。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3、厨余垃圾的收集，必须用设有明显标志、能防止污染打散的密封容器。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4、蝇、蚊孽生季节，垃圾收集站（点），应定时喷洒消毒、灭蚊蝇药物。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5、生活垃圾应全部实行容器收集，且执行垃圾分类收集。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6、乙方应按规定将分类收集的垃圾实行分类运输，将不同种类的垃圾分类运输至甲方指定的各个地点。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7、工业垃圾、建筑垃圾、危险废物不得混入生活垃圾。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8、垃圾收集容器内的垃圾无满溢和散落，并定时清洗箱体。</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9、地面（含天桥、地道）清扫的垃圾应及时收集到甲方指定地点，不遗漏，不得堆放在路边。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10、服务期内，甲方会逐步实施街道撤桶，乙方应根据甲方关于垃圾收运的要求配合做好上门收集垃圾工作，范围从主干道开始，逐渐覆盖全域范围。</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（五）“牛皮癣”清理标准要求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1、清除乱张贴类“牛皮癣”标准：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（1）必须清除彻底、无残留。有色张贴物的颜料不能残留在或渗入附着物表面，有胶张贴物不能有残留胶，原有胶体残留痕迹要清理干净；</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（2）基底无损伤，包括明伤、掉漆、明显划痕等； </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（3）无遗漏，在人行道上和机动车道上均看不到张贴物。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2、清理乱涂写（刻画）类“牛皮癣”标准：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（1）基底恢复原貌，无残留物或者残留痕迹；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（2）沟缝干净，无残留物或残留痕迹； </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（3）基底无损伤，漆面、有机玻璃面、喷绘布面等基底无划痕、无掉漆、无变色、不失原有光泽；</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（4）块状瓷面、大理石面与原材质一致；</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（5）无遗漏，在人行道上和机动车道上均看不到乱涂写（刻画）物。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3、清理乱张挂类“牛皮癣”标准：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（1）无残留物或者残留痕迹；</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（2）基底或原附着物无损伤；</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（3）无遗漏，在人行道上和机动车道上均看不见残旧破烂的张挂物；高空电线、墙面上的牛皮癣也要清理干净。</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4、涂刷覆盖效果标准：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（1）涂刷用料与被涂刷物基底材质相同或接近；</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（2）色泽相同或接近，色彩与原底色吻合；</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（3）刷痕自然，无漏刷、无流淌，地面干净、界线齐平。</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5、清洗剂使用标准：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（1）符合国家环保部颁布的《环境标志产品技术要求水性涂料（HJ2537-2014）》外墙涂料执行标准；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（2）对人畜不造成损害，对“牛皮癣”附着物不构成物理或化学破坏。</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（六）公厕管养要求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公厕</w:t>
      </w:r>
      <w:r>
        <w:rPr>
          <w:rFonts w:hint="eastAsia"/>
          <w:color w:val="000000" w:themeColor="text1"/>
          <w:sz w:val="21"/>
          <w:szCs w:val="21"/>
          <w:highlight w:val="none"/>
          <w14:textFill>
            <w14:solidFill>
              <w14:schemeClr w14:val="tx1"/>
            </w14:solidFill>
          </w14:textFill>
        </w:rPr>
        <w:t>开放时间为每天</w:t>
      </w:r>
      <w:r>
        <w:rPr>
          <w:rFonts w:hint="eastAsia"/>
          <w:color w:val="000000" w:themeColor="text1"/>
          <w:sz w:val="21"/>
          <w:szCs w:val="21"/>
          <w:highlight w:val="none"/>
          <w:lang w:val="en-US"/>
          <w14:textFill>
            <w14:solidFill>
              <w14:schemeClr w14:val="tx1"/>
            </w14:solidFill>
          </w14:textFill>
        </w:rPr>
        <w:t>7</w:t>
      </w:r>
      <w:r>
        <w:rPr>
          <w:rFonts w:hint="eastAsia"/>
          <w:color w:val="000000" w:themeColor="text1"/>
          <w:sz w:val="21"/>
          <w:szCs w:val="21"/>
          <w:highlight w:val="none"/>
          <w14:textFill>
            <w14:solidFill>
              <w14:schemeClr w14:val="tx1"/>
            </w14:solidFill>
          </w14:textFill>
        </w:rPr>
        <w:t>:00—2</w:t>
      </w:r>
      <w:r>
        <w:rPr>
          <w:rFonts w:hint="eastAsia"/>
          <w:color w:val="000000" w:themeColor="text1"/>
          <w:sz w:val="21"/>
          <w:szCs w:val="21"/>
          <w:highlight w:val="none"/>
          <w:lang w:val="en-US"/>
          <w14:textFill>
            <w14:solidFill>
              <w14:schemeClr w14:val="tx1"/>
            </w14:solidFill>
          </w14:textFill>
        </w:rPr>
        <w:t>3</w:t>
      </w:r>
      <w:r>
        <w:rPr>
          <w:rFonts w:hint="eastAsia"/>
          <w:color w:val="000000" w:themeColor="text1"/>
          <w:sz w:val="21"/>
          <w:szCs w:val="21"/>
          <w:highlight w:val="none"/>
          <w14:textFill>
            <w14:solidFill>
              <w14:schemeClr w14:val="tx1"/>
            </w14:solidFill>
          </w14:textFill>
        </w:rPr>
        <w:t>:00，可根据实际情况作适当调整，公厕管理过程中所产生的水电费用由乙方来承担。</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1、公厕卫生要求：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(1)水冲式公厕粪污水不得直接排入雨水管道、河流和水沟，粪污水纳入污水管网集中处理。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(2)公厕内地面应保持整洁，粪槽、便槽(斗)和管道应无破损，内外墙应无剥落。</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(3)二类公厕应有防蝇、防蚊和除臭设施或措施。</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2、公厕保洁标准： </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(1)公厕内采光、照明和通风应良好，无明显臭味；</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(2)公厕内墙面、天花板、门窗和隔离板应无积灰、污迹、蛛网，无乱涂乱画，墙面应光洁，公厕外墙面应整洁；</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(3)公厕内地面应光洁，无积水；</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(4)蹲位应整洁，大便槽两侧应无粪便污物，檀内无积粪，洁净见底；</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(5)小便槽(斗)应无水锈、尿垢、垃圾，基本无臭；沟眼、管道保持畅通；</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(6)公厕内照明灯具、洗手器具、镜子、挂衣钩、烘手器、冲水设备等应完好，无积灰、污物；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(7)公厕外环境应整洁，无乱堆杂物，保洁工具应放置整齐。公厕四周3-5m范围内，应无垃圾、粪便、污水等污物；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(8)蝇蚊孳生季节，应定时喷洒灭蚊蝇药物，有效控制蝇蛆孳生；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(9)公厕内卫生保洁质量：</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一类公厕</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二类公厕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纸片（块）</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烟蒂（个）</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粪迹（处）</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痰迹（处）</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窗格积灰</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臭味（级）</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水厕，≤1；非水厕，≤2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苍蝇（只）</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水厕，无；非水厕，＜3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666"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蛛网</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c>
          <w:tcPr>
            <w:tcW w:w="1667" w:type="pct"/>
            <w:vAlign w:val="center"/>
          </w:tcPr>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w:t>
            </w:r>
          </w:p>
        </w:tc>
      </w:tr>
    </w:tbl>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10</w:t>
      </w:r>
      <w:r>
        <w:rPr>
          <w:rFonts w:hint="eastAsia"/>
          <w:color w:val="000000" w:themeColor="text1"/>
          <w:sz w:val="21"/>
          <w:szCs w:val="21"/>
          <w:highlight w:val="none"/>
          <w14:textFill>
            <w14:solidFill>
              <w14:schemeClr w14:val="tx1"/>
            </w14:solidFill>
          </w14:textFill>
        </w:rPr>
        <w:t>)确保设施、设备应定期保养，检查</w:t>
      </w:r>
      <w:r>
        <w:rPr>
          <w:rFonts w:hint="eastAsia"/>
          <w:color w:val="000000" w:themeColor="text1"/>
          <w:sz w:val="21"/>
          <w:szCs w:val="21"/>
          <w:highlight w:val="none"/>
          <w:lang w:val="en-US"/>
          <w14:textFill>
            <w14:solidFill>
              <w14:schemeClr w14:val="tx1"/>
            </w14:solidFill>
          </w14:textFill>
        </w:rPr>
        <w:t>公厕内</w:t>
      </w:r>
      <w:r>
        <w:rPr>
          <w:rFonts w:hint="eastAsia"/>
          <w:color w:val="000000" w:themeColor="text1"/>
          <w:sz w:val="21"/>
          <w:szCs w:val="21"/>
          <w:highlight w:val="none"/>
          <w14:textFill>
            <w14:solidFill>
              <w14:schemeClr w14:val="tx1"/>
            </w14:solidFill>
          </w14:textFill>
        </w:rPr>
        <w:t>设备是否正常运作，如发现问题应及时维修（</w:t>
      </w:r>
      <w:r>
        <w:rPr>
          <w:rFonts w:hint="eastAsia"/>
          <w:color w:val="000000" w:themeColor="text1"/>
          <w:sz w:val="21"/>
          <w:szCs w:val="21"/>
          <w:highlight w:val="none"/>
          <w:lang w:val="en-US"/>
          <w14:textFill>
            <w14:solidFill>
              <w14:schemeClr w14:val="tx1"/>
            </w14:solidFill>
          </w14:textFill>
        </w:rPr>
        <w:t>或更换</w:t>
      </w:r>
      <w:r>
        <w:rPr>
          <w:rFonts w:hint="eastAsia"/>
          <w:color w:val="000000" w:themeColor="text1"/>
          <w:sz w:val="21"/>
          <w:szCs w:val="21"/>
          <w:highlight w:val="none"/>
          <w14:textFill>
            <w14:solidFill>
              <w14:schemeClr w14:val="tx1"/>
            </w14:solidFill>
          </w14:textFill>
        </w:rPr>
        <w:t>）保持正常运行，</w:t>
      </w:r>
      <w:r>
        <w:rPr>
          <w:rFonts w:hint="eastAsia"/>
          <w:color w:val="000000" w:themeColor="text1"/>
          <w:sz w:val="21"/>
          <w:szCs w:val="21"/>
          <w:highlight w:val="none"/>
          <w:lang w:val="en-US"/>
          <w14:textFill>
            <w14:solidFill>
              <w14:schemeClr w14:val="tx1"/>
            </w14:solidFill>
          </w14:textFill>
        </w:rPr>
        <w:t>其费用由乙方负责。</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3、粪便处理及粪便运输车辆要求：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(1)车辆应完好、整洁，车体无粪迹污物。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(2)装载容器应密闭性好。放粪闸阀、进类口应严实，并有防滴漏措施；运输过程中应无滴漏、洒落，车走后场地应清理干净。</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(3)装载应适量，无外溢；裝载的粪便，应及时卸清，不得将粪便长时间存留在车罐内。</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(4)应按指定地点及时卸粪，不得任意排放。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(5)运输作业结束后，应及时清洗车辆和辅助设施，不得留有粪迹污物。</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(6)公厕粪便池需要定期处理，以免粪水外溢。</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4、公厕均按专人保洁厕标准制，公厕保洁时长按 16 小时计。</w:t>
      </w:r>
    </w:p>
    <w:p>
      <w:pPr>
        <w:pStyle w:val="2"/>
        <w:spacing w:before="0" w:line="360" w:lineRule="auto"/>
        <w:ind w:left="0" w:firstLine="422" w:firstLineChars="200"/>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（七）垃圾转运站管养要求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1、垃圾转运站管理要求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（1）转运站开放时间为每天5:00—22:00，可根据实际情况作适当调整。</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（2）管理员、操作员必须经过安全及相关职业培训后方可上岗。</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禁止在站内外分拣垃圾、乱堆放杂物。管理间、工具间、操作台等处要保持整洁，工具按规定位置放置。垃圾转运站内所有垃圾日产日清，不得堆积在站内。转运结束后站内外要彻底清扫、冲洗，清理沉淀池以及排水沟。</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（4）保持转运站内外环境整洁。站内墙面无蜘蛛网、无乱涂乱画、地面无污水、无异味等。转运站周边10米内要求卫生整洁，无垃圾，绿化良好；转运站正面及视野范围内无晾晒衣服等有碍市容观瞻的物品。</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（5）做好日常除四害工作，防止蚊虫滋生。四害孳生期站内苍蝇控制在5只以内，非孽生期站内苍蝇控制在3只以内。</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（6）在垃圾收集、压缩过程中，应启动空气净化系统，保证站内外的空气清新，同时还要保持门窗关闭。</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（7）除了发生自然灾害外，转运站管理人员负责维护好转运站内所有建构筑物、供电线路、监控设备、地磅、导轨、污水收集设施等，若有损坏及时修复。</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（8）落实安全生产工作。落实防火措施，配足性能良好的消防器材；落实安全用电，不得乱拉、乱挂、乱接电线，不使用非生产性大功率电器，不得超线路负载使用电器。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（9）管理员对每日进站的车辆数量和出站箱数进行登记，填写垃圾日清运统计和月汇总表。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（10）每月需对区域内在岗工作人员进行安全生产培训及进行消防演练；并完善台账上报情况；</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（11）管理人员应在安全位置协助引导司机装卸箱体，对箱体、料斗进行全面冲洗，引导并督促转运工作人员做好进出站箱体排污的前期准备，确保垃圾压缩液通过管道有序排放至集液井。</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（12）做好圾转运站的“门前三包”工作。</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（13）做好垃圾转运站地面标识、标线工作，确保设备及相关物品摆放有序。</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（14）管理人须负责对进出站车辆管理并严禁非生活垃圾的固体废物进站，禁止站内分拣垃圾，站内禁止接收工业垃圾、绿化垃圾、大件家具、建筑垃圾等。</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2、站内设备管理要求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（1）每天必须对转运站垃圾压缩箱使用清洁剂进行清洗，保持内外厢体无积灰、污渍，出箱前清理垃圾压缩箱内推头及消毒。</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（2）确保设施、设备应定期保养，检查站内压缩设备是否正常运作，如发现问题应及时维修（</w:t>
      </w:r>
      <w:r>
        <w:rPr>
          <w:rFonts w:hint="eastAsia"/>
          <w:color w:val="000000" w:themeColor="text1"/>
          <w:sz w:val="21"/>
          <w:szCs w:val="21"/>
          <w:highlight w:val="none"/>
          <w:lang w:val="en-US"/>
          <w14:textFill>
            <w14:solidFill>
              <w14:schemeClr w14:val="tx1"/>
            </w14:solidFill>
          </w14:textFill>
        </w:rPr>
        <w:t>或更换</w:t>
      </w:r>
      <w:r>
        <w:rPr>
          <w:rFonts w:hint="eastAsia"/>
          <w:color w:val="000000" w:themeColor="text1"/>
          <w:sz w:val="21"/>
          <w:szCs w:val="21"/>
          <w:highlight w:val="none"/>
          <w14:textFill>
            <w14:solidFill>
              <w14:schemeClr w14:val="tx1"/>
            </w14:solidFill>
          </w14:textFill>
        </w:rPr>
        <w:t>）保持正常运行，</w:t>
      </w:r>
      <w:r>
        <w:rPr>
          <w:rFonts w:hint="eastAsia"/>
          <w:color w:val="000000" w:themeColor="text1"/>
          <w:sz w:val="21"/>
          <w:szCs w:val="21"/>
          <w:highlight w:val="none"/>
          <w:lang w:val="en-US"/>
          <w14:textFill>
            <w14:solidFill>
              <w14:schemeClr w14:val="tx1"/>
            </w14:solidFill>
          </w14:textFill>
        </w:rPr>
        <w:t>其费用由乙方负责。</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3、管养人员要求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（1）管养人员需熟练掌握压缩箱、除臭和负压设备等的操作技术。</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（2）定期对站内管养人员开展安全生产培训及演练。</w:t>
      </w:r>
    </w:p>
    <w:p>
      <w:pPr>
        <w:pStyle w:val="2"/>
        <w:spacing w:before="0" w:line="360" w:lineRule="auto"/>
        <w:ind w:left="0" w:firstLine="422" w:firstLineChars="200"/>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（八）生活垃圾收运车辆要求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1、生活垃圾收运车辆要有统一编号、标识、监督电话。</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2、生活垃圾收运车辆作业时车容车貌要整洁，必须每天冲洗；按规定标准保养维修，每年对车辆外观进行翻新。</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3、生活垃圾收运车辆按规定行驶路线行驶，不得行驶无备案路线。</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4、生活垃圾运输过程中必须遵守所有相关交通规则和有关法律，确保车辆行驶安全。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5、生活垃圾收运车辆必须是仅服务于本项目的专用车辆，车辆必须符合国V或以上标准，符合东莞市生活垃圾清运车辆的相关规定和要求。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6、生活垃圾收运车辆在运输过程中采取密闭运输，不得造成垃圾外泄、遗漏、抛洒。</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7、保持生活垃圾收运车辆外观完好，定期进行清洗，车容整洁，无残留垃圾、无陈旧积泥、无滋生蝇蛆。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8、做好生活垃圾收运车辆的检测、更新工作，确保车辆状况良好。</w:t>
      </w:r>
    </w:p>
    <w:p>
      <w:pPr>
        <w:pStyle w:val="2"/>
        <w:spacing w:before="0" w:line="360" w:lineRule="auto"/>
        <w:ind w:left="0" w:firstLine="422" w:firstLineChars="200"/>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（九）水面保洁要求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1、作业河段实行全天8小时，上午8:00-12:00;下午14:00-18:00(6级或以上大风红色暴雨等灾害性天气除外),首次打捞应在9:30前完成，河面基本不见垃圾、漂浮物等。</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2、岸线水面不得有大于0.5平方米漂浮垃圾，大于0.3平方米漂浮垃圾2件之间的最小距离为50米，小件零星漂浮垃圾2件之间的最小距离为20米。</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3、岸线回流区、河涌口、岸边滩头每50平方米不得有3件大于0.5平方米漂浮垃圾。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4、每50平方米岸线回流区不得有小件零星漂浮物3件。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5、清理完的水浮莲、水面垃圾日产日清并做好施工日记，同时必须送到垃圾中转站，做无害化处理。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6、垃圾运输车辆应车容整洁，车况良好，标识清晰，垃圾运输过程中垃圾不得扬、洒、拖挂，不得乱倒、乱卸、乱抛，不得有污水滴漏。</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7、退潮露滩时，残留废物应及时清理。</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（十）智慧化管理要求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本环卫服务项目要求乙方使用东莞市环卫作业智能化管理系统平台，通过计算机应用软件、无线网络、GIS 地理信息、GPS定位等多种信息化手段，将环卫管理的指挥、作业、监管等要素统一融合在智能化管理系统这个平台上，实现管理过程精细化，监控治理实时化，事件处理规范化，以及完善的考核制度。</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其中，甲方提供平台及使用权限，并协调平台建设运营单位将人员、车辆定位设备信息接入平台。乙方需采购项目所属人员、车辆所需的智能化管理硬件设施，并将设备信息接入智能化管理平台，实现人员、车辆可视化管理。甲方、乙方均可通过智能化管理系统实时查看人员情况、车辆运行情况等，及时发现和处理突发情况。</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（十一）设备配置要求</w:t>
      </w:r>
    </w:p>
    <w:tbl>
      <w:tblPr>
        <w:tblStyle w:val="17"/>
        <w:tblW w:w="4997" w:type="pct"/>
        <w:tblInd w:w="0" w:type="dxa"/>
        <w:tblLayout w:type="autofit"/>
        <w:tblCellMar>
          <w:top w:w="0" w:type="dxa"/>
          <w:left w:w="108" w:type="dxa"/>
          <w:bottom w:w="0" w:type="dxa"/>
          <w:right w:w="108" w:type="dxa"/>
        </w:tblCellMar>
      </w:tblPr>
      <w:tblGrid>
        <w:gridCol w:w="1096"/>
        <w:gridCol w:w="4577"/>
        <w:gridCol w:w="1479"/>
        <w:gridCol w:w="1365"/>
      </w:tblGrid>
      <w:tr>
        <w:tblPrEx>
          <w:tblCellMar>
            <w:top w:w="0" w:type="dxa"/>
            <w:left w:w="108" w:type="dxa"/>
            <w:bottom w:w="0" w:type="dxa"/>
            <w:right w:w="108" w:type="dxa"/>
          </w:tblCellMar>
        </w:tblPrEx>
        <w:trPr>
          <w:trHeight w:val="345"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货物名称/型号</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单位</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数量</w:t>
            </w:r>
          </w:p>
        </w:tc>
      </w:tr>
      <w:tr>
        <w:tblPrEx>
          <w:tblCellMar>
            <w:top w:w="0" w:type="dxa"/>
            <w:left w:w="108" w:type="dxa"/>
            <w:bottom w:w="0" w:type="dxa"/>
            <w:right w:w="108" w:type="dxa"/>
          </w:tblCellMar>
        </w:tblPrEx>
        <w:trPr>
          <w:trHeight w:val="274"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洒水车（配备高压枪）</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r>
      <w:tr>
        <w:tblPrEx>
          <w:tblCellMar>
            <w:top w:w="0" w:type="dxa"/>
            <w:left w:w="108" w:type="dxa"/>
            <w:bottom w:w="0" w:type="dxa"/>
            <w:right w:w="108" w:type="dxa"/>
          </w:tblCellMar>
        </w:tblPrEx>
        <w:trPr>
          <w:trHeight w:val="299"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勾臂车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299"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后装式压缩车（8吨）</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r>
      <w:tr>
        <w:tblPrEx>
          <w:tblCellMar>
            <w:top w:w="0" w:type="dxa"/>
            <w:left w:w="108" w:type="dxa"/>
            <w:bottom w:w="0" w:type="dxa"/>
            <w:right w:w="108" w:type="dxa"/>
          </w:tblCellMar>
        </w:tblPrEx>
        <w:trPr>
          <w:trHeight w:val="308"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扫路车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309"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路面养护车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251"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高压冲洗车（电动高压冲洗车）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r>
      <w:tr>
        <w:tblPrEx>
          <w:tblCellMar>
            <w:top w:w="0" w:type="dxa"/>
            <w:left w:w="108" w:type="dxa"/>
            <w:bottom w:w="0" w:type="dxa"/>
            <w:right w:w="108" w:type="dxa"/>
          </w:tblCellMar>
        </w:tblPrEx>
        <w:trPr>
          <w:trHeight w:val="280"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小型高压清洗车（牛皮癣清洗剂）</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308"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垃圾运输平板车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33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两轮电动巡查车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r>
      <w:tr>
        <w:tblPrEx>
          <w:tblCellMar>
            <w:top w:w="0" w:type="dxa"/>
            <w:left w:w="108" w:type="dxa"/>
            <w:bottom w:w="0" w:type="dxa"/>
            <w:right w:w="108" w:type="dxa"/>
          </w:tblCellMar>
        </w:tblPrEx>
        <w:trPr>
          <w:trHeight w:val="327"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电动保洁车（快保车）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辆</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r>
      <w:tr>
        <w:tblPrEx>
          <w:tblCellMar>
            <w:top w:w="0" w:type="dxa"/>
            <w:left w:w="108" w:type="dxa"/>
            <w:bottom w:w="0" w:type="dxa"/>
            <w:right w:w="108" w:type="dxa"/>
          </w:tblCellMar>
        </w:tblPrEx>
        <w:trPr>
          <w:trHeight w:val="261"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垃圾压缩箱</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r>
      <w:tr>
        <w:tblPrEx>
          <w:tblCellMar>
            <w:top w:w="0" w:type="dxa"/>
            <w:left w:w="108" w:type="dxa"/>
            <w:bottom w:w="0" w:type="dxa"/>
            <w:right w:w="108" w:type="dxa"/>
          </w:tblCellMar>
        </w:tblPrEx>
        <w:trPr>
          <w:trHeight w:val="298"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绿化吹风机（油）</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三轮电动封闭式垃圾清运车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手推车</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120L垃圾桶</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300</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660L垃圾桶</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400</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20寸平面清洁器</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智慧环卫系统</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326"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办公用具（打印机等）</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份</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275"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河道快艇</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条</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r>
      <w:tr>
        <w:tblPrEx>
          <w:tblCellMar>
            <w:top w:w="0" w:type="dxa"/>
            <w:left w:w="108" w:type="dxa"/>
            <w:bottom w:w="0" w:type="dxa"/>
            <w:right w:w="108" w:type="dxa"/>
          </w:tblCellMar>
        </w:tblPrEx>
        <w:trPr>
          <w:trHeight w:val="374"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小船</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条</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r>
      <w:tr>
        <w:tblPrEx>
          <w:tblCellMar>
            <w:top w:w="0" w:type="dxa"/>
            <w:left w:w="108" w:type="dxa"/>
            <w:bottom w:w="0" w:type="dxa"/>
            <w:right w:w="108" w:type="dxa"/>
          </w:tblCellMar>
        </w:tblPrEx>
        <w:trPr>
          <w:trHeight w:val="374" w:hRule="atLeast"/>
        </w:trPr>
        <w:tc>
          <w:tcPr>
            <w:tcW w:w="643"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w:t>
            </w:r>
          </w:p>
        </w:tc>
        <w:tc>
          <w:tcPr>
            <w:tcW w:w="2686"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公厕风干机</w:t>
            </w:r>
          </w:p>
        </w:tc>
        <w:tc>
          <w:tcPr>
            <w:tcW w:w="868"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801"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9个</w:t>
            </w:r>
          </w:p>
        </w:tc>
      </w:tr>
    </w:tbl>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1、本项目须投入设备数量不少于以上清单，如遇相关设备不足的情况，甲方有权根据实际所需要求乙方增加，乙方投入的机械设备在合同签订后20天内要经甲方验收认定。</w:t>
      </w:r>
    </w:p>
    <w:p>
      <w:pPr>
        <w:spacing w:line="360" w:lineRule="auto"/>
        <w:ind w:firstLine="420"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乙方投入使用新能源汽车比例达80%以上。乙方投入的环卫设备可参考部分市政环卫项目车辆功能用途（部分市政环卫项目车辆功能用途）。其中投入的设备涉及道路扫路车、道路小型扫路车、小型高压冲洗车、电动三轮冲洗车、电动三轮保洁车、电动三轮垃圾收集车必须为新能源车辆。</w:t>
      </w:r>
    </w:p>
    <w:p>
      <w:pPr>
        <w:widowControl/>
        <w:jc w:val="center"/>
        <w:outlineLvl w:val="0"/>
        <w:rPr>
          <w:rStyle w:val="23"/>
          <w:rFonts w:ascii="宋体" w:hAnsi="宋体" w:cs="宋体"/>
          <w:color w:val="000000" w:themeColor="text1"/>
          <w:sz w:val="21"/>
          <w:szCs w:val="21"/>
          <w:highlight w:val="none"/>
          <w14:textFill>
            <w14:solidFill>
              <w14:schemeClr w14:val="tx1"/>
            </w14:solidFill>
          </w14:textFill>
        </w:rPr>
      </w:pPr>
      <w:r>
        <w:rPr>
          <w:rStyle w:val="23"/>
          <w:rFonts w:hint="eastAsia" w:ascii="宋体" w:hAnsi="宋体" w:cs="宋体"/>
          <w:color w:val="000000" w:themeColor="text1"/>
          <w:sz w:val="21"/>
          <w:szCs w:val="21"/>
          <w:highlight w:val="none"/>
          <w14:textFill>
            <w14:solidFill>
              <w14:schemeClr w14:val="tx1"/>
            </w14:solidFill>
          </w14:textFill>
        </w:rPr>
        <w:t>部分市政环卫项目车辆功能用途</w:t>
      </w:r>
    </w:p>
    <w:tbl>
      <w:tblPr>
        <w:tblStyle w:val="17"/>
        <w:tblW w:w="5000" w:type="pct"/>
        <w:tblInd w:w="0" w:type="dxa"/>
        <w:tblLayout w:type="fixed"/>
        <w:tblCellMar>
          <w:top w:w="0" w:type="dxa"/>
          <w:left w:w="108" w:type="dxa"/>
          <w:bottom w:w="0" w:type="dxa"/>
          <w:right w:w="108" w:type="dxa"/>
        </w:tblCellMar>
      </w:tblPr>
      <w:tblGrid>
        <w:gridCol w:w="400"/>
        <w:gridCol w:w="762"/>
        <w:gridCol w:w="975"/>
        <w:gridCol w:w="1865"/>
        <w:gridCol w:w="4520"/>
      </w:tblGrid>
      <w:tr>
        <w:tblPrEx>
          <w:tblCellMar>
            <w:top w:w="0" w:type="dxa"/>
            <w:left w:w="108" w:type="dxa"/>
            <w:bottom w:w="0" w:type="dxa"/>
            <w:right w:w="108" w:type="dxa"/>
          </w:tblCellMar>
        </w:tblPrEx>
        <w:trPr>
          <w:trHeight w:val="42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序号</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车型</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新能源车</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车辆功能用途</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纯电动低入口洗扫车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Style w:val="42"/>
                <w:rFonts w:hint="default" w:ascii="宋体" w:hAnsi="宋体" w:eastAsia="宋体" w:cs="宋体"/>
                <w:color w:val="000000" w:themeColor="text1"/>
                <w:sz w:val="21"/>
                <w:szCs w:val="21"/>
                <w:highlight w:val="none"/>
                <w:lang w:bidi="ar"/>
                <w14:textFill>
                  <w14:solidFill>
                    <w14:schemeClr w14:val="tx1"/>
                  </w14:solidFill>
                </w14:textFill>
              </w:rPr>
            </w:pPr>
            <w:r>
              <w:rPr>
                <w:rStyle w:val="42"/>
                <w:rFonts w:hint="default" w:ascii="宋体" w:hAnsi="宋体" w:eastAsia="宋体" w:cs="宋体"/>
                <w:b/>
                <w:bCs/>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洗扫车主要具有路面冲洗、路面清扫、垃圾回收、路缘和路沿石立面洗刷等多种功能，还兼具高压水枪清洗路标、广告牌的功能。主要应用于城市街道、市政广场、大型厂矿等地方机械化清扫保洁作业。</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纯电动低入口高压清洗车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Style w:val="42"/>
                <w:rFonts w:hint="default" w:ascii="宋体" w:hAnsi="宋体" w:eastAsia="宋体" w:cs="宋体"/>
                <w:color w:val="000000" w:themeColor="text1"/>
                <w:sz w:val="21"/>
                <w:szCs w:val="21"/>
                <w:highlight w:val="none"/>
                <w:lang w:bidi="ar"/>
                <w14:textFill>
                  <w14:solidFill>
                    <w14:schemeClr w14:val="tx1"/>
                  </w14:solidFill>
                </w14:textFill>
              </w:rPr>
            </w:pPr>
            <w:r>
              <w:rPr>
                <w:rStyle w:val="42"/>
                <w:rFonts w:hint="default" w:ascii="宋体" w:hAnsi="宋体" w:eastAsia="宋体" w:cs="宋体"/>
                <w:b/>
                <w:bCs/>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高压清洗车具备路面高压清洗、洒水降尘、绿化喷灌与应急消防等多种功能，主要应用于城镇主干道、公路、桥梁、隧道、大型仓库、港口码头等多种场景的环卫保洁作业。</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洒水车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Style w:val="42"/>
                <w:rFonts w:hint="default" w:ascii="宋体" w:hAnsi="宋体" w:eastAsia="宋体" w:cs="宋体"/>
                <w:color w:val="000000" w:themeColor="text1"/>
                <w:sz w:val="21"/>
                <w:szCs w:val="21"/>
                <w:highlight w:val="none"/>
                <w:lang w:bidi="ar"/>
                <w14:textFill>
                  <w14:solidFill>
                    <w14:schemeClr w14:val="tx1"/>
                  </w14:solidFill>
                </w14:textFill>
              </w:rPr>
            </w:pPr>
            <w:r>
              <w:rPr>
                <w:rStyle w:val="42"/>
                <w:rFonts w:hint="default" w:ascii="宋体" w:hAnsi="宋体" w:eastAsia="宋体" w:cs="宋体"/>
                <w:b/>
                <w:bCs/>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洒水车具有路面冲洗、洒水降尘等多种功能，主要用于城镇道路、广场、大型仓库的环卫保洁作业，同时用于园林绿化的农药喷洒、浇灌作业。</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纯电动多功能抑尘车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Style w:val="42"/>
                <w:rFonts w:hint="default" w:ascii="宋体" w:hAnsi="宋体" w:eastAsia="宋体" w:cs="宋体"/>
                <w:color w:val="000000" w:themeColor="text1"/>
                <w:sz w:val="21"/>
                <w:szCs w:val="21"/>
                <w:highlight w:val="none"/>
                <w:lang w:bidi="ar"/>
                <w14:textFill>
                  <w14:solidFill>
                    <w14:schemeClr w14:val="tx1"/>
                  </w14:solidFill>
                </w14:textFill>
              </w:rPr>
            </w:pPr>
            <w:r>
              <w:rPr>
                <w:rStyle w:val="42"/>
                <w:rFonts w:hint="default" w:ascii="宋体" w:hAnsi="宋体" w:eastAsia="宋体" w:cs="宋体"/>
                <w:b/>
                <w:bCs/>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多功能抑尘车具有路面冲洗、洒水降尘、扬尘抑制等多种功能，主要用于道路、广场、公园等处空气抑尘、净化空气；对建筑物拆除爆破、粉料堆场、土建施工、露天矿场等场地产生的大量粉尘进行喷淋抑制，从源头减少空气污染。</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纯电动低入口压缩式垃圾车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Style w:val="42"/>
                <w:rFonts w:hint="default" w:ascii="宋体" w:hAnsi="宋体" w:eastAsia="宋体" w:cs="宋体"/>
                <w:color w:val="000000" w:themeColor="text1"/>
                <w:sz w:val="21"/>
                <w:szCs w:val="21"/>
                <w:highlight w:val="none"/>
                <w:lang w:bidi="ar"/>
                <w14:textFill>
                  <w14:solidFill>
                    <w14:schemeClr w14:val="tx1"/>
                  </w14:solidFill>
                </w14:textFill>
              </w:rPr>
            </w:pPr>
            <w:r>
              <w:rPr>
                <w:rStyle w:val="42"/>
                <w:rFonts w:hint="default" w:ascii="宋体" w:hAnsi="宋体" w:eastAsia="宋体" w:cs="宋体"/>
                <w:b/>
                <w:bCs/>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压缩式垃圾车主要具有装载能力强、垃圾可压缩、密封性能好等特点，广泛应用生活垃圾等压缩收运，是目前较为理想的垃圾收集、压缩、转运为一体的垃圾处理设备。</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自卸式垃圾车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Style w:val="38"/>
                <w:rFonts w:hint="eastAsia" w:ascii="宋体" w:hAnsi="宋体" w:cs="宋体"/>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自卸垃圾车主要具备密封性好、装载能力强等主要特点，广泛应用于城市及乡村建有压缩站的地方，将装载的压缩垃圾块转运到垃圾场处理自动卸放。</w:t>
            </w:r>
          </w:p>
        </w:tc>
      </w:tr>
      <w:tr>
        <w:tblPrEx>
          <w:tblCellMar>
            <w:top w:w="0" w:type="dxa"/>
            <w:left w:w="108" w:type="dxa"/>
            <w:bottom w:w="0" w:type="dxa"/>
            <w:right w:w="108" w:type="dxa"/>
          </w:tblCellMar>
        </w:tblPrEx>
        <w:trPr>
          <w:trHeight w:val="284"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自装卸式垃圾车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车辆用途：</w:t>
            </w:r>
            <w:r>
              <w:rPr>
                <w:rFonts w:hint="eastAsia" w:ascii="宋体" w:hAnsi="宋体" w:cs="宋体"/>
                <w:color w:val="000000" w:themeColor="text1"/>
                <w:kern w:val="0"/>
                <w:szCs w:val="21"/>
                <w:highlight w:val="none"/>
                <w:lang w:bidi="ar"/>
                <w14:textFill>
                  <w14:solidFill>
                    <w14:schemeClr w14:val="tx1"/>
                  </w14:solidFill>
                </w14:textFill>
              </w:rPr>
              <w:t>自装卸式垃圾车主要具备小巧灵活、密封性、装载能力强等主要特点，广泛应用于城镇小型街道、居民小区、公园、车站等带有垃圾桶收集的场所进行垃圾收运。</w:t>
            </w:r>
          </w:p>
        </w:tc>
      </w:tr>
      <w:tr>
        <w:tblPrEx>
          <w:tblCellMar>
            <w:top w:w="0" w:type="dxa"/>
            <w:left w:w="108" w:type="dxa"/>
            <w:bottom w:w="0" w:type="dxa"/>
            <w:right w:w="108" w:type="dxa"/>
          </w:tblCellMar>
        </w:tblPrEx>
        <w:trPr>
          <w:trHeight w:val="234"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纯电动密闭式桶装垃圾车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Style w:val="38"/>
                <w:rFonts w:hint="eastAsia" w:ascii="宋体" w:hAnsi="宋体" w:cs="宋体"/>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密闭式桶装垃圾车主要具备小巧灵活、密封性好、装载能力强等主要特点，广泛应用于城镇小型街道、居民小区、公园、车站等带有垃圾桶收集的场所进行垃圾收运。</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纯电动扫路机</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Style w:val="38"/>
                <w:rFonts w:hint="eastAsia" w:ascii="宋体" w:hAnsi="宋体" w:cs="宋体"/>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具有动力强劲、无级变速、行驶中无换挡过程、平顺性好、转弯半径小、机动灵活等特点。广泛适用城市道路专业环卫清洁 ( 人行道、辅道、中心城区)、 园林景观美化、人行道保洁、厂务管理等各种工况。</w:t>
            </w:r>
          </w:p>
        </w:tc>
      </w:tr>
      <w:tr>
        <w:tblPrEx>
          <w:tblCellMar>
            <w:top w:w="0" w:type="dxa"/>
            <w:left w:w="108" w:type="dxa"/>
            <w:bottom w:w="0" w:type="dxa"/>
            <w:right w:w="108" w:type="dxa"/>
          </w:tblCellMar>
        </w:tblPrEx>
        <w:trPr>
          <w:trHeight w:val="777"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447"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护栏清洗车</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nil"/>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Style w:val="38"/>
                <w:rFonts w:hint="eastAsia" w:ascii="宋体" w:hAnsi="宋体" w:cs="宋体"/>
                <w:color w:val="000000" w:themeColor="text1"/>
                <w:sz w:val="21"/>
                <w:szCs w:val="21"/>
                <w:highlight w:val="none"/>
                <w:lang w:bidi="ar"/>
                <w14:textFill>
                  <w14:solidFill>
                    <w14:schemeClr w14:val="tx1"/>
                  </w14:solidFill>
                </w14:textFill>
              </w:rPr>
              <w:t>车辆用途：</w:t>
            </w:r>
            <w:r>
              <w:rPr>
                <w:rStyle w:val="42"/>
                <w:rFonts w:hint="default" w:ascii="宋体" w:hAnsi="宋体" w:eastAsia="宋体" w:cs="宋体"/>
                <w:color w:val="000000" w:themeColor="text1"/>
                <w:sz w:val="21"/>
                <w:szCs w:val="21"/>
                <w:highlight w:val="none"/>
                <w:lang w:bidi="ar"/>
                <w14:textFill>
                  <w14:solidFill>
                    <w14:schemeClr w14:val="tx1"/>
                  </w14:solidFill>
                </w14:textFill>
              </w:rPr>
              <w:t>适用于城市道路护栏的清洗、双黄线清洗、路面高压清洗以及城市雕塑、交通标志、交通路牌、广告牌的定点清洗等。该车清洗效率高，清洗效果好，能一次性洗净护栏的四周，解决了国内行业产品对护栏前、后方向无法清洗干净的问题。</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447"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多功能智能清扫机器人</w:t>
            </w:r>
          </w:p>
        </w:tc>
        <w:tc>
          <w:tcPr>
            <w:tcW w:w="572"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nil"/>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Style w:val="43"/>
                <w:rFonts w:hint="default" w:ascii="宋体" w:hAnsi="宋体" w:eastAsia="宋体" w:cs="宋体"/>
                <w:color w:val="000000" w:themeColor="text1"/>
                <w:sz w:val="21"/>
                <w:szCs w:val="21"/>
                <w:highlight w:val="none"/>
                <w:lang w:bidi="ar"/>
                <w14:textFill>
                  <w14:solidFill>
                    <w14:schemeClr w14:val="tx1"/>
                  </w14:solidFill>
                </w14:textFill>
              </w:rPr>
              <w:t>车辆用途：</w:t>
            </w:r>
            <w:r>
              <w:rPr>
                <w:rStyle w:val="44"/>
                <w:rFonts w:hint="default" w:ascii="宋体" w:hAnsi="宋体" w:eastAsia="宋体" w:cs="宋体"/>
                <w:color w:val="000000" w:themeColor="text1"/>
                <w:sz w:val="21"/>
                <w:szCs w:val="21"/>
                <w:highlight w:val="none"/>
                <w:lang w:bidi="ar"/>
                <w14:textFill>
                  <w14:solidFill>
                    <w14:schemeClr w14:val="tx1"/>
                  </w14:solidFill>
                </w14:textFill>
              </w:rPr>
              <w:t>多功能清扫机器人是一款具备强大清扫系统、  利用先进无人驾驶技术实现高精度自动化清扫作业的智能清扫设备。</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447"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高压冲洗车</w:t>
            </w:r>
          </w:p>
        </w:tc>
        <w:tc>
          <w:tcPr>
            <w:tcW w:w="572" w:type="pct"/>
            <w:tcBorders>
              <w:top w:val="single" w:color="000000" w:sz="4" w:space="0"/>
              <w:left w:val="single" w:color="000000" w:sz="4" w:space="0"/>
              <w:bottom w:val="nil"/>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nil"/>
              <w:right w:val="single" w:color="000000" w:sz="4" w:space="0"/>
            </w:tcBorders>
            <w:vAlign w:val="center"/>
          </w:tcPr>
          <w:p>
            <w:pPr>
              <w:widowControl/>
              <w:textAlignment w:val="top"/>
              <w:rPr>
                <w:rFonts w:ascii="宋体" w:hAnsi="宋体" w:cs="宋体"/>
                <w:color w:val="000000" w:themeColor="text1"/>
                <w:kern w:val="0"/>
                <w:szCs w:val="21"/>
                <w:highlight w:val="none"/>
                <w:lang w:bidi="ar"/>
                <w14:textFill>
                  <w14:solidFill>
                    <w14:schemeClr w14:val="tx1"/>
                  </w14:solidFill>
                </w14:textFill>
              </w:rPr>
            </w:pPr>
            <w:r>
              <w:rPr>
                <w:rStyle w:val="43"/>
                <w:rFonts w:hint="default" w:ascii="宋体" w:hAnsi="宋体" w:eastAsia="宋体" w:cs="宋体"/>
                <w:color w:val="000000" w:themeColor="text1"/>
                <w:sz w:val="21"/>
                <w:szCs w:val="21"/>
                <w:highlight w:val="none"/>
                <w:lang w:bidi="ar"/>
                <w14:textFill>
                  <w14:solidFill>
                    <w14:schemeClr w14:val="tx1"/>
                  </w14:solidFill>
                </w14:textFill>
              </w:rPr>
              <w:t>车辆用途：</w:t>
            </w:r>
          </w:p>
          <w:p>
            <w:pPr>
              <w:widowControl/>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1.主要用于清洗城市下水道 、管道的沉积物 、死角泥沟的疏通。</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2.用于清洗工业排液管道 、壁面等，清洗公路 、广场地面。</w:t>
            </w:r>
          </w:p>
        </w:tc>
      </w:tr>
      <w:tr>
        <w:tblPrEx>
          <w:tblCellMar>
            <w:top w:w="0" w:type="dxa"/>
            <w:left w:w="108" w:type="dxa"/>
            <w:bottom w:w="0" w:type="dxa"/>
            <w:right w:w="108" w:type="dxa"/>
          </w:tblCellMar>
        </w:tblPrEx>
        <w:trPr>
          <w:trHeight w:val="90" w:hRule="atLeast"/>
        </w:trPr>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447"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自跟随清洁机器人</w:t>
            </w:r>
          </w:p>
        </w:tc>
        <w:tc>
          <w:tcPr>
            <w:tcW w:w="572"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新能源</w:t>
            </w:r>
          </w:p>
        </w:tc>
        <w:tc>
          <w:tcPr>
            <w:tcW w:w="3745"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
                <w:bCs/>
                <w:color w:val="000000" w:themeColor="text1"/>
                <w:kern w:val="0"/>
                <w:szCs w:val="21"/>
                <w:highlight w:val="none"/>
                <w:lang w:bidi="ar"/>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用途：</w:t>
            </w:r>
          </w:p>
          <w:p>
            <w:pPr>
              <w:widowControl/>
              <w:numPr>
                <w:ilvl w:val="0"/>
                <w:numId w:val="10"/>
              </w:numP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智能跟随+人工驾驶保洁：机器宽度窄 ，狭小路段自由通行、人工驾驶，座椅设计符合人体工学，灵活机动，高效保洁、智能自适应跟随，人行机走，人停机停；</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2.：强力吸吹：采用低噪高效离心风机，效率高，噪声低、吸力三挡可调节，轻松吸收树叶、烟头、白色垃圾等、机器内部存储吹风机，随取随用；</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3.：支持高压清洗解决地面油渍、牛皮癣等问题；</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4.：前视摄像头 - 智慧监控实时监控，实时保存视频，行车记录仪，对车辆违停、出店经营、占道经营等违规行为做出识别，并上传数据至云平台；</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5.：后置AI摄像头-视觉识别垃圾，后置AI摄像头，识别车体后面是否有垃圾、识别垃圾结果实时提醒作业人员，及时处理。</w:t>
            </w:r>
          </w:p>
        </w:tc>
      </w:tr>
      <w:tr>
        <w:tblPrEx>
          <w:tblCellMar>
            <w:top w:w="0" w:type="dxa"/>
            <w:left w:w="108" w:type="dxa"/>
            <w:bottom w:w="0" w:type="dxa"/>
            <w:right w:w="108" w:type="dxa"/>
          </w:tblCellMar>
        </w:tblPrEx>
        <w:trPr>
          <w:trHeight w:val="90" w:hRule="atLeast"/>
        </w:trPr>
        <w:tc>
          <w:tcPr>
            <w:tcW w:w="5000" w:type="pct"/>
            <w:gridSpan w:val="5"/>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备注：根据《东莞市生活垃圾车“文明出行”专项行动方案》要求，为进一步提升我镇生活垃圾运输车管理水平，全面推进生活垃圾运输车辆统一外观样式工作，现请各投标人参照后面图片。</w:t>
            </w:r>
          </w:p>
        </w:tc>
      </w:tr>
      <w:tr>
        <w:tblPrEx>
          <w:tblCellMar>
            <w:top w:w="0" w:type="dxa"/>
            <w:left w:w="108" w:type="dxa"/>
            <w:bottom w:w="0" w:type="dxa"/>
            <w:right w:w="108" w:type="dxa"/>
          </w:tblCellMar>
        </w:tblPrEx>
        <w:trPr>
          <w:trHeight w:val="3120" w:hRule="atLeast"/>
        </w:trPr>
        <w:tc>
          <w:tcPr>
            <w:tcW w:w="2348" w:type="pct"/>
            <w:gridSpan w:val="4"/>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kern w:val="0"/>
                <w:szCs w:val="21"/>
                <w:highlight w:val="none"/>
                <w:bdr w:val="single" w:color="000000" w:sz="4" w:space="0"/>
                <w:lang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备注：厨余垃圾清运车</w:t>
            </w:r>
          </w:p>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000000" w:sz="4" w:space="0"/>
                <w:lang w:bidi="ar"/>
                <w14:textFill>
                  <w14:solidFill>
                    <w14:schemeClr w14:val="tx1"/>
                  </w14:solidFill>
                </w14:textFill>
              </w:rPr>
              <w:drawing>
                <wp:inline distT="0" distB="0" distL="114300" distR="114300">
                  <wp:extent cx="2221865" cy="1536700"/>
                  <wp:effectExtent l="0" t="0" r="0" b="0"/>
                  <wp:docPr id="11" name="图片 1"/>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10"/>
                          <a:stretch>
                            <a:fillRect/>
                          </a:stretch>
                        </pic:blipFill>
                        <pic:spPr>
                          <a:xfrm>
                            <a:off x="0" y="0"/>
                            <a:ext cx="2221865" cy="1536700"/>
                          </a:xfrm>
                          <a:prstGeom prst="rect">
                            <a:avLst/>
                          </a:prstGeom>
                          <a:noFill/>
                          <a:ln>
                            <a:noFill/>
                          </a:ln>
                        </pic:spPr>
                      </pic:pic>
                    </a:graphicData>
                  </a:graphic>
                </wp:inline>
              </w:drawing>
            </w:r>
          </w:p>
        </w:tc>
        <w:tc>
          <w:tcPr>
            <w:tcW w:w="265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rFonts w:ascii="宋体" w:hAnsi="宋体" w:cs="宋体"/>
                <w:color w:val="000000" w:themeColor="text1"/>
                <w:kern w:val="0"/>
                <w:szCs w:val="21"/>
                <w:highlight w:val="none"/>
                <w:bdr w:val="single" w:color="000000" w:sz="4" w:space="0"/>
                <w:lang w:bidi="ar"/>
                <w14:textFill>
                  <w14:solidFill>
                    <w14:schemeClr w14:val="tx1"/>
                  </w14:solidFill>
                </w14:textFill>
              </w:rPr>
            </w:pPr>
            <w:r>
              <w:rPr>
                <w:rFonts w:hint="eastAsia" w:ascii="宋体" w:hAnsi="宋体" w:cs="宋体"/>
                <w:color w:val="000000" w:themeColor="text1"/>
                <w:kern w:val="0"/>
                <w:szCs w:val="21"/>
                <w:highlight w:val="none"/>
                <w:bdr w:val="single" w:color="000000" w:sz="4" w:space="0"/>
                <w:lang w:bidi="ar"/>
                <w14:textFill>
                  <w14:solidFill>
                    <w14:schemeClr w14:val="tx1"/>
                  </w14:solidFill>
                </w14:textFill>
              </w:rPr>
              <w:drawing>
                <wp:inline distT="0" distB="0" distL="114300" distR="114300">
                  <wp:extent cx="2743835" cy="1428750"/>
                  <wp:effectExtent l="0" t="0" r="0" b="0"/>
                  <wp:docPr id="12" name="图片 2"/>
                  <wp:cNvGraphicFramePr/>
                  <a:graphic xmlns:a="http://schemas.openxmlformats.org/drawingml/2006/main">
                    <a:graphicData uri="http://schemas.openxmlformats.org/drawingml/2006/picture">
                      <pic:pic xmlns:pic="http://schemas.openxmlformats.org/drawingml/2006/picture">
                        <pic:nvPicPr>
                          <pic:cNvPr id="12" name="图片 2"/>
                          <pic:cNvPicPr/>
                        </pic:nvPicPr>
                        <pic:blipFill>
                          <a:blip r:embed="rId11"/>
                          <a:stretch>
                            <a:fillRect/>
                          </a:stretch>
                        </pic:blipFill>
                        <pic:spPr>
                          <a:xfrm>
                            <a:off x="0" y="0"/>
                            <a:ext cx="2743835" cy="14287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20" w:hRule="atLeast"/>
        </w:trPr>
        <w:tc>
          <w:tcPr>
            <w:tcW w:w="2348" w:type="pct"/>
            <w:gridSpan w:val="4"/>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备注：厨余垃圾清运车</w:t>
            </w:r>
          </w:p>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drawing>
                <wp:inline distT="0" distB="0" distL="114300" distR="114300">
                  <wp:extent cx="1950720" cy="2164080"/>
                  <wp:effectExtent l="0" t="0" r="11430"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1950720" cy="2164080"/>
                          </a:xfrm>
                          <a:prstGeom prst="rect">
                            <a:avLst/>
                          </a:prstGeom>
                          <a:noFill/>
                          <a:ln>
                            <a:noFill/>
                          </a:ln>
                        </pic:spPr>
                      </pic:pic>
                    </a:graphicData>
                  </a:graphic>
                </wp:inline>
              </w:drawing>
            </w:r>
          </w:p>
        </w:tc>
        <w:tc>
          <w:tcPr>
            <w:tcW w:w="2651" w:type="pct"/>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备注：有害垃圾清运车</w:t>
            </w:r>
          </w:p>
          <w:p>
            <w:pPr>
              <w:widowControl/>
              <w:jc w:val="center"/>
              <w:textAlignment w:val="top"/>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drawing>
                <wp:inline distT="0" distB="0" distL="114300" distR="114300">
                  <wp:extent cx="1908175" cy="2164080"/>
                  <wp:effectExtent l="0" t="0" r="1587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3"/>
                          <a:stretch>
                            <a:fillRect/>
                          </a:stretch>
                        </pic:blipFill>
                        <pic:spPr>
                          <a:xfrm>
                            <a:off x="0" y="0"/>
                            <a:ext cx="1908175" cy="21640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20" w:hRule="atLeast"/>
        </w:trPr>
        <w:tc>
          <w:tcPr>
            <w:tcW w:w="2348" w:type="pct"/>
            <w:gridSpan w:val="4"/>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备注：可回收物清运车</w:t>
            </w:r>
          </w:p>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drawing>
                <wp:inline distT="0" distB="0" distL="114300" distR="114300">
                  <wp:extent cx="1938655" cy="2164080"/>
                  <wp:effectExtent l="0" t="0" r="4445"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4"/>
                          <a:stretch>
                            <a:fillRect/>
                          </a:stretch>
                        </pic:blipFill>
                        <pic:spPr>
                          <a:xfrm>
                            <a:off x="0" y="0"/>
                            <a:ext cx="1938655" cy="2164080"/>
                          </a:xfrm>
                          <a:prstGeom prst="rect">
                            <a:avLst/>
                          </a:prstGeom>
                          <a:noFill/>
                          <a:ln>
                            <a:noFill/>
                          </a:ln>
                        </pic:spPr>
                      </pic:pic>
                    </a:graphicData>
                  </a:graphic>
                </wp:inline>
              </w:drawing>
            </w:r>
          </w:p>
        </w:tc>
        <w:tc>
          <w:tcPr>
            <w:tcW w:w="2651" w:type="pct"/>
            <w:tcBorders>
              <w:top w:val="single" w:color="000000" w:sz="4" w:space="0"/>
              <w:left w:val="single" w:color="000000" w:sz="4" w:space="0"/>
              <w:bottom w:val="single" w:color="000000" w:sz="4" w:space="0"/>
              <w:right w:val="single" w:color="000000" w:sz="4" w:space="0"/>
            </w:tcBorders>
            <w:vAlign w:val="center"/>
          </w:tcPr>
          <w:p>
            <w:pPr>
              <w:widowControl/>
              <w:textAlignment w:val="top"/>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备注：其他垃圾小型清运车车身标识模版（厨余垃圾、有害垃圾、可回收物小型清运车车身标识参照图片格式修改）</w:t>
            </w:r>
          </w:p>
          <w:p>
            <w:pPr>
              <w:pStyle w:val="2"/>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drawing>
                <wp:inline distT="0" distB="0" distL="114300" distR="114300">
                  <wp:extent cx="2717800" cy="1592580"/>
                  <wp:effectExtent l="0" t="0" r="6350"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5"/>
                          <a:stretch>
                            <a:fillRect/>
                          </a:stretch>
                        </pic:blipFill>
                        <pic:spPr>
                          <a:xfrm>
                            <a:off x="0" y="0"/>
                            <a:ext cx="2717800" cy="1592580"/>
                          </a:xfrm>
                          <a:prstGeom prst="rect">
                            <a:avLst/>
                          </a:prstGeom>
                          <a:noFill/>
                          <a:ln>
                            <a:noFill/>
                          </a:ln>
                        </pic:spPr>
                      </pic:pic>
                    </a:graphicData>
                  </a:graphic>
                </wp:inline>
              </w:drawing>
            </w:r>
          </w:p>
        </w:tc>
      </w:tr>
    </w:tbl>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（十二）人员配置要求</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1770"/>
        <w:gridCol w:w="3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人员种类</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数量（人）</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螺山网格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24</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6</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鱼塘保洁人员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含有3个鱼塘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公厕管理人员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5</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中转站管理人员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复兴网格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19</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6</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公厕管理人员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中转站管理人员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江南网格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12</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4</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公厕管理人员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大围网格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15</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5</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大山网格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7</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垃圾收集人员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含上门收集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隆盛网格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组长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环卫人员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7</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道路普扫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杂工</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保洁人员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公厕管理人员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其他人员配备要求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主管</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经理</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河涌水面保洁员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办公室管理人员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安全员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车队长</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驾驶员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8</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资料员</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司助</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6</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垃圾收运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公司特勤队</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13</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26"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合计</w:t>
            </w:r>
          </w:p>
        </w:tc>
        <w:tc>
          <w:tcPr>
            <w:tcW w:w="1039"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188（人）</w:t>
            </w:r>
          </w:p>
        </w:tc>
        <w:tc>
          <w:tcPr>
            <w:tcW w:w="2234" w:type="pct"/>
            <w:tcBorders>
              <w:top w:val="single" w:color="auto" w:sz="4" w:space="0"/>
              <w:left w:val="single" w:color="auto" w:sz="4" w:space="0"/>
              <w:bottom w:val="single" w:color="auto" w:sz="4" w:space="0"/>
              <w:right w:val="single" w:color="auto" w:sz="4" w:space="0"/>
            </w:tcBorders>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每人每天</w:t>
            </w:r>
            <w:r>
              <w:rPr>
                <w:rFonts w:hint="eastAsia"/>
                <w:color w:val="000000" w:themeColor="text1"/>
                <w:sz w:val="21"/>
                <w:szCs w:val="21"/>
                <w:highlight w:val="none"/>
                <w:lang w:val="en-US" w:eastAsia="zh-CN"/>
                <w14:textFill>
                  <w14:solidFill>
                    <w14:schemeClr w14:val="tx1"/>
                  </w14:solidFill>
                </w14:textFill>
              </w:rPr>
              <w:t>正常</w:t>
            </w:r>
            <w:r>
              <w:rPr>
                <w:rFonts w:hint="eastAsia"/>
                <w:color w:val="000000" w:themeColor="text1"/>
                <w:sz w:val="21"/>
                <w:szCs w:val="21"/>
                <w:highlight w:val="none"/>
                <w14:textFill>
                  <w14:solidFill>
                    <w14:schemeClr w14:val="tx1"/>
                  </w14:solidFill>
                </w14:textFill>
              </w:rPr>
              <w:t>工作时间不得低于</w:t>
            </w:r>
            <w:r>
              <w:rPr>
                <w:rFonts w:hint="eastAsia"/>
                <w:color w:val="000000" w:themeColor="text1"/>
                <w:sz w:val="21"/>
                <w:szCs w:val="21"/>
                <w:highlight w:val="none"/>
                <w:lang w:val="en-US"/>
                <w14:textFill>
                  <w14:solidFill>
                    <w14:schemeClr w14:val="tx1"/>
                  </w14:solidFill>
                </w14:textFill>
              </w:rPr>
              <w:t>8小时</w:t>
            </w:r>
          </w:p>
        </w:tc>
      </w:tr>
    </w:tbl>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乙方投入本项目的人员数量不少于以上清单，</w:t>
      </w:r>
      <w:r>
        <w:rPr>
          <w:rFonts w:hint="eastAsia"/>
          <w:color w:val="000000" w:themeColor="text1"/>
          <w:sz w:val="21"/>
          <w:szCs w:val="21"/>
          <w:highlight w:val="none"/>
          <w:lang w:val="en-US"/>
          <w14:textFill>
            <w14:solidFill>
              <w14:schemeClr w14:val="tx1"/>
            </w14:solidFill>
          </w14:textFill>
        </w:rPr>
        <w:t>如发现投入人员数量少于以上清单要求，乙方须在10天内补齐；</w:t>
      </w:r>
      <w:r>
        <w:rPr>
          <w:rFonts w:hint="eastAsia"/>
          <w:color w:val="000000" w:themeColor="text1"/>
          <w:sz w:val="21"/>
          <w:szCs w:val="21"/>
          <w:highlight w:val="none"/>
          <w14:textFill>
            <w14:solidFill>
              <w14:schemeClr w14:val="tx1"/>
            </w14:solidFill>
          </w14:textFill>
        </w:rPr>
        <w:t>如遇人员不足的情况，甲方有权根据实际所需要求乙方增加。</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1、本项目须投入人员数量不少于以上清单，如遇相关人员数量不足的情况，</w:t>
      </w:r>
      <w:r>
        <w:rPr>
          <w:rFonts w:hint="eastAsia"/>
          <w:color w:val="000000" w:themeColor="text1"/>
          <w:sz w:val="21"/>
          <w:szCs w:val="21"/>
          <w:highlight w:val="none"/>
          <w:lang w:eastAsia="zh-CN"/>
          <w14:textFill>
            <w14:solidFill>
              <w14:schemeClr w14:val="tx1"/>
            </w14:solidFill>
          </w14:textFill>
        </w:rPr>
        <w:t>乙方</w:t>
      </w:r>
      <w:r>
        <w:rPr>
          <w:rFonts w:hint="eastAsia"/>
          <w:color w:val="000000" w:themeColor="text1"/>
          <w:sz w:val="21"/>
          <w:szCs w:val="21"/>
          <w:highlight w:val="none"/>
          <w14:textFill>
            <w14:solidFill>
              <w14:schemeClr w14:val="tx1"/>
            </w14:solidFill>
          </w14:textFill>
        </w:rPr>
        <w:t>应1</w:t>
      </w:r>
      <w:r>
        <w:rPr>
          <w:color w:val="000000" w:themeColor="text1"/>
          <w:sz w:val="21"/>
          <w:szCs w:val="21"/>
          <w:highlight w:val="none"/>
          <w14:textFill>
            <w14:solidFill>
              <w14:schemeClr w14:val="tx1"/>
            </w14:solidFill>
          </w14:textFill>
        </w:rPr>
        <w:t>0</w:t>
      </w:r>
      <w:r>
        <w:rPr>
          <w:rFonts w:hint="eastAsia"/>
          <w:color w:val="000000" w:themeColor="text1"/>
          <w:sz w:val="21"/>
          <w:szCs w:val="21"/>
          <w:highlight w:val="none"/>
          <w14:textFill>
            <w14:solidFill>
              <w14:schemeClr w14:val="tx1"/>
            </w14:solidFill>
          </w14:textFill>
        </w:rPr>
        <w:t>日内增加。同时，</w:t>
      </w:r>
      <w:r>
        <w:rPr>
          <w:rFonts w:hint="eastAsia"/>
          <w:color w:val="000000" w:themeColor="text1"/>
          <w:sz w:val="21"/>
          <w:szCs w:val="21"/>
          <w:highlight w:val="none"/>
          <w:lang w:eastAsia="zh-CN"/>
          <w14:textFill>
            <w14:solidFill>
              <w14:schemeClr w14:val="tx1"/>
            </w14:solidFill>
          </w14:textFill>
        </w:rPr>
        <w:t>乙方</w:t>
      </w:r>
      <w:r>
        <w:rPr>
          <w:rFonts w:hint="eastAsia"/>
          <w:color w:val="000000" w:themeColor="text1"/>
          <w:sz w:val="21"/>
          <w:szCs w:val="21"/>
          <w:highlight w:val="none"/>
          <w14:textFill>
            <w14:solidFill>
              <w14:schemeClr w14:val="tx1"/>
            </w14:solidFill>
          </w14:textFill>
        </w:rPr>
        <w:t>应当依法及时与劳动者订立书面劳动合同（或劳务合同），劳动合同约定的正常工作时间不得低于8小时，并为员工购买社保、特定工伤保险及必要的商业险。所有入职人员录用前应报备</w:t>
      </w:r>
      <w:r>
        <w:rPr>
          <w:rFonts w:hint="eastAsia"/>
          <w:color w:val="000000" w:themeColor="text1"/>
          <w:sz w:val="21"/>
          <w:szCs w:val="21"/>
          <w:highlight w:val="none"/>
          <w:lang w:eastAsia="zh-CN"/>
          <w14:textFill>
            <w14:solidFill>
              <w14:schemeClr w14:val="tx1"/>
            </w14:solidFill>
          </w14:textFill>
        </w:rPr>
        <w:t>甲方</w:t>
      </w:r>
      <w:r>
        <w:rPr>
          <w:rFonts w:hint="eastAsia"/>
          <w:color w:val="000000" w:themeColor="text1"/>
          <w:sz w:val="21"/>
          <w:szCs w:val="21"/>
          <w:highlight w:val="none"/>
          <w14:textFill>
            <w14:solidFill>
              <w14:schemeClr w14:val="tx1"/>
            </w14:solidFill>
          </w14:textFill>
        </w:rPr>
        <w:t>，经</w:t>
      </w:r>
      <w:r>
        <w:rPr>
          <w:rFonts w:hint="eastAsia"/>
          <w:color w:val="000000" w:themeColor="text1"/>
          <w:sz w:val="21"/>
          <w:szCs w:val="21"/>
          <w:highlight w:val="none"/>
          <w:lang w:eastAsia="zh-CN"/>
          <w14:textFill>
            <w14:solidFill>
              <w14:schemeClr w14:val="tx1"/>
            </w14:solidFill>
          </w14:textFill>
        </w:rPr>
        <w:t>甲方</w:t>
      </w:r>
      <w:r>
        <w:rPr>
          <w:rFonts w:hint="eastAsia"/>
          <w:color w:val="000000" w:themeColor="text1"/>
          <w:sz w:val="21"/>
          <w:szCs w:val="21"/>
          <w:highlight w:val="none"/>
          <w14:textFill>
            <w14:solidFill>
              <w14:schemeClr w14:val="tx1"/>
            </w14:solidFill>
          </w14:textFill>
        </w:rPr>
        <w:t>审查符合招标文件的入职要求后再聘用及签署《劳动合同》，签署后的《劳动合同》及入职人员基本信息表须签订之日起7日内交</w:t>
      </w:r>
      <w:r>
        <w:rPr>
          <w:rFonts w:hint="eastAsia"/>
          <w:color w:val="000000" w:themeColor="text1"/>
          <w:sz w:val="21"/>
          <w:szCs w:val="21"/>
          <w:highlight w:val="none"/>
          <w:lang w:eastAsia="zh-CN"/>
          <w14:textFill>
            <w14:solidFill>
              <w14:schemeClr w14:val="tx1"/>
            </w14:solidFill>
          </w14:textFill>
        </w:rPr>
        <w:t>甲方</w:t>
      </w:r>
      <w:r>
        <w:rPr>
          <w:rFonts w:hint="eastAsia"/>
          <w:color w:val="000000" w:themeColor="text1"/>
          <w:sz w:val="21"/>
          <w:szCs w:val="21"/>
          <w:highlight w:val="none"/>
          <w14:textFill>
            <w14:solidFill>
              <w14:schemeClr w14:val="tx1"/>
            </w14:solidFill>
          </w14:textFill>
        </w:rPr>
        <w:t>备案存查；中标人单方解聘员工的，应经</w:t>
      </w:r>
      <w:r>
        <w:rPr>
          <w:rFonts w:hint="eastAsia"/>
          <w:color w:val="000000" w:themeColor="text1"/>
          <w:sz w:val="21"/>
          <w:szCs w:val="21"/>
          <w:highlight w:val="none"/>
          <w:lang w:eastAsia="zh-CN"/>
          <w14:textFill>
            <w14:solidFill>
              <w14:schemeClr w14:val="tx1"/>
            </w14:solidFill>
          </w14:textFill>
        </w:rPr>
        <w:t>甲方</w:t>
      </w:r>
      <w:r>
        <w:rPr>
          <w:rFonts w:hint="eastAsia"/>
          <w:color w:val="000000" w:themeColor="text1"/>
          <w:sz w:val="21"/>
          <w:szCs w:val="21"/>
          <w:highlight w:val="none"/>
          <w14:textFill>
            <w14:solidFill>
              <w14:schemeClr w14:val="tx1"/>
            </w14:solidFill>
          </w14:textFill>
        </w:rPr>
        <w:t>同意方可办理离职手续，离职后3日内提交离职通知书或协议及工资待遇结清证明予</w:t>
      </w:r>
      <w:r>
        <w:rPr>
          <w:rFonts w:hint="eastAsia"/>
          <w:color w:val="000000" w:themeColor="text1"/>
          <w:sz w:val="21"/>
          <w:szCs w:val="21"/>
          <w:highlight w:val="none"/>
          <w:lang w:eastAsia="zh-CN"/>
          <w14:textFill>
            <w14:solidFill>
              <w14:schemeClr w14:val="tx1"/>
            </w14:solidFill>
          </w14:textFill>
        </w:rPr>
        <w:t>甲方</w:t>
      </w:r>
      <w:r>
        <w:rPr>
          <w:rFonts w:hint="eastAsia"/>
          <w:color w:val="000000" w:themeColor="text1"/>
          <w:sz w:val="21"/>
          <w:szCs w:val="21"/>
          <w:highlight w:val="none"/>
          <w14:textFill>
            <w14:solidFill>
              <w14:schemeClr w14:val="tx1"/>
            </w14:solidFill>
          </w14:textFill>
        </w:rPr>
        <w:t>备案存查。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甲方</w:t>
      </w:r>
      <w:r>
        <w:rPr>
          <w:rFonts w:hint="eastAsia"/>
          <w:color w:val="000000" w:themeColor="text1"/>
          <w:sz w:val="21"/>
          <w:szCs w:val="21"/>
          <w:highlight w:val="none"/>
          <w14:textFill>
            <w14:solidFill>
              <w14:schemeClr w14:val="tx1"/>
            </w14:solidFill>
          </w14:textFill>
        </w:rPr>
        <w:t>发现入职人员不符合本招标文件要求及入职要求的，有权要求</w:t>
      </w:r>
      <w:r>
        <w:rPr>
          <w:rFonts w:hint="eastAsia"/>
          <w:color w:val="000000" w:themeColor="text1"/>
          <w:sz w:val="21"/>
          <w:szCs w:val="21"/>
          <w:highlight w:val="none"/>
          <w:lang w:eastAsia="zh-CN"/>
          <w14:textFill>
            <w14:solidFill>
              <w14:schemeClr w14:val="tx1"/>
            </w14:solidFill>
          </w14:textFill>
        </w:rPr>
        <w:t>乙方</w:t>
      </w:r>
      <w:r>
        <w:rPr>
          <w:rFonts w:hint="eastAsia"/>
          <w:color w:val="000000" w:themeColor="text1"/>
          <w:sz w:val="21"/>
          <w:szCs w:val="21"/>
          <w:highlight w:val="none"/>
          <w14:textFill>
            <w14:solidFill>
              <w14:schemeClr w14:val="tx1"/>
            </w14:solidFill>
          </w14:textFill>
        </w:rPr>
        <w:t>解除劳动（务）合同，相关责任由</w:t>
      </w:r>
      <w:r>
        <w:rPr>
          <w:rFonts w:hint="eastAsia"/>
          <w:color w:val="000000" w:themeColor="text1"/>
          <w:sz w:val="21"/>
          <w:szCs w:val="21"/>
          <w:highlight w:val="none"/>
          <w:lang w:eastAsia="zh-CN"/>
          <w14:textFill>
            <w14:solidFill>
              <w14:schemeClr w14:val="tx1"/>
            </w14:solidFill>
          </w14:textFill>
        </w:rPr>
        <w:t>乙方</w:t>
      </w:r>
      <w:r>
        <w:rPr>
          <w:rFonts w:hint="eastAsia"/>
          <w:color w:val="000000" w:themeColor="text1"/>
          <w:sz w:val="21"/>
          <w:szCs w:val="21"/>
          <w:highlight w:val="none"/>
          <w14:textFill>
            <w14:solidFill>
              <w14:schemeClr w14:val="tx1"/>
            </w14:solidFill>
          </w14:textFill>
        </w:rPr>
        <w:t>承担。</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乙方按照“应收尽收”原则接收自愿留下且满足年龄条件的原服务项目环卫工人，所有合同期内工人工资标准必须符合劳动法规及相关法律法规，且工人最低工资不能低于东莞市最新公布的最低工资标准。同时，工人加班的劳动报酬也必须符合劳动法及相关行业的法律法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3、入职人员要求</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年龄要求：①本项目投入环卫人员（84人），人员在职期间，男不得超过60周岁，女不得超过55周岁，平均年龄不超过5</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周岁；②本项目投入上述清单人员（环卫人员除外）（104人）入职时不得超过</w:t>
      </w:r>
      <w:r>
        <w:rPr>
          <w:rFonts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lang w:val="en-US" w:eastAsia="zh-CN"/>
          <w14:textFill>
            <w14:solidFill>
              <w14:schemeClr w14:val="tx1"/>
            </w14:solidFill>
          </w14:textFill>
        </w:rPr>
        <w:t>50</w:t>
      </w:r>
      <w:r>
        <w:rPr>
          <w:rFonts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周岁。</w:t>
      </w:r>
    </w:p>
    <w:p>
      <w:pPr>
        <w:spacing w:line="360" w:lineRule="auto"/>
        <w:ind w:firstLine="420" w:firstLineChars="200"/>
        <w:rPr>
          <w:rFonts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上岗标准：①</w:t>
      </w:r>
      <w:r>
        <w:rPr>
          <w:rFonts w:hint="eastAsia" w:cs="宋体"/>
          <w:color w:val="000000" w:themeColor="text1"/>
          <w:szCs w:val="21"/>
          <w:highlight w:val="none"/>
          <w14:textFill>
            <w14:solidFill>
              <w14:schemeClr w14:val="tx1"/>
            </w14:solidFill>
          </w14:textFill>
        </w:rPr>
        <w:t>河涌水面（鱼塘）保洁员：熟悉水上作业的标准化，熟悉水上作业船只的驾驶流程，自身具有基本的救生能力等；②司机：持驾驶证证件，无不良车辆驾驶记录，熟悉环卫车辆的驾驶流程；③环卫人员：熟悉现场道路，熟悉保洁作业工具及清洁剂的使用规则，了解公厕的基本保养流程及垃圾收运的制度；④保洁人员：熟悉现场道路的分布，会驾驶基本的环卫车辆（如三轮电动保洁车等），持驾驶证等证件，熟悉清洁剂的使用规则，具有保洁设施设备应急救援意识。</w:t>
      </w:r>
    </w:p>
    <w:p>
      <w:pPr>
        <w:spacing w:line="360" w:lineRule="auto"/>
        <w:ind w:firstLine="422" w:firstLineChars="200"/>
        <w:rPr>
          <w:rFonts w:hint="eastAsia" w:cs="宋体"/>
          <w:b/>
          <w:color w:val="000000" w:themeColor="text1"/>
          <w:szCs w:val="21"/>
          <w:highlight w:val="none"/>
          <w14:textFill>
            <w14:solidFill>
              <w14:schemeClr w14:val="tx1"/>
            </w14:solidFill>
          </w14:textFill>
        </w:rPr>
      </w:pPr>
      <w:r>
        <w:rPr>
          <w:rFonts w:hint="eastAsia" w:cs="宋体"/>
          <w:b/>
          <w:color w:val="000000" w:themeColor="text1"/>
          <w:szCs w:val="21"/>
          <w:highlight w:val="none"/>
          <w14:textFill>
            <w14:solidFill>
              <w14:schemeClr w14:val="tx1"/>
            </w14:solidFill>
          </w14:textFill>
        </w:rPr>
        <w:t>4、投入本项目入职（或离职）人员须经</w:t>
      </w:r>
      <w:r>
        <w:rPr>
          <w:rFonts w:hint="eastAsia" w:cs="宋体"/>
          <w:b/>
          <w:color w:val="000000" w:themeColor="text1"/>
          <w:szCs w:val="21"/>
          <w:highlight w:val="none"/>
          <w:lang w:eastAsia="zh-CN"/>
          <w14:textFill>
            <w14:solidFill>
              <w14:schemeClr w14:val="tx1"/>
            </w14:solidFill>
          </w14:textFill>
        </w:rPr>
        <w:t>甲方</w:t>
      </w:r>
      <w:r>
        <w:rPr>
          <w:rFonts w:hint="eastAsia" w:cs="宋体"/>
          <w:b/>
          <w:color w:val="000000" w:themeColor="text1"/>
          <w:szCs w:val="21"/>
          <w:highlight w:val="none"/>
          <w14:textFill>
            <w14:solidFill>
              <w14:schemeClr w14:val="tx1"/>
            </w14:solidFill>
          </w14:textFill>
        </w:rPr>
        <w:t>审核备案同意，方可入职（或离职）。中标人每2个月向采购在报送在职员工的人员名单备查，</w:t>
      </w:r>
      <w:r>
        <w:rPr>
          <w:rFonts w:hint="eastAsia" w:cs="宋体"/>
          <w:b/>
          <w:color w:val="000000" w:themeColor="text1"/>
          <w:szCs w:val="21"/>
          <w:highlight w:val="none"/>
          <w:lang w:eastAsia="zh-CN"/>
          <w14:textFill>
            <w14:solidFill>
              <w14:schemeClr w14:val="tx1"/>
            </w14:solidFill>
          </w14:textFill>
        </w:rPr>
        <w:t>甲方</w:t>
      </w:r>
      <w:r>
        <w:rPr>
          <w:rFonts w:hint="eastAsia" w:cs="宋体"/>
          <w:b/>
          <w:color w:val="000000" w:themeColor="text1"/>
          <w:szCs w:val="21"/>
          <w:highlight w:val="none"/>
          <w14:textFill>
            <w14:solidFill>
              <w14:schemeClr w14:val="tx1"/>
            </w14:solidFill>
          </w14:textFill>
        </w:rPr>
        <w:t>可随时抽查。</w:t>
      </w:r>
    </w:p>
    <w:p>
      <w:pPr>
        <w:spacing w:line="360"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cs="宋体"/>
          <w:bCs/>
          <w:color w:val="000000" w:themeColor="text1"/>
          <w:szCs w:val="21"/>
          <w:highlight w:val="none"/>
          <w14:textFill>
            <w14:solidFill>
              <w14:schemeClr w14:val="tx1"/>
            </w14:solidFill>
          </w14:textFill>
        </w:rPr>
        <w:t>5、投入本项目的人员如出现怠工、工作态度不认真，且情况属实的，</w:t>
      </w:r>
      <w:r>
        <w:rPr>
          <w:rFonts w:hint="eastAsia" w:cs="宋体"/>
          <w:bCs/>
          <w:color w:val="000000" w:themeColor="text1"/>
          <w:szCs w:val="21"/>
          <w:highlight w:val="none"/>
          <w:lang w:eastAsia="zh-CN"/>
          <w14:textFill>
            <w14:solidFill>
              <w14:schemeClr w14:val="tx1"/>
            </w14:solidFill>
          </w14:textFill>
        </w:rPr>
        <w:t>乙方</w:t>
      </w:r>
      <w:r>
        <w:rPr>
          <w:rFonts w:hint="eastAsia" w:cs="宋体"/>
          <w:bCs/>
          <w:color w:val="000000" w:themeColor="text1"/>
          <w:szCs w:val="21"/>
          <w:highlight w:val="none"/>
          <w14:textFill>
            <w14:solidFill>
              <w14:schemeClr w14:val="tx1"/>
            </w14:solidFill>
          </w14:textFill>
        </w:rPr>
        <w:t>应及时整改，必要时，采购单位发出书面通知后</w:t>
      </w:r>
      <w:r>
        <w:rPr>
          <w:rFonts w:hint="eastAsia" w:cs="宋体"/>
          <w:bCs/>
          <w:color w:val="000000" w:themeColor="text1"/>
          <w:szCs w:val="21"/>
          <w:highlight w:val="none"/>
          <w:lang w:eastAsia="zh-CN"/>
          <w14:textFill>
            <w14:solidFill>
              <w14:schemeClr w14:val="tx1"/>
            </w14:solidFill>
          </w14:textFill>
        </w:rPr>
        <w:t>乙方</w:t>
      </w:r>
      <w:r>
        <w:rPr>
          <w:rFonts w:hint="eastAsia" w:cs="宋体"/>
          <w:bCs/>
          <w:color w:val="000000" w:themeColor="text1"/>
          <w:szCs w:val="21"/>
          <w:highlight w:val="none"/>
          <w14:textFill>
            <w14:solidFill>
              <w14:schemeClr w14:val="tx1"/>
            </w14:solidFill>
          </w14:textFill>
        </w:rPr>
        <w:t>须配合更换人员。</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（十三）安全生产要求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1、乙方必须配备符合相关标准的安全作业用品和劳保用品，落实好安全生产措施，开展职业病防治工作，确保员工劳动保护和人身安全。员工的工伤、意外等的一切经济责任和法律责任由乙方承担。</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2、定期对员工进行安全生产教育，落实责任制，落实有关安全措施。</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3、车辆行驶必须严格遵守交通规则。乙方需自行解决户外安全问题，工人上下班不得乱穿马路、作业车辆不得逆向行驶或出现人货混载的情况。</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4、路面作业人员必须统一穿着带反光标志的工作服（按《东莞市城市管理和综合执法局视觉识别系统》中对环卫服装要求执行）。</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5、路面作业时必须落实警示标志及防护措施。</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6、清扫后的斗车、清扫工具等不得妨碍交通。</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7、不得存放易燃、易爆、剧毒等危险品。</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8、落实防火措施，配足性能良好的消防器材。</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9、落实安全用电措施，不得乱拉、乱挂、乱接电线，不使用非生产性大功率电器，不得超线路负载使用电器。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10、在各类作业期间，必须按各工种的操作特性，落实各类的安全、防护措施，确保人员及财产的安全，发生安全生产事故的，必须及时上报。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11、洒水车、垃圾清运车、高空作业车等在机动车道行驶的作业车辆需安装右侧盲区探测雷达。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规范开展高空作业工作，高空作业要使用升降车，不得站在车辆车厢、驾驶舱顶部或攀爬树木进行作业，要严格执行“双报备”、高处作业做到“五个必须”（必须培训持证上岗、必须实行作业审批、必须做好个人防护、必须落实工程措施、必须安排专人监护）。占道作业时要做好警示标志及雪糕筒的摆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13、项目部或集中安排工人宿舍的要落实防火、安全用电、安全用气等措施，配足性能良好的消防器材，日常开展安全隐患排查。</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14、在进行作业时，必须认真负责，注意安全操作。如因乙方操作不当、管理疏漏等各种原因造成乙方职工、雇员或任何其他人人身或财产损害的，乙方应承担全部责任。（包括但不限于相关的赔偿费用、诉讼费、保全费、鉴定费、公证费、律师费、差旅费等所有费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15、提交企业安全生产责任承诺书。</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（十四）应急要求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突发事件（如道路污染）和自然灾害（如台风等）要在确保安全情况下及时清理现场并冲洗路面；如遇强台风、特大暴雨等不适应上路作业时段时，乙方可以不安排人员上路清扫保洁，但应按照甲方要求成立一支不少于15人的清扫保洁临时应急队伍，服从甲方和政府相关部门的统一指挥和调度。台风、暴雨过后，乙方应立即组织人员做好清扫保洁工作。特殊情况，如需协助救险救灾工作，乙方应服从甲方和政府相关部门的统一指挥和调度。对不可抗力（如台风、暴雨等自然灾害）造成的环卫损害，应在12小时内完成现场清理和恢复交通（延迟完成清理须经甲方同意），并在甲方根据实际情况设定的时间内恢复原状。</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因城市管理工作、创建工作（如创文、创卫等）以及其他临时性重大活动保障要求，乙方必须无条件配合做好考评、检查、创建、活动保障工作，加强保洁服务工作，在检查期间及重大活动保障期间所产生的费用全部由乙方负责。</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在接到暴雨预警信息后立即组织对道路雨水口周边垃圾进行清扫；发现作业区域存在大面积淤泥，需根据甲方要求及时清理、冲洗污染路面，影响交通安全的，应立即组织清理。如发现化学物品、危险物品后立即报告相关部门处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4、作业范围内如出现车辆机油和运输物等撒漏现象，乙方必须采取应急措施科学处理。</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5、乙方协助监督辖区内施工单位的撒漏问题，督促协助撒漏方及时清理余泥、垃圾和废弃物，发现不配合且情节恶劣的应及时告知甲方，并报告相关部门处理。</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（十五）整改事项要求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乙方在接到整改事项后需提交整改工作计划并按期按要求整改，若未按要求落实整改的，则按整改事项违约处理。如乙方认为情况不实，有异议的，可在24小时内向甲方申请复核。</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（十六）其他要求</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1、在合同期内，因政府部门规划建设及政策变化等原因需调整服务范围或者提前终止合同时，乙方应服从大局，由此造成的经济损失，甲方不负违约责任。</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2、在符合供水规划和技术条件下，甲方可协助乙方按实际需要办理专用给水口，人工费、材料费、水费等由乙方支付。</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3、乙方应严格遵守国家法律、法规的规定，做好社会治安综合治理等工作。不得违反国家法律、法规的规定。如乙方员工有违法乱纪行为，乙方承担一切经济责任和法律责任。</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4、乙方需按《中华人民共和国民法典》等法律要求保障员工的合法权益。</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项目执行过程中，如需甲方配合办理相关手续，或提供相关服务条件，均须在投标文件中详细说明，例如临时场地租用，临时用电电源接入，与甲方沟通协调等相关事宜，以便于甲方决定是否接受或提前准备，所涉及的费用均由乙方承担。</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6、由于承包范围内的养护设施被盗或损坏或操作不当而导致他人死伤或造成其他损失的，由乙方负责赔偿和承担一切责任。</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乙方按实际要求配足作业人员，配员不能低于该路段的最低配员标准。说明：招标文件要求的作业人员数量配置为最低要求，乙方在确认中标资格后，且乙方与甲方签订合同之前将作业人员相关资料(包括人员名单、已聘用人员劳动合同及社保证明、新聘用员工资料等)提交甲方备案，作业司机、突发事件的临时应急队伍等作业人员年龄须 55 周岁以下。</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如因乙方不及时清扫或清扫不彻底等原因而发生交通事故或其他意外事故，致任何第三人人身或财产受损的，乙方应承担全部责任。如甲方在前述情形中实际承担了赔偿责任的，乙方同意无条件赔偿甲方的一切损失（包括但不限于甲方已赔偿的费用、甲方为向乙方追讨相关费用而支付的诉讼费、保全费、鉴定费、公证费、律师费、差旅费等所有费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9、服务期内，若乙方的服务效果未达到招标文件要求的质量标准，乙方须无条件服从甲方的要求增加设备及人员，直至达到招标文件要求的质量标准为止。</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五、服务期间</w:t>
      </w:r>
    </w:p>
    <w:p>
      <w:pPr>
        <w:suppressAutoHyphens/>
        <w:spacing w:line="360" w:lineRule="auto"/>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委托服务期间自</w:t>
      </w:r>
      <w:r>
        <w:rPr>
          <w:rFonts w:hint="eastAsia" w:ascii="宋体" w:hAnsi="宋体" w:cs="宋体"/>
          <w:color w:val="000000" w:themeColor="text1"/>
          <w:szCs w:val="21"/>
          <w:highlight w:val="none"/>
          <w:u w:val="single"/>
          <w14:textFill>
            <w14:solidFill>
              <w14:schemeClr w14:val="tx1"/>
            </w14:solidFill>
          </w14:textFill>
        </w:rPr>
        <w:t xml:space="preserve">202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日至</w:t>
      </w:r>
      <w:r>
        <w:rPr>
          <w:rFonts w:hint="eastAsia" w:ascii="宋体" w:hAnsi="宋体" w:cs="宋体"/>
          <w:color w:val="000000" w:themeColor="text1"/>
          <w:szCs w:val="21"/>
          <w:highlight w:val="none"/>
          <w:u w:val="single"/>
          <w14:textFill>
            <w14:solidFill>
              <w14:schemeClr w14:val="tx1"/>
            </w14:solidFill>
          </w14:textFill>
        </w:rPr>
        <w:t xml:space="preserve">202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日止。因合同期满或其他原因导致合同提前终止或解除，乙方应及时配合甲方办理相关交接工作，以保证甲方各项工作项目的正常运转。（</w:t>
      </w:r>
      <w:r>
        <w:rPr>
          <w:rFonts w:hint="eastAsia" w:ascii="宋体" w:hAnsi="宋体"/>
          <w:color w:val="000000" w:themeColor="text1"/>
          <w:szCs w:val="21"/>
          <w:highlight w:val="none"/>
          <w14:textFill>
            <w14:solidFill>
              <w14:schemeClr w14:val="tx1"/>
            </w14:solidFill>
          </w14:textFill>
        </w:rPr>
        <w:t>采用一年一签模式，即只有每年考核达标，才能自动续约下一年合同。如考核未达标的承包单位将自动淘汰出局，由采购单位重新组织项目招标。合同期满前50日内，甲方根据考核办法评定是否达标，具体为：</w:t>
      </w:r>
      <w:r>
        <w:rPr>
          <w:rFonts w:hint="eastAsia" w:ascii="宋体" w:hAnsi="宋体" w:cs="宋体"/>
          <w:color w:val="000000" w:themeColor="text1"/>
          <w:szCs w:val="21"/>
          <w:highlight w:val="none"/>
          <w:lang w:bidi="ar"/>
          <w14:textFill>
            <w14:solidFill>
              <w14:schemeClr w14:val="tx1"/>
            </w14:solidFill>
          </w14:textFill>
        </w:rPr>
        <w:t>该年度没有出现以下情形之任一项的视为达标：1、连续两个月综合考核得分80以下的；2、同一年度内累计三个月综合考核得分80以下的；3、被市同一年度内评为黑榜的；4、同一年度累计三个月</w:t>
      </w:r>
      <w:r>
        <w:rPr>
          <w:rFonts w:hint="eastAsia" w:ascii="宋体" w:hAnsi="宋体" w:cs="宋体"/>
          <w:color w:val="000000" w:themeColor="text1"/>
          <w:szCs w:val="21"/>
          <w:highlight w:val="none"/>
          <w14:textFill>
            <w14:solidFill>
              <w14:schemeClr w14:val="tx1"/>
            </w14:solidFill>
          </w14:textFill>
        </w:rPr>
        <w:t>综合考评得分在东莞市长安镇内排名倒数三名（含）以内的；5、服务期间，</w:t>
      </w:r>
      <w:r>
        <w:rPr>
          <w:rFonts w:hint="eastAsia" w:ascii="宋体" w:hAnsi="宋体" w:cs="宋体"/>
          <w:color w:val="000000" w:themeColor="text1"/>
          <w:szCs w:val="21"/>
          <w:highlight w:val="none"/>
          <w:lang w:val="en-US"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的在职服务员工人数不足18</w:t>
      </w:r>
      <w:r>
        <w:rPr>
          <w:rFonts w:hint="eastAsia" w:ascii="宋体" w:hAnsi="宋体" w:cs="宋体"/>
          <w:color w:val="000000" w:themeColor="text1"/>
          <w:szCs w:val="21"/>
          <w:highlight w:val="none"/>
          <w:lang w:val="en-US" w:eastAsia="zh-CN"/>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人的；6、</w:t>
      </w:r>
      <w:r>
        <w:rPr>
          <w:rFonts w:hint="eastAsia" w:ascii="宋体" w:hAnsi="宋体" w:cs="宋体"/>
          <w:color w:val="000000" w:themeColor="text1"/>
          <w:szCs w:val="21"/>
          <w:highlight w:val="none"/>
          <w:lang w:val="en-US"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任一个月未按时足额发放员工工资（含加班工资）或</w:t>
      </w:r>
      <w:r>
        <w:rPr>
          <w:rFonts w:hint="eastAsia" w:ascii="宋体" w:hAnsi="宋体" w:cs="宋体"/>
          <w:color w:val="000000" w:themeColor="text1"/>
          <w:szCs w:val="21"/>
          <w:highlight w:val="none"/>
          <w:lang w:val="en-US"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拖欠员工工资（含加班工资）被投诉、上访或起诉，情况属实的，或东莞市最低工资标准发生变化，</w:t>
      </w:r>
      <w:r>
        <w:rPr>
          <w:rFonts w:hint="eastAsia" w:ascii="宋体" w:hAnsi="宋体" w:cs="宋体"/>
          <w:color w:val="000000" w:themeColor="text1"/>
          <w:szCs w:val="21"/>
          <w:highlight w:val="none"/>
          <w:lang w:val="en-US"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拒绝根据有关规定予以相应调整的。）</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六、服务费用及付款方式</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（一）服务费用</w:t>
      </w:r>
    </w:p>
    <w:p>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1、甲方应支付乙方总清扫保洁服务费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元（大写：人民币</w:t>
      </w:r>
      <w:r>
        <w:rPr>
          <w:rFonts w:hint="eastAsia" w:ascii="宋体" w:hAnsi="宋体" w:cs="宋体"/>
          <w:color w:val="000000" w:themeColor="text1"/>
          <w:szCs w:val="21"/>
          <w:highlight w:val="none"/>
          <w:u w:val="single"/>
          <w14:textFill>
            <w14:solidFill>
              <w14:schemeClr w14:val="tx1"/>
            </w14:solidFill>
          </w14:textFill>
        </w:rPr>
        <w:t xml:space="preserve">                 元整 </w:t>
      </w:r>
      <w:r>
        <w:rPr>
          <w:rFonts w:hint="eastAsia" w:ascii="宋体" w:hAnsi="宋体" w:cs="宋体"/>
          <w:color w:val="000000" w:themeColor="text1"/>
          <w:szCs w:val="21"/>
          <w:highlight w:val="none"/>
          <w14:textFill>
            <w14:solidFill>
              <w14:schemeClr w14:val="tx1"/>
            </w14:solidFill>
          </w14:textFill>
        </w:rPr>
        <w:t>），每月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元。（如有细项则分项列出）</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费包含垃圾清运费用、管理费用、人员费用（含员工正常工作时间工资、加班工资、奖金、津贴、食宿费、住房补助、劳动保障、福利、医疗保险与费用、工伤保险与费用、失业保险、社会保障、教育培训费用、暂住费用、伤亡事故处理费用等费用）、税费、生产资料费用（含作业用水、用电的费用，含各种环卫工具、环卫车辆、环卫机械设备的投入和耗损，不含果皮箱、环卫工具房购置及维修费）、市政设施防张贴防涂写防刻画涂料的购买与喷涂费用等与环卫保洁有关的一切费用。</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（二）付款方式</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1、按月支付承包款，每月结合考核标准进行结算。合同生效后第二个月起每月</w:t>
      </w:r>
      <w:r>
        <w:rPr>
          <w:rFonts w:hint="eastAsia"/>
          <w:color w:val="000000" w:themeColor="text1"/>
          <w:sz w:val="21"/>
          <w:szCs w:val="21"/>
          <w:highlight w:val="none"/>
          <w:u w:val="single"/>
          <w:lang w:val="en-US"/>
          <w14:textFill>
            <w14:solidFill>
              <w14:schemeClr w14:val="tx1"/>
            </w14:solidFill>
          </w14:textFill>
        </w:rPr>
        <w:t>20</w:t>
      </w:r>
      <w:r>
        <w:rPr>
          <w:rFonts w:hint="eastAsia"/>
          <w:color w:val="000000" w:themeColor="text1"/>
          <w:sz w:val="21"/>
          <w:szCs w:val="21"/>
          <w:highlight w:val="none"/>
          <w14:textFill>
            <w14:solidFill>
              <w14:schemeClr w14:val="tx1"/>
            </w14:solidFill>
          </w14:textFill>
        </w:rPr>
        <w:t>日前向乙方支付上月的承包款。</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2、每期款项支付时，乙方应在接到甲方开票通知后10天内，提交相应金额的正式发票；如乙方未能按照约定提供相应金额的正式发票，由此产生的责任和损失由乙方自行承担。</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3、乙方确认本合同项下款项均支付至本合同签署页列明的银行账户，甲方将合同款项支付至乙方指定的银行账户即完成合同款项的支付义务。如本合同尾部列明的收款账户发生任何变更，乙方应自变更之日起立即书面通知甲方；否则，由此引起的相关后果均由乙方自行承担。</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七、考核评分办法</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关于印发&lt;东莞市城乡市容环卫统筹管理实施方案&gt;的通知》（东府办〔2013〕92号）和《关于印发&lt;长安镇市容环卫统筹方案&gt;的通知》（长府办〔2013〕92号）文件精神，为落实村级环卫体制改革的目标任务，改善社区环境卫生市容市貌，建立和完善环卫统筹管理及环境卫生整治长效管理机制，实现社区市容环卫规范化、高效化、一体化管理、结合社区环卫项目承包合同内容，特制定本评分办法，本评分办法主要是对环卫工作项目市场化公司的检查考核评分办法。</w:t>
      </w:r>
    </w:p>
    <w:p>
      <w:pPr>
        <w:tabs>
          <w:tab w:val="left" w:pos="420"/>
          <w:tab w:val="left" w:pos="840"/>
          <w:tab w:val="left" w:pos="1260"/>
          <w:tab w:val="left" w:pos="1680"/>
          <w:tab w:val="left" w:pos="5848"/>
        </w:tabs>
        <w:spacing w:line="360" w:lineRule="auto"/>
        <w:ind w:firstLine="420"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一、工作目标</w:t>
      </w:r>
      <w:r>
        <w:rPr>
          <w:rFonts w:hint="eastAsia" w:ascii="宋体" w:hAnsi="宋体" w:cs="宋体"/>
          <w:b/>
          <w:color w:val="000000" w:themeColor="text1"/>
          <w:szCs w:val="21"/>
          <w:highlight w:val="none"/>
          <w14:textFill>
            <w14:solidFill>
              <w14:schemeClr w14:val="tx1"/>
            </w14:solidFill>
          </w14:textFill>
        </w:rPr>
        <w:tab/>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围绕社区环卫管理开展的一系列整治环境卫生工作，通过指挥、协调、督导、检查、考核、评分等工作，解决当前社区环境卫生工作中所存在的问题，健全环卫管理机制，巩固整治环境卫生工作成效，打造干净整洁环境优美的城市形象，管理让人民满意的社区。</w:t>
      </w:r>
    </w:p>
    <w:p>
      <w:pPr>
        <w:tabs>
          <w:tab w:val="left" w:pos="420"/>
          <w:tab w:val="left" w:pos="840"/>
          <w:tab w:val="left" w:pos="1260"/>
          <w:tab w:val="left" w:pos="1680"/>
          <w:tab w:val="left" w:pos="5848"/>
        </w:tabs>
        <w:spacing w:line="360"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二、具体评分考核办法</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（一）检查考核内容</w:t>
      </w:r>
    </w:p>
    <w:p>
      <w:pPr>
        <w:spacing w:line="360" w:lineRule="auto"/>
        <w:ind w:firstLine="422"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1、硬件设备管理。</w:t>
      </w:r>
      <w:r>
        <w:rPr>
          <w:rFonts w:hint="eastAsia" w:ascii="宋体" w:hAnsi="宋体" w:cs="宋体"/>
          <w:color w:val="000000" w:themeColor="text1"/>
          <w:szCs w:val="21"/>
          <w:highlight w:val="none"/>
          <w14:textFill>
            <w14:solidFill>
              <w14:schemeClr w14:val="tx1"/>
            </w14:solidFill>
          </w14:textFill>
        </w:rPr>
        <w:t>包括：公厕、垃圾转运站管理，人力、电动、机械等环卫作业车辆管理，垃圾桶、果皮箱等垃圾收集容器及其他环卫设施设备的配置、使用、管理情况。</w:t>
      </w:r>
    </w:p>
    <w:p>
      <w:pPr>
        <w:spacing w:line="360" w:lineRule="auto"/>
        <w:ind w:firstLine="422"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2、日常管理工作。</w:t>
      </w:r>
      <w:r>
        <w:rPr>
          <w:rFonts w:hint="eastAsia" w:ascii="宋体" w:hAnsi="宋体" w:cs="宋体"/>
          <w:color w:val="000000" w:themeColor="text1"/>
          <w:szCs w:val="21"/>
          <w:highlight w:val="none"/>
          <w14:textFill>
            <w14:solidFill>
              <w14:schemeClr w14:val="tx1"/>
            </w14:solidFill>
          </w14:textFill>
        </w:rPr>
        <w:t>包括：管理架构和制度，人员配备和资金保障，日常人工，机械清扫保洁，沉沙井（排水井）清理，河涌、堤围保洁，垃圾收集、清运，“牛皮癣”、乱涂鸦、乱粘贴整治等。</w:t>
      </w:r>
    </w:p>
    <w:p>
      <w:pPr>
        <w:spacing w:line="360" w:lineRule="auto"/>
        <w:ind w:firstLine="422"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3、其他事项。</w:t>
      </w:r>
      <w:r>
        <w:rPr>
          <w:rFonts w:hint="eastAsia" w:ascii="宋体" w:hAnsi="宋体" w:cs="宋体"/>
          <w:color w:val="000000" w:themeColor="text1"/>
          <w:szCs w:val="21"/>
          <w:highlight w:val="none"/>
          <w14:textFill>
            <w14:solidFill>
              <w14:schemeClr w14:val="tx1"/>
            </w14:solidFill>
          </w14:textFill>
        </w:rPr>
        <w:t>包括：明查暗访，卫生投诉等。</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（二）检查考核方式及其分值（总分100分）</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1、日检（占总分50分）</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社区：社区对辖区范围进行分区域监督管理，根据实际情况配备足够的专职卫生监督员，分组对各管辖区域进行全覆盖巡查监督，对乙方在管辖区域的工作质量进行日常的考核评分，每组每天不少于3次的全面巡查，每次根据《长安镇厦岗社区环卫统筹日常考核检查评分表》进行现场考核评分，扣分部分拍照为据，评分结果由社区卫生监督员和市场化公司陪检人员共同签章确认；因考虑环境卫生的流动性，为免引起不必要的纠纷，评分表填写不允许涂改，若有涂改的评分表作不合格处理；日检分数不得修改；社区卫生监督员对管辖区域的卫生质量负责，对每次评分结果负全责。当天工作结束，社区专人负责收集各组一天各3次的评分表及按要求整理照片依据，并于第二天将评分表及整理后照片依据通过电脑扫描等形式，发给社区环境办专职人员，月末将原件存档，另安排专人负责收集每天的日检评分结果，月末综合当月的日检评分结果，换算市场化承包公司日检的最终分值。</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市场化公司：市场化公司根据社区一组卫生监督员设置一名或一名以上陪检人员的标准配备陪检人员人数，每天陪同社区卫生监督员进行日常巡查、监督、评分，对该组的评分结果进行确认签章，对负责区域的环境卫生质量负全责，同时，对外界任何渠道反映的卫生情况要及时安排人员处理，确保负责区域的卫生质量全天候达标。</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2、半月检（占总分20分：管理架构等10分，设备车辆10分）</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社区环境办的分管副主任负责牵头，联同社区相关人员到市场化公司的管理办公室等地，通过查阅资料和现场检查等形式，对市场化公司在社区设置的管理架构、人员制度、资金保障、车辆配置、工作记录、资料存档等资料进行确认核查，每次根据《长安镇厦岗社区环卫统筹管理架构人员配备评分表》和《长安镇厦岗社区环卫统筹设施设备车辆配备评分表》内容和要求进行现场考核评分，评分结果由双方代表共同现场签名盖章确认，每月检查两次，两次各项平均得分总和作为市场化承包公司半月检的最终分值。</w:t>
      </w:r>
    </w:p>
    <w:p>
      <w:pPr>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3、月检（占总分30分：现场检查评比20分，投诉处理5分，明查暗访5分）</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（1）现场检查评比</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每月开展一次现场评比检查，由社区领导组织、社区环境办、市场化公司代表组成的检查组，对市场化公司，开展每月一次整治环境卫生大检查工作。每位检查组成员对检查结果进行现场评分，现场填写《长安镇厦岗社区环卫月考核现场检查评分表》（以下简称“月评分表”）并对每次评分结果负全责。社区领导现场检查评比分占总分60%，社区环境办组现场检查评比分占总分40%。为确保评比结果的公平、公正，允许市场化公司一起参与评分，但评分结果只作为参考，不计入评比分值。每份评分表上同时有社区环境办和市场化公司陪检人员的签名盖章为有效，社区工作人员要根据检查人员数量，核定有效和无效评分表数量，按比例换算当天检查考核评分结果，汇总评分所得作为市场化承包公司月考核现场检查评比的最终分值。</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（2）投诉处理</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社区环境办通过投诉电话、报社、电视台、网络、其分媒体或其他部门转达等渠道收到的投诉并记录在投诉转办单为有效，以投诉转办单为依据，当月凡是被投诉有卫生问题，经核实与投诉内容一致的，被投诉一处（记录一笔转办单）扣0.5分，总分5分，扣完为止，无投诉有卫生问题的社区得满分。</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（3）明查暗访</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接受市城管委办公室组织工作人员、长安镇公用事业服务中心每月对社区的环境卫生明查暗访，当月凡是被市明查暗访曝光有卫生问题的，被曝光一处扣0.5分，总分5分，扣完为止，没有被市明查暗访曝光有卫生问题得满分。上级领导行走过程中发现“脏乱差”并通报批评的，以镇相关部门印发的文件或数字城管案件为扣分依据，每发现一处扣0.5分。</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（三）考核结果及奖惩</w:t>
      </w:r>
    </w:p>
    <w:p>
      <w:pPr>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综合各项考核得分分为：优100分—90分（含）；良90分—85分（含）；中85-80分（含）；差80分以下；共四个档次。以阶梯形式扣除承包费用。分数若有小数点，则向下取整支付承包费用。90分（含）为“优秀”，可全额支付当月承包费用；属“良”的，每少一分扣除当月承包费用的1%；属“中”的，每少一分扣除当月承包费用的3%；属“差”的，每少一分扣除当月承包费用的5%。</w:t>
      </w:r>
    </w:p>
    <w:p>
      <w:pPr>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例如：考核分数为78分，当月承包费用为500000元，则扣费为5分×（500000×1%）元+5分×（500000×3%）元+2分×（500000×5%）元=150000元</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连续两个月综合考核得分80以下或同一年度内累计三个月综合考核得分80以下的，乙方视为违约，甲方有权立即终止承包合同，并按合同条款执行相关事项。市场化公司每月考核因不合格扣减承包费用,由社区制定工作方案，用于城市管理工作中。</w:t>
      </w:r>
    </w:p>
    <w:p>
      <w:pPr>
        <w:tabs>
          <w:tab w:val="left" w:pos="420"/>
          <w:tab w:val="left" w:pos="840"/>
          <w:tab w:val="left" w:pos="1260"/>
          <w:tab w:val="left" w:pos="1680"/>
          <w:tab w:val="left" w:pos="5848"/>
        </w:tabs>
        <w:spacing w:line="360" w:lineRule="auto"/>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三、其他事项</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1、建立例会通报制度</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市场化公司、社区就督查情况每周举行例会一次，反映环境卫生整治情况或卫生现场不能立即解决，需要双方协商处理的问题等。开会前，负责处理方必须将上次有待解决的问题进展情况或处理结果向另外一方交代说明，再进行本周的会议议程，会议形成纪要，做到天天督查、周周例会、月月考核评分通报。</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2、设立约谈机制</w:t>
      </w:r>
    </w:p>
    <w:p>
      <w:pPr>
        <w:spacing w:line="360" w:lineRule="auto"/>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于排名在月综合考评成绩排名末2位，且低于80分（不含80分）的社区和被市评为“黑榜”的社区，应由社区分管城市管理工作的两委成员约谈市场化公司负责人。对于连续2次或年度累计3次排名末2位，且低于80分（不含80分）的社区，应由社区书记直接约谈市场化工作负责人。对年度月综合考评平均成绩排名末2位，且平均成绩低于80分（不含80分）的社区，其乙方相关负责人不得参与年度优秀评选。</w:t>
      </w:r>
    </w:p>
    <w:p>
      <w:pPr>
        <w:spacing w:line="360" w:lineRule="auto"/>
        <w:ind w:firstLine="420" w:firstLineChars="200"/>
        <w:jc w:val="both"/>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b/>
          <w:color w:val="000000" w:themeColor="text1"/>
          <w:szCs w:val="21"/>
          <w:highlight w:val="none"/>
          <w14:textFill>
            <w14:solidFill>
              <w14:schemeClr w14:val="tx1"/>
            </w14:solidFill>
          </w14:textFill>
        </w:rPr>
        <w:t>评分办法解释</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考核评分办法是社区根据现时国家、省、市市容环境卫生管理条例及结合本社区实际情况制定的，在执行过程中，如遇以上规章制度的制定颁发部门进行政策调整或本镇实际情况发生改变，社区有权对本考核评分办法进行相应的修改和调整，并保留对本办法的修改权和解释权。</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1、长安镇厦岗社区环卫日常考核检查评分表；2、长安镇厦岗社区环卫管理架构人员配备评分表（半月检）；3、长安镇厦岗社区环卫设施设备车辆配备评分表（半月检）；4、长安镇厦岗社区环卫月考核检查评分表；5、长安镇厦岗社区*年*月环卫工作项目考核评分结果汇总及扣分扣费情况表；6、*年长安镇厦岗社区环卫年终考核评分表。</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八、甲方乙方的权利和义务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（一）甲方的权利和义务：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1、甲方应协助乙方开展此项目的相关工作，并提供相关资料。</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2、甲方应按本合同有关规定及时支付相关费用。</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3、甲方有权根据工作需要，提出本合同范围以外的工作内容，乙方应予以执行，所发生费用，经双方核算工作量并协商后，另行签署补充协议，签订补充协议的金额不得超过原合同的10%。</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（二）乙方的权利和义务：</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1、乙方必须根据采购文件及有关的技术要求、国家现行有关设计标准、技术规范、规程、甲方要求完成合同约定范围内的全部任务，并按规定向甲方交付成果，确保质量与进度。</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2、乙方应按时召开内部沟通会议，跟进项目进度，并及时向甲方汇报项目进展情况，及时参加甲方召开的项目会议。</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3、乙方应保证服务质量，因乙方自身原因出现错误或遗漏或甲方不满意之处，必须按甲方意见进行修改完善。</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4、乙方损坏甲方设施、设备且不按规定赔偿的，甲方有权直接从清扫保洁服务费中直接扣除相关的赔偿金和费用。 </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5、合同期内，乙方拖欠员工工资（含加班工资）或者拒绝按东莞市最低工资标准调整员工工资的，甲方有权直接从清扫保洁服务费内代为支付乙方所拖欠的员工工资或补足最低工资。</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乙方因各种原因造成停工、歇工等事件不能开展正常的清扫保洁作业时，甲方可以临时指定其它清扫保洁服务企业对停工或歇工路段（含道路和公共场所）进行清扫和保洁，临时清扫保洁服务费由乙方承担，甲方有权直接从清扫保洁服务费中进行扣除。</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7、如甲方提出本合同范围以外的工作内容，乙方在甲方规定的合理时间内应予以执行，同时双方尽快落实签署补充协议。</w:t>
      </w:r>
    </w:p>
    <w:p>
      <w:pPr>
        <w:pStyle w:val="2"/>
        <w:spacing w:before="0" w:line="360" w:lineRule="auto"/>
        <w:ind w:left="0" w:firstLine="422" w:firstLineChars="200"/>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8、乙方必须在承包地域范围内设有固定的办公场所和独立管理办公室、停放作业车辆的停车场及洗车场、摆放作业工具和药物的货仓等场地；设有一个大件垃圾收集点；配齐日常的办公用品、作业工具和配套设备。</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九、履约保证金</w:t>
      </w:r>
    </w:p>
    <w:p>
      <w:pPr>
        <w:suppressAutoHyphens/>
        <w:ind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1、乙方与甲方签订承包合同时，必须向甲方提交履约保证金或履约担保函，履约保证金金额为合同价的5%。</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2、履约保证金作为乙方在履约过程中违约金或罚款的扣罚来源之一，在合同履行期间如乙方发生造成甲方损失、违约行为等情况，甲方有权直接在履约保证金中扣除相应费用，甲方扣除乙方履约保证金的通知送达乙方后生效。乙方的履约保证金因违约被甲方扣除而减少时，乙方必须在5个工作日内如约补足，否则甲方有权从乙方当月的服务费用中扣除。</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十、违约责任与赔偿损失</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（一）乙方提供的服务不符合本合同规定的，甲方有权拒收，并且乙方须向甲方支付本合同总价5%的违约金。</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（二）乙方未能按本合同规定的服务期提供服务，从逾期之日起每日按本合同总价3‰的数额向甲方支付违约金；逾期半个月以上的，甲方有权终止合同，由此造成的甲方经济损失由乙方承担。</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（三）对于因政策变化或不可抗力除外，因甲方原因导致变更、中止或者终止政府采购合同的，甲方应当对乙方受到的损失予以赔偿或者补偿。</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（四）本合同期内，</w:t>
      </w:r>
      <w:r>
        <w:rPr>
          <w:rFonts w:hint="eastAsia" w:ascii="宋体" w:eastAsia="宋体" w:cs="宋体"/>
          <w:color w:val="000000" w:themeColor="text1"/>
          <w:sz w:val="21"/>
          <w:szCs w:val="21"/>
          <w:highlight w:val="none"/>
          <w:lang w:val="en-US" w:eastAsia="zh-CN"/>
          <w14:textFill>
            <w14:solidFill>
              <w14:schemeClr w14:val="tx1"/>
            </w14:solidFill>
          </w14:textFill>
        </w:rPr>
        <w:t>乙方</w:t>
      </w:r>
      <w:r>
        <w:rPr>
          <w:rFonts w:hint="eastAsia" w:ascii="宋体" w:eastAsia="宋体" w:cs="宋体"/>
          <w:color w:val="000000" w:themeColor="text1"/>
          <w:sz w:val="21"/>
          <w:szCs w:val="21"/>
          <w:highlight w:val="none"/>
          <w14:textFill>
            <w14:solidFill>
              <w14:schemeClr w14:val="tx1"/>
            </w14:solidFill>
          </w14:textFill>
        </w:rPr>
        <w:t>出现有下列任何一种情况的，</w:t>
      </w:r>
      <w:r>
        <w:rPr>
          <w:rFonts w:hint="eastAsia" w:ascii="宋体" w:eastAsia="宋体" w:cs="宋体"/>
          <w:color w:val="000000" w:themeColor="text1"/>
          <w:sz w:val="21"/>
          <w:szCs w:val="21"/>
          <w:highlight w:val="none"/>
          <w:lang w:val="en-US" w:eastAsia="zh-CN"/>
          <w14:textFill>
            <w14:solidFill>
              <w14:schemeClr w14:val="tx1"/>
            </w14:solidFill>
          </w14:textFill>
        </w:rPr>
        <w:t>甲方</w:t>
      </w:r>
      <w:r>
        <w:rPr>
          <w:rFonts w:hint="eastAsia" w:ascii="宋体" w:eastAsia="宋体" w:cs="宋体"/>
          <w:color w:val="000000" w:themeColor="text1"/>
          <w:sz w:val="21"/>
          <w:szCs w:val="21"/>
          <w:highlight w:val="none"/>
          <w14:textFill>
            <w14:solidFill>
              <w14:schemeClr w14:val="tx1"/>
            </w14:solidFill>
          </w14:textFill>
        </w:rPr>
        <w:t>有权不予以续签下一年度服务合同或有权即时单方解除承包合同，同时，在终止合同后，</w:t>
      </w:r>
      <w:r>
        <w:rPr>
          <w:rFonts w:hint="eastAsia" w:ascii="宋体" w:eastAsia="宋体" w:cs="宋体"/>
          <w:color w:val="000000" w:themeColor="text1"/>
          <w:sz w:val="21"/>
          <w:szCs w:val="21"/>
          <w:highlight w:val="none"/>
          <w:lang w:val="en-US" w:eastAsia="zh-CN"/>
          <w14:textFill>
            <w14:solidFill>
              <w14:schemeClr w14:val="tx1"/>
            </w14:solidFill>
          </w14:textFill>
        </w:rPr>
        <w:t>乙方</w:t>
      </w:r>
      <w:r>
        <w:rPr>
          <w:rFonts w:hint="eastAsia" w:ascii="宋体" w:eastAsia="宋体" w:cs="宋体"/>
          <w:color w:val="000000" w:themeColor="text1"/>
          <w:sz w:val="21"/>
          <w:szCs w:val="21"/>
          <w:highlight w:val="none"/>
          <w14:textFill>
            <w14:solidFill>
              <w14:schemeClr w14:val="tx1"/>
            </w14:solidFill>
          </w14:textFill>
        </w:rPr>
        <w:t>应保证按本招标文件及合同要求无条件服务至下一服务单位交接完毕，期间的承包费根据实际服务时间及考核结果据实结算，以保证项目顺利进行，否则，</w:t>
      </w:r>
      <w:r>
        <w:rPr>
          <w:rFonts w:hint="eastAsia" w:ascii="宋体" w:eastAsia="宋体" w:cs="宋体"/>
          <w:color w:val="000000" w:themeColor="text1"/>
          <w:sz w:val="21"/>
          <w:szCs w:val="21"/>
          <w:highlight w:val="none"/>
          <w:lang w:val="en-US" w:eastAsia="zh-CN"/>
          <w14:textFill>
            <w14:solidFill>
              <w14:schemeClr w14:val="tx1"/>
            </w14:solidFill>
          </w14:textFill>
        </w:rPr>
        <w:t>甲方</w:t>
      </w:r>
      <w:r>
        <w:rPr>
          <w:rFonts w:hint="eastAsia" w:ascii="宋体" w:eastAsia="宋体" w:cs="宋体"/>
          <w:color w:val="000000" w:themeColor="text1"/>
          <w:sz w:val="21"/>
          <w:szCs w:val="21"/>
          <w:highlight w:val="none"/>
          <w14:textFill>
            <w14:solidFill>
              <w14:schemeClr w14:val="tx1"/>
            </w14:solidFill>
          </w14:textFill>
        </w:rPr>
        <w:t>有权没收履约保证金并每日计收50000元违约金。</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1、乙方书面表示放弃承包经营权，或无法继续履行承包义务的。</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2、乙方服务有效期内有越权收费、弄虚作假等违法经营行为，可能导致本合同无法继续履行的。</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3、甲方每月对乙方进行考核，连续二次（含二次）或一年内累积有三次考核结果为“差”的，除按规定扣款外，甲方有权解除协议，没收承包单位履约保证金，乙方无偿退出。</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4、乙方</w:t>
      </w:r>
      <w:r>
        <w:rPr>
          <w:rFonts w:hint="eastAsia" w:ascii="宋体" w:eastAsia="宋体" w:cs="宋体"/>
          <w:color w:val="000000" w:themeColor="text1"/>
          <w:sz w:val="21"/>
          <w:szCs w:val="21"/>
          <w:highlight w:val="none"/>
          <w:lang w:val="en"/>
          <w14:textFill>
            <w14:solidFill>
              <w14:schemeClr w14:val="tx1"/>
            </w14:solidFill>
          </w14:textFill>
        </w:rPr>
        <w:t>合同期内，因承包方在本项目中操作不当、管理疏漏等原因，发生安全生产责任事故造成1人以上（含1人）死亡或3人以上（含3人）重伤的安全事故，并负主要责任的。</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5、</w:t>
      </w:r>
      <w:r>
        <w:rPr>
          <w:rFonts w:hint="eastAsia" w:ascii="宋体" w:eastAsia="宋体" w:cs="宋体"/>
          <w:color w:val="000000" w:themeColor="text1"/>
          <w:sz w:val="21"/>
          <w:szCs w:val="21"/>
          <w:highlight w:val="none"/>
          <w:lang w:val="en-US" w:eastAsia="zh-CN"/>
          <w14:textFill>
            <w14:solidFill>
              <w14:schemeClr w14:val="tx1"/>
            </w14:solidFill>
          </w14:textFill>
        </w:rPr>
        <w:t>乙方</w:t>
      </w:r>
      <w:r>
        <w:rPr>
          <w:rFonts w:hint="eastAsia" w:ascii="宋体" w:eastAsia="宋体" w:cs="宋体"/>
          <w:color w:val="000000" w:themeColor="text1"/>
          <w:sz w:val="21"/>
          <w:szCs w:val="21"/>
          <w:highlight w:val="none"/>
          <w14:textFill>
            <w14:solidFill>
              <w14:schemeClr w14:val="tx1"/>
            </w14:solidFill>
          </w14:textFill>
        </w:rPr>
        <w:t>未按时足额发放员工工资（含加班工资）的，或</w:t>
      </w:r>
      <w:r>
        <w:rPr>
          <w:rFonts w:hint="eastAsia" w:ascii="宋体" w:eastAsia="宋体" w:cs="宋体"/>
          <w:color w:val="000000" w:themeColor="text1"/>
          <w:sz w:val="21"/>
          <w:szCs w:val="21"/>
          <w:highlight w:val="none"/>
          <w:lang w:val="en-US" w:eastAsia="zh-CN"/>
          <w14:textFill>
            <w14:solidFill>
              <w14:schemeClr w14:val="tx1"/>
            </w14:solidFill>
          </w14:textFill>
        </w:rPr>
        <w:t>乙方</w:t>
      </w:r>
      <w:r>
        <w:rPr>
          <w:rFonts w:hint="eastAsia" w:ascii="宋体" w:eastAsia="宋体" w:cs="宋体"/>
          <w:color w:val="000000" w:themeColor="text1"/>
          <w:sz w:val="21"/>
          <w:szCs w:val="21"/>
          <w:highlight w:val="none"/>
          <w14:textFill>
            <w14:solidFill>
              <w14:schemeClr w14:val="tx1"/>
            </w14:solidFill>
          </w14:textFill>
        </w:rPr>
        <w:t>拖欠员工工资（含加班工资）被投诉或工人上访、起诉，情况属实的，或东莞市最低工资标准发生变化，</w:t>
      </w:r>
      <w:r>
        <w:rPr>
          <w:rFonts w:hint="eastAsia" w:ascii="宋体" w:eastAsia="宋体" w:cs="宋体"/>
          <w:color w:val="000000" w:themeColor="text1"/>
          <w:sz w:val="21"/>
          <w:szCs w:val="21"/>
          <w:highlight w:val="none"/>
          <w:lang w:val="en-US" w:eastAsia="zh-CN"/>
          <w14:textFill>
            <w14:solidFill>
              <w14:schemeClr w14:val="tx1"/>
            </w14:solidFill>
          </w14:textFill>
        </w:rPr>
        <w:t>乙方</w:t>
      </w:r>
      <w:r>
        <w:rPr>
          <w:rFonts w:hint="eastAsia" w:ascii="宋体" w:eastAsia="宋体" w:cs="宋体"/>
          <w:color w:val="000000" w:themeColor="text1"/>
          <w:sz w:val="21"/>
          <w:szCs w:val="21"/>
          <w:highlight w:val="none"/>
          <w14:textFill>
            <w14:solidFill>
              <w14:schemeClr w14:val="tx1"/>
            </w14:solidFill>
          </w14:textFill>
        </w:rPr>
        <w:t>拒绝根据有关规定予以相应调整的。</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6、乙方违反劳动法，损害工人合法权益，出现性质严重或情节恶劣的。</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7、乙方有纵容、煽动工人怠工、罢工等过激行为的，或因乙方无视工人权益引致工人有怠工、罢工等过激行为的。</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8、合同履行期间，乙方在本项目中因一般违法行为被行政机关处罚达到三次或因重大违法行为被行政机关处罚（责令停产停业、吊销许可证或者执照、没收或罚款达50万元等）的。</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9、乙方有转包、违规分包行为的。</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10、乙方一年内未按整改通知书要求落实整改超过3次的。</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11、乙方一年内无故停工达到2次的。</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12、《中华人民共和国民法典》、《中华人民共和国政府采购法》、《中华人民共和国政府采购法实施条例》等法律规定的中标无效或合同无效的情形。</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13、乙方违反法律、法规、规章和其它相关规范性文件的规定，影响本合同履行的。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14、连续两个月综合考核得分80以下的。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15、同一年度内累计三个月综合考核得分80以下的。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16、被市同一年度内评为黑榜的。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17、同一年度累计三个月综合考评得分在东莞市长安镇内排名倒数三名以内的。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18、服务期间，</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的在职服务员工人数不足18</w:t>
      </w:r>
      <w:r>
        <w:rPr>
          <w:rFonts w:hint="eastAsia" w:ascii="宋体" w:hAnsi="宋体" w:cs="宋体"/>
          <w:color w:val="000000" w:themeColor="text1"/>
          <w:szCs w:val="21"/>
          <w:highlight w:val="none"/>
          <w:lang w:val="en-US" w:eastAsia="zh-CN"/>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人的。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w:t>
      </w:r>
      <w:r>
        <w:rPr>
          <w:rFonts w:hint="eastAsia" w:ascii="宋体" w:hAnsi="宋体" w:cs="宋体"/>
          <w:color w:val="000000" w:themeColor="text1"/>
          <w:szCs w:val="21"/>
          <w:highlight w:val="none"/>
          <w:lang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提前一个月向</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提出终止服务意向，</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在收到</w:t>
      </w:r>
      <w:r>
        <w:rPr>
          <w:rFonts w:hint="eastAsia" w:ascii="宋体" w:hAnsi="宋体" w:cs="宋体"/>
          <w:color w:val="000000" w:themeColor="text1"/>
          <w:szCs w:val="21"/>
          <w:highlight w:val="none"/>
          <w:lang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解除承包合同的书面通知后，与下一服务单位完成交接及离场等环卫保洁相关的服务工作；②合同终止到期前如需临时增加服务周期，</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需在5个工作日内与</w:t>
      </w:r>
      <w:r>
        <w:rPr>
          <w:rFonts w:hint="eastAsia" w:ascii="宋体" w:hAnsi="宋体" w:cs="宋体"/>
          <w:color w:val="000000" w:themeColor="text1"/>
          <w:szCs w:val="21"/>
          <w:highlight w:val="none"/>
          <w:lang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签订具体服务周期的服务协议合同，服务协议期内完成与下一服务单位交接及离场等环卫保洁相关的服务工作；③以上交接期后未退场，每超一天，则须向</w:t>
      </w:r>
      <w:r>
        <w:rPr>
          <w:rFonts w:hint="eastAsia" w:ascii="宋体" w:hAnsi="宋体" w:cs="宋体"/>
          <w:color w:val="000000" w:themeColor="text1"/>
          <w:szCs w:val="21"/>
          <w:highlight w:val="none"/>
          <w:lang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支付5万元的违约金。</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（五）如因</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没有依照合同约定履行义务，给第三方造成人身或财产损害的，进而致使</w:t>
      </w:r>
      <w:r>
        <w:rPr>
          <w:rFonts w:hint="eastAsia" w:ascii="宋体" w:hAnsi="宋体" w:cs="宋体"/>
          <w:color w:val="000000" w:themeColor="text1"/>
          <w:szCs w:val="21"/>
          <w:highlight w:val="none"/>
          <w:lang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对外承担赔偿责任的，则赔偿款项及因此产生的维权诉讼费、律师费等由</w:t>
      </w:r>
      <w:r>
        <w:rPr>
          <w:rFonts w:hint="eastAsia" w:ascii="宋体" w:hAnsi="宋体" w:cs="宋体"/>
          <w:color w:val="000000" w:themeColor="text1"/>
          <w:szCs w:val="21"/>
          <w:highlight w:val="none"/>
          <w:lang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承担。</w:t>
      </w:r>
    </w:p>
    <w:p>
      <w:pPr>
        <w:pStyle w:val="7"/>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（六）环卫日常考核中，如环卫人员、保洁人员上岗人员总数不符合人员配置要求的，每少一人，则须向</w:t>
      </w:r>
      <w:r>
        <w:rPr>
          <w:rFonts w:hint="eastAsia" w:ascii="宋体" w:hAnsi="宋体" w:cs="宋体"/>
          <w:color w:val="000000" w:themeColor="text1"/>
          <w:szCs w:val="21"/>
          <w:highlight w:val="none"/>
          <w:lang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支付5000元/月的违约金直至符合要求之日止。</w:t>
      </w:r>
    </w:p>
    <w:p>
      <w:pPr>
        <w:pStyle w:val="25"/>
        <w:spacing w:line="360" w:lineRule="auto"/>
        <w:ind w:firstLine="422" w:firstLineChars="2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（七）因合同期满或其他原因解除合同，还未确定新承包队伍或新承包队伍未完全接手时,</w:t>
      </w:r>
      <w:r>
        <w:rPr>
          <w:rFonts w:hint="eastAsia" w:ascii="宋体" w:eastAsia="宋体" w:cs="宋体"/>
          <w:b/>
          <w:bCs/>
          <w:color w:val="000000" w:themeColor="text1"/>
          <w:sz w:val="21"/>
          <w:szCs w:val="21"/>
          <w:highlight w:val="none"/>
          <w:lang w:eastAsia="zh-CN"/>
          <w14:textFill>
            <w14:solidFill>
              <w14:schemeClr w14:val="tx1"/>
            </w14:solidFill>
          </w14:textFill>
        </w:rPr>
        <w:t>乙方</w:t>
      </w:r>
      <w:r>
        <w:rPr>
          <w:rFonts w:hint="eastAsia" w:ascii="宋体" w:hAnsi="宋体" w:eastAsia="宋体" w:cs="宋体"/>
          <w:b/>
          <w:bCs/>
          <w:color w:val="000000" w:themeColor="text1"/>
          <w:sz w:val="21"/>
          <w:szCs w:val="21"/>
          <w:highlight w:val="none"/>
          <w14:textFill>
            <w14:solidFill>
              <w14:schemeClr w14:val="tx1"/>
            </w14:solidFill>
          </w14:textFill>
        </w:rPr>
        <w:t>必须在中标地域根据原合同价格继续按合同质量要求履行相关责任和义务，顺延至新中标公司进场完毕，顺延期间费用不得超过新的中标合同价，落实好交接过渡期的各项工作，确保各项工作项目的的正常运转，并顺利交接。交接完成在得到</w:t>
      </w:r>
      <w:r>
        <w:rPr>
          <w:rFonts w:hint="eastAsia" w:ascii="宋体" w:eastAsia="宋体" w:cs="宋体"/>
          <w:b/>
          <w:bCs/>
          <w:color w:val="000000" w:themeColor="text1"/>
          <w:sz w:val="21"/>
          <w:szCs w:val="21"/>
          <w:highlight w:val="none"/>
          <w:lang w:eastAsia="zh-CN"/>
          <w14:textFill>
            <w14:solidFill>
              <w14:schemeClr w14:val="tx1"/>
            </w14:solidFill>
          </w14:textFill>
        </w:rPr>
        <w:t>甲方</w:t>
      </w:r>
      <w:r>
        <w:rPr>
          <w:rFonts w:hint="eastAsia" w:ascii="宋体" w:hAnsi="宋体" w:eastAsia="宋体" w:cs="宋体"/>
          <w:b/>
          <w:bCs/>
          <w:color w:val="000000" w:themeColor="text1"/>
          <w:sz w:val="21"/>
          <w:szCs w:val="21"/>
          <w:highlight w:val="none"/>
          <w14:textFill>
            <w14:solidFill>
              <w14:schemeClr w14:val="tx1"/>
            </w14:solidFill>
          </w14:textFill>
        </w:rPr>
        <w:t>的书面确认后，</w:t>
      </w:r>
      <w:r>
        <w:rPr>
          <w:rFonts w:hint="eastAsia" w:ascii="宋体" w:eastAsia="宋体" w:cs="宋体"/>
          <w:b/>
          <w:bCs/>
          <w:color w:val="000000" w:themeColor="text1"/>
          <w:sz w:val="21"/>
          <w:szCs w:val="21"/>
          <w:highlight w:val="none"/>
          <w:lang w:eastAsia="zh-CN"/>
          <w14:textFill>
            <w14:solidFill>
              <w14:schemeClr w14:val="tx1"/>
            </w14:solidFill>
          </w14:textFill>
        </w:rPr>
        <w:t>乙方</w:t>
      </w:r>
      <w:r>
        <w:rPr>
          <w:rFonts w:hint="eastAsia" w:ascii="宋体" w:hAnsi="宋体" w:eastAsia="宋体" w:cs="宋体"/>
          <w:b/>
          <w:bCs/>
          <w:color w:val="000000" w:themeColor="text1"/>
          <w:sz w:val="21"/>
          <w:szCs w:val="21"/>
          <w:highlight w:val="none"/>
          <w14:textFill>
            <w14:solidFill>
              <w14:schemeClr w14:val="tx1"/>
            </w14:solidFill>
          </w14:textFill>
        </w:rPr>
        <w:t>才可以完全退场退设备。若</w:t>
      </w:r>
      <w:r>
        <w:rPr>
          <w:rFonts w:hint="eastAsia" w:ascii="宋体" w:eastAsia="宋体" w:cs="宋体"/>
          <w:b/>
          <w:bCs/>
          <w:color w:val="000000" w:themeColor="text1"/>
          <w:sz w:val="21"/>
          <w:szCs w:val="21"/>
          <w:highlight w:val="none"/>
          <w:lang w:eastAsia="zh-CN"/>
          <w14:textFill>
            <w14:solidFill>
              <w14:schemeClr w14:val="tx1"/>
            </w14:solidFill>
          </w14:textFill>
        </w:rPr>
        <w:t>乙方</w:t>
      </w:r>
      <w:r>
        <w:rPr>
          <w:rFonts w:hint="eastAsia" w:ascii="宋体" w:hAnsi="宋体" w:eastAsia="宋体" w:cs="宋体"/>
          <w:b/>
          <w:bCs/>
          <w:color w:val="000000" w:themeColor="text1"/>
          <w:sz w:val="21"/>
          <w:szCs w:val="21"/>
          <w:highlight w:val="none"/>
          <w14:textFill>
            <w14:solidFill>
              <w14:schemeClr w14:val="tx1"/>
            </w14:solidFill>
          </w14:textFill>
        </w:rPr>
        <w:t>不配合，不接受</w:t>
      </w:r>
      <w:r>
        <w:rPr>
          <w:rFonts w:hint="eastAsia" w:ascii="宋体" w:eastAsia="宋体" w:cs="宋体"/>
          <w:b/>
          <w:bCs/>
          <w:color w:val="000000" w:themeColor="text1"/>
          <w:sz w:val="21"/>
          <w:szCs w:val="21"/>
          <w:highlight w:val="none"/>
          <w:lang w:eastAsia="zh-CN"/>
          <w14:textFill>
            <w14:solidFill>
              <w14:schemeClr w14:val="tx1"/>
            </w14:solidFill>
          </w14:textFill>
        </w:rPr>
        <w:t>甲方</w:t>
      </w:r>
      <w:r>
        <w:rPr>
          <w:rFonts w:hint="eastAsia" w:ascii="宋体" w:hAnsi="宋体" w:eastAsia="宋体" w:cs="宋体"/>
          <w:b/>
          <w:bCs/>
          <w:color w:val="000000" w:themeColor="text1"/>
          <w:sz w:val="21"/>
          <w:szCs w:val="21"/>
          <w:highlight w:val="none"/>
          <w14:textFill>
            <w14:solidFill>
              <w14:schemeClr w14:val="tx1"/>
            </w14:solidFill>
          </w14:textFill>
        </w:rPr>
        <w:t>安排，未落实好交接工作的，</w:t>
      </w:r>
      <w:r>
        <w:rPr>
          <w:rFonts w:hint="eastAsia" w:ascii="宋体" w:eastAsia="宋体" w:cs="宋体"/>
          <w:b/>
          <w:bCs/>
          <w:color w:val="000000" w:themeColor="text1"/>
          <w:sz w:val="21"/>
          <w:szCs w:val="21"/>
          <w:highlight w:val="none"/>
          <w:lang w:eastAsia="zh-CN"/>
          <w14:textFill>
            <w14:solidFill>
              <w14:schemeClr w14:val="tx1"/>
            </w14:solidFill>
          </w14:textFill>
        </w:rPr>
        <w:t>甲方</w:t>
      </w:r>
      <w:r>
        <w:rPr>
          <w:rFonts w:hint="eastAsia" w:ascii="宋体" w:hAnsi="宋体" w:eastAsia="宋体" w:cs="宋体"/>
          <w:b/>
          <w:bCs/>
          <w:color w:val="000000" w:themeColor="text1"/>
          <w:sz w:val="21"/>
          <w:szCs w:val="21"/>
          <w:highlight w:val="none"/>
          <w14:textFill>
            <w14:solidFill>
              <w14:schemeClr w14:val="tx1"/>
            </w14:solidFill>
          </w14:textFill>
        </w:rPr>
        <w:t>有权没收履约保证金。因中标方违约造成合同解除的，</w:t>
      </w:r>
      <w:r>
        <w:rPr>
          <w:rFonts w:hint="eastAsia" w:ascii="宋体" w:eastAsia="宋体" w:cs="宋体"/>
          <w:b/>
          <w:bCs/>
          <w:color w:val="000000" w:themeColor="text1"/>
          <w:sz w:val="21"/>
          <w:szCs w:val="21"/>
          <w:highlight w:val="none"/>
          <w:lang w:eastAsia="zh-CN"/>
          <w14:textFill>
            <w14:solidFill>
              <w14:schemeClr w14:val="tx1"/>
            </w14:solidFill>
          </w14:textFill>
        </w:rPr>
        <w:t>甲方</w:t>
      </w:r>
      <w:r>
        <w:rPr>
          <w:rFonts w:hint="eastAsia" w:ascii="宋体" w:hAnsi="宋体" w:eastAsia="宋体" w:cs="宋体"/>
          <w:b/>
          <w:bCs/>
          <w:color w:val="000000" w:themeColor="text1"/>
          <w:sz w:val="21"/>
          <w:szCs w:val="21"/>
          <w:highlight w:val="none"/>
          <w14:textFill>
            <w14:solidFill>
              <w14:schemeClr w14:val="tx1"/>
            </w14:solidFill>
          </w14:textFill>
        </w:rPr>
        <w:t>没收履约保证金并根据招标文件、合同约定追究中标方其他法律责任。</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（八）其它违约责任按《中华人民共和国民法典》处理。</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十一、知识产权归属</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（一）乙方必须保证甲方在接受其所提供服务期的任何时候不受到知识产权或版权的纠纷，否则，由此产生的任何责任完全由乙方承担。</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（二）本合同过程中形成的所有服务内容，包括但不限于技术成果及其知识产权归甲方所有。同时，未经甲方许可，乙方不得将甲方相关资料提供给第三方。</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（三）甲方委托乙方为其提供服务所产生的成果，甲方独立拥有完整的知识产权及其他权益。</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十二、不可抗力</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十三、合同争议的解决</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因合同履行中发生的争议，可通过甲、乙双方友好协商解决。协商不成的，任何一方可向甲方所在地有管辖权的人民法院提起诉讼。</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十四、合同解除和终止</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甲、乙双方各自完成合同规定的责任和义务，合同自然终止。</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十五、合同生效</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（一）本合同在甲、乙双方法人代表或其授权代表签字盖章后生效。</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（二）合同一式6份，其中甲方执3份，乙方执2份，招标代理执1份。</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十六、送达条款</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1.双方确认：合同签署页所载的联系地址（包括邮寄、传真、电子邮箱等地址）为双方的有效送达地址，任何一方向对方发出的有关本合同的通知、信件、数据电文等，均应按照该地址以书面形式作出。该地址亦为各方解决争议时接收诉讼、仲裁等法律文书之送达地址。若当面递送，以收件方签收时间为送达时间，收件方拒收的，送达人可采取拍照、录像方式记录送达过程，并将文书留置，亦视为送达；以邮寄方式递送，以发件人寄出邮件后的第4天视为送达日期（无论收件人实际收件时间、是否实际收到、无法送达或退件）；以电子邮件、短信、微信等方式递送，以留存在发送方系统当中的发送成功记录时间为送达时间；如采取多种方式送达的，送达时间以最早的送达为准。</w:t>
      </w:r>
    </w:p>
    <w:p>
      <w:pPr>
        <w:pStyle w:val="25"/>
        <w:spacing w:line="360" w:lineRule="auto"/>
        <w:ind w:firstLine="420" w:firstLineChars="20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2.双方保证：提供的送达地址信息准确、有效，如有变更，变更方负有义务通知对方，并书面告知新的送达地址。如果提供的送达地址信息不确切，或者不及时告知变更后的送达地址信息，使法律文书无法送达或未及时送达，自行承担由此可能产生的法律后果。</w:t>
      </w:r>
    </w:p>
    <w:p>
      <w:pPr>
        <w:suppressAutoHyphens/>
        <w:spacing w:before="93" w:beforeLines="30" w:after="93" w:afterLines="30"/>
        <w:jc w:val="both"/>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十七、附件</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1、长安镇厦岗社区环卫日常考核检查评分表；</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2、长安镇厦岗社区环卫管理架构人员配备评分表（半月检）；</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3、长安镇厦岗社区环卫设施设备车辆配备评分表（半月检）；</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4、长安镇厦岗社区环卫月考核检查评分表；</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5、长安镇厦岗社区*年*月环卫工作项目考核评分结果汇总及扣分扣费情况表；</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6、*年长安镇厦岗社区环卫年终考核评分表。</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7、招标文件</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8、投标文件</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9、中标通知书</w:t>
      </w:r>
    </w:p>
    <w:p>
      <w:pPr>
        <w:suppressAutoHyphens/>
        <w:jc w:val="both"/>
        <w:rPr>
          <w:rFonts w:ascii="宋体" w:hAnsi="宋体" w:cs="宋体"/>
          <w:color w:val="000000" w:themeColor="text1"/>
          <w:szCs w:val="21"/>
          <w:highlight w:val="none"/>
          <w14:textFill>
            <w14:solidFill>
              <w14:schemeClr w14:val="tx1"/>
            </w14:solidFill>
          </w14:textFill>
        </w:rPr>
      </w:pPr>
    </w:p>
    <w:p>
      <w:pPr>
        <w:suppressAutoHyphens/>
        <w:jc w:val="both"/>
        <w:rPr>
          <w:rFonts w:ascii="宋体" w:hAnsi="宋体" w:cs="宋体"/>
          <w:color w:val="000000" w:themeColor="text1"/>
          <w:szCs w:val="21"/>
          <w:highlight w:val="none"/>
          <w14:textFill>
            <w14:solidFill>
              <w14:schemeClr w14:val="tx1"/>
            </w14:solidFill>
          </w14:textFill>
        </w:rPr>
      </w:pPr>
    </w:p>
    <w:p>
      <w:pPr>
        <w:suppressAutoHyphens/>
        <w:jc w:val="both"/>
        <w:rPr>
          <w:rFonts w:ascii="宋体" w:hAnsi="宋体" w:cs="宋体"/>
          <w:color w:val="000000" w:themeColor="text1"/>
          <w:szCs w:val="21"/>
          <w:highlight w:val="none"/>
          <w14:textFill>
            <w14:solidFill>
              <w14:schemeClr w14:val="tx1"/>
            </w14:solidFill>
          </w14:textFill>
        </w:rPr>
      </w:pPr>
    </w:p>
    <w:p>
      <w:pPr>
        <w:suppressAutoHyphens/>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甲方（盖章）：                     乙方（盖章）：</w:t>
      </w:r>
    </w:p>
    <w:p>
      <w:pPr>
        <w:suppressAutoHyphens/>
        <w:adjustRightInd w:val="0"/>
        <w:snapToGrid w:val="0"/>
        <w:ind w:firstLine="420" w:firstLineChars="200"/>
        <w:jc w:val="both"/>
        <w:rPr>
          <w:rFonts w:ascii="宋体" w:hAnsi="宋体" w:cs="宋体"/>
          <w:color w:val="000000" w:themeColor="text1"/>
          <w:highlight w:val="none"/>
          <w14:textFill>
            <w14:solidFill>
              <w14:schemeClr w14:val="tx1"/>
            </w14:solidFill>
          </w14:textFill>
        </w:rPr>
      </w:pPr>
    </w:p>
    <w:p>
      <w:pPr>
        <w:suppressAutoHyphens/>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法定代表人/授权代表：              法定代表人/授权代表：</w:t>
      </w:r>
    </w:p>
    <w:p>
      <w:pPr>
        <w:suppressAutoHyphens/>
        <w:adjustRightInd w:val="0"/>
        <w:snapToGrid w:val="0"/>
        <w:ind w:firstLine="420" w:firstLineChars="200"/>
        <w:jc w:val="both"/>
        <w:rPr>
          <w:rFonts w:ascii="宋体" w:hAnsi="宋体" w:cs="宋体"/>
          <w:color w:val="000000" w:themeColor="text1"/>
          <w:highlight w:val="none"/>
          <w14:textFill>
            <w14:solidFill>
              <w14:schemeClr w14:val="tx1"/>
            </w14:solidFill>
          </w14:textFill>
        </w:rPr>
      </w:pPr>
    </w:p>
    <w:p>
      <w:pPr>
        <w:suppressAutoHyphens/>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                         联系电话：</w:t>
      </w:r>
    </w:p>
    <w:p>
      <w:pPr>
        <w:suppressAutoHyphens/>
        <w:adjustRightInd w:val="0"/>
        <w:snapToGrid w:val="0"/>
        <w:ind w:firstLine="420" w:firstLineChars="200"/>
        <w:jc w:val="both"/>
        <w:rPr>
          <w:rFonts w:ascii="宋体" w:hAnsi="宋体" w:cs="宋体"/>
          <w:color w:val="000000" w:themeColor="text1"/>
          <w:szCs w:val="21"/>
          <w:highlight w:val="none"/>
          <w14:textFill>
            <w14:solidFill>
              <w14:schemeClr w14:val="tx1"/>
            </w14:solidFill>
          </w14:textFill>
        </w:rPr>
      </w:pPr>
    </w:p>
    <w:p>
      <w:pPr>
        <w:suppressAutoHyphens/>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联系地址：                         联系地址：</w:t>
      </w:r>
    </w:p>
    <w:p>
      <w:pPr>
        <w:suppressAutoHyphens/>
        <w:adjustRightInd w:val="0"/>
        <w:snapToGrid w:val="0"/>
        <w:ind w:firstLine="420" w:firstLineChars="200"/>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p>
    <w:p>
      <w:pPr>
        <w:suppressAutoHyphens/>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开户银行：                         开户银行：</w:t>
      </w:r>
    </w:p>
    <w:p>
      <w:pPr>
        <w:suppressAutoHyphens/>
        <w:adjustRightInd w:val="0"/>
        <w:snapToGrid w:val="0"/>
        <w:ind w:firstLine="420" w:firstLineChars="200"/>
        <w:jc w:val="both"/>
        <w:rPr>
          <w:rFonts w:ascii="宋体" w:hAnsi="宋体" w:cs="宋体"/>
          <w:color w:val="000000" w:themeColor="text1"/>
          <w:highlight w:val="none"/>
          <w14:textFill>
            <w14:solidFill>
              <w14:schemeClr w14:val="tx1"/>
            </w14:solidFill>
          </w14:textFill>
        </w:rPr>
      </w:pPr>
    </w:p>
    <w:p>
      <w:pPr>
        <w:suppressAutoHyphens/>
        <w:jc w:val="both"/>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帐号：                             帐号：</w:t>
      </w:r>
    </w:p>
    <w:p>
      <w:pPr>
        <w:suppressAutoHyphens/>
        <w:adjustRightInd w:val="0"/>
        <w:snapToGrid w:val="0"/>
        <w:ind w:firstLine="420" w:firstLineChars="200"/>
        <w:jc w:val="both"/>
        <w:rPr>
          <w:rFonts w:ascii="宋体" w:hAnsi="宋体" w:cs="宋体"/>
          <w:color w:val="000000" w:themeColor="text1"/>
          <w:highlight w:val="none"/>
          <w14:textFill>
            <w14:solidFill>
              <w14:schemeClr w14:val="tx1"/>
            </w14:solidFill>
          </w14:textFill>
        </w:rPr>
      </w:pPr>
    </w:p>
    <w:p>
      <w:pPr>
        <w:suppressAutoHyphens/>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签定日期： 年 月 日                签定日期： 年 月 日</w:t>
      </w:r>
    </w:p>
    <w:p>
      <w:pPr>
        <w:pStyle w:val="25"/>
        <w:spacing w:line="360" w:lineRule="auto"/>
        <w:ind w:firstLine="422" w:firstLineChars="200"/>
        <w:rPr>
          <w:rFonts w:ascii="宋体" w:eastAsia="宋体" w:cs="宋体"/>
          <w:b/>
          <w:bCs/>
          <w:color w:val="000000" w:themeColor="text1"/>
          <w:sz w:val="21"/>
          <w:highlight w:val="none"/>
          <w14:textFill>
            <w14:solidFill>
              <w14:schemeClr w14:val="tx1"/>
            </w14:solidFill>
          </w14:textFill>
        </w:rPr>
      </w:pPr>
    </w:p>
    <w:p>
      <w:pPr>
        <w:pStyle w:val="25"/>
        <w:spacing w:line="360" w:lineRule="auto"/>
        <w:ind w:firstLine="422" w:firstLineChars="200"/>
        <w:rPr>
          <w:rFonts w:ascii="宋体" w:eastAsia="宋体" w:cs="宋体"/>
          <w:b/>
          <w:bCs/>
          <w:color w:val="000000" w:themeColor="text1"/>
          <w:sz w:val="21"/>
          <w:highlight w:val="none"/>
          <w14:textFill>
            <w14:solidFill>
              <w14:schemeClr w14:val="tx1"/>
            </w14:solidFill>
          </w14:textFill>
        </w:rPr>
      </w:pPr>
    </w:p>
    <w:p>
      <w:pPr>
        <w:pStyle w:val="25"/>
        <w:spacing w:line="360" w:lineRule="auto"/>
        <w:ind w:firstLine="422" w:firstLineChars="200"/>
        <w:rPr>
          <w:rFonts w:ascii="宋体" w:eastAsia="宋体" w:cs="宋体"/>
          <w:b/>
          <w:bCs/>
          <w:color w:val="000000" w:themeColor="text1"/>
          <w:sz w:val="21"/>
          <w:highlight w:val="none"/>
          <w14:textFill>
            <w14:solidFill>
              <w14:schemeClr w14:val="tx1"/>
            </w14:solidFill>
          </w14:textFill>
        </w:rPr>
      </w:pPr>
    </w:p>
    <w:p>
      <w:pPr>
        <w:spacing w:line="360" w:lineRule="auto"/>
        <w:jc w:val="both"/>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此仅为合同书样本，中标人需根据实际情况和甲方签订相应的合同！</w:t>
      </w:r>
    </w:p>
    <w:p>
      <w:pPr>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br w:type="page"/>
      </w:r>
    </w:p>
    <w:p>
      <w:pPr>
        <w:pStyle w:val="3"/>
        <w:pageBreakBefore/>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附件：1、长安镇厦岗社区环卫日常考核检查评分表</w:t>
      </w:r>
    </w:p>
    <w:tbl>
      <w:tblPr>
        <w:tblStyle w:val="17"/>
        <w:tblW w:w="8669" w:type="dxa"/>
        <w:tblInd w:w="0" w:type="dxa"/>
        <w:tblLayout w:type="fixed"/>
        <w:tblCellMar>
          <w:top w:w="0" w:type="dxa"/>
          <w:left w:w="108" w:type="dxa"/>
          <w:bottom w:w="0" w:type="dxa"/>
          <w:right w:w="108" w:type="dxa"/>
        </w:tblCellMar>
      </w:tblPr>
      <w:tblGrid>
        <w:gridCol w:w="394"/>
        <w:gridCol w:w="394"/>
        <w:gridCol w:w="3710"/>
        <w:gridCol w:w="3226"/>
        <w:gridCol w:w="524"/>
        <w:gridCol w:w="421"/>
      </w:tblGrid>
      <w:tr>
        <w:tblPrEx>
          <w:tblCellMar>
            <w:top w:w="0" w:type="dxa"/>
            <w:left w:w="108" w:type="dxa"/>
            <w:bottom w:w="0" w:type="dxa"/>
            <w:right w:w="108" w:type="dxa"/>
          </w:tblCellMar>
        </w:tblPrEx>
        <w:trPr>
          <w:trHeight w:val="23" w:hRule="atLeast"/>
        </w:trPr>
        <w:tc>
          <w:tcPr>
            <w:tcW w:w="788" w:type="dxa"/>
            <w:gridSpan w:val="2"/>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表1-1</w:t>
            </w:r>
          </w:p>
        </w:tc>
        <w:tc>
          <w:tcPr>
            <w:tcW w:w="7881" w:type="dxa"/>
            <w:gridSpan w:val="4"/>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长安镇厦岗社区环卫日常考核检查评分表</w:t>
            </w:r>
          </w:p>
        </w:tc>
      </w:tr>
      <w:tr>
        <w:tblPrEx>
          <w:tblCellMar>
            <w:top w:w="0" w:type="dxa"/>
            <w:left w:w="108" w:type="dxa"/>
            <w:bottom w:w="0" w:type="dxa"/>
            <w:right w:w="108" w:type="dxa"/>
          </w:tblCellMar>
        </w:tblPrEx>
        <w:trPr>
          <w:trHeight w:val="23" w:hRule="atLeast"/>
        </w:trPr>
        <w:tc>
          <w:tcPr>
            <w:tcW w:w="4498" w:type="dxa"/>
            <w:gridSpan w:val="3"/>
            <w:tcBorders>
              <w:top w:val="nil"/>
              <w:left w:val="nil"/>
              <w:bottom w:val="nil"/>
              <w:right w:val="nil"/>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总分:100分,得分:</w:t>
            </w:r>
          </w:p>
        </w:tc>
        <w:tc>
          <w:tcPr>
            <w:tcW w:w="4171" w:type="dxa"/>
            <w:gridSpan w:val="3"/>
            <w:tcBorders>
              <w:top w:val="nil"/>
              <w:left w:val="nil"/>
              <w:bottom w:val="nil"/>
              <w:right w:val="nil"/>
            </w:tcBorders>
            <w:shd w:val="clear" w:color="auto" w:fill="auto"/>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评分时间:   年   月  日</w:t>
            </w:r>
          </w:p>
        </w:tc>
      </w:tr>
      <w:tr>
        <w:tblPrEx>
          <w:tblCellMar>
            <w:top w:w="0" w:type="dxa"/>
            <w:left w:w="108" w:type="dxa"/>
            <w:bottom w:w="0" w:type="dxa"/>
            <w:right w:w="108" w:type="dxa"/>
          </w:tblCellMar>
        </w:tblPrEx>
        <w:trPr>
          <w:trHeight w:val="23" w:hRule="atLeast"/>
        </w:trPr>
        <w:tc>
          <w:tcPr>
            <w:tcW w:w="4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现场考核</w:t>
            </w:r>
          </w:p>
        </w:tc>
        <w:tc>
          <w:tcPr>
            <w:tcW w:w="32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扣分办法(提供资料证明)</w:t>
            </w:r>
          </w:p>
        </w:tc>
        <w:tc>
          <w:tcPr>
            <w:tcW w:w="5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应得分</w:t>
            </w:r>
          </w:p>
        </w:tc>
        <w:tc>
          <w:tcPr>
            <w:tcW w:w="4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检查扣分</w:t>
            </w: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项目内容</w:t>
            </w:r>
          </w:p>
        </w:tc>
        <w:tc>
          <w:tcPr>
            <w:tcW w:w="3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考核标准和依据</w:t>
            </w:r>
          </w:p>
        </w:tc>
        <w:tc>
          <w:tcPr>
            <w:tcW w:w="32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(出现以下未提及事项均参照合同依据的法律法规和办法)</w:t>
            </w:r>
          </w:p>
        </w:tc>
        <w:tc>
          <w:tcPr>
            <w:tcW w:w="32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一、人工清扫保洁(35分)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1、旧村每天普扫两次，作业时间为6：00-22：00，巡回保洁根据情况而定</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旧村每天无普扫两次的扣2分；无按时完成普扫的扣1分；卫生质量差的扣1分；扣完为止.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2、河边、鱼塘边、山边、闲置地等根据卫生情况合理进行不定期保洁，每天有专人负责巡查随时了解卫生情况，发现超过卫生质量标准，即时组织人员清洁（未硬底化的闲置地不在合同范围，建议闲置地围闭）</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河边、鱼塘边、山边、闲置地等无根据卫生情况合理进行不定期保洁的扣1分；无专人每天负责巡查随时了解卫生情况的扣0.5分；卫生质量差的扣0.5分；扣完为止.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绿化隔离带,公园广场、路旁绿地,行道树穴,渠化岛、草坪内的垃圾清洁时间为7：00-22：30。每天上午9：30时前完成首次绿地清洁工作，其余时间做好保洁；禁止焚烧枯枝干叶及杂物；对绿化管理人员清理出来的剪枝（树枝和树干标准长度≤90cm且直径≤15cm）及落叶、果皮纸屑、烟头、胶袋等垃圾要及时收集清走。(绿化浇水施肥、除草松土、喷药除杂、树木修剪后集中堆放等养护不在合同范围内)</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在保洁时间无足够人员在保洁的扣0.2分；9：30时前未完成首次绿地清洁工作的扣0.2分；发现焚烧枯枝干叶及杂物的扣0.2分；；对绿化管理人员清理出来符合标准的剪枝及垃圾没有进行及时的清理扣0.2分；发现有果皮果壳卫生质量差的扣0.5分；扣完为止.                                     </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道路、公共场所等均按二类清扫保洁标准，普扫和保洁人员数量各占一半。一天普扫两次，时间分别是早上5：30-7：00，下午17：30-19：00，其余时间根据实际情况灵活安排；保洁分两批人四班次，时间为7：00-23：00，共16小时。繁华街区每周彻底清扫道路和沟渠一遍，每小时保洁一遍；其余道路每两周彻底清扫道路和沟渠一遍。实行无缝链接清扫保洁，不得漏扫，保洁时间内由保洁人员采用机械（人工）的办法进行，维持道路、公共场所等的清洁</w:t>
            </w:r>
            <w:r>
              <w:rPr>
                <w:rStyle w:val="45"/>
                <w:rFonts w:hint="default"/>
                <w:color w:val="000000" w:themeColor="text1"/>
                <w:sz w:val="21"/>
                <w:szCs w:val="21"/>
                <w:highlight w:val="none"/>
                <w:lang w:bidi="ar"/>
                <w14:textFill>
                  <w14:solidFill>
                    <w14:schemeClr w14:val="tx1"/>
                  </w14:solidFill>
                </w14:textFill>
              </w:rPr>
              <w:t>(行人道、路沿石的杂草清除属保洁范围)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按要求完成普扫的扣1分；保洁时间一定范围内无足够人员在保洁的扣0.5分；繁华街区每周无彻底清扫道路和沟渠一遍的扣0.5分；无每小时保洁一遍的扣0.5分；其余道路每两周无彻底清扫道路和沟渠一遍的扣0.5分；无实行无缝链接清扫保洁，出现漏扫，影响卫生质量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5、主干道、红绿灯口、繁华地区等道路要根据不同时间段、人流密度等加派保洁人员保洁，确保周一至五上下班高峰时段、节假日或周六日全天候卫生情况良好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主干道、红绿灯口、繁华地区等道路无根据不同时间段、人流密度等加派保洁人员保洁，卫生质量差的一处扣0.5分，扣完为止.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繁华街区人行道每周彻底清洗不少于两次，其余街区人行道每周彻底清洗不少于一次，如特殊情况特殊路段要求每天清洗，冲洗时间为当日23时至次日6时,高压冲洗车车速:5km/h～10km/h，清洗人行道时，冲洗车须调整好水流幅宽，并配以人工洗刷路面，清洗被油污污染较为严重的路面时，可适当添加洗洁精等清洁液，反复冲洗，直至路面见本色</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繁华街区人行道每周彻底清洗少于两次，其余街区人行道每周彻底清洗少于一次，每少1次扣0.5分；特殊情况特殊路段没有每天清洗的每少一次扣0.5分；无在规定时间内冲洗的每次扣0.5分；无按指定车速行驶的发现一次扣0.5分；清洗行人道时,无按要求洗刷路面的一次扣0.5分；冲洗不干净,路面不见本色的发现一处扣0.5分；出现漏冲路段的发现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一、人工清扫保洁(35分)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每天定时洒水3次（早上8点、下午14点和晚上23点，周六日晚上推迟至23：30，雨天除外），30℃以上每天不少于3次，洒水车车速:≤10km/h,作业时应发送警示信号提醒路人,并控制适当的水压和高度,避免妨碍路人；不得倒车洒水，不得漏洒(漏冲),作业结束后,应做到地面、路缘石基本见本色,路面侧石、交通隔离带以及道路相关公共设施周围无泥沙和积水；发现洒漏沙石、油污、工程建设污染等和路障的地段，视实际需要进行降尘或冲洗，立即处理，并上报相关主管部门</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按时洒水的发现少一次扣0.5分；每天洒水次数不够每少一次扣0.5分；没有按指定车速作业的发现一次扣0.5分；作业时没按要求操作的发现一次扣0.5分；作业结束后未达到要求的发现一次扣0.5分；发现洒漏沙石、油污、工程建设污染等和路障等情况无立即处理的一次扣1分；出现状况无上报相关主管部门的一次扣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清扫保洁应达到路面整洁、无杂草、无残留污水，明渠无垃圾堆积、排水畅通，狭窄内巷无卫生死角，排水口清洁、无沙土残积，路沿石、防蚊设施、废物箱、广告路灯等公共设施无明显污迹，行道树圈无垃圾杂物、陈旧落叶等要求，保洁率达到100%</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达到路面无残留污水、无杂草、明渠无垃圾堆积、排水畅通，狭窄内巷无卫生死角，排水口清洁、无沙土残积，公共设施无明显污迹，行道树圈无垃圾杂物、陈旧落叶等要求的发现一处扣0.2分；保洁率达不到100%的扣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000000" w:sz="4" w:space="0"/>
                <w:lang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46355</wp:posOffset>
                  </wp:positionH>
                  <wp:positionV relativeFrom="paragraph">
                    <wp:posOffset>796925</wp:posOffset>
                  </wp:positionV>
                  <wp:extent cx="2134870" cy="335915"/>
                  <wp:effectExtent l="0" t="0" r="17780" b="6985"/>
                  <wp:wrapNone/>
                  <wp:docPr id="20" name="Picture_4"/>
                  <wp:cNvGraphicFramePr/>
                  <a:graphic xmlns:a="http://schemas.openxmlformats.org/drawingml/2006/main">
                    <a:graphicData uri="http://schemas.openxmlformats.org/drawingml/2006/picture">
                      <pic:pic xmlns:pic="http://schemas.openxmlformats.org/drawingml/2006/picture">
                        <pic:nvPicPr>
                          <pic:cNvPr id="20" name="Picture_4"/>
                          <pic:cNvPicPr/>
                        </pic:nvPicPr>
                        <pic:blipFill>
                          <a:blip r:embed="rId16"/>
                          <a:stretch>
                            <a:fillRect/>
                          </a:stretch>
                        </pic:blipFill>
                        <pic:spPr>
                          <a:xfrm>
                            <a:off x="0" y="0"/>
                            <a:ext cx="2134870" cy="335915"/>
                          </a:xfrm>
                          <a:prstGeom prst="rect">
                            <a:avLst/>
                          </a:prstGeom>
                          <a:noFill/>
                          <a:ln>
                            <a:noFill/>
                          </a:ln>
                        </pic:spPr>
                      </pic:pic>
                    </a:graphicData>
                  </a:graphic>
                </wp:anchor>
              </w:drawing>
            </w:r>
            <w:r>
              <w:rPr>
                <w:rFonts w:hint="eastAsia" w:ascii="宋体" w:hAnsi="宋体" w:cs="宋体"/>
                <w:color w:val="000000" w:themeColor="text1"/>
                <w:kern w:val="0"/>
                <w:szCs w:val="21"/>
                <w:highlight w:val="none"/>
                <w:lang w:bidi="ar"/>
                <w14:textFill>
                  <w14:solidFill>
                    <w14:schemeClr w14:val="tx1"/>
                  </w14:solidFill>
                </w14:textFill>
              </w:rPr>
              <w:t>9、路面废弃物控制指标应符合下表规定，在同一单位长度内不得超过各单项废弃物总数的50%。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 xml:space="preserve">  注：为方便实际操作，测算面积可适当调整，各类指标按比例折算</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路面废弃物控制指标不符合规定的发现一处扣0.2分，扣完为止.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10、人行天桥、人行过街地下通道、车行隧道的清扫保洁质量标准与连接的道路相同；栏杆、阶梯、扶手、墙面、地面、路面等应保持整洁、无乱张贴、乱画、垃圾和积存污水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人行天桥、人行过街地下通道、车行隧道与其连接的道路；栏杆、阶梯、扶手、墙面、地面、路面等无保持整洁,有乱张贴、乱画、垃圾和积存污水现象的一处扣0.2分，扣完为止.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11、普扫、保洁要达到“六无六净一通”标准。</w:t>
            </w:r>
            <w:r>
              <w:rPr>
                <w:rStyle w:val="46"/>
                <w:rFonts w:hint="default"/>
                <w:color w:val="000000" w:themeColor="text1"/>
                <w:sz w:val="21"/>
                <w:szCs w:val="21"/>
                <w:highlight w:val="none"/>
                <w:lang w:bidi="ar"/>
                <w14:textFill>
                  <w14:solidFill>
                    <w14:schemeClr w14:val="tx1"/>
                  </w14:solidFill>
                </w14:textFill>
              </w:rPr>
              <w:t>六无：</w:t>
            </w:r>
            <w:r>
              <w:rPr>
                <w:rFonts w:hint="eastAsia" w:ascii="宋体" w:hAnsi="宋体" w:cs="宋体"/>
                <w:color w:val="000000" w:themeColor="text1"/>
                <w:kern w:val="0"/>
                <w:szCs w:val="21"/>
                <w:highlight w:val="none"/>
                <w:lang w:bidi="ar"/>
                <w14:textFill>
                  <w14:solidFill>
                    <w14:schemeClr w14:val="tx1"/>
                  </w14:solidFill>
                </w14:textFill>
              </w:rPr>
              <w:t>地面、路面无积泥(沙)积水，无果皮纸屑、烟头等废弃物，无香口糖迹、痰迹等污迹，无漏收垃圾堆，无往雨水井口、排水渠口、明渠、绿化带、果皮箱扫倒垃圾污物，无乱张贴广告、招纸、乱涂画、乱刻写等。</w:t>
            </w:r>
            <w:r>
              <w:rPr>
                <w:rStyle w:val="46"/>
                <w:rFonts w:hint="default"/>
                <w:color w:val="000000" w:themeColor="text1"/>
                <w:sz w:val="21"/>
                <w:szCs w:val="21"/>
                <w:highlight w:val="none"/>
                <w:lang w:bidi="ar"/>
                <w14:textFill>
                  <w14:solidFill>
                    <w14:schemeClr w14:val="tx1"/>
                  </w14:solidFill>
                </w14:textFill>
              </w:rPr>
              <w:t>六净：</w:t>
            </w:r>
            <w:r>
              <w:rPr>
                <w:rFonts w:hint="eastAsia" w:ascii="宋体" w:hAnsi="宋体" w:cs="宋体"/>
                <w:color w:val="000000" w:themeColor="text1"/>
                <w:kern w:val="0"/>
                <w:szCs w:val="21"/>
                <w:highlight w:val="none"/>
                <w:lang w:bidi="ar"/>
                <w14:textFill>
                  <w14:solidFill>
                    <w14:schemeClr w14:val="tx1"/>
                  </w14:solidFill>
                </w14:textFill>
              </w:rPr>
              <w:t>地面、路面、人行道净，路缘石净，墙基净，果皮箱净、公共设施净，雨水井口净、地下通道净，树穴绿化带净。</w:t>
            </w:r>
            <w:r>
              <w:rPr>
                <w:rStyle w:val="46"/>
                <w:rFonts w:hint="default"/>
                <w:color w:val="000000" w:themeColor="text1"/>
                <w:sz w:val="21"/>
                <w:szCs w:val="21"/>
                <w:highlight w:val="none"/>
                <w:lang w:bidi="ar"/>
                <w14:textFill>
                  <w14:solidFill>
                    <w14:schemeClr w14:val="tx1"/>
                  </w14:solidFill>
                </w14:textFill>
              </w:rPr>
              <w:t>一通：</w:t>
            </w:r>
            <w:r>
              <w:rPr>
                <w:rFonts w:hint="eastAsia" w:ascii="宋体" w:hAnsi="宋体" w:cs="宋体"/>
                <w:color w:val="000000" w:themeColor="text1"/>
                <w:kern w:val="0"/>
                <w:szCs w:val="21"/>
                <w:highlight w:val="none"/>
                <w:lang w:bidi="ar"/>
                <w14:textFill>
                  <w14:solidFill>
                    <w14:schemeClr w14:val="tx1"/>
                  </w14:solidFill>
                </w14:textFill>
              </w:rPr>
              <w:t>雨水井口、排水明渠通</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普扫、保洁无达到“六无六净一通”标准的发现一处扣0.2分，扣完为止.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12、道路两侧的建筑物外立面应无明显污迹，无残墙断壁、无乱张贴、乱拉挂的“六乱现象”，过时破损的宣传标语要及时修补或更换</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道路两侧的建筑物外立面保洁不到位有明显污迹，有乱张贴、乱拉挂等“六乱现象”的发现一处扣0.2分；过时破损的宣传标语无及时修补或更换的发现一处扣0.2分；扣完为止.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一、人工清扫保洁(35分)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13、道路两侧的公交候车站、广告牌、路牌、邮筒、读报栏、管线等设施保持完好，无污迹、积尘、无乱张贴、无残旧破损</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道路两侧的公交候车站、广告牌、路牌、邮筒、读报栏、管线等设施有污迹、积尘，有乱张贴和残旧破损现象的发现一处扣0.2分，扣完为止.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清洁工人上班必须穿有安全反光标志的工作服，着装整洁，进行清扫时要按规范安全作业，遵守交通规则，留意周边环境，根据本路段的人、车情况，合理安排作业时间和方式；非普扫时间不使用大扫把；小心执扫，控制扬尘，避免妨碍行人，避免与路人发生矛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清洁工人上班无穿有安全反光标志的工作服的一个扣1分；着装不整洁的一个扣0.5分；清扫时无按规范作业的一次扣0.5分；无安全作业的一次扣0.5分；扣完为止.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清洁工人出车前，应做好车辆例行保养，检查车容车况，确保车辆性能完好和车容整洁；作业时，按岗位责任制和岗位作业流程操作，请路人配合时要使用“你好、请、对不起、让一让、谢谢”等文明用语，虚心接受群众的意见</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出车前无做好车辆例行保养和检查车容车况的一次扣0.2分；使用性能差和车容不整洁车辆作业的一次扣0.2分；作业时，没有文明工作的一次扣0.2分；扣完为止.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16、上岗工作期间，禁止员工分拣垃圾或挑选垃圾收集，禁止任何作业车辆堆挂杂物或车身空隙堆塞任何与作业无关的物件。</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发现员工分拣垃圾或挑选垃圾收集的一次扣0.5分；发现作业车辆堆挂杂物或车身空隙堆塞任何与作业无关的物件的一次扣0.5分；扣完为止.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17、清洁工人在清扫和保洁时，应按车行线反方向清扫，特别在清扫中间护拦时要提高警觉，注意来车；清理主车道上的成堆的泥土时，应在清理点来车方向100米处设置醒目路障，并做好防护措施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洁工人在清扫和保洁特别在清扫中间护拦时，无按车行线反方向清扫，无注意来车的扣0.5分；清理主车道上的成堆的泥土时，无在清理点来车方向100米处设置醒目路障，并做好防护措施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18、在从事地下通道、立交桥等车辆密集地段作业时，应设置警戒标志或选择在车辆较少的时间内清扫</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在地下通道、立交桥等车辆密集地段作业时，无设置警戒标志的一次扣0.5分；扣完为止.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19、保洁垃圾车、手推车不能太靠近车行线停放，不得横向占道，装载垃圾时，必须覆盖密闭，以防臭味外逾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保洁垃圾车、手推车存在靠近车行线和横向占道等乱停放现象的一次扣0.5分；装载垃圾时没有覆盖密闭的一次扣0.5分；扣完为止.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车辆回场后，应将车辆停放在洗车站，将车辆和作业工具都进行彻底清洗，将清洗出的垃圾放入指定容器，保持洗车场地清洁；将车辆和作业工具清洗完后，使用人做好例保工作，仔细检查车容车况，工具性能，发现故障及时修理，并做好相关的例保记录，最后将车辆和作业工具按规定位置停放、摆放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车辆回场后，无将车辆停放在洗车站将车辆和作业工具都进行彻底清洗的一次扣0.5分；没有做好例保工作并进行相关记录的一次扣0.5分；没有将清洗检查保养好的车辆和作业工具按规定位置停放、摆放好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二、机械清扫保洁(⒖分)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1、道路机械清扫保洁时间从5：00-22：00，繁华街区每天全面巡回清扫至少两遍；其余街区每天全面巡回清扫至少一遍；分别在上午7：30和下午18：00完成清扫，其余时间为巡回保洁时间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无按时完成全面清扫的扣0.5分；无按规定遍数的少一遍扣0.5分；出现漏扫地方或卫生质量差的扣0.5分；清扫保洁时间内人和车都不在岗的扣0.5分；扣扣完为止.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2、机械化清扫车辆出车前必须进行车辆性能检查，发现故障及时排除；加足水，并根据路面状况调整好机扫车侧刷和吸口，禁止侧刷、吸口不落地空跑，不得有漏扫现象，避免“干扫”，做到喷雾清扫不扬尘</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出车前无进行车辆性能检查,导致作业时出故障的一次扣0.5分；发生侧刷、吸口不落地空跑、漏扫、“干扫”无喷雾清扫的一次扣0.5分；扣完为止.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机械化清扫车辆出车作业时必须严格遵守交通规则，落实安全警示和防护措施,开警示灯和坏车灯（大车），禁止鸣笛，司机必须穿反光衣，礼让行车，注意行人的安全，不得防碍交通；正常车速为6-7公里/小时，最快速度不能超10公里/小时，不得超速</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有遵守交通规则的一次扣1.5分；没有落实安全警示和防护措施、无开警示灯和坏车灯（大车）、鸣笛、司机及其工作人员无穿反光衣、无礼让行车、无注意行人安全、防碍交通的一次扣1分；没有按车速行驶的一次扣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4、清扫时注意观察路面清扫质量和路面障碍情况，对机扫车不能清除的大件垃圾或硬物，应及时下车清除，确保清扫质量和设备不受损坏</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对机扫车不能清除的大件垃圾或硬物无及时下车清除的一次扣0.5分；清扫时无注意观察路面障碍情况，导致清扫设备损坏扣0.5分；扣完为止.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5、道路的清扫、保洁质量标准必须符合以下要求：                                                                  ⑴路面基本见本色；                                                                                              ⑵快车道中间分隔带侧石垂直1米为宽度的任意100m</w:t>
            </w:r>
            <w:r>
              <w:rPr>
                <w:rStyle w:val="47"/>
                <w:rFonts w:hint="default"/>
                <w:color w:val="000000" w:themeColor="text1"/>
                <w:sz w:val="21"/>
                <w:szCs w:val="21"/>
                <w:highlight w:val="none"/>
                <w:lang w:bidi="ar"/>
                <w14:textFill>
                  <w14:solidFill>
                    <w14:schemeClr w14:val="tx1"/>
                  </w14:solidFill>
                </w14:textFill>
              </w:rPr>
              <w:t>2</w:t>
            </w:r>
            <w:r>
              <w:rPr>
                <w:rFonts w:hint="eastAsia" w:ascii="宋体" w:hAnsi="宋体" w:cs="宋体"/>
                <w:color w:val="000000" w:themeColor="text1"/>
                <w:kern w:val="0"/>
                <w:szCs w:val="21"/>
                <w:highlight w:val="none"/>
                <w:lang w:bidi="ar"/>
                <w14:textFill>
                  <w14:solidFill>
                    <w14:schemeClr w14:val="tx1"/>
                  </w14:solidFill>
                </w14:textFill>
              </w:rPr>
              <w:t xml:space="preserve"> 地面，沙泥石块不得超过0.2升；                                                                          ⑶慢车倒侧石垂直1米为宽度的任意100m</w:t>
            </w:r>
            <w:r>
              <w:rPr>
                <w:rStyle w:val="47"/>
                <w:rFonts w:hint="default"/>
                <w:color w:val="000000" w:themeColor="text1"/>
                <w:sz w:val="21"/>
                <w:szCs w:val="21"/>
                <w:highlight w:val="none"/>
                <w:lang w:bidi="ar"/>
                <w14:textFill>
                  <w14:solidFill>
                    <w14:schemeClr w14:val="tx1"/>
                  </w14:solidFill>
                </w14:textFill>
              </w:rPr>
              <w:t xml:space="preserve">2 </w:t>
            </w:r>
            <w:r>
              <w:rPr>
                <w:rFonts w:hint="eastAsia" w:ascii="宋体" w:hAnsi="宋体" w:cs="宋体"/>
                <w:color w:val="000000" w:themeColor="text1"/>
                <w:kern w:val="0"/>
                <w:szCs w:val="21"/>
                <w:highlight w:val="none"/>
                <w:lang w:bidi="ar"/>
                <w14:textFill>
                  <w14:solidFill>
                    <w14:schemeClr w14:val="tx1"/>
                  </w14:solidFill>
                </w14:textFill>
              </w:rPr>
              <w:t>地面，沙泥石块不得超过0.4升；                                               ⑷任意100m</w:t>
            </w:r>
            <w:r>
              <w:rPr>
                <w:rStyle w:val="47"/>
                <w:rFonts w:hint="default"/>
                <w:color w:val="000000" w:themeColor="text1"/>
                <w:sz w:val="21"/>
                <w:szCs w:val="21"/>
                <w:highlight w:val="none"/>
                <w:lang w:bidi="ar"/>
                <w14:textFill>
                  <w14:solidFill>
                    <w14:schemeClr w14:val="tx1"/>
                  </w14:solidFill>
                </w14:textFill>
              </w:rPr>
              <w:t>2</w:t>
            </w:r>
            <w:r>
              <w:rPr>
                <w:rFonts w:hint="eastAsia" w:ascii="宋体" w:hAnsi="宋体" w:cs="宋体"/>
                <w:color w:val="000000" w:themeColor="text1"/>
                <w:kern w:val="0"/>
                <w:szCs w:val="21"/>
                <w:highlight w:val="none"/>
                <w:lang w:bidi="ar"/>
                <w14:textFill>
                  <w14:solidFill>
                    <w14:schemeClr w14:val="tx1"/>
                  </w14:solidFill>
                </w14:textFill>
              </w:rPr>
              <w:t>地面,沙泥石块不超过0.2升；                                                                        ⑸任意300m</w:t>
            </w:r>
            <w:r>
              <w:rPr>
                <w:rStyle w:val="47"/>
                <w:rFonts w:hint="default"/>
                <w:color w:val="000000" w:themeColor="text1"/>
                <w:sz w:val="21"/>
                <w:szCs w:val="21"/>
                <w:highlight w:val="none"/>
                <w:lang w:bidi="ar"/>
                <w14:textFill>
                  <w14:solidFill>
                    <w14:schemeClr w14:val="tx1"/>
                  </w14:solidFill>
                </w14:textFill>
              </w:rPr>
              <w:t>2</w:t>
            </w:r>
            <w:r>
              <w:rPr>
                <w:rFonts w:hint="eastAsia" w:ascii="宋体" w:hAnsi="宋体" w:cs="宋体"/>
                <w:color w:val="000000" w:themeColor="text1"/>
                <w:kern w:val="0"/>
                <w:szCs w:val="21"/>
                <w:highlight w:val="none"/>
                <w:lang w:bidi="ar"/>
                <w14:textFill>
                  <w14:solidFill>
                    <w14:schemeClr w14:val="tx1"/>
                  </w14:solidFill>
                </w14:textFill>
              </w:rPr>
              <w:t>地面,胶袋、纸张、果皮等不超过3个（块）；                                                              ⑹任意300m</w:t>
            </w:r>
            <w:r>
              <w:rPr>
                <w:rStyle w:val="47"/>
                <w:rFonts w:hint="default"/>
                <w:color w:val="000000" w:themeColor="text1"/>
                <w:sz w:val="21"/>
                <w:szCs w:val="21"/>
                <w:highlight w:val="none"/>
                <w:lang w:bidi="ar"/>
                <w14:textFill>
                  <w14:solidFill>
                    <w14:schemeClr w14:val="tx1"/>
                  </w14:solidFill>
                </w14:textFill>
              </w:rPr>
              <w:t>2</w:t>
            </w:r>
            <w:r>
              <w:rPr>
                <w:rFonts w:hint="eastAsia" w:ascii="宋体" w:hAnsi="宋体" w:cs="宋体"/>
                <w:color w:val="000000" w:themeColor="text1"/>
                <w:kern w:val="0"/>
                <w:szCs w:val="21"/>
                <w:highlight w:val="none"/>
                <w:lang w:bidi="ar"/>
                <w14:textFill>
                  <w14:solidFill>
                    <w14:schemeClr w14:val="tx1"/>
                  </w14:solidFill>
                </w14:textFill>
              </w:rPr>
              <w:t>地面,烟头、痰迹不超过5个（处）；                                                              ⑺地面不得有人为积水.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道路的清扫、保洁质量标准不符合要求的，发现一项扣0.2分；扣完为止.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6、清扫完毕，应检查车辆内垃圾是否卸清，并做好车辆保洁和维护，保持车容整洁，性能良好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清扫完毕，车辆内垃圾无卸清一次扣0.25分；无做好车辆保洁和维护的一次扣0.25分；扣完为止.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7.清扫车辆收集的垃圾必须到指定地点倾倒，不得偷倒</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收集的垃圾无到指定地点倾倒的一次扣0.5分；存在偷倒的一次扣0.5分；扣完为止.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8、路面机械化清扫达到80%</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路面机械化清扫无达到80%的扣0.5分</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三、垃圾收集容器保洁维护(5分)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1、垃圾收集容器包括收集箱、垃圾桶、果皮箱等。垃圾收集容器外观应整洁、无迹垢，每天至少清洁箱体一次，擦抹箱体表面，清除表面的污迹和“牛皮癣”</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每天没对全部或部分箱体至少清洁一次的扣0.5分，箱体表面存有污迹和“牛皮癣”的一个扣0.2分；扣完为止.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垃圾收集容器内垃圾要及时清走，一天清走垃圾不少于两次（上、下午各一次）。繁华街区一天三次，环卫工人每天晚班下班前全面清理完垃圾收集容器的垃圾，做到日产日清；垃圾量多的地方要根据情况定，不能有满溢、外观脏乱现象，并将产生的垃圾收集到指定地点</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垃圾收集容器内垃圾清走少于两次少一次的扣0.1分；繁华街区晚班下班前无全面清理完垃圾收集容器的垃圾，做到日产日清的一次扣0.2分；有满溢、外观脏乱现象的一处扣0.1分；无将垃圾收集到指定地点的发现一次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3、垃圾收集容器体光洁无明显积垢，箱体放置地面周围不得有垃圾抛落、垃圾堆积，无积水，无臭味</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箱体放置地面周围有垃圾抛落、垃圾堆积，有积水和臭味的发现一处扣0.1分；扣完为止.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4、垃圾收集容器应随时保持正常完好的状态，不能东倒西歪</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垃圾收集容器无保持正常完好的状态，东倒西歪的发现一个扣0.1分；扣完为止.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5、垃圾收集容器出现歪斜、松脱、不能使用和被盗等，要及时维修、拆卸、更换、补充和恢复，完好率不得低于98%</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对歪斜、松脱、不能使用和被盗等的垃圾收集容器，无及时维修、拆卸、更换、补充和恢复的一个扣0.2分；扣扣完为止.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6、每周至少两次大清洗、消毒箱体表面和内胆，并对箱体周围地面进行擦拖抹和清洗</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无每周至少两次大清洗箱体表面和内胆，无对箱体周围地面进行擦拖抹和清洗的少一次扣0.25分；扣扣完为止.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7、禁止使用非统一配置的垃圾收集容器，如竹箩、竹筐、纸箱等未密闭的垃圾收集容器；</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发现竹箩、竹筐、纸箱等非统一配置垃圾收集容器，一处扣0.1分；扣扣完为止.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8、禁止环卫工人在垃圾收集容器、垃圾收集站内翻捡废品</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发现环卫工人在垃圾收集容器、垃圾收集站内翻捡废品的一次扣0.1分；扣扣完为止.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四、排水井清理(5分)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1、日常做好雨水井口、井盖、格栅疏水孔、排水明渠及有排水孔且具有活动盖板的暗渠口和防蚊闸的清理和疏通工作（清淤除外），保证排水功能正常，每月全面彻底清理不少于2次</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日常无做好雨水井口、井盖、格栅疏水孔、排水明渠、有排水孔且具有活动盖板的暗渠口、防蚊闸的清理和疏通工作，导致排水功能不正常的发现一处扣0.5分；每月全面彻底清理少于2次少一次扣1分；扣扣完为止.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遇到雨季、台风季节等情况，要及时检视和清理；因下雨天下水道排水不畅造成道路水浸，保洁人员不得擅自离岗（遇雷电时及时躲避），在确保人身安全前提下，及时清理排水口的树叶和垃圾等堵塞物，确保排水畅通</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遇到雨季、台风季节等情况，无及时检视和清理，下雨时下水道排水不畅造成道路水浸的一处扣0.2分；保洁人员擅自离岗的一次扣0.5分，水浸时无及时清理排水口的树叶和垃圾等堵塞物的一处扣1分；扣完为止.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当出现内涝情况时，即时启动应急处理方案，采取相应措施，人员和设备要在20分钟内全部到位，尽快摆齐警示标志，做好安全保护措施，与其他部门互相配合，安排专人通宵值班，24小时开机，随时掌控情况并汇报</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当内涝启动应急方案时，人员和设备不在20分钟内全部到位的扣1分；无尽快摆齐警示标志,做好安全保护措施的扣1分；无安排专人值班，24小时开机的扣0.5分；无随时掌控情况及时汇报的扣0.5分；扣完为止.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五、河涌、护坡、堤围保洁(5分)</w:t>
            </w:r>
          </w:p>
        </w:tc>
        <w:tc>
          <w:tcPr>
            <w:tcW w:w="3710" w:type="dxa"/>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1、巡查时间8：00-18：00（6级或6级以上大风、红色暴雨警告以上天气除外）,有专人负责保洁和管理</w:t>
            </w:r>
          </w:p>
        </w:tc>
        <w:tc>
          <w:tcPr>
            <w:tcW w:w="3226" w:type="dxa"/>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在规定巡查时间内，无专人负责保洁和管理的扣0.5分</w:t>
            </w:r>
          </w:p>
        </w:tc>
        <w:tc>
          <w:tcPr>
            <w:tcW w:w="524"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2、每天根据卫生质量标准决定打捞水面漂浮垃圾和收集河涌护坡垃圾次数（河涌清淤除外）</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对超过卫生质量标准无及时打捞，发现扣0.5分</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3、水面无水浮莲等大件漂浮垃圾（≥1m</w:t>
            </w:r>
            <w:r>
              <w:rPr>
                <w:rStyle w:val="47"/>
                <w:rFonts w:hint="default"/>
                <w:color w:val="000000" w:themeColor="text1"/>
                <w:sz w:val="21"/>
                <w:szCs w:val="21"/>
                <w:highlight w:val="none"/>
                <w:lang w:bidi="ar"/>
                <w14:textFill>
                  <w14:solidFill>
                    <w14:schemeClr w14:val="tx1"/>
                  </w14:solidFill>
                </w14:textFill>
              </w:rPr>
              <w:t>2</w:t>
            </w:r>
            <w:r>
              <w:rPr>
                <w:rFonts w:hint="eastAsia" w:ascii="宋体" w:hAnsi="宋体" w:cs="宋体"/>
                <w:color w:val="000000" w:themeColor="text1"/>
                <w:kern w:val="0"/>
                <w:szCs w:val="21"/>
                <w:highlight w:val="none"/>
                <w:lang w:bidi="ar"/>
                <w14:textFill>
                  <w14:solidFill>
                    <w14:schemeClr w14:val="tx1"/>
                  </w14:solidFill>
                </w14:textFill>
              </w:rPr>
              <w:t>),小件零星垃圾两件之间最小间距≥20米</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水面存在水浮莲等大件漂浮垃圾和小件零星垃圾的一处扣0.1分；扣完为止.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4、做到河道畅通，岸坡整洁,无悬挂物、无垃圾杂物堆积,无漂浮物</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河道不畅通，岸坡不整洁，有悬挂物和漂浮物的一处扣0.2分；扣完为止.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5、汛期必须积极配合水利部门进行清疏、排灌</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汛期不积极配合水利部门进行清疏、排灌的扣0.3分</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6、打捞、收集的垃圾要定点堆放,送指定地点处理,日产日清</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打捞、收集的垃圾无定点堆放的发现一处扣0.5分，无日产日清的扣0.5分；扣完为止.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7、垃圾清运后必须把场地清扫干净，无垃圾和杂物堆放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垃圾清运后仍有垃圾和杂物堆放发现一处扣0.1分；扣完为止.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8、垃圾异味太大或有动物残体时要进行密封包装</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对垃圾异味太大和动物残体没有进行密封包装发现一处扣0.1分；扣完为止.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9、河道内船只、垃圾车辆容貌整洁，外观无缺损，无残留垃圾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河道内船只及垃圾车辆外观缺损扣0.1分；有残留垃圾的一处扣0.1分；扣完为止.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nil"/>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10、水上作业人员必须熟习水性，作业时要穿着救生衣，船上备用救生器材，落实有关安全措施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水上作业人员不熟习水性的一个扣0.1分；作业时无穿着救生衣的一个扣0.1分；船上无备用救生器材的扣0.1分；扣完为止.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六、垃圾收集清运(15分)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1、道路、临街店铺、住宅、公共场所等的垃圾收集与清扫保洁同步，要求每天上门收集不少于4次，上、下午各2次，所收集垃圾必须运到指定垃圾站（点）或收集车辆配合落实无缝接运，不得随意堆放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道路、临街店铺、住宅、公共场所等的垃圾收集与清扫保洁无同步的扣0.5分；每天上门收集少于4次的扣0.5分；所收集垃圾无运到指定垃圾站（点）或无收集车辆配合落实无缝接运的扣0.5分；所收集垃圾随意堆放发现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2、旧村内巷垃圾收集与清扫保洁同步，每天收集不少于2次，上午、下午各1次，所收集垃圾必须运到指定垃圾站（点）或收集车辆配合落实无缝接运，不得随意堆放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旧村内巷垃圾收集与清扫保洁不同步的扣0.5分；每天收集少于2次的扣0.5分；所收集垃圾无运到指定垃圾站（点）或无收集车辆配合落实无缝接运的扣1分；所收集垃圾随意堆放发现一处扣0.5分；扣完为止.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3、绿化隔离带、公园广场、路旁绿地、行道树穴、渠化岛、草坪内的垃圾与保洁同步，根据垃圾量收集，每天不少于1次，所收集垃圾必须运到指定垃圾站（点）或收集车辆配合落实无缝接运，不得随意堆放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绿化隔离带、公园广场、路旁绿地、行道树穴、渠化岛、草坪内的垃圾与保洁不同步的扣0.5分；所收集垃圾无运到指定垃圾站（点）或无收集车辆配合落实无缝接运的扣0.5分；所收集垃圾随意堆放发现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4、河边、鱼塘边、山边、闲置地等垃圾收集与保洁同步，根据垃圾量而定，所收集垃圾必须运到指定垃圾站（点）或收集车辆配合落实无缝接运，不得随意堆放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河边、鱼塘边、山边、闲置地等垃圾收集与保洁不同步的扣0.5分；所收集垃圾无运到指定垃圾站（点）或无收集车辆配合落实无缝接运的扣0.5分；扣完为止.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六、垃圾收集清运(15分)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5、按指定户数、指定路线、指定的单位、厂企、桶装收集的店铺指定收集点每天至少上门收集垃圾一次，落实无缝接运，不得擅自设点及随意堆放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无按指定户数、指定路线、指定的单位、厂企、店铺上门收集垃圾的一次扣0.5分；无特殊情况出现漏收的一次扣1分；擅自设点及随意堆放发现一处扣0.5分；扣完为止.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6、根据道路的宽度配备垃圾收集车辆，旧村按要求配置小型密闭自御垃圾收集车，车辆技术指标必须满足垃圾收集站收运设施正常使用的要求,禁止使用未报批的其他收集车辆</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旧村等狭窄道路无配备小型密闭垃圾收集机动车辆的扣0.5分，使用未报批的其他收集车辆的扣0.5分；扣完为止.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7、取得IC卡的垃圾运输车辆按指定路线运往镇指定转运站卸倒垃圾，入站后要服从站内工作人员的交通引导、安全卸载等指挥工作，不得随意偷倒</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取得IC卡的垃圾运输车辆不按指定路线运往镇指定转运站卸倒垃圾的一次扣0.5分，入站后不听指挥随意偷倒的扣0.5分；扣完为止.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8、禁止分拣垃圾，所有垃圾运输车辆加装密闭装置，全程密闭运输，车容整洁,外观无堆挂杂物,运输过程中垃圾不得扬、洒、拖挂，不得乱倒、乱卸、乱抛，不得有污水滴漏，以免造成二次污染</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有分拣垃圾现象的一次扣0.5分；全程输无密闭运输的，如后置式压缩车后盖打开行驶等，发现一次扣1分；车容不整洁,车身空隙塞有杂物或外观有堆挂杂物的一次扣0.5分；运输过程中垃圾存在扬、洒、拖挂，有污水滴漏的一次扣0.5分；发现乱倒、乱卸的一次扣.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9、保洁产生的垃圾要及时通过流动机械收集车或清洁工人通过手推车收集到附近指定转运站或垃圾收集点，落实无缝接运，确保保洁的质量与效率，不得擅自设点，不得裸露堆放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流动机械收集车或手推车收集的垃圾无运至指定转运站或垃圾收集点的一次扣0.5分；垃圾裸露堆放的一次扣0.5分；扣完为止.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10、垃圾运输车辆只限于收集生活垃圾和固体废弃物，不得收运工业垃圾、渣土余泥、建筑垃圾，不得收运剧毒、易燃易爆、医疗等有危险性的特种垃圾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垃圾运输车辆只限于收集生活垃圾和固体废弃物，发现收运工业垃圾、渣土余泥、建筑垃圾及剧毒、易燃易爆、医疗等有危险性的特种垃圾的一次扣0.5分；扣完为止.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11、密闭压缩式垃圾运输车收集垃圾时,必须严格遵守交通规则，亮警示灯,礼让行车，注意行人的安全，不得防碍交通；在辅道两旁沿路收集垃圾,出现的洒、漏垃圾要即时清理干净</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收集垃圾时,无亮警示灯,不礼让行车，不注意行人安全，防碍交通，违反交通规则的一次扣0.5分；收集垃圾时，出现洒、漏垃圾无即时清理干净的一次扣0.5分；扣完为止.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12、要求手推车、三轮车等垃圾收集专用车车辆性能良好，统一标识，外观无缺损、编号牌清晰，有密封设备且封盖严密，车容整洁，无残留垃圾、无陈旧积泥、无滋生蝇蛆</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手推车、三轮车等垃圾收集专用车性能差，无统一标识，外观缺损、编号牌不清晰的扣0.5分；无密封设备且封盖不严密的扣0.5分；有残留垃圾、陈旧积泥、滋生蝇蛆的扣0.5分；扣完为止.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13、安全、文明作业，尽量减少噪音扰民、防碍交通现象，禁止乱停乱放、随车配备清扫工具乱摆放，未按指定地点倾倒垃圾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无安全、文明作业，有噪音扰民和防碍交通现象的扣0.5分；乱停乱放、清扫工具乱摆放的扣0.5分；未按指定地点倾倒垃圾的扣0.5分；扣完为止.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14、作业结束后必须及时把车辆、作业工具擦洗干净，并按指定位置停放好</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作业结束后无及时把车辆、作业工具擦洗干净的扣0.5分；无按指定位置停放好的扣0.5分；扣完为止.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七、公厕管理(5分)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1、从7:00-23:00配专人全时段看管、保洁,不得离岗,厕所免费开放,公示投诉电话</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在规定时间无专人看管、保洁的扣0.5分；厕所有收费的扣0.5分；无公示投诉电话的扣0.5分；扣完为止.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2、指示牌、标志牌、《公厕服务承诺》、《公厕使用守则》设置规范、明显、完整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无设置指示牌、标志牌、《公厕服务承诺》、《公厕使用守则》的扣0.5分；设置不规范、不明显、不完整扣0.5分；扣完为止.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3、无人为停水情况，保持水龙头和冲水器的出水量充足</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有人为停水情况扣0.1分；水龙头和冲水器的出水量不充足的一个扣0.1分；扣完为止.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4、公厕内采光、照明和通风良好，无明显臭味</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公厕内采光、照明不够的一处扣0.1分；不通风，有明显臭味扣0.1分；扣完为止.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5、公厕内地面光洁,无积水</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公厕内地面不光亮洁静的扣0.2分；,有积水的扣0.3分；扣完为止.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6、内墙面、天花板、门窗、隔离板无积灰、污迹、蛛网，无乱涂乱画</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内墙面、天花板、门窗、隔离板有积灰、污迹、蛛网、乱涂乱画的一处扣0.1分；扣完为止.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7、蹲位整洁,大便槽两侧无粪便污物,槽内无积粪,洁净见底</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蹲位不整洁,大便槽两侧有粪便污物,槽内有积粪的一处扣0.1分；扣完为止.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8、下便槽(斗)无水锈、尿垢、垃圾、基本无臭味：沟眼、管道保持畅通</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下便槽(斗)有水锈、尿垢、垃圾、有臭味，沟眼、管道不畅通的一处扣0.1分；扣完为止.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9、门窗、照明灯具、洗手器皿、镜子、冲水设备等完好，无积灰、污物</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门窗、照明灯具、洗手器皿、镜子、冲水设备等不完好，有积灰、污物的一处扣0.1分；扣完为止.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0.3</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10、公厕外环境整洁,无乱堆杂物,保持工具放置整齐，外墙面整洁</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公厕外环境不整洁,有乱堆杂物,工具放置不整齐，外墙面不整洁的一处扣0.1分；扣完为止.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11、定时喷洒灭蚊蝇、蟑螂药物，有效控制蝇蛆滋生,有真实的喷药时间和数量记录,并提供抽粪记录</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无定时喷洒灭蚊蝇、蟑螂药物，控制蝇蛆滋生,无真实的喷药时间和数量记录的扣0.1分；无提供抽粪记录的扣0.1分；扣完为止.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八、转运站和垃圾房管理 (5分)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1、禁止使用露天垃圾池用于垃圾收集和转运</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2、使用露天垃圾池用于垃圾收集和转运的扣0.5分</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2、垃圾转运站开放时间为5：30-23：00，有专人管理</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无配专人管理的扣0.25分；开放时间内无人在岗作业的扣0.25分；扣完为止.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3、无积存垃圾，做到日产日清,在规定时间内完成垃圾转运工作，每天冲洗3次，早、午、晚各一次</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有积存垃圾，无做到日产日清的扣0.3分,无在规定时间内完成垃圾转运工作的扣0.3分，每天冲洗不到3次每少一次的扣0.1分；扣完为止.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4、站内及站外周边环境保持清洁干净，不得分拣垃圾，不得存放废旧物品，不得堆放杂物，劳动工具定点有序摆放</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站内及站外清洁不到位扣0.5分；有分拣垃圾现象扣0.3分；存放废旧物品和堆放杂物情况的扣0.3分；劳动工具不定点摆放或乱摆放的扣0.2分；扣完为止.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八、转运站和垃圾房管理(5分)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5、沟渠畅通，无垃圾积聚、及时排清污水,每天冲洗3次，早、午、晚各一次</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沟渠有垃圾、污水积聚的扣0.3分；排水不畅通的扣0.2分；扣完为止.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6、车辆进出有序，合理安排垃圾安全卸载，不得争先恐后</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车辆进出争先恐后，无合理安排垃圾安全卸载的发现一次扣0.1分；扣完为止.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7、工作人员要熟悉机械、安全操作，负责管理维护设施完好无缺，每天清运完毕要做好冲洗保洁、性能检查等维护保养工作，确保明天的正常使用</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工作人员不熟悉机械操作安全上岗的扣0.3分；每天清运完毕无做好机械冲洗保洁的扣0.2分；无做好检查维护保养工作，确保明天能正常使用的扣0.1分；扣完为止.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8、当天工作完毕必须把站清理干净，站内外检查一遍后再关门上锁</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工作完毕无把站清理干净的扣0.3分；无做好站内外检查关门上锁的扣0.1分；扣完为止.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九、“牛皮癣”清理(5分)</w:t>
            </w: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1、每天5：00-22：00清洁辖区范围内的乱张贴和乱涂画，根据工作量配足专业的专职人员和专业的清理工具</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没有在每天规定时间内清洁完成辖区范围内的乱张贴和乱涂画的扣0.5分；无根据工作量配足人员和专业的作业工具的扣0.5分；扣完为止.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2、辖区范围内的路面、路缘石、侧石、桥栏、护栏、墙壁、灯箱、灯柱、信号灯、电箱、公交车站、建筑物外墙、内街小巷、门闸、商铺卷闸门、树木、市政公共设施等可视范围内均无“牛皮癣” </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辖区范围可视范围内存在“牛皮癣” ，每发现一处扣0.2分；扣完为止.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3、质量监督员对管辖区域全面巡查，发现有乱张贴、乱涂画的必须在2小时内清理完毕，使其表面干净、整洁</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质量监督员对管辖区域无进行全面质量巡查的扣0.5分；发现乱张贴、乱涂画无在2小时内清理完毕的扣0.5分；扣完为止.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4.文明作业，将对群众的影响降到最低，接到群众投诉或相关单位通报的，必须在要求的时间内整改完毕，并及时回复</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接到投诉和通报，在要求的时间内未整改完毕，并及时回复的一笔扣0.1分；扣完为止.</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5、“牛皮癣”清理作业方法：                                                                               ⑴所有张贴类“牛皮癣”须用“牛皮癣”清理机进行清理；                                                            ⑵镜面墙体如大理石、花岗岩、瓷砖、铝塑板等防水涂料等喷涂类“牛皮癣”，用喷壶装入药剂喷施在字体表面后进行擦洗，直至彻底清除；                                                                                    ⑶粗糙墙体如水泥、石材等喷涂类“牛皮癣”，在清洗不能解决时可调配相同颜色的涂料（或油漆）进行覆盖。</w:t>
            </w:r>
          </w:p>
        </w:tc>
        <w:tc>
          <w:tcPr>
            <w:tcW w:w="3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无按“牛皮癣”清理方法进行清理，造成二次污染或更严重后果的一次扣0.1分；扣完为止.                                                                                                                            </w:t>
            </w:r>
          </w:p>
        </w:tc>
        <w:tc>
          <w:tcPr>
            <w:tcW w:w="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0.5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十、绿化养护(5分)</w:t>
            </w:r>
          </w:p>
        </w:tc>
        <w:tc>
          <w:tcPr>
            <w:tcW w:w="3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① 草坪植物叶片色泽正常,无明显枯黄叶;其它植物新梢枝叶萌发正常,叶片大小、色泽基 本正常,无明显枯枝败叶。</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② 乔木树冠基本完整,生长与开花结果正常;分枝基本不影响游览及观景。行道树的倾斜率小于 7%。乔木树杆无铁钉、木板等附着物。确保树木无遮挡交通设施情况。补植乔木必须做好支撑，并根据树木生长情况适时进行“松绑”处理。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③花灌木生长发育基本正常,木本地被覆盖率达 95%以上。</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④ 花坛、花带及绿篱基本无残缺,杂草覆盖率小于 5%,无死株、缺株。</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⑤ 造型植物的修剪基本合理。规则式种植的造型植物,形状、体量大致一致;自然式种植的, 形状和体量基本符合设计和景观的要求。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⑥ 藤本植物生长基本正常,开花适时,牵引合理,覆盖率不低于 80%;定期及时修剪、清除、疏删老弱藤蔓。</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⑦ 草本花卉基本正常,株型基本完整,开花时覆盖率达到 80%以上,杂草覆盖率小于 5%; 花后需修剪的,基本得到修剪。</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⑧ 草坪绿色期不少于 230 天,覆盖率不小于 85%,杂草的覆盖率不超过 5%,草坪表面积水 在雨后24小时内排清。</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⑨ 水生植物生长基本正常,开花适时。绿篱生长基本正常,无死株,无明显断垄,无高草杂草,无明显病虫害发生。</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⑩病虫害得到控制,被害植株不超过 7%,被害叶片不超过植株叶片总量的 5%。同时使用安全有效方法防治红火蚁。</w:t>
            </w: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（1）植株生长不良、长势差，部分树干死亡，扣0.5分/株。植株重度损坏，扣0.3分/株；                      </w:t>
            </w:r>
          </w:p>
        </w:tc>
        <w:tc>
          <w:tcPr>
            <w:tcW w:w="52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（2）缺乏修剪或修剪不适当，扣0.5分/株；枝叶遮挡交通灯或交通指示牌或路灯的，扣0.5分/株。                                                                             </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（3）有枯枝、折枝、或棕榈科的干枯叶片未及时清理的，扣0.2分/株。</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（4）树木根系生长覆盖路面未及时处理的，扣0.2分/处；树池或树池盖损坏、或树池盖不平整影响景观的，扣0.2分/穴。</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（5）树体腐烂（或开口）部位未及时剔除、消毒、封口处理的，每株扣1.0分。</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（6）护树设施、景观灯等固定框损坏树干的，扣0.2分/株。</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（7）死亡、缺株未及时补种的，每处或每平方米扣0.3分；植株老化未及时更换的，每处或每平方米扣0.2分；黄土裸露的，累计每平方米扣0.2分。</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（8）杂草过多未及时修剪清除的，每平方米扣0.2分。</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（9）草坪未及时修剪、未正确控制草坪高度及修剪留茬高度的，每平方米扣0.1分，最高扣4分。                                               </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7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（10）病虫害控制不及时，对树木叶片危害每株超过10%的，扣0.5分/株；蛀干性害虫危害未处理的扣0.5-1.0分/株；白蚁红火蚁等危害未处理的，视危害程度扣1.0-2.0分/株。</w:t>
            </w:r>
          </w:p>
        </w:tc>
        <w:tc>
          <w:tcPr>
            <w:tcW w:w="5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866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合计总得分（    ）＝总分（100）－合计总扣分（     ）</w:t>
            </w: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4" w:type="dxa"/>
            <w:gridSpan w:val="2"/>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社区评分卫监签名:</w:t>
            </w:r>
          </w:p>
        </w:tc>
        <w:tc>
          <w:tcPr>
            <w:tcW w:w="3226" w:type="dxa"/>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社区环境办负责人签名(盖章):</w:t>
            </w: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22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4" w:type="dxa"/>
            <w:gridSpan w:val="2"/>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市场化公司现场陪同人员签名:</w:t>
            </w:r>
          </w:p>
        </w:tc>
        <w:tc>
          <w:tcPr>
            <w:tcW w:w="3750" w:type="dxa"/>
            <w:gridSpan w:val="2"/>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市场化公司负责人签名(盖章):</w:t>
            </w:r>
          </w:p>
        </w:tc>
        <w:tc>
          <w:tcPr>
            <w:tcW w:w="4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tbl>
      <w:tblPr>
        <w:tblStyle w:val="17"/>
        <w:tblW w:w="0" w:type="auto"/>
        <w:tblInd w:w="0" w:type="dxa"/>
        <w:tblLayout w:type="autofit"/>
        <w:tblCellMar>
          <w:top w:w="0" w:type="dxa"/>
          <w:left w:w="108" w:type="dxa"/>
          <w:bottom w:w="0" w:type="dxa"/>
          <w:right w:w="108" w:type="dxa"/>
        </w:tblCellMar>
      </w:tblPr>
      <w:tblGrid>
        <w:gridCol w:w="802"/>
        <w:gridCol w:w="432"/>
        <w:gridCol w:w="430"/>
        <w:gridCol w:w="430"/>
        <w:gridCol w:w="424"/>
        <w:gridCol w:w="424"/>
        <w:gridCol w:w="424"/>
        <w:gridCol w:w="424"/>
        <w:gridCol w:w="424"/>
        <w:gridCol w:w="579"/>
        <w:gridCol w:w="657"/>
        <w:gridCol w:w="641"/>
        <w:gridCol w:w="579"/>
        <w:gridCol w:w="579"/>
        <w:gridCol w:w="424"/>
        <w:gridCol w:w="424"/>
        <w:gridCol w:w="425"/>
      </w:tblGrid>
      <w:tr>
        <w:tblPrEx>
          <w:tblCellMar>
            <w:top w:w="0" w:type="dxa"/>
            <w:left w:w="108" w:type="dxa"/>
            <w:bottom w:w="0" w:type="dxa"/>
            <w:right w:w="108" w:type="dxa"/>
          </w:tblCellMar>
        </w:tblPrEx>
        <w:trPr>
          <w:trHeight w:val="480" w:hRule="atLeast"/>
        </w:trPr>
        <w:tc>
          <w:tcPr>
            <w:tcW w:w="0" w:type="auto"/>
            <w:tcBorders>
              <w:top w:val="nil"/>
              <w:left w:val="nil"/>
              <w:bottom w:val="single" w:color="000000" w:sz="4" w:space="0"/>
              <w:right w:val="nil"/>
            </w:tcBorders>
            <w:shd w:val="clear" w:color="auto" w:fill="auto"/>
            <w:noWrap/>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表1-2</w:t>
            </w:r>
          </w:p>
        </w:tc>
        <w:tc>
          <w:tcPr>
            <w:tcW w:w="0" w:type="auto"/>
            <w:gridSpan w:val="16"/>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b/>
                <w:bCs/>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w:t>
            </w:r>
            <w:r>
              <w:rPr>
                <w:rFonts w:hint="eastAsia" w:ascii="宋体" w:hAnsi="宋体" w:cs="宋体"/>
                <w:b/>
                <w:bCs/>
                <w:color w:val="000000" w:themeColor="text1"/>
                <w:kern w:val="0"/>
                <w:szCs w:val="21"/>
                <w:highlight w:val="none"/>
                <w:u w:val="single"/>
                <w:lang w:bidi="ar"/>
                <w14:textFill>
                  <w14:solidFill>
                    <w14:schemeClr w14:val="tx1"/>
                  </w14:solidFill>
                </w14:textFill>
              </w:rPr>
              <w:t>　　</w:t>
            </w:r>
            <w:r>
              <w:rPr>
                <w:rFonts w:hint="eastAsia" w:ascii="宋体" w:hAnsi="宋体" w:cs="宋体"/>
                <w:b/>
                <w:bCs/>
                <w:color w:val="000000" w:themeColor="text1"/>
                <w:kern w:val="0"/>
                <w:szCs w:val="21"/>
                <w:highlight w:val="none"/>
                <w:lang w:bidi="ar"/>
                <w14:textFill>
                  <w14:solidFill>
                    <w14:schemeClr w14:val="tx1"/>
                  </w14:solidFill>
                </w14:textFill>
              </w:rPr>
              <w:t>月环卫日检计分表</w:t>
            </w:r>
          </w:p>
        </w:tc>
      </w:tr>
      <w:tr>
        <w:tblPrEx>
          <w:tblCellMar>
            <w:top w:w="0" w:type="dxa"/>
            <w:left w:w="108" w:type="dxa"/>
            <w:bottom w:w="0" w:type="dxa"/>
            <w:right w:w="108" w:type="dxa"/>
          </w:tblCellMar>
        </w:tblPrEx>
        <w:trPr>
          <w:trHeight w:val="31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日期</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一队检查评分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二队检查评分</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三队检查评分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总平均   得分</w:t>
            </w:r>
          </w:p>
        </w:tc>
      </w:tr>
      <w:tr>
        <w:tblPrEx>
          <w:tblCellMar>
            <w:top w:w="0" w:type="dxa"/>
            <w:left w:w="108" w:type="dxa"/>
            <w:bottom w:w="0" w:type="dxa"/>
            <w:right w:w="108" w:type="dxa"/>
          </w:tblCellMar>
        </w:tblPrEx>
        <w:trPr>
          <w:trHeight w:val="5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检查路线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上午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下午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晚上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平均 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检查路线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上午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下午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晚上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平均 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检查路线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上午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下午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晚上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平均 得分</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29号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总平   均分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0" w:type="auto"/>
            <w:gridSpan w:val="4"/>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社区统计人员签名：</w:t>
            </w: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gridSpan w:val="2"/>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gridSpan w:val="5"/>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社区环境办负责人签名(盖章):</w:t>
            </w: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pStyle w:val="3"/>
        <w:pageBreakBefore/>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附件：2、长安镇厦岗社区环卫管理架构人员配备评分表（半月检）</w:t>
      </w:r>
    </w:p>
    <w:tbl>
      <w:tblPr>
        <w:tblStyle w:val="17"/>
        <w:tblW w:w="8575" w:type="dxa"/>
        <w:tblInd w:w="0" w:type="dxa"/>
        <w:tblLayout w:type="fixed"/>
        <w:tblCellMar>
          <w:top w:w="0" w:type="dxa"/>
          <w:left w:w="108" w:type="dxa"/>
          <w:bottom w:w="0" w:type="dxa"/>
          <w:right w:w="108" w:type="dxa"/>
        </w:tblCellMar>
      </w:tblPr>
      <w:tblGrid>
        <w:gridCol w:w="292"/>
        <w:gridCol w:w="292"/>
        <w:gridCol w:w="3497"/>
        <w:gridCol w:w="3645"/>
        <w:gridCol w:w="424"/>
        <w:gridCol w:w="425"/>
      </w:tblGrid>
      <w:tr>
        <w:tblPrEx>
          <w:tblCellMar>
            <w:top w:w="0" w:type="dxa"/>
            <w:left w:w="108" w:type="dxa"/>
            <w:bottom w:w="0" w:type="dxa"/>
            <w:right w:w="108" w:type="dxa"/>
          </w:tblCellMar>
        </w:tblPrEx>
        <w:trPr>
          <w:trHeight w:val="390" w:hRule="atLeast"/>
        </w:trPr>
        <w:tc>
          <w:tcPr>
            <w:tcW w:w="584" w:type="dxa"/>
            <w:gridSpan w:val="2"/>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表2</w:t>
            </w:r>
          </w:p>
        </w:tc>
        <w:tc>
          <w:tcPr>
            <w:tcW w:w="7991" w:type="dxa"/>
            <w:gridSpan w:val="4"/>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b/>
                <w:bCs/>
                <w:color w:val="000000" w:themeColor="text1"/>
                <w:kern w:val="0"/>
                <w:szCs w:val="21"/>
                <w:highlight w:val="none"/>
                <w:lang w:bidi="ar"/>
                <w14:textFill>
                  <w14:solidFill>
                    <w14:schemeClr w14:val="tx1"/>
                  </w14:solidFill>
                </w14:textFill>
              </w:rPr>
              <w:t>社区环卫管理架构人员配备评分表(半月检)</w:t>
            </w:r>
          </w:p>
        </w:tc>
      </w:tr>
      <w:tr>
        <w:tblPrEx>
          <w:tblCellMar>
            <w:top w:w="0" w:type="dxa"/>
            <w:left w:w="108" w:type="dxa"/>
            <w:bottom w:w="0" w:type="dxa"/>
            <w:right w:w="108" w:type="dxa"/>
          </w:tblCellMar>
        </w:tblPrEx>
        <w:trPr>
          <w:trHeight w:val="360" w:hRule="atLeast"/>
        </w:trPr>
        <w:tc>
          <w:tcPr>
            <w:tcW w:w="4081" w:type="dxa"/>
            <w:gridSpan w:val="3"/>
            <w:tcBorders>
              <w:top w:val="nil"/>
              <w:left w:val="nil"/>
              <w:bottom w:val="nil"/>
              <w:right w:val="nil"/>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总分:100分,得分:</w:t>
            </w:r>
          </w:p>
        </w:tc>
        <w:tc>
          <w:tcPr>
            <w:tcW w:w="4494" w:type="dxa"/>
            <w:gridSpan w:val="3"/>
            <w:tcBorders>
              <w:top w:val="nil"/>
              <w:left w:val="nil"/>
              <w:bottom w:val="nil"/>
              <w:right w:val="nil"/>
            </w:tcBorders>
            <w:shd w:val="clear" w:color="auto" w:fill="auto"/>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评分时间:   年  月   日</w:t>
            </w:r>
          </w:p>
        </w:tc>
      </w:tr>
      <w:tr>
        <w:tblPrEx>
          <w:tblCellMar>
            <w:top w:w="0" w:type="dxa"/>
            <w:left w:w="108" w:type="dxa"/>
            <w:bottom w:w="0" w:type="dxa"/>
            <w:right w:w="108" w:type="dxa"/>
          </w:tblCellMar>
        </w:tblPrEx>
        <w:trPr>
          <w:trHeight w:val="465" w:hRule="atLeast"/>
        </w:trPr>
        <w:tc>
          <w:tcPr>
            <w:tcW w:w="408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现场考核</w:t>
            </w:r>
          </w:p>
        </w:tc>
        <w:tc>
          <w:tcPr>
            <w:tcW w:w="36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扣分办法(提供资料证明)</w:t>
            </w:r>
          </w:p>
        </w:tc>
        <w:tc>
          <w:tcPr>
            <w:tcW w:w="4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应得分</w:t>
            </w:r>
          </w:p>
        </w:tc>
        <w:tc>
          <w:tcPr>
            <w:tcW w:w="4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检查扣分</w:t>
            </w:r>
          </w:p>
        </w:tc>
      </w:tr>
      <w:tr>
        <w:tblPrEx>
          <w:tblCellMar>
            <w:top w:w="0" w:type="dxa"/>
            <w:left w:w="108" w:type="dxa"/>
            <w:bottom w:w="0" w:type="dxa"/>
            <w:right w:w="108" w:type="dxa"/>
          </w:tblCellMar>
        </w:tblPrEx>
        <w:trPr>
          <w:trHeight w:val="435" w:hRule="atLeast"/>
        </w:trPr>
        <w:tc>
          <w:tcPr>
            <w:tcW w:w="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项目内容</w:t>
            </w:r>
          </w:p>
        </w:tc>
        <w:tc>
          <w:tcPr>
            <w:tcW w:w="349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考核标准和依据</w:t>
            </w:r>
          </w:p>
        </w:tc>
        <w:tc>
          <w:tcPr>
            <w:tcW w:w="36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(出现以下未提及事项均参照合同依据的法律法规和办法)</w:t>
            </w:r>
          </w:p>
        </w:tc>
        <w:tc>
          <w:tcPr>
            <w:tcW w:w="36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一、管理架构和制度(40分)</w:t>
            </w:r>
          </w:p>
        </w:tc>
        <w:tc>
          <w:tcPr>
            <w:tcW w:w="3497" w:type="dxa"/>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1、具备环卫统筹项目经营范围的营业执照和资质证件</w:t>
            </w:r>
          </w:p>
        </w:tc>
        <w:tc>
          <w:tcPr>
            <w:tcW w:w="3645"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无营业执照和资质证件的扣2分,少一件扣</w:t>
            </w:r>
            <w:r>
              <w:rPr>
                <w:rStyle w:val="48"/>
                <w:rFonts w:hint="default"/>
                <w:color w:val="000000" w:themeColor="text1"/>
                <w:sz w:val="21"/>
                <w:szCs w:val="21"/>
                <w:highlight w:val="none"/>
                <w:lang w:bidi="ar"/>
                <w14:textFill>
                  <w14:solidFill>
                    <w14:schemeClr w14:val="tx1"/>
                  </w14:solidFill>
                </w14:textFill>
              </w:rPr>
              <w:t>2分；扣完为止.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5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2、在中标所在地注册成立子公司，已申办营业执照、税务登记证、法人代码证等相关证件，在中标所在地开设了银行帐号，缴纳相关税金</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未在中标所在地注册成立子公司的扣2分；无营业执照、税务登记证、法人代码证等相关证件的扣</w:t>
            </w:r>
            <w:r>
              <w:rPr>
                <w:rStyle w:val="48"/>
                <w:rFonts w:hint="default"/>
                <w:color w:val="000000" w:themeColor="text1"/>
                <w:sz w:val="21"/>
                <w:szCs w:val="21"/>
                <w:highlight w:val="none"/>
                <w:lang w:bidi="ar"/>
                <w14:textFill>
                  <w14:solidFill>
                    <w14:schemeClr w14:val="tx1"/>
                  </w14:solidFill>
                </w14:textFill>
              </w:rPr>
              <w:t>1分,少一件扣1分；未在中标所在地开设银行帐号的扣1分；无缴纳相关税金的1分；扣完为止.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9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3、在承包地域范围内设有固定的办公场所和独立管理办公室、员工宿舍和饭堂、停放作业车辆的停车场、摆放作业工具和药物的货仓等；配齐日常的办公用品和设备</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未在承包地域范围内设有管理办公室、员工宿舍和饭堂、停车场、作业工具和药物货仓等的扣2分；无配齐日常的办公用品和设备的扣</w:t>
            </w:r>
            <w:r>
              <w:rPr>
                <w:rStyle w:val="48"/>
                <w:rFonts w:hint="default"/>
                <w:color w:val="000000" w:themeColor="text1"/>
                <w:sz w:val="21"/>
                <w:szCs w:val="21"/>
                <w:highlight w:val="none"/>
                <w:lang w:bidi="ar"/>
                <w14:textFill>
                  <w14:solidFill>
                    <w14:schemeClr w14:val="tx1"/>
                  </w14:solidFill>
                </w14:textFill>
              </w:rPr>
              <w:t>2分,少一件扣2分；扣完为止.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81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4、有完善的管理架构，按统筹项目内容分别设立相应的管理部门，各部门、各岗位有明确分工和职责，建立相应职责分工表，及时更新并存档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未全部按统筹项目内容分别设立相应的管理部门、各部门设立相应的岗位的扣</w:t>
            </w:r>
            <w:r>
              <w:rPr>
                <w:rStyle w:val="48"/>
                <w:rFonts w:hint="default"/>
                <w:color w:val="000000" w:themeColor="text1"/>
                <w:sz w:val="21"/>
                <w:szCs w:val="21"/>
                <w:highlight w:val="none"/>
                <w:lang w:bidi="ar"/>
                <w14:textFill>
                  <w14:solidFill>
                    <w14:schemeClr w14:val="tx1"/>
                  </w14:solidFill>
                </w14:textFill>
              </w:rPr>
              <w:t>1分，存在部分的扣1分；各部门、各岗位全部未有明确分工和职责的扣1分，存在部分的扣1分；未及时更新存档的扣1分；扣完为止.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5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5、管理架构图、分工表、管理制度挂墙</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管理架构图片、分工表、管理制度全部或部分无挂墙的扣0.</w:t>
            </w:r>
            <w:r>
              <w:rPr>
                <w:rStyle w:val="48"/>
                <w:rFonts w:hint="default"/>
                <w:color w:val="000000" w:themeColor="text1"/>
                <w:sz w:val="21"/>
                <w:szCs w:val="21"/>
                <w:highlight w:val="none"/>
                <w:lang w:bidi="ar"/>
                <w14:textFill>
                  <w14:solidFill>
                    <w14:schemeClr w14:val="tx1"/>
                  </w14:solidFill>
                </w14:textFill>
              </w:rPr>
              <w:t>5分.</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6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6、有完善的管理制度，除国家、省、市相应的法律法规和镇制订的地方政策外，还有结合自己实际情况制订的规范和制度并存档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除了国家、省、市相应的法律法规和镇制订的地方政策外，无结合自己实际情况制定自己的管理制度并存档的少一个扣0</w:t>
            </w:r>
            <w:r>
              <w:rPr>
                <w:rStyle w:val="48"/>
                <w:rFonts w:hint="default"/>
                <w:color w:val="000000" w:themeColor="text1"/>
                <w:sz w:val="21"/>
                <w:szCs w:val="21"/>
                <w:highlight w:val="none"/>
                <w:lang w:bidi="ar"/>
                <w14:textFill>
                  <w14:solidFill>
                    <w14:schemeClr w14:val="tx1"/>
                  </w14:solidFill>
                </w14:textFill>
              </w:rPr>
              <w:t>.5分；扣完为止.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5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制订了工作应急预案，详细说明在出现自然灾害、社区突发事件或遇到重要活动、突击检查、交通事故等情况时的人员分工、应对措施及报送制度等。如遇到突发事件，接到通知后要在20分钟内所有人员全部到位，</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未制定工作应急预案的扣2分；如遇到突发事件等未按制度启动预案的扣</w:t>
            </w:r>
            <w:r>
              <w:rPr>
                <w:rStyle w:val="48"/>
                <w:rFonts w:hint="default"/>
                <w:color w:val="000000" w:themeColor="text1"/>
                <w:sz w:val="21"/>
                <w:szCs w:val="21"/>
                <w:highlight w:val="none"/>
                <w:lang w:bidi="ar"/>
                <w14:textFill>
                  <w14:solidFill>
                    <w14:schemeClr w14:val="tx1"/>
                  </w14:solidFill>
                </w14:textFill>
              </w:rPr>
              <w:t>2分；接到通知后未在20分钟内所有人员全部到位的扣2分；无在规定时间内处理完的扣2分；扣完为止.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07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办公场所、员工宿舍、饭堂和货仓等地方要落实防火措施，配足性能良好的消防器材；落实安全用电措施，不得乱拉、乱挂、乱接电线，不使用非生产性大功率的电器，不得超线路负载使用电器；不得存放易燃、易爆、剧毒等危险品，落实相关安全措施</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未在办公场所、员工宿舍、饭堂和货仓等地方落实相关安全措施，</w:t>
            </w:r>
            <w:r>
              <w:rPr>
                <w:rStyle w:val="48"/>
                <w:rFonts w:hint="default"/>
                <w:color w:val="000000" w:themeColor="text1"/>
                <w:sz w:val="21"/>
                <w:szCs w:val="21"/>
                <w:highlight w:val="none"/>
                <w:lang w:bidi="ar"/>
                <w14:textFill>
                  <w14:solidFill>
                    <w14:schemeClr w14:val="tx1"/>
                  </w14:solidFill>
                </w14:textFill>
              </w:rPr>
              <w:t>配足消防器材的扣0.5分；未落实安全用电措施，存在乱拉、乱挂、乱接电线的扣0.5分；使用非生产性大功率的电器或超线路负载使用电器的扣0.5分；存放易燃、易爆、剧毒等危险品的扣0.5分；扣完为止.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1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制订安全生产制度，定期对员工进行安全生产教育，落实责任制，落实有关安全措施；明晰各部门各岗位的安全作业规范，要求“安全第一，预防为主”，把安全工作作为搞好生产的前提条件，事先采取确实有效的安全措施，确保生产任务完成。发生安全生产事故的，要即时上报</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未制订安全生产制度的扣2分；</w:t>
            </w:r>
            <w:r>
              <w:rPr>
                <w:rStyle w:val="48"/>
                <w:rFonts w:hint="default"/>
                <w:color w:val="000000" w:themeColor="text1"/>
                <w:sz w:val="21"/>
                <w:szCs w:val="21"/>
                <w:highlight w:val="none"/>
                <w:lang w:bidi="ar"/>
                <w14:textFill>
                  <w14:solidFill>
                    <w14:schemeClr w14:val="tx1"/>
                  </w14:solidFill>
                </w14:textFill>
              </w:rPr>
              <w:t>无定期对员工进行安全生产教育的扣2分；无落实安全生产责任制的扣2分；无落实有关安全措施的扣4分；无明晰各部门各岗位安全作业规范的扣4分；发生安全生产事故的无即时上报的扣2分；扣完为止.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115" w:hRule="atLeast"/>
        </w:trPr>
        <w:tc>
          <w:tcPr>
            <w:tcW w:w="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一、管理架构和制度(40分)</w:t>
            </w: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制订培训制度，详细说明培训对象、培训内容、具体要求，培训达到的效果等等。对新入职员工进行岗前培训的内容要包括业务技能、质量标准、操作规程、安全生产、文明行为规范、交通规则、劳动合同法、社会治安条例等；对在岗期间经常出现问题的员工定期举行再培训教育。对每次培训要进行工作记录</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未制订培训制度的扣1分,</w:t>
            </w:r>
            <w:r>
              <w:rPr>
                <w:rStyle w:val="48"/>
                <w:rFonts w:hint="default"/>
                <w:color w:val="000000" w:themeColor="text1"/>
                <w:sz w:val="21"/>
                <w:szCs w:val="21"/>
                <w:highlight w:val="none"/>
                <w:lang w:bidi="ar"/>
                <w14:textFill>
                  <w14:solidFill>
                    <w14:schemeClr w14:val="tx1"/>
                  </w14:solidFill>
                </w14:textFill>
              </w:rPr>
              <w:t>对新入职员工未进行相关培训的扣1分；对在岗期间经常出现问题的员工无定期举行再培训教育的扣1分；每次培训无进行工作记录的一次扣1分；扣完为止.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1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制订投诉处理制度，介定通过来访、来信、来电登记转办单或其他部门反映，报刊、电视、网络等媒体曝光，经共同现场核实的都为有效投诉，要求对接到投诉的时间、渠道，被投诉地点、原因，处理的过程、处理结果、回复时间等都有专人负责组织人员处理，并跟踪落实做好记录</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未制订投诉处理制度的扣1分；无按流程安排收到投诉立即处理按时回复的扣1</w:t>
            </w:r>
            <w:r>
              <w:rPr>
                <w:rStyle w:val="48"/>
                <w:rFonts w:hint="default"/>
                <w:color w:val="000000" w:themeColor="text1"/>
                <w:sz w:val="21"/>
                <w:szCs w:val="21"/>
                <w:highlight w:val="none"/>
                <w:lang w:bidi="ar"/>
                <w14:textFill>
                  <w14:solidFill>
                    <w14:schemeClr w14:val="tx1"/>
                  </w14:solidFill>
                </w14:textFill>
              </w:rPr>
              <w:t>分；无设工作人员专职负责的扣1分；处理投诉后一段时间内无跟踪处理成果的扣1分；未做好相关记录的扣1分；扣完为止.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00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12、各部门、各岗位、各项工作活动有相应的工作登记记录、图片证明，记录和图片存档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各部门、各岗位、</w:t>
            </w:r>
            <w:r>
              <w:rPr>
                <w:rStyle w:val="48"/>
                <w:rFonts w:hint="default"/>
                <w:color w:val="000000" w:themeColor="text1"/>
                <w:sz w:val="21"/>
                <w:szCs w:val="21"/>
                <w:highlight w:val="none"/>
                <w:lang w:bidi="ar"/>
                <w14:textFill>
                  <w14:solidFill>
                    <w14:schemeClr w14:val="tx1"/>
                  </w14:solidFill>
                </w14:textFill>
              </w:rPr>
              <w:t>各项工作活动无登记相应的工作记录、图片证明，记录和图片存档的少一项扣0.5分；扣完为止.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96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13、填报资料真实、准确、无误，和报送资料一致</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填报的资料存在不真实、不准确情况的扣1分；和报送的资料不一致的一次扣1分；扣完为止.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94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14、无条件服从监督部门的监管、质量检查、日检评分、依据扣分等工作</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不配合监督部门监管、质量检查、日检评分、依据扣分等工作的一次扣0.5分；扣完为止.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5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15、无条件配合监督部门要求协助解决的各类问题</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不配合监督部门要求协助解决的各类问题的一次扣0.5分；扣完为止.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60" w:hRule="atLeast"/>
        </w:trPr>
        <w:tc>
          <w:tcPr>
            <w:tcW w:w="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二、人员配备和资金保障(60分)</w:t>
            </w: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1、岗们人员数量及相应的设施设备配备数量不少于《长安镇各社区环卫统筹人员设备清单》要求的至少配备数量</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岗们人员数量及相应的设施设备配备数量</w:t>
            </w:r>
            <w:r>
              <w:rPr>
                <w:rFonts w:hint="eastAsia" w:ascii="宋体" w:hAnsi="宋体" w:cs="宋体"/>
                <w:color w:val="000000" w:themeColor="text1"/>
                <w:kern w:val="0"/>
                <w:szCs w:val="21"/>
                <w:highlight w:val="none"/>
                <w:lang w:eastAsia="zh-CN" w:bidi="ar"/>
                <w14:textFill>
                  <w14:solidFill>
                    <w14:schemeClr w14:val="tx1"/>
                  </w14:solidFill>
                </w14:textFill>
              </w:rPr>
              <w:t>少于</w:t>
            </w:r>
            <w:r>
              <w:rPr>
                <w:rFonts w:hint="eastAsia" w:ascii="宋体" w:hAnsi="宋体" w:cs="宋体"/>
                <w:color w:val="000000" w:themeColor="text1"/>
                <w:kern w:val="0"/>
                <w:szCs w:val="21"/>
                <w:highlight w:val="none"/>
                <w:lang w:bidi="ar"/>
                <w14:textFill>
                  <w14:solidFill>
                    <w14:schemeClr w14:val="tx1"/>
                  </w14:solidFill>
                </w14:textFill>
              </w:rPr>
              <w:t>《长安镇各社区环卫统筹人员设备清单》要求的至少配备数量，少一人或少一台设备扣12分，扣完为止。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38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2、生产工人一人一岗且只能服务天本中标区域指定范围，不能出现借用借调其他区域或与其他区域共用等现象</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生产工人一人一岗且只能服务</w:t>
            </w:r>
            <w:r>
              <w:rPr>
                <w:rStyle w:val="48"/>
                <w:rFonts w:hint="default"/>
                <w:color w:val="000000" w:themeColor="text1"/>
                <w:sz w:val="21"/>
                <w:szCs w:val="21"/>
                <w:highlight w:val="none"/>
                <w:lang w:bidi="ar"/>
                <w14:textFill>
                  <w14:solidFill>
                    <w14:schemeClr w14:val="tx1"/>
                  </w14:solidFill>
                </w14:textFill>
              </w:rPr>
              <w:t>于本中标区域指定范围，出现借用借调其他区域或与其他区域共用等现象，发现一次扣0.5分,扣完为止.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51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3、在各服务半径范围内的中转站设置人员打卡或清点人数设备，安装摄像头及承担相应安装费用和维护费用（相关打卡设备需符合甲方要求），各服务半径范围内的作业人员每天必须定点打卡</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在各服务半径范围内的中转站设置人员打卡或清点人数设备，安装摄像头及承担相应安装费用和维护费用，一个点扣1分，服务半径范围内的作业人员每天必须定点打卡，少一人扣</w:t>
            </w:r>
            <w:r>
              <w:rPr>
                <w:rStyle w:val="48"/>
                <w:rFonts w:hint="default"/>
                <w:color w:val="000000" w:themeColor="text1"/>
                <w:sz w:val="21"/>
                <w:szCs w:val="21"/>
                <w:highlight w:val="none"/>
                <w:lang w:bidi="ar"/>
                <w14:textFill>
                  <w14:solidFill>
                    <w14:schemeClr w14:val="tx1"/>
                  </w14:solidFill>
                </w14:textFill>
              </w:rPr>
              <w:t>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59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4、按职能部门数量分别建立人员名册，名册上要登记入职人员的姓名、性别、身份证号码、本地住址、联系电话号码、职务、工号、工作职责和范围，每本人员名册都相应附上清晰身份证复印件</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未按职能部门数量分别建立人员名册的扣1分；名册上登记的项目不齐或人员漏登记的扣1分；扣完为止.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75" w:hRule="atLeast"/>
        </w:trPr>
        <w:tc>
          <w:tcPr>
            <w:tcW w:w="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二、人员配备和资金保障(6分)</w:t>
            </w: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5、明确部门分工，按部门职责确定岗位明确人员分工。分别建立部门职责分工表和岗位职责分工表，并注明每个部门、每个岗位的人员名单，做到定员定岗定责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无建立部门职责分工表和岗位职责分工表的扣1分，</w:t>
            </w:r>
            <w:r>
              <w:rPr>
                <w:rStyle w:val="48"/>
                <w:rFonts w:hint="default"/>
                <w:color w:val="000000" w:themeColor="text1"/>
                <w:sz w:val="21"/>
                <w:szCs w:val="21"/>
                <w:highlight w:val="none"/>
                <w:lang w:bidi="ar"/>
                <w14:textFill>
                  <w14:solidFill>
                    <w14:schemeClr w14:val="tx1"/>
                  </w14:solidFill>
                </w14:textFill>
              </w:rPr>
              <w:t>无注明每个部门、每个岗位的人员名单，做到定员定岗定责的扣1分，扣完为止。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3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6、有专业技能的岗位必须持有有效证件上岗，即司机必须持有效的驾驶证上岗，电工必须持有效的电工证上岗</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专业技能的岗位人员不具有相应有效证件的，发现一个扣1分，扣完为止.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42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7、路面作业人员人均配有一套以上有反光标识的统一工作服，标有服务社区名称、工号和投诉电话，并设有专人负责着装监督。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路面作业人员无人均配有一套以上有反光标识的统一工作服，工作服无标有服务社区名称、工号和投诉电话的一个扣1分，</w:t>
            </w:r>
            <w:r>
              <w:rPr>
                <w:rStyle w:val="48"/>
                <w:rFonts w:hint="default"/>
                <w:color w:val="000000" w:themeColor="text1"/>
                <w:sz w:val="21"/>
                <w:szCs w:val="21"/>
                <w:highlight w:val="none"/>
                <w:lang w:bidi="ar"/>
                <w14:textFill>
                  <w14:solidFill>
                    <w14:schemeClr w14:val="tx1"/>
                  </w14:solidFill>
                </w14:textFill>
              </w:rPr>
              <w:t>无设有专人负责着装监督的一个扣1分；扣完为止。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0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8、严禁弄虚作假，严禁利用工作便利从事超出合同条款的违规行为。各作业部门设立质量监督员全程跟进作业质量，确保达到规范质量标准。</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出现弄虚作假和利用工作便利从事超出合同条款的违规行为的扣1分。各作业部门无设立质量监督员全程跟进作业质量的扣</w:t>
            </w:r>
            <w:r>
              <w:rPr>
                <w:rStyle w:val="48"/>
                <w:rFonts w:hint="default"/>
                <w:color w:val="000000" w:themeColor="text1"/>
                <w:sz w:val="21"/>
                <w:szCs w:val="21"/>
                <w:highlight w:val="none"/>
                <w:lang w:bidi="ar"/>
                <w14:textFill>
                  <w14:solidFill>
                    <w14:schemeClr w14:val="tx1"/>
                  </w14:solidFill>
                </w14:textFill>
              </w:rPr>
              <w:t>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90"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9、如实做好日常各项工作记录，各类调查、验收表格必须如实填写，各部门要有专人负责监督检查、定期将记录存档。</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无如实做好日常各项工作记录的扣1分，无将各类调查、验收表格如实填写的扣</w:t>
            </w:r>
            <w:r>
              <w:rPr>
                <w:rStyle w:val="48"/>
                <w:rFonts w:hint="default"/>
                <w:color w:val="000000" w:themeColor="text1"/>
                <w:sz w:val="21"/>
                <w:szCs w:val="21"/>
                <w:highlight w:val="none"/>
                <w:lang w:bidi="ar"/>
                <w14:textFill>
                  <w14:solidFill>
                    <w14:schemeClr w14:val="tx1"/>
                  </w14:solidFill>
                </w14:textFill>
              </w:rPr>
              <w:t>1分，各部门无专人负责监督检查、定期将记录存档的扣1分，扣完为止。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99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按法律法规和员工签订雇用合同，按劳动法规向工人发放工资、加班费、高温补贴；按时支付员工工资和有关福利待遇；为员工购买社会养老、工伤、医疗、失业、意外等相关保险，为环卫工人、外勤人员投保团体意外保险。</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未按法律法规和员工签定雇佣合同的扣1分；未按劳动法规向工人发放工资、加班费、高温补贴、无按时支付员工工资和有关福利待遇的扣</w:t>
            </w:r>
            <w:r>
              <w:rPr>
                <w:rStyle w:val="48"/>
                <w:rFonts w:hint="default"/>
                <w:color w:val="000000" w:themeColor="text1"/>
                <w:sz w:val="21"/>
                <w:szCs w:val="21"/>
                <w:highlight w:val="none"/>
                <w:lang w:bidi="ar"/>
                <w14:textFill>
                  <w14:solidFill>
                    <w14:schemeClr w14:val="tx1"/>
                  </w14:solidFill>
                </w14:textFill>
              </w:rPr>
              <w:t>1分；无为员工购买社会养老、工伤、医疗、失业、意外等相关保险，无为环卫工人、外勤人员投保团体意外保险的扣1分；扣完为止.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005" w:hRule="atLeast"/>
        </w:trPr>
        <w:tc>
          <w:tcPr>
            <w:tcW w:w="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3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11、交齐了履约保证金，在规定期限内及时补足保障资金</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未交齐了履约保证金的扣5分，在规定期限内未及时补足保障资金的扣5分；扣完为止.</w:t>
            </w: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40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  计</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57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合计总得分（  ）＝总分（ 100 ）－合计总扣分（  ）</w:t>
            </w:r>
          </w:p>
        </w:tc>
      </w:tr>
      <w:tr>
        <w:tblPrEx>
          <w:tblCellMar>
            <w:top w:w="0" w:type="dxa"/>
            <w:left w:w="108" w:type="dxa"/>
            <w:bottom w:w="0" w:type="dxa"/>
            <w:right w:w="108" w:type="dxa"/>
          </w:tblCellMar>
        </w:tblPrEx>
        <w:trPr>
          <w:trHeight w:val="480" w:hRule="atLeast"/>
        </w:trPr>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4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4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660" w:hRule="atLeast"/>
        </w:trPr>
        <w:tc>
          <w:tcPr>
            <w:tcW w:w="4081" w:type="dxa"/>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494" w:type="dxa"/>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4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4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65" w:hRule="atLeast"/>
        </w:trPr>
        <w:tc>
          <w:tcPr>
            <w:tcW w:w="4081"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社区环境办检查人员签名:</w:t>
            </w:r>
          </w:p>
        </w:tc>
        <w:tc>
          <w:tcPr>
            <w:tcW w:w="4494"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社区环境办负责人签名(盖章):</w:t>
            </w:r>
          </w:p>
        </w:tc>
      </w:tr>
      <w:tr>
        <w:tblPrEx>
          <w:tblCellMar>
            <w:top w:w="0" w:type="dxa"/>
            <w:left w:w="108" w:type="dxa"/>
            <w:bottom w:w="0" w:type="dxa"/>
            <w:right w:w="108" w:type="dxa"/>
          </w:tblCellMar>
        </w:tblPrEx>
        <w:trPr>
          <w:trHeight w:val="555" w:hRule="atLeast"/>
        </w:trPr>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4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4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810" w:hRule="atLeast"/>
        </w:trPr>
        <w:tc>
          <w:tcPr>
            <w:tcW w:w="4081"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市场化公司陪检人员签名:</w:t>
            </w:r>
          </w:p>
        </w:tc>
        <w:tc>
          <w:tcPr>
            <w:tcW w:w="4494"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市场化公司负责人签名(盖章):</w:t>
            </w:r>
          </w:p>
        </w:tc>
      </w:tr>
    </w:tbl>
    <w:p>
      <w:pPr>
        <w:rPr>
          <w:color w:val="000000" w:themeColor="text1"/>
          <w:highlight w:val="none"/>
          <w14:textFill>
            <w14:solidFill>
              <w14:schemeClr w14:val="tx1"/>
            </w14:solidFill>
          </w14:textFill>
        </w:rPr>
      </w:pPr>
    </w:p>
    <w:p>
      <w:pPr>
        <w:pStyle w:val="3"/>
        <w:pageBreakBefore/>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附件：3、长安镇厦岗社区环卫设施设备车辆配备评分表（半月检）</w:t>
      </w:r>
    </w:p>
    <w:tbl>
      <w:tblPr>
        <w:tblStyle w:val="17"/>
        <w:tblW w:w="8613" w:type="dxa"/>
        <w:tblInd w:w="0" w:type="dxa"/>
        <w:tblLayout w:type="fixed"/>
        <w:tblCellMar>
          <w:top w:w="0" w:type="dxa"/>
          <w:left w:w="108" w:type="dxa"/>
          <w:bottom w:w="0" w:type="dxa"/>
          <w:right w:w="108" w:type="dxa"/>
        </w:tblCellMar>
      </w:tblPr>
      <w:tblGrid>
        <w:gridCol w:w="579"/>
        <w:gridCol w:w="236"/>
        <w:gridCol w:w="3564"/>
        <w:gridCol w:w="3388"/>
        <w:gridCol w:w="423"/>
        <w:gridCol w:w="423"/>
      </w:tblGrid>
      <w:tr>
        <w:tblPrEx>
          <w:tblCellMar>
            <w:top w:w="0" w:type="dxa"/>
            <w:left w:w="108" w:type="dxa"/>
            <w:bottom w:w="0" w:type="dxa"/>
            <w:right w:w="108" w:type="dxa"/>
          </w:tblCellMar>
        </w:tblPrEx>
        <w:trPr>
          <w:trHeight w:val="465" w:hRule="atLeast"/>
        </w:trPr>
        <w:tc>
          <w:tcPr>
            <w:tcW w:w="581" w:type="dxa"/>
            <w:tcBorders>
              <w:top w:val="nil"/>
              <w:left w:val="nil"/>
              <w:bottom w:val="nil"/>
              <w:right w:val="nil"/>
            </w:tcBorders>
            <w:shd w:val="clear" w:color="auto" w:fill="auto"/>
            <w:noWrap/>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表3</w:t>
            </w:r>
          </w:p>
        </w:tc>
        <w:tc>
          <w:tcPr>
            <w:tcW w:w="222" w:type="dxa"/>
            <w:tcBorders>
              <w:top w:val="nil"/>
              <w:left w:val="nil"/>
              <w:bottom w:val="nil"/>
              <w:right w:val="nil"/>
            </w:tcBorders>
            <w:shd w:val="clear" w:color="auto" w:fill="auto"/>
            <w:noWrap/>
            <w:vAlign w:val="center"/>
          </w:tcPr>
          <w:p>
            <w:pPr>
              <w:rPr>
                <w:rFonts w:ascii="宋体" w:hAnsi="宋体" w:cs="宋体"/>
                <w:b/>
                <w:bCs/>
                <w:color w:val="000000" w:themeColor="text1"/>
                <w:szCs w:val="21"/>
                <w:highlight w:val="none"/>
                <w14:textFill>
                  <w14:solidFill>
                    <w14:schemeClr w14:val="tx1"/>
                  </w14:solidFill>
                </w14:textFill>
              </w:rPr>
            </w:pPr>
          </w:p>
        </w:tc>
        <w:tc>
          <w:tcPr>
            <w:tcW w:w="7810" w:type="dxa"/>
            <w:gridSpan w:val="4"/>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w:t>
            </w:r>
            <w:r>
              <w:rPr>
                <w:rFonts w:hint="eastAsia" w:ascii="宋体" w:hAnsi="宋体" w:cs="宋体"/>
                <w:b/>
                <w:bCs/>
                <w:color w:val="000000" w:themeColor="text1"/>
                <w:kern w:val="0"/>
                <w:szCs w:val="21"/>
                <w:highlight w:val="none"/>
                <w:u w:val="single"/>
                <w:lang w:bidi="ar"/>
                <w14:textFill>
                  <w14:solidFill>
                    <w14:schemeClr w14:val="tx1"/>
                  </w14:solidFill>
                </w14:textFill>
              </w:rPr>
              <w:t>厦岗</w:t>
            </w:r>
            <w:r>
              <w:rPr>
                <w:rFonts w:hint="eastAsia" w:ascii="宋体" w:hAnsi="宋体" w:cs="宋体"/>
                <w:b/>
                <w:bCs/>
                <w:color w:val="000000" w:themeColor="text1"/>
                <w:kern w:val="0"/>
                <w:szCs w:val="21"/>
                <w:highlight w:val="none"/>
                <w:lang w:bidi="ar"/>
                <w14:textFill>
                  <w14:solidFill>
                    <w14:schemeClr w14:val="tx1"/>
                  </w14:solidFill>
                </w14:textFill>
              </w:rPr>
              <w:t>社区环卫设施设备车辆配备评分表(半月检)</w:t>
            </w:r>
          </w:p>
        </w:tc>
      </w:tr>
      <w:tr>
        <w:tblPrEx>
          <w:tblCellMar>
            <w:top w:w="0" w:type="dxa"/>
            <w:left w:w="108" w:type="dxa"/>
            <w:bottom w:w="0" w:type="dxa"/>
            <w:right w:w="108" w:type="dxa"/>
          </w:tblCellMar>
        </w:tblPrEx>
        <w:trPr>
          <w:trHeight w:val="345" w:hRule="atLeast"/>
        </w:trPr>
        <w:tc>
          <w:tcPr>
            <w:tcW w:w="4373" w:type="dxa"/>
            <w:gridSpan w:val="3"/>
            <w:tcBorders>
              <w:top w:val="nil"/>
              <w:left w:val="nil"/>
              <w:bottom w:val="nil"/>
              <w:right w:val="nil"/>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总分:100分,得分:</w:t>
            </w:r>
          </w:p>
        </w:tc>
        <w:tc>
          <w:tcPr>
            <w:tcW w:w="4240" w:type="dxa"/>
            <w:gridSpan w:val="3"/>
            <w:tcBorders>
              <w:top w:val="nil"/>
              <w:left w:val="nil"/>
              <w:bottom w:val="nil"/>
              <w:right w:val="nil"/>
            </w:tcBorders>
            <w:shd w:val="clear" w:color="auto" w:fill="auto"/>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评分时间:     年  月   日</w:t>
            </w:r>
          </w:p>
        </w:tc>
      </w:tr>
      <w:tr>
        <w:tblPrEx>
          <w:tblCellMar>
            <w:top w:w="0" w:type="dxa"/>
            <w:left w:w="108" w:type="dxa"/>
            <w:bottom w:w="0" w:type="dxa"/>
            <w:right w:w="108" w:type="dxa"/>
          </w:tblCellMar>
        </w:tblPrEx>
        <w:trPr>
          <w:trHeight w:val="720" w:hRule="atLeast"/>
        </w:trPr>
        <w:tc>
          <w:tcPr>
            <w:tcW w:w="4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现场考核</w:t>
            </w:r>
          </w:p>
        </w:tc>
        <w:tc>
          <w:tcPr>
            <w:tcW w:w="33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扣分办法(检查资料证明)</w:t>
            </w:r>
          </w:p>
        </w:tc>
        <w:tc>
          <w:tcPr>
            <w:tcW w:w="4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应得分</w:t>
            </w:r>
          </w:p>
        </w:tc>
        <w:tc>
          <w:tcPr>
            <w:tcW w:w="4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检查扣分</w:t>
            </w:r>
          </w:p>
        </w:tc>
      </w:tr>
      <w:tr>
        <w:tblPrEx>
          <w:tblCellMar>
            <w:top w:w="0" w:type="dxa"/>
            <w:left w:w="108" w:type="dxa"/>
            <w:bottom w:w="0" w:type="dxa"/>
            <w:right w:w="108" w:type="dxa"/>
          </w:tblCellMar>
        </w:tblPrEx>
        <w:trPr>
          <w:trHeight w:val="465" w:hRule="atLeast"/>
        </w:trPr>
        <w:tc>
          <w:tcPr>
            <w:tcW w:w="80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项目内容</w:t>
            </w:r>
          </w:p>
        </w:tc>
        <w:tc>
          <w:tcPr>
            <w:tcW w:w="3570" w:type="dxa"/>
            <w:tcBorders>
              <w:top w:val="single" w:color="000000" w:sz="4" w:space="0"/>
              <w:left w:val="single" w:color="000000" w:sz="4" w:space="0"/>
              <w:bottom w:val="nil"/>
              <w:right w:val="single" w:color="000000" w:sz="4" w:space="0"/>
            </w:tcBorders>
            <w:shd w:val="clear" w:color="auto" w:fill="auto"/>
            <w:noWrap/>
            <w:vAlign w:val="bottom"/>
          </w:tcPr>
          <w:p>
            <w:pPr>
              <w:widowControl/>
              <w:jc w:val="center"/>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考核标准和依据</w:t>
            </w:r>
          </w:p>
        </w:tc>
        <w:tc>
          <w:tcPr>
            <w:tcW w:w="33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80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3570"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(出现以下未提及事项均参照合同依据的法律法规和办法)</w:t>
            </w:r>
          </w:p>
        </w:tc>
        <w:tc>
          <w:tcPr>
            <w:tcW w:w="33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62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设施设备车辆配备情况</w:t>
            </w:r>
          </w:p>
        </w:tc>
        <w:tc>
          <w:tcPr>
            <w:tcW w:w="222" w:type="dxa"/>
            <w:tcBorders>
              <w:top w:val="single" w:color="000000" w:sz="4" w:space="0"/>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1、各部门各岗位使用的办工设备、作业工具、环卫车辆、药物等设施设备要配备足够，车辆和相关设备的配备数以现有数为参考且不少于现有数，能满足相应的作业需求，确保相应的工作质量</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检查登记资料及现场情况，办工设备、作业工具、环卫车辆、药物等设施设备全部未配备足够的扣10分,每缺少一件设施设备设的扣2分；扣完为止.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02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2、所有设施设备的配置不得低于标书所列明的标准</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已购买的施设备的配置低于标书所列明的标准的发现一种设施或设备的扣2分；扣完为止。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51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3、设施设备是全新购买，以中标日期后购买的设施设备为有效；环卫车辆等设备登记的所有人和地址是在东莞市长安镇注册成立的子公司名称和地址</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检查相关证明资料，存在全部或部分设施设备不是全新购买的扣2分；不是中标日期后购买的扣2分；环卫车辆等设备登记的所有人和地址不是在东莞市长安镇注册成立的子公司名称和地址的扣5分；扣完为止.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9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4、标书配备的设施设备只服务于本中标区域指定范围，不能借用借调给中标区域外的其他区域或与中标区域外的其他区域共用</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存在全部或部分的设施设备不是服务于本中标区域指定范围的扣10分；借用借调给中标区域外的其他区域或与中标区域外的其他区域共用的扣10分；扣完为止.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35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定期召开车辆安全例会,落实《环卫车辆驾驶员安全管理制度》,做到"管理有规范,维护有周期,检查有标准,安全有体系",坚持每周对车辆的紧固、润滑、卫生、电器等进行检查,发现隐患及时进行修理，每天作业完毕在设定的地点对车辆进行清洗干净和检查，确保明天的正常使用；并登记相关检查清洗记录</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没有定期召开车辆安全例会的扣1分,每天作业完毕没有在设定的地点对车辆进行清洗干净和检查的扣2分,无登记相关检查清洗记录的扣2分；扣完为止.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30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6、每月至少一次组织司机学习《道路交通管理法》，强化安全意识，利用电视录像，典型事故案例分析或请交警同志讲课等形式，对驾驶员进行教育；并登记相关记录</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没有每月组织司机学习,强化安全意识的扣1分；没有登记学习内容、参加人员等相关资料的每次扣1分；扣完为止.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98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7、所有车辆行驶必须严格遵守交通规则，按标准要求贴上荧光标识；车身标明社区名称、车（压缩箱）编号、投诉电话及宣传标语，没报批存档的车辆不得使用</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车辆登记资料及图册，车辆存在违反交通规则情况的一车扣1分；没有按标准要求贴上荧光标识的一车扣1分；车身没有标明社区名称、车（压缩箱）编号、投诉电话及宣传标语的一车扣1分；使用没有报批车辆的一车扣1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02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所有车辆密闭性良好，车身无脏物、无污水滴漏、、车容整洁、车况良好;车身无破损、锈迹，定期检修刷漆翻新，有胶条封边的手推车及三轮车至少三个月更换胶条一次，垃圾运输车至少半年更换胶条一次，扫路车等其他车辆至少一年更换胶条一次。以上内容要有相关记录</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检查车辆外观及资料，发现车身附有脏物、车容不整洁、密闭性差、散发臭味、污水滴漏等情况的一辆车扣5分；车况差、车身破损、有锈迹、无定期检修刷漆翻新无相关记录的一次扣5分，各类车辆无按要求定期更换接口胶条并无相关记录的一次扣5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00" w:hRule="atLeast"/>
        </w:trPr>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设备车辆配备情况</w:t>
            </w: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9、所有机动车辆安装GPS定位跟踪动态监控系统，与联网系统接轨；在中标地域范围内按指定路线行驶</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存在全部或部分车辆没有安装GPS定位跟踪动态监控系统的扣3分；没有在中标地域范围内按指定路线行驶的扣2分；扣完为止.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350"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10、对所有进入镇垃圾转运站倾倒垃圾的垃圾运输车辆安装入站IC卡（一个车牌号码对应一张IC卡），未取得核发IC卡的车辆不允许进入站内</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存在全部或部分进入镇垃圾转运站的垃圾运输车辆没有安装入站IC卡的扣5分；未取得核发IC卡的车辆未经审批闯入站内的扣5分；扣完为止.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30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11、垃圾称磅单设专人统一收集，次日及时送社区指定人员留存，协助镇和社区做好垃圾清运管理工作，在规定时间内完成垃圾量数据核对工作</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没设专人统一收集垃圾称磅单的扣2分；次日没有及时送社区指定人员留存，影响社区没在规定时间内完成垃圾量数据核对的扣5分；扣完为止.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24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12、做好车辆备案，按职能部门分别设立环卫设施设备资产登记本，按要求拍照存档，设专人管理</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没有做好车辆备案的扣2分；没有按职能部门分别设立环卫设施设备资产登记本的扣2分，没有设专人管理的扣2分；扣完为止.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94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13、环卫机动车辆要证照齐全，按期办理保险、年审缴费等相关手续</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环卫机动车辆要证照不全的扣2分；没有按期办理保险、年审缴费等相关手续的扣2分；扣完为止.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91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14、上门收集、清运垃圾要按指定用户名单、上门收集次数、指定桶数收集、并按指定运输路线行驶</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上门收集、清运垃圾没有按指定用户名单、上门收集次数、指定桶数收集、无按指定运输路线行驶的发现一次扣2分，扣完为止.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305" w:hRule="atLeast"/>
        </w:trPr>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222" w:type="dxa"/>
            <w:tcBorders>
              <w:top w:val="nil"/>
              <w:left w:val="nil"/>
              <w:bottom w:val="nil"/>
              <w:right w:val="single" w:color="000000" w:sz="4" w:space="0"/>
            </w:tcBorders>
            <w:shd w:val="clear" w:color="auto" w:fill="auto"/>
            <w:textDirection w:val="tbRlV"/>
            <w:vAlign w:val="center"/>
          </w:tcPr>
          <w:p>
            <w:pPr>
              <w:rPr>
                <w:rFonts w:ascii="宋体" w:hAnsi="宋体" w:cs="宋体"/>
                <w:b/>
                <w:bCs/>
                <w:color w:val="000000" w:themeColor="text1"/>
                <w:szCs w:val="21"/>
                <w:highlight w:val="none"/>
                <w14:textFill>
                  <w14:solidFill>
                    <w14:schemeClr w14:val="tx1"/>
                  </w14:solidFill>
                </w14:textFill>
              </w:rPr>
            </w:pPr>
          </w:p>
        </w:tc>
        <w:tc>
          <w:tcPr>
            <w:tcW w:w="3570" w:type="dxa"/>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15、垃圾桶、果皮箱等设备的数量不变（以移交数量为准），从承包后第二年开始每年更新数量不少于移交数量的20%，完好率不得低于98%，有相关的清洁工作记录</w:t>
            </w:r>
          </w:p>
        </w:tc>
        <w:tc>
          <w:tcPr>
            <w:tcW w:w="33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垃圾桶、果皮箱数量每减少一只扣1分；无按时间要求及时更新的扣1分，完好率低于98%的扣1分,无清洁记录的少一次扣1分；扣完为止.</w:t>
            </w: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80" w:hRule="atLeast"/>
        </w:trPr>
        <w:tc>
          <w:tcPr>
            <w:tcW w:w="4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  计</w:t>
            </w:r>
          </w:p>
        </w:tc>
        <w:tc>
          <w:tcPr>
            <w:tcW w:w="3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61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合计总得分（   ）＝总分（ 100 ）－合计总扣分（   ）</w:t>
            </w:r>
          </w:p>
        </w:tc>
      </w:tr>
      <w:tr>
        <w:tblPrEx>
          <w:tblCellMar>
            <w:top w:w="0" w:type="dxa"/>
            <w:left w:w="108" w:type="dxa"/>
            <w:bottom w:w="0" w:type="dxa"/>
            <w:right w:w="108" w:type="dxa"/>
          </w:tblCellMar>
        </w:tblPrEx>
        <w:trPr>
          <w:trHeight w:val="510" w:hRule="atLeast"/>
        </w:trPr>
        <w:tc>
          <w:tcPr>
            <w:tcW w:w="58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2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57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810" w:hRule="atLeast"/>
        </w:trPr>
        <w:tc>
          <w:tcPr>
            <w:tcW w:w="58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2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57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4373"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社区环境办检查人员签名:</w:t>
            </w:r>
          </w:p>
        </w:tc>
        <w:tc>
          <w:tcPr>
            <w:tcW w:w="4240"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社区环境办负责人签名(盖章):</w:t>
            </w:r>
          </w:p>
        </w:tc>
      </w:tr>
      <w:tr>
        <w:tblPrEx>
          <w:tblCellMar>
            <w:top w:w="0" w:type="dxa"/>
            <w:left w:w="108" w:type="dxa"/>
            <w:bottom w:w="0" w:type="dxa"/>
            <w:right w:w="108" w:type="dxa"/>
          </w:tblCellMar>
        </w:tblPrEx>
        <w:trPr>
          <w:trHeight w:val="885" w:hRule="atLeast"/>
        </w:trPr>
        <w:tc>
          <w:tcPr>
            <w:tcW w:w="58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2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57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394"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05" w:hRule="atLeast"/>
        </w:trPr>
        <w:tc>
          <w:tcPr>
            <w:tcW w:w="4373"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市场化公司陪检人员签名:</w:t>
            </w:r>
          </w:p>
        </w:tc>
        <w:tc>
          <w:tcPr>
            <w:tcW w:w="4240"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市场化公司负责人签名(盖章):</w:t>
            </w:r>
          </w:p>
        </w:tc>
      </w:tr>
    </w:tbl>
    <w:p>
      <w:pPr>
        <w:pStyle w:val="2"/>
        <w:tabs>
          <w:tab w:val="left" w:pos="567"/>
        </w:tabs>
        <w:spacing w:line="360" w:lineRule="auto"/>
        <w:rPr>
          <w:color w:val="000000" w:themeColor="text1"/>
          <w:highlight w:val="none"/>
          <w14:textFill>
            <w14:solidFill>
              <w14:schemeClr w14:val="tx1"/>
            </w14:solidFill>
          </w14:textFill>
        </w:rPr>
      </w:pPr>
    </w:p>
    <w:p>
      <w:pPr>
        <w:pStyle w:val="3"/>
        <w:pageBreakBefore/>
        <w:rPr>
          <w:rFonts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附件：4、长安镇厦岗社区环卫月考核检查评分表</w:t>
      </w:r>
    </w:p>
    <w:tbl>
      <w:tblPr>
        <w:tblStyle w:val="17"/>
        <w:tblW w:w="0" w:type="auto"/>
        <w:tblInd w:w="0" w:type="dxa"/>
        <w:tblLayout w:type="fixed"/>
        <w:tblCellMar>
          <w:top w:w="0" w:type="dxa"/>
          <w:left w:w="108" w:type="dxa"/>
          <w:bottom w:w="0" w:type="dxa"/>
          <w:right w:w="108" w:type="dxa"/>
        </w:tblCellMar>
      </w:tblPr>
      <w:tblGrid>
        <w:gridCol w:w="888"/>
        <w:gridCol w:w="4797"/>
        <w:gridCol w:w="1970"/>
        <w:gridCol w:w="432"/>
        <w:gridCol w:w="429"/>
      </w:tblGrid>
      <w:tr>
        <w:tblPrEx>
          <w:tblCellMar>
            <w:top w:w="0" w:type="dxa"/>
            <w:left w:w="108" w:type="dxa"/>
            <w:bottom w:w="0" w:type="dxa"/>
            <w:right w:w="108" w:type="dxa"/>
          </w:tblCellMar>
        </w:tblPrEx>
        <w:trPr>
          <w:trHeight w:val="525" w:hRule="atLeast"/>
        </w:trPr>
        <w:tc>
          <w:tcPr>
            <w:tcW w:w="8516" w:type="dxa"/>
            <w:gridSpan w:val="5"/>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长安镇环卫月考核现场检查评分表</w:t>
            </w:r>
          </w:p>
        </w:tc>
      </w:tr>
      <w:tr>
        <w:tblPrEx>
          <w:tblCellMar>
            <w:top w:w="0" w:type="dxa"/>
            <w:left w:w="108" w:type="dxa"/>
            <w:bottom w:w="0" w:type="dxa"/>
            <w:right w:w="108" w:type="dxa"/>
          </w:tblCellMar>
        </w:tblPrEx>
        <w:trPr>
          <w:trHeight w:val="465" w:hRule="atLeast"/>
        </w:trPr>
        <w:tc>
          <w:tcPr>
            <w:tcW w:w="888" w:type="dxa"/>
            <w:tcBorders>
              <w:top w:val="nil"/>
              <w:left w:val="nil"/>
              <w:bottom w:val="nil"/>
              <w:right w:val="nil"/>
            </w:tcBorders>
            <w:shd w:val="clear" w:color="auto" w:fill="auto"/>
            <w:noWrap/>
            <w:vAlign w:val="center"/>
          </w:tcPr>
          <w:p>
            <w:pPr>
              <w:rPr>
                <w:rFonts w:ascii="宋体" w:hAnsi="宋体" w:cs="宋体"/>
                <w:b/>
                <w:bCs/>
                <w:color w:val="000000" w:themeColor="text1"/>
                <w:szCs w:val="21"/>
                <w:highlight w:val="none"/>
                <w14:textFill>
                  <w14:solidFill>
                    <w14:schemeClr w14:val="tx1"/>
                  </w14:solidFill>
                </w14:textFill>
              </w:rPr>
            </w:pPr>
          </w:p>
        </w:tc>
        <w:tc>
          <w:tcPr>
            <w:tcW w:w="7199" w:type="dxa"/>
            <w:gridSpan w:val="3"/>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Style w:val="49"/>
                <w:rFonts w:hint="eastAsia" w:ascii="宋体" w:hAnsi="宋体" w:eastAsia="宋体" w:cs="宋体"/>
                <w:color w:val="000000" w:themeColor="text1"/>
                <w:sz w:val="21"/>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社区</w:t>
            </w:r>
            <w:r>
              <w:rPr>
                <w:rStyle w:val="49"/>
                <w:rFonts w:hint="eastAsia" w:ascii="宋体" w:hAnsi="宋体" w:eastAsia="宋体" w:cs="宋体"/>
                <w:color w:val="000000" w:themeColor="text1"/>
                <w:sz w:val="21"/>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年</w:t>
            </w:r>
            <w:r>
              <w:rPr>
                <w:rStyle w:val="49"/>
                <w:rFonts w:hint="eastAsia" w:ascii="宋体" w:hAnsi="宋体" w:eastAsia="宋体" w:cs="宋体"/>
                <w:color w:val="000000" w:themeColor="text1"/>
                <w:sz w:val="21"/>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月</w:t>
            </w:r>
          </w:p>
        </w:tc>
        <w:tc>
          <w:tcPr>
            <w:tcW w:w="429" w:type="dxa"/>
            <w:tcBorders>
              <w:top w:val="nil"/>
              <w:left w:val="nil"/>
              <w:bottom w:val="nil"/>
              <w:right w:val="nil"/>
            </w:tcBorders>
            <w:shd w:val="clear" w:color="auto" w:fill="auto"/>
            <w:noWrap/>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5685" w:type="dxa"/>
            <w:gridSpan w:val="2"/>
            <w:tcBorders>
              <w:top w:val="nil"/>
              <w:left w:val="nil"/>
              <w:bottom w:val="single" w:color="000000" w:sz="4" w:space="0"/>
              <w:right w:val="nil"/>
            </w:tcBorders>
            <w:shd w:val="clear" w:color="auto" w:fill="auto"/>
            <w:noWrap/>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总分100分</w:t>
            </w:r>
          </w:p>
        </w:tc>
        <w:tc>
          <w:tcPr>
            <w:tcW w:w="2831" w:type="dxa"/>
            <w:gridSpan w:val="3"/>
            <w:tcBorders>
              <w:top w:val="nil"/>
              <w:left w:val="nil"/>
              <w:bottom w:val="single" w:color="000000" w:sz="4" w:space="0"/>
              <w:right w:val="nil"/>
            </w:tcBorders>
            <w:shd w:val="clear" w:color="auto" w:fill="auto"/>
            <w:noWrap/>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年  月  日</w:t>
            </w:r>
          </w:p>
        </w:tc>
      </w:tr>
      <w:tr>
        <w:tblPrEx>
          <w:tblCellMar>
            <w:top w:w="0" w:type="dxa"/>
            <w:left w:w="108" w:type="dxa"/>
            <w:bottom w:w="0" w:type="dxa"/>
            <w:right w:w="108" w:type="dxa"/>
          </w:tblCellMar>
        </w:tblPrEx>
        <w:trPr>
          <w:trHeight w:val="312"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检查   项目</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检查标准</w:t>
            </w:r>
          </w:p>
        </w:tc>
        <w:tc>
          <w:tcPr>
            <w:tcW w:w="19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地点</w:t>
            </w:r>
          </w:p>
        </w:tc>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扣分项目</w:t>
            </w: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得分</w:t>
            </w:r>
          </w:p>
        </w:tc>
      </w:tr>
      <w:tr>
        <w:tblPrEx>
          <w:tblCellMar>
            <w:top w:w="0" w:type="dxa"/>
            <w:left w:w="108" w:type="dxa"/>
            <w:bottom w:w="0" w:type="dxa"/>
            <w:right w:w="108" w:type="dxa"/>
          </w:tblCellMar>
        </w:tblPrEx>
        <w:trPr>
          <w:trHeight w:val="465"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19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nil"/>
              <w:right w:val="nil"/>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1、清扫保洁情况  (30分）</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（1）道路、公共场所早上七点前未完成普扫；                                          （2）未及时进行旧村、河塘河涌水面、绿化带、建筑外立面保洁；                                                             （3）使用露天垃圾池；                        （4）使用竹箩、非密闭垃圾收集容器，垃圾桶、果皮箱、收集箱摆放不整齐，外观脏乱差；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（5）排水井口、井盖无及时清理周边垃圾</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（6）未按规定上门收集垃圾的。                （7）存在生活垃圾和建筑垃圾堆积、卫生死角；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w:t>
            </w:r>
            <w:r>
              <w:rPr>
                <w:rStyle w:val="51"/>
                <w:rFonts w:hint="eastAsia" w:ascii="宋体" w:hAnsi="宋体" w:eastAsia="宋体" w:cs="宋体"/>
                <w:color w:val="000000" w:themeColor="text1"/>
                <w:sz w:val="21"/>
                <w:szCs w:val="21"/>
                <w:highlight w:val="none"/>
                <w:lang w:bidi="ar"/>
                <w14:textFill>
                  <w14:solidFill>
                    <w14:schemeClr w14:val="tx1"/>
                  </w14:solidFill>
                </w14:textFill>
              </w:rPr>
              <w:t>1</w:t>
            </w:r>
            <w:r>
              <w:rPr>
                <w:rStyle w:val="50"/>
                <w:rFonts w:hint="eastAsia" w:ascii="宋体" w:hAnsi="宋体" w:eastAsia="宋体" w:cs="宋体"/>
                <w:color w:val="000000" w:themeColor="text1"/>
                <w:sz w:val="21"/>
                <w:szCs w:val="21"/>
                <w:highlight w:val="none"/>
                <w:lang w:bidi="ar"/>
                <w14:textFill>
                  <w14:solidFill>
                    <w14:schemeClr w14:val="tx1"/>
                  </w14:solidFill>
                </w14:textFill>
              </w:rPr>
              <w:t>分，共发现 （ ）例，扣完此项分为止。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5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nil"/>
              <w:right w:val="nil"/>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2、环卫作业情况  (10分）</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（1）垃圾运输车、环卫手推车未密闭；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（2）环卫作业车辆车容不整，外观脏乱差，有污水滴漏、垃圾抛洒等现象；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（3）环卫工人作业未穿着环卫反光衣。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w:t>
            </w:r>
            <w:r>
              <w:rPr>
                <w:rStyle w:val="51"/>
                <w:rFonts w:hint="eastAsia" w:ascii="宋体" w:hAnsi="宋体" w:eastAsia="宋体" w:cs="宋体"/>
                <w:color w:val="000000" w:themeColor="text1"/>
                <w:sz w:val="21"/>
                <w:szCs w:val="21"/>
                <w:highlight w:val="none"/>
                <w:lang w:bidi="ar"/>
                <w14:textFill>
                  <w14:solidFill>
                    <w14:schemeClr w14:val="tx1"/>
                  </w14:solidFill>
                </w14:textFill>
              </w:rPr>
              <w:t>1</w:t>
            </w:r>
            <w:r>
              <w:rPr>
                <w:rStyle w:val="50"/>
                <w:rFonts w:hint="eastAsia" w:ascii="宋体" w:hAnsi="宋体" w:eastAsia="宋体" w:cs="宋体"/>
                <w:color w:val="000000" w:themeColor="text1"/>
                <w:sz w:val="21"/>
                <w:szCs w:val="21"/>
                <w:highlight w:val="none"/>
                <w:lang w:bidi="ar"/>
                <w14:textFill>
                  <w14:solidFill>
                    <w14:schemeClr w14:val="tx1"/>
                  </w14:solidFill>
                </w14:textFill>
              </w:rPr>
              <w:t>分，共发现  （ ）例，扣完此项分为止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 3、“三边”（路边、山边、水边）情况      (10分)</w:t>
            </w:r>
          </w:p>
        </w:tc>
        <w:tc>
          <w:tcPr>
            <w:tcW w:w="479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（1）“三边”（路边、山边、水边）积存垃圾未清理；</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（2）“三边”（路边、山边、水边）堆放淤泥渣土；</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（3）“三边”（路边、山边、水边）有焚烧生活垃圾现象；</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现场发现以上情况，每例扣1分,共发现(    )处，扣完此项分止。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4、垃圾桶（箱）的配备及保洁工作（10分) </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 商业、金融街道每50-100m设置一个；主干路、次干路、有辅道的快速路每100-200m设置一个；支路、有人行道的快速路每200-400m设置一个；①垃圾桶（箱）残破；</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②垃圾桶（箱）表面有明显的污迹；</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③未按标准配置垃圾桶（箱）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④周边环境“脏乱差”。</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现场发现以上情况，每例扣1分,共发现(    )处，扣完此项分止。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5、公厕管理情况(10分）</w:t>
            </w:r>
          </w:p>
        </w:tc>
        <w:tc>
          <w:tcPr>
            <w:tcW w:w="4797"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（1）公共厕所内有异味；                            （2）显眼位置未设置统一编号、标识；                                              （3）设备有损坏；                              （4）无管理人员在岗保洁、管理；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（5）公厕不开放使用；　　　　　　　　　　　　　（6）公厕存在收费现象。</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（7） 辖区内所属公厕未达到国家二类标准。                      </w:t>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w:t>
            </w:r>
            <w:r>
              <w:rPr>
                <w:rStyle w:val="51"/>
                <w:rFonts w:hint="eastAsia" w:ascii="宋体" w:hAnsi="宋体" w:eastAsia="宋体" w:cs="宋体"/>
                <w:color w:val="000000" w:themeColor="text1"/>
                <w:sz w:val="21"/>
                <w:szCs w:val="21"/>
                <w:highlight w:val="none"/>
                <w:lang w:bidi="ar"/>
                <w14:textFill>
                  <w14:solidFill>
                    <w14:schemeClr w14:val="tx1"/>
                  </w14:solidFill>
                </w14:textFill>
              </w:rPr>
              <w:t>1</w:t>
            </w:r>
            <w:r>
              <w:rPr>
                <w:rStyle w:val="50"/>
                <w:rFonts w:hint="eastAsia" w:ascii="宋体" w:hAnsi="宋体" w:eastAsia="宋体" w:cs="宋体"/>
                <w:color w:val="000000" w:themeColor="text1"/>
                <w:sz w:val="21"/>
                <w:szCs w:val="21"/>
                <w:highlight w:val="none"/>
                <w:lang w:bidi="ar"/>
                <w14:textFill>
                  <w14:solidFill>
                    <w14:schemeClr w14:val="tx1"/>
                  </w14:solidFill>
                </w14:textFill>
              </w:rPr>
              <w:t>分，共发现（ ）例，扣完此项分为止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888"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nil"/>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6、转运站管理情况(5分）</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（1）转运站内有异味；                           （2）无统一编号和规章制度；                            （3）设备未密闭，存在露天垃圾池；                             </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（4）无管理人员在岗保洁、管理；                    （5）周边环境“脏乱差”；</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 xml:space="preserve">（6） 垃圾转运站（含收集点）无配备水电。                            </w:t>
            </w:r>
            <w:r>
              <w:rPr>
                <w:rStyle w:val="50"/>
                <w:rFonts w:hint="eastAsia" w:ascii="宋体" w:hAnsi="宋体" w:eastAsia="宋体" w:cs="宋体"/>
                <w:color w:val="000000" w:themeColor="text1"/>
                <w:sz w:val="21"/>
                <w:szCs w:val="21"/>
                <w:highlight w:val="none"/>
                <w:lang w:bidi="ar"/>
                <w14:textFill>
                  <w14:solidFill>
                    <w14:schemeClr w14:val="tx1"/>
                  </w14:solidFill>
                </w14:textFill>
              </w:rPr>
              <w:t xml:space="preserve">现场发现以上情况，每例扣1分，共发现（ ）例，扣完此项分为止。           </w:t>
            </w:r>
            <w:r>
              <w:rPr>
                <w:rStyle w:val="51"/>
                <w:rFonts w:hint="eastAsia" w:ascii="宋体" w:hAnsi="宋体" w:eastAsia="宋体" w:cs="宋体"/>
                <w:color w:val="000000" w:themeColor="text1"/>
                <w:sz w:val="21"/>
                <w:szCs w:val="21"/>
                <w:highlight w:val="none"/>
                <w:lang w:bidi="ar"/>
                <w14:textFill>
                  <w14:solidFill>
                    <w14:schemeClr w14:val="tx1"/>
                  </w14:solidFill>
                </w14:textFill>
              </w:rPr>
              <w:t xml:space="preserve">              </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nil"/>
              <w:left w:val="nil"/>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7、“牛皮癣”管理情况（15分）   </w:t>
            </w:r>
            <w:r>
              <w:rPr>
                <w:rStyle w:val="52"/>
                <w:rFonts w:hint="default" w:ascii="宋体" w:eastAsia="宋体" w:cs="宋体"/>
                <w:color w:val="000000" w:themeColor="text1"/>
                <w:sz w:val="21"/>
                <w:szCs w:val="21"/>
                <w:highlight w:val="none"/>
                <w:lang w:bidi="ar"/>
                <w14:textFill>
                  <w14:solidFill>
                    <w14:schemeClr w14:val="tx1"/>
                  </w14:solidFill>
                </w14:textFill>
              </w:rPr>
              <w:t xml:space="preserve">                                                 </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路面、市政设施、灯箱、灯柱、电箱、护栏、墙壁、公交车站、内街小巷、商铺卷闸门等可视范围内有“牛皮癣”的。</w:t>
            </w:r>
            <w:r>
              <w:rPr>
                <w:rStyle w:val="50"/>
                <w:rFonts w:hint="eastAsia" w:ascii="宋体" w:hAnsi="宋体" w:eastAsia="宋体" w:cs="宋体"/>
                <w:color w:val="000000" w:themeColor="text1"/>
                <w:sz w:val="21"/>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w:t>
            </w:r>
            <w:r>
              <w:rPr>
                <w:rStyle w:val="51"/>
                <w:rFonts w:hint="eastAsia" w:ascii="宋体" w:hAnsi="宋体" w:eastAsia="宋体" w:cs="宋体"/>
                <w:color w:val="000000" w:themeColor="text1"/>
                <w:sz w:val="21"/>
                <w:szCs w:val="21"/>
                <w:highlight w:val="none"/>
                <w:lang w:bidi="ar"/>
                <w14:textFill>
                  <w14:solidFill>
                    <w14:schemeClr w14:val="tx1"/>
                  </w14:solidFill>
                </w14:textFill>
              </w:rPr>
              <w:t>1.5</w:t>
            </w:r>
            <w:r>
              <w:rPr>
                <w:rStyle w:val="50"/>
                <w:rFonts w:hint="eastAsia" w:ascii="宋体" w:hAnsi="宋体" w:eastAsia="宋体" w:cs="宋体"/>
                <w:color w:val="000000" w:themeColor="text1"/>
                <w:sz w:val="21"/>
                <w:szCs w:val="21"/>
                <w:highlight w:val="none"/>
                <w:lang w:bidi="ar"/>
                <w14:textFill>
                  <w14:solidFill>
                    <w14:schemeClr w14:val="tx1"/>
                  </w14:solidFill>
                </w14:textFill>
              </w:rPr>
              <w:t>分，共发现（  )例，扣完此项分为止。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8、绿化养护（5分）</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（1）植株生长不良、长势差，部分树干死亡，植株重度损坏。                                                          （2）缺乏修剪或修剪不适当，枝叶遮挡交通灯或交通指示牌或路灯的。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（3）病虫害控制不及时。</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（4）有枯枝、折枝、或棕榈科的干枯叶片未及时清理的。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（5）树木根系生长覆盖路面未及时处理的，树池或树池盖损坏、或树池盖不平整影响景观的。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（6）树体腐烂（或开口）部位未及时剔除、消毒、封口处理的。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（7）护树设施、景观灯等固定框损坏树干的，残花、枯萎的黄叶和黄蒂（梗）未及时清除，未及时修剪影响景观的。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（8）死亡、缺株未及时补种的。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（9）草坪杂草过多又无法净化或草坪衰老，未及时更新或重建的。                                                             （10）草坪未及时修剪、未正确控制草坪高度及修剪留茬高度的。                                                                              （11）黄土裸露的。</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Style w:val="50"/>
                <w:rFonts w:hint="eastAsia" w:ascii="宋体" w:hAnsi="宋体" w:eastAsia="宋体" w:cs="宋体"/>
                <w:color w:val="000000" w:themeColor="text1"/>
                <w:sz w:val="21"/>
                <w:szCs w:val="21"/>
                <w:highlight w:val="none"/>
                <w:lang w:bidi="ar"/>
                <w14:textFill>
                  <w14:solidFill>
                    <w14:schemeClr w14:val="tx1"/>
                  </w14:solidFill>
                </w14:textFill>
              </w:rPr>
              <w:t>现场发现以上情况，每例扣0.5分，共发现（  )例，扣完此项分为止。</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9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 xml:space="preserve">9、每月重点工作配合（5分） </w:t>
            </w:r>
            <w:r>
              <w:rPr>
                <w:rStyle w:val="52"/>
                <w:rFonts w:hint="default" w:ascii="宋体" w:eastAsia="宋体" w:cs="宋体"/>
                <w:color w:val="000000" w:themeColor="text1"/>
                <w:sz w:val="21"/>
                <w:szCs w:val="21"/>
                <w:highlight w:val="none"/>
                <w:lang w:bidi="ar"/>
                <w14:textFill>
                  <w14:solidFill>
                    <w14:schemeClr w14:val="tx1"/>
                  </w14:solidFill>
                </w14:textFill>
              </w:rPr>
              <w:t xml:space="preserve">                                                </w:t>
            </w:r>
          </w:p>
        </w:tc>
        <w:tc>
          <w:tcPr>
            <w:tcW w:w="4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（1）每日督导办函整改不到位扣0.5分；                 （2）重点工作督导问题整改不到位，情节严重扣0.5分；                                                                                   （3）重点工作督导问题不整改，情节严重扣1分；</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（4）未按时参加会议的、不按时上报资料的、未经请示同意不参加学习培训的扣1分；</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（5）卫生收费日常工作不配合：如不按规范流程操作，不按时交资料，处理态度恶劣，其他不配合事项等扣1分；</w:t>
            </w:r>
            <w:r>
              <w:rPr>
                <w:rFonts w:hint="eastAsia" w:ascii="宋体" w:hAnsi="宋体" w:cs="宋体"/>
                <w:b/>
                <w:bCs/>
                <w:color w:val="000000" w:themeColor="text1"/>
                <w:kern w:val="0"/>
                <w:szCs w:val="21"/>
                <w:highlight w:val="none"/>
                <w:lang w:bidi="ar"/>
                <w14:textFill>
                  <w14:solidFill>
                    <w14:schemeClr w14:val="tx1"/>
                  </w14:solidFill>
                </w14:textFill>
              </w:rPr>
              <w:br w:type="textWrapping"/>
            </w:r>
            <w:r>
              <w:rPr>
                <w:rFonts w:hint="eastAsia" w:ascii="宋体" w:hAnsi="宋体" w:cs="宋体"/>
                <w:b/>
                <w:bCs/>
                <w:color w:val="000000" w:themeColor="text1"/>
                <w:kern w:val="0"/>
                <w:szCs w:val="21"/>
                <w:highlight w:val="none"/>
                <w:lang w:bidi="ar"/>
                <w14:textFill>
                  <w14:solidFill>
                    <w14:schemeClr w14:val="tx1"/>
                  </w14:solidFill>
                </w14:textFill>
              </w:rPr>
              <w:t>（6）垃圾处理日常工作不配合：如不按规范流程操作，不按时交资料，处理态度恶劣，其他不配合事项等扣1分。</w:t>
            </w:r>
          </w:p>
        </w:tc>
        <w:tc>
          <w:tcPr>
            <w:tcW w:w="240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20"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color w:val="000000" w:themeColor="text1"/>
                <w:szCs w:val="21"/>
                <w:highlight w:val="none"/>
                <w14:textFill>
                  <w14:solidFill>
                    <w14:schemeClr w14:val="tx1"/>
                  </w14:solidFill>
                </w14:textFill>
              </w:rPr>
            </w:pPr>
          </w:p>
        </w:tc>
        <w:tc>
          <w:tcPr>
            <w:tcW w:w="24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42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50" w:hRule="atLeast"/>
        </w:trPr>
        <w:tc>
          <w:tcPr>
            <w:tcW w:w="5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总合计</w:t>
            </w:r>
          </w:p>
        </w:tc>
        <w:tc>
          <w:tcPr>
            <w:tcW w:w="28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888" w:type="dxa"/>
            <w:tcBorders>
              <w:top w:val="nil"/>
              <w:left w:val="nil"/>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1970" w:type="dxa"/>
            <w:tcBorders>
              <w:top w:val="nil"/>
              <w:left w:val="nil"/>
              <w:bottom w:val="nil"/>
              <w:right w:val="nil"/>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32" w:type="dxa"/>
            <w:tcBorders>
              <w:top w:val="nil"/>
              <w:left w:val="nil"/>
              <w:bottom w:val="nil"/>
              <w:right w:val="nil"/>
            </w:tcBorders>
            <w:shd w:val="clear" w:color="auto" w:fill="auto"/>
            <w:vAlign w:val="center"/>
          </w:tcPr>
          <w:p>
            <w:pPr>
              <w:rPr>
                <w:rFonts w:ascii="宋体" w:hAnsi="宋体" w:cs="宋体"/>
                <w:color w:val="000000" w:themeColor="text1"/>
                <w:szCs w:val="21"/>
                <w:highlight w:val="none"/>
                <w14:textFill>
                  <w14:solidFill>
                    <w14:schemeClr w14:val="tx1"/>
                  </w14:solidFill>
                </w14:textFill>
              </w:rPr>
            </w:pPr>
          </w:p>
        </w:tc>
        <w:tc>
          <w:tcPr>
            <w:tcW w:w="429" w:type="dxa"/>
            <w:tcBorders>
              <w:top w:val="nil"/>
              <w:left w:val="nil"/>
              <w:bottom w:val="nil"/>
              <w:right w:val="nil"/>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690" w:hRule="atLeast"/>
        </w:trPr>
        <w:tc>
          <w:tcPr>
            <w:tcW w:w="5685" w:type="dxa"/>
            <w:gridSpan w:val="2"/>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831" w:type="dxa"/>
            <w:gridSpan w:val="3"/>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888"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社区环境办检查人员签名：</w:t>
            </w:r>
          </w:p>
        </w:tc>
        <w:tc>
          <w:tcPr>
            <w:tcW w:w="1970" w:type="dxa"/>
            <w:tcBorders>
              <w:top w:val="nil"/>
              <w:left w:val="nil"/>
              <w:bottom w:val="nil"/>
              <w:right w:val="nil"/>
            </w:tcBorders>
            <w:shd w:val="clear" w:color="auto" w:fill="auto"/>
            <w:noWrap/>
            <w:vAlign w:val="bottom"/>
          </w:tcPr>
          <w:p>
            <w:pPr>
              <w:widowControl/>
              <w:textAlignment w:val="bottom"/>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市场化检查人员签名：</w:t>
            </w:r>
          </w:p>
        </w:tc>
        <w:tc>
          <w:tcPr>
            <w:tcW w:w="43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9"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888"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70"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32"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29"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888"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70"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32"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29"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888"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70"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32"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29"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915" w:hRule="atLeast"/>
        </w:trPr>
        <w:tc>
          <w:tcPr>
            <w:tcW w:w="888"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c>
          <w:tcPr>
            <w:tcW w:w="4797" w:type="dxa"/>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社区环境办主任签名：（盖章）</w:t>
            </w:r>
          </w:p>
        </w:tc>
        <w:tc>
          <w:tcPr>
            <w:tcW w:w="2402" w:type="dxa"/>
            <w:gridSpan w:val="2"/>
            <w:tcBorders>
              <w:top w:val="nil"/>
              <w:left w:val="nil"/>
              <w:bottom w:val="nil"/>
              <w:right w:val="nil"/>
            </w:tcBorders>
            <w:shd w:val="clear" w:color="auto" w:fill="auto"/>
            <w:noWrap/>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市场化公司负责人签名：（盖章）</w:t>
            </w:r>
          </w:p>
        </w:tc>
        <w:tc>
          <w:tcPr>
            <w:tcW w:w="429" w:type="dxa"/>
            <w:tcBorders>
              <w:top w:val="nil"/>
              <w:left w:val="nil"/>
              <w:bottom w:val="nil"/>
              <w:right w:val="nil"/>
            </w:tcBorders>
            <w:shd w:val="clear" w:color="auto" w:fill="auto"/>
            <w:noWrap/>
            <w:vAlign w:val="bottom"/>
          </w:tcPr>
          <w:p>
            <w:pPr>
              <w:rPr>
                <w:rFonts w:ascii="宋体" w:hAnsi="宋体" w:cs="宋体"/>
                <w:color w:val="000000" w:themeColor="text1"/>
                <w:szCs w:val="21"/>
                <w:highlight w:val="none"/>
                <w14:textFill>
                  <w14:solidFill>
                    <w14:schemeClr w14:val="tx1"/>
                  </w14:solidFill>
                </w14:textFill>
              </w:rPr>
            </w:pPr>
          </w:p>
        </w:tc>
      </w:tr>
    </w:tbl>
    <w:p>
      <w:pPr>
        <w:spacing w:line="360" w:lineRule="auto"/>
        <w:rPr>
          <w:rFonts w:ascii="宋体" w:hAnsi="宋体" w:cs="宋体"/>
          <w:color w:val="000000" w:themeColor="text1"/>
          <w:sz w:val="24"/>
          <w:highlight w:val="none"/>
          <w14:textFill>
            <w14:solidFill>
              <w14:schemeClr w14:val="tx1"/>
            </w14:solidFill>
          </w14:textFill>
        </w:rPr>
      </w:pPr>
    </w:p>
    <w:p>
      <w:pPr>
        <w:pStyle w:val="2"/>
        <w:tabs>
          <w:tab w:val="left" w:pos="567"/>
        </w:tabs>
        <w:rPr>
          <w:color w:val="000000" w:themeColor="text1"/>
          <w:highlight w:val="none"/>
          <w14:textFill>
            <w14:solidFill>
              <w14:schemeClr w14:val="tx1"/>
            </w14:solidFill>
          </w14:textFill>
        </w:rPr>
      </w:pPr>
    </w:p>
    <w:p>
      <w:pPr>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br w:type="page"/>
      </w:r>
    </w:p>
    <w:tbl>
      <w:tblPr>
        <w:tblStyle w:val="17"/>
        <w:tblW w:w="5000" w:type="pct"/>
        <w:tblInd w:w="0" w:type="dxa"/>
        <w:tblLayout w:type="autofit"/>
        <w:tblCellMar>
          <w:top w:w="0" w:type="dxa"/>
          <w:left w:w="108" w:type="dxa"/>
          <w:bottom w:w="0" w:type="dxa"/>
          <w:right w:w="108" w:type="dxa"/>
        </w:tblCellMar>
      </w:tblPr>
      <w:tblGrid>
        <w:gridCol w:w="468"/>
        <w:gridCol w:w="468"/>
        <w:gridCol w:w="468"/>
        <w:gridCol w:w="468"/>
        <w:gridCol w:w="468"/>
        <w:gridCol w:w="468"/>
        <w:gridCol w:w="342"/>
        <w:gridCol w:w="468"/>
        <w:gridCol w:w="468"/>
        <w:gridCol w:w="468"/>
        <w:gridCol w:w="468"/>
        <w:gridCol w:w="469"/>
        <w:gridCol w:w="343"/>
        <w:gridCol w:w="469"/>
        <w:gridCol w:w="469"/>
        <w:gridCol w:w="469"/>
        <w:gridCol w:w="469"/>
        <w:gridCol w:w="469"/>
        <w:gridCol w:w="343"/>
      </w:tblGrid>
      <w:tr>
        <w:tblPrEx>
          <w:tblCellMar>
            <w:top w:w="0" w:type="dxa"/>
            <w:left w:w="108" w:type="dxa"/>
            <w:bottom w:w="0" w:type="dxa"/>
            <w:right w:w="108" w:type="dxa"/>
          </w:tblCellMar>
        </w:tblPrEx>
        <w:trPr>
          <w:trHeight w:val="1080" w:hRule="atLeast"/>
        </w:trPr>
        <w:tc>
          <w:tcPr>
            <w:tcW w:w="5000" w:type="pct"/>
            <w:gridSpan w:val="19"/>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lang w:bidi="ar"/>
                <w14:textFill>
                  <w14:solidFill>
                    <w14:schemeClr w14:val="tx1"/>
                  </w14:solidFill>
                </w14:textFill>
              </w:rPr>
              <w:t>社区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月环卫作业项目现场检查评分明细表</w:t>
            </w:r>
          </w:p>
        </w:tc>
      </w:tr>
      <w:tr>
        <w:tblPrEx>
          <w:tblCellMar>
            <w:top w:w="0" w:type="dxa"/>
            <w:left w:w="108" w:type="dxa"/>
            <w:bottom w:w="0" w:type="dxa"/>
            <w:right w:w="108" w:type="dxa"/>
          </w:tblCellMar>
        </w:tblPrEx>
        <w:trPr>
          <w:trHeight w:val="360" w:hRule="atLeast"/>
        </w:trPr>
        <w:tc>
          <w:tcPr>
            <w:tcW w:w="5000" w:type="pct"/>
            <w:gridSpan w:val="19"/>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表4-2</w:t>
            </w:r>
          </w:p>
        </w:tc>
      </w:tr>
      <w:tr>
        <w:tblPrEx>
          <w:tblCellMar>
            <w:top w:w="0" w:type="dxa"/>
            <w:left w:w="108" w:type="dxa"/>
            <w:bottom w:w="0" w:type="dxa"/>
            <w:right w:w="108" w:type="dxa"/>
          </w:tblCellMar>
        </w:tblPrEx>
        <w:trPr>
          <w:trHeight w:val="375" w:hRule="atLeast"/>
        </w:trPr>
        <w:tc>
          <w:tcPr>
            <w:tcW w:w="5000" w:type="pct"/>
            <w:gridSpan w:val="19"/>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日期:     年   月    日</w:t>
            </w:r>
          </w:p>
        </w:tc>
      </w:tr>
      <w:tr>
        <w:tblPrEx>
          <w:tblCellMar>
            <w:top w:w="0" w:type="dxa"/>
            <w:left w:w="108" w:type="dxa"/>
            <w:bottom w:w="0" w:type="dxa"/>
            <w:right w:w="108" w:type="dxa"/>
          </w:tblCellMar>
        </w:tblPrEx>
        <w:trPr>
          <w:trHeight w:val="555" w:hRule="atLeast"/>
        </w:trPr>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w:t>
            </w:r>
          </w:p>
        </w:tc>
        <w:tc>
          <w:tcPr>
            <w:tcW w:w="147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社区领导评分明细</w:t>
            </w:r>
          </w:p>
        </w:tc>
        <w:tc>
          <w:tcPr>
            <w:tcW w:w="147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环境办评分明细</w:t>
            </w:r>
          </w:p>
        </w:tc>
        <w:tc>
          <w:tcPr>
            <w:tcW w:w="147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市场化公司（作参考）</w:t>
            </w:r>
          </w:p>
        </w:tc>
      </w:tr>
      <w:tr>
        <w:tblPrEx>
          <w:tblCellMar>
            <w:top w:w="0" w:type="dxa"/>
            <w:left w:w="108" w:type="dxa"/>
            <w:bottom w:w="0" w:type="dxa"/>
            <w:right w:w="108" w:type="dxa"/>
          </w:tblCellMar>
        </w:tblPrEx>
        <w:trPr>
          <w:trHeight w:val="630" w:hRule="atLeast"/>
        </w:trPr>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280" w:type="pct"/>
            <w:gridSpan w:val="5"/>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实际评分明细</w:t>
            </w:r>
          </w:p>
        </w:tc>
        <w:tc>
          <w:tcPr>
            <w:tcW w:w="191"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实际平均分</w:t>
            </w:r>
          </w:p>
        </w:tc>
        <w:tc>
          <w:tcPr>
            <w:tcW w:w="1282" w:type="pct"/>
            <w:gridSpan w:val="5"/>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实际评分明细</w:t>
            </w:r>
          </w:p>
        </w:tc>
        <w:tc>
          <w:tcPr>
            <w:tcW w:w="191"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实际平均分</w:t>
            </w:r>
          </w:p>
        </w:tc>
        <w:tc>
          <w:tcPr>
            <w:tcW w:w="1282" w:type="pct"/>
            <w:gridSpan w:val="5"/>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实际评分明细</w:t>
            </w:r>
          </w:p>
        </w:tc>
        <w:tc>
          <w:tcPr>
            <w:tcW w:w="191" w:type="pc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实际平均分</w:t>
            </w:r>
          </w:p>
        </w:tc>
      </w:tr>
      <w:tr>
        <w:tblPrEx>
          <w:tblCellMar>
            <w:top w:w="0" w:type="dxa"/>
            <w:left w:w="108" w:type="dxa"/>
            <w:bottom w:w="0" w:type="dxa"/>
            <w:right w:w="108" w:type="dxa"/>
          </w:tblCellMar>
        </w:tblPrEx>
        <w:trPr>
          <w:trHeight w:val="630" w:hRule="atLeast"/>
        </w:trPr>
        <w:tc>
          <w:tcPr>
            <w:tcW w:w="5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日检</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人员</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设备</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暗防</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日检</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人员</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设备</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暗防</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日检</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人员</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设备</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暗防</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p>
        </w:tc>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80" w:hRule="atLeast"/>
        </w:trPr>
        <w:tc>
          <w:tcPr>
            <w:tcW w:w="5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85" w:hRule="atLeast"/>
        </w:trPr>
        <w:tc>
          <w:tcPr>
            <w:tcW w:w="1347" w:type="pct"/>
            <w:gridSpan w:val="4"/>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217" w:type="pct"/>
            <w:gridSpan w:val="5"/>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217" w:type="pct"/>
            <w:gridSpan w:val="5"/>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5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rPr>
          <w:rFonts w:ascii="宋体" w:hAnsi="宋体"/>
          <w:color w:val="000000" w:themeColor="text1"/>
          <w:sz w:val="24"/>
          <w:highlight w:val="none"/>
          <w14:textFill>
            <w14:solidFill>
              <w14:schemeClr w14:val="tx1"/>
            </w14:solidFill>
          </w14:textFill>
        </w:rPr>
      </w:pPr>
    </w:p>
    <w:p>
      <w:pPr>
        <w:pStyle w:val="2"/>
        <w:tabs>
          <w:tab w:val="left" w:pos="567"/>
        </w:tabs>
        <w:rPr>
          <w:color w:val="000000" w:themeColor="text1"/>
          <w:highlight w:val="none"/>
          <w14:textFill>
            <w14:solidFill>
              <w14:schemeClr w14:val="tx1"/>
            </w14:solidFill>
          </w14:textFill>
        </w:rPr>
      </w:pPr>
    </w:p>
    <w:p>
      <w:pPr>
        <w:pStyle w:val="2"/>
        <w:tabs>
          <w:tab w:val="left" w:pos="567"/>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tbl>
      <w:tblPr>
        <w:tblStyle w:val="17"/>
        <w:tblW w:w="5000" w:type="pct"/>
        <w:tblInd w:w="0" w:type="dxa"/>
        <w:tblLayout w:type="fixed"/>
        <w:tblCellMar>
          <w:top w:w="0" w:type="dxa"/>
          <w:left w:w="108" w:type="dxa"/>
          <w:bottom w:w="0" w:type="dxa"/>
          <w:right w:w="108" w:type="dxa"/>
        </w:tblCellMar>
      </w:tblPr>
      <w:tblGrid>
        <w:gridCol w:w="328"/>
        <w:gridCol w:w="505"/>
        <w:gridCol w:w="300"/>
        <w:gridCol w:w="339"/>
        <w:gridCol w:w="298"/>
        <w:gridCol w:w="341"/>
        <w:gridCol w:w="300"/>
        <w:gridCol w:w="341"/>
        <w:gridCol w:w="298"/>
        <w:gridCol w:w="341"/>
        <w:gridCol w:w="298"/>
        <w:gridCol w:w="341"/>
        <w:gridCol w:w="298"/>
        <w:gridCol w:w="341"/>
        <w:gridCol w:w="298"/>
        <w:gridCol w:w="341"/>
        <w:gridCol w:w="300"/>
        <w:gridCol w:w="343"/>
        <w:gridCol w:w="298"/>
        <w:gridCol w:w="341"/>
        <w:gridCol w:w="298"/>
        <w:gridCol w:w="341"/>
        <w:gridCol w:w="298"/>
        <w:gridCol w:w="341"/>
        <w:gridCol w:w="298"/>
        <w:gridCol w:w="356"/>
      </w:tblGrid>
      <w:tr>
        <w:tblPrEx>
          <w:tblCellMar>
            <w:top w:w="0" w:type="dxa"/>
            <w:left w:w="108" w:type="dxa"/>
            <w:bottom w:w="0" w:type="dxa"/>
            <w:right w:w="108" w:type="dxa"/>
          </w:tblCellMar>
        </w:tblPrEx>
        <w:trPr>
          <w:trHeight w:val="620" w:hRule="atLeast"/>
        </w:trPr>
        <w:tc>
          <w:tcPr>
            <w:tcW w:w="5000" w:type="pct"/>
            <w:gridSpan w:val="26"/>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lang w:bidi="ar"/>
                <w14:textFill>
                  <w14:solidFill>
                    <w14:schemeClr w14:val="tx1"/>
                  </w14:solidFill>
                </w14:textFill>
              </w:rPr>
              <w:t>社区环卫投诉处理评分统计表</w:t>
            </w:r>
          </w:p>
        </w:tc>
      </w:tr>
      <w:tr>
        <w:tblPrEx>
          <w:tblCellMar>
            <w:top w:w="0" w:type="dxa"/>
            <w:left w:w="108" w:type="dxa"/>
            <w:bottom w:w="0" w:type="dxa"/>
            <w:right w:w="108" w:type="dxa"/>
          </w:tblCellMar>
        </w:tblPrEx>
        <w:trPr>
          <w:trHeight w:val="285" w:hRule="atLeast"/>
        </w:trPr>
        <w:tc>
          <w:tcPr>
            <w:tcW w:w="5000" w:type="pct"/>
            <w:gridSpan w:val="26"/>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表4-3</w:t>
            </w:r>
          </w:p>
        </w:tc>
      </w:tr>
      <w:tr>
        <w:tblPrEx>
          <w:tblCellMar>
            <w:top w:w="0" w:type="dxa"/>
            <w:left w:w="108" w:type="dxa"/>
            <w:bottom w:w="0" w:type="dxa"/>
            <w:right w:w="108" w:type="dxa"/>
          </w:tblCellMar>
        </w:tblPrEx>
        <w:trPr>
          <w:trHeight w:val="375" w:hRule="atLeast"/>
        </w:trPr>
        <w:tc>
          <w:tcPr>
            <w:tcW w:w="5000" w:type="pct"/>
            <w:gridSpan w:val="26"/>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日期:     年  月  日</w:t>
            </w:r>
          </w:p>
        </w:tc>
      </w:tr>
      <w:tr>
        <w:tblPrEx>
          <w:tblCellMar>
            <w:top w:w="0" w:type="dxa"/>
            <w:left w:w="108" w:type="dxa"/>
            <w:bottom w:w="0" w:type="dxa"/>
            <w:right w:w="108" w:type="dxa"/>
          </w:tblCellMar>
        </w:tblPrEx>
        <w:trPr>
          <w:trHeight w:val="520" w:hRule="atLeast"/>
        </w:trPr>
        <w:tc>
          <w:tcPr>
            <w:tcW w:w="1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  名称</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一月</w:t>
            </w:r>
          </w:p>
        </w:tc>
        <w:tc>
          <w:tcPr>
            <w:tcW w:w="37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二月</w:t>
            </w:r>
          </w:p>
        </w:tc>
        <w:tc>
          <w:tcPr>
            <w:tcW w:w="3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四月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五月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六月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七月</w:t>
            </w:r>
          </w:p>
        </w:tc>
        <w:tc>
          <w:tcPr>
            <w:tcW w:w="3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八月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九月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十一月</w:t>
            </w:r>
          </w:p>
        </w:tc>
        <w:tc>
          <w:tcPr>
            <w:tcW w:w="37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十二月</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全年投诉合计（笔）</w:t>
            </w:r>
          </w:p>
        </w:tc>
      </w:tr>
      <w:tr>
        <w:tblPrEx>
          <w:tblCellMar>
            <w:top w:w="0" w:type="dxa"/>
            <w:left w:w="108" w:type="dxa"/>
            <w:bottom w:w="0" w:type="dxa"/>
            <w:right w:w="108" w:type="dxa"/>
          </w:tblCellMar>
        </w:tblPrEx>
        <w:trPr>
          <w:trHeight w:val="1980" w:hRule="atLeast"/>
        </w:trPr>
        <w:tc>
          <w:tcPr>
            <w:tcW w:w="1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数量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（笔）</w:t>
            </w:r>
          </w:p>
        </w:tc>
        <w:tc>
          <w:tcPr>
            <w:tcW w:w="1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得分（总分5分）</w:t>
            </w: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20" w:hRule="atLeast"/>
        </w:trPr>
        <w:tc>
          <w:tcPr>
            <w:tcW w:w="1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222" w:type="pct"/>
            <w:gridSpan w:val="6"/>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302" w:type="pct"/>
            <w:gridSpan w:val="7"/>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9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9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9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222" w:type="pct"/>
            <w:gridSpan w:val="6"/>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复核人员签名：</w:t>
            </w: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27" w:type="pct"/>
            <w:gridSpan w:val="6"/>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4"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pStyle w:val="2"/>
        <w:tabs>
          <w:tab w:val="left" w:pos="567"/>
        </w:tabs>
        <w:rPr>
          <w:color w:val="000000" w:themeColor="text1"/>
          <w:highlight w:val="none"/>
          <w14:textFill>
            <w14:solidFill>
              <w14:schemeClr w14:val="tx1"/>
            </w14:solidFill>
          </w14:textFill>
        </w:rPr>
      </w:pPr>
    </w:p>
    <w:p>
      <w:pPr>
        <w:rPr>
          <w:rFonts w:ascii="宋体" w:hAnsi="宋体"/>
          <w:color w:val="000000" w:themeColor="text1"/>
          <w:sz w:val="24"/>
          <w:highlight w:val="none"/>
          <w14:textFill>
            <w14:solidFill>
              <w14:schemeClr w14:val="tx1"/>
            </w14:solidFill>
          </w14:textFill>
        </w:rPr>
      </w:pPr>
    </w:p>
    <w:p>
      <w:pPr>
        <w:pStyle w:val="2"/>
        <w:tabs>
          <w:tab w:val="left" w:pos="567"/>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tbl>
      <w:tblPr>
        <w:tblStyle w:val="17"/>
        <w:tblW w:w="5000" w:type="pct"/>
        <w:tblInd w:w="0" w:type="dxa"/>
        <w:tblLayout w:type="autofit"/>
        <w:tblCellMar>
          <w:top w:w="0" w:type="dxa"/>
          <w:left w:w="108" w:type="dxa"/>
          <w:bottom w:w="0" w:type="dxa"/>
          <w:right w:w="108" w:type="dxa"/>
        </w:tblCellMar>
      </w:tblPr>
      <w:tblGrid>
        <w:gridCol w:w="261"/>
        <w:gridCol w:w="352"/>
        <w:gridCol w:w="307"/>
        <w:gridCol w:w="352"/>
        <w:gridCol w:w="307"/>
        <w:gridCol w:w="352"/>
        <w:gridCol w:w="307"/>
        <w:gridCol w:w="352"/>
        <w:gridCol w:w="307"/>
        <w:gridCol w:w="352"/>
        <w:gridCol w:w="307"/>
        <w:gridCol w:w="352"/>
        <w:gridCol w:w="307"/>
        <w:gridCol w:w="352"/>
        <w:gridCol w:w="307"/>
        <w:gridCol w:w="352"/>
        <w:gridCol w:w="307"/>
        <w:gridCol w:w="352"/>
        <w:gridCol w:w="307"/>
        <w:gridCol w:w="352"/>
        <w:gridCol w:w="307"/>
        <w:gridCol w:w="352"/>
        <w:gridCol w:w="307"/>
        <w:gridCol w:w="352"/>
        <w:gridCol w:w="307"/>
        <w:gridCol w:w="353"/>
      </w:tblGrid>
      <w:tr>
        <w:tblPrEx>
          <w:tblCellMar>
            <w:top w:w="0" w:type="dxa"/>
            <w:left w:w="108" w:type="dxa"/>
            <w:bottom w:w="0" w:type="dxa"/>
            <w:right w:w="108" w:type="dxa"/>
          </w:tblCellMar>
        </w:tblPrEx>
        <w:trPr>
          <w:trHeight w:val="620" w:hRule="atLeast"/>
        </w:trPr>
        <w:tc>
          <w:tcPr>
            <w:tcW w:w="5000" w:type="pct"/>
            <w:gridSpan w:val="26"/>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 xml:space="preserve"> 厦岗 </w:t>
            </w:r>
            <w:r>
              <w:rPr>
                <w:rFonts w:hint="eastAsia" w:ascii="宋体" w:hAnsi="宋体" w:cs="宋体"/>
                <w:color w:val="000000" w:themeColor="text1"/>
                <w:kern w:val="0"/>
                <w:szCs w:val="21"/>
                <w:highlight w:val="none"/>
                <w:lang w:bidi="ar"/>
                <w14:textFill>
                  <w14:solidFill>
                    <w14:schemeClr w14:val="tx1"/>
                  </w14:solidFill>
                </w14:textFill>
              </w:rPr>
              <w:t>社区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月环卫明查暗访评分统计表</w:t>
            </w:r>
          </w:p>
        </w:tc>
      </w:tr>
      <w:tr>
        <w:tblPrEx>
          <w:tblCellMar>
            <w:top w:w="0" w:type="dxa"/>
            <w:left w:w="108" w:type="dxa"/>
            <w:bottom w:w="0" w:type="dxa"/>
            <w:right w:w="108" w:type="dxa"/>
          </w:tblCellMar>
        </w:tblPrEx>
        <w:trPr>
          <w:trHeight w:val="285" w:hRule="atLeast"/>
        </w:trPr>
        <w:tc>
          <w:tcPr>
            <w:tcW w:w="5000" w:type="pct"/>
            <w:gridSpan w:val="26"/>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表4-4</w:t>
            </w:r>
          </w:p>
        </w:tc>
      </w:tr>
      <w:tr>
        <w:tblPrEx>
          <w:tblCellMar>
            <w:top w:w="0" w:type="dxa"/>
            <w:left w:w="108" w:type="dxa"/>
            <w:bottom w:w="0" w:type="dxa"/>
            <w:right w:w="108" w:type="dxa"/>
          </w:tblCellMar>
        </w:tblPrEx>
        <w:trPr>
          <w:trHeight w:val="375" w:hRule="atLeast"/>
        </w:trPr>
        <w:tc>
          <w:tcPr>
            <w:tcW w:w="5000" w:type="pct"/>
            <w:gridSpan w:val="26"/>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日期:    年    月     日</w:t>
            </w:r>
          </w:p>
        </w:tc>
      </w:tr>
      <w:tr>
        <w:tblPrEx>
          <w:tblCellMar>
            <w:top w:w="0" w:type="dxa"/>
            <w:left w:w="108" w:type="dxa"/>
            <w:bottom w:w="0" w:type="dxa"/>
            <w:right w:w="108" w:type="dxa"/>
          </w:tblCellMar>
        </w:tblPrEx>
        <w:trPr>
          <w:trHeight w:val="540"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  名称</w:t>
            </w:r>
          </w:p>
        </w:tc>
        <w:tc>
          <w:tcPr>
            <w:tcW w:w="3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一月</w:t>
            </w:r>
          </w:p>
        </w:tc>
        <w:tc>
          <w:tcPr>
            <w:tcW w:w="3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四月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五月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六月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七月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八月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九月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十一月</w:t>
            </w:r>
          </w:p>
        </w:tc>
        <w:tc>
          <w:tcPr>
            <w:tcW w:w="38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十二月</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全年明查暗访合计（笔）</w:t>
            </w:r>
          </w:p>
        </w:tc>
      </w:tr>
      <w:tr>
        <w:tblPrEx>
          <w:tblCellMar>
            <w:top w:w="0" w:type="dxa"/>
            <w:left w:w="108" w:type="dxa"/>
            <w:bottom w:w="0" w:type="dxa"/>
            <w:right w:w="108" w:type="dxa"/>
          </w:tblCellMar>
        </w:tblPrEx>
        <w:trPr>
          <w:trHeight w:val="19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暗访（笔）</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得分（总分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w:t>
            </w: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720" w:hRule="atLeast"/>
        </w:trPr>
        <w:tc>
          <w:tcPr>
            <w:tcW w:w="1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58" w:type="pct"/>
            <w:gridSpan w:val="6"/>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60" w:type="pct"/>
            <w:gridSpan w:val="6"/>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79"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5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58" w:type="pct"/>
            <w:gridSpan w:val="6"/>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复核人员签名：</w:t>
            </w: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54" w:type="pct"/>
            <w:gridSpan w:val="5"/>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pStyle w:val="2"/>
        <w:tabs>
          <w:tab w:val="left" w:pos="567"/>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pP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tbl>
      <w:tblPr>
        <w:tblStyle w:val="17"/>
        <w:tblW w:w="5000" w:type="pct"/>
        <w:tblInd w:w="0" w:type="dxa"/>
        <w:tblLayout w:type="autofit"/>
        <w:tblCellMar>
          <w:top w:w="0" w:type="dxa"/>
          <w:left w:w="108" w:type="dxa"/>
          <w:bottom w:w="0" w:type="dxa"/>
          <w:right w:w="108" w:type="dxa"/>
        </w:tblCellMar>
      </w:tblPr>
      <w:tblGrid>
        <w:gridCol w:w="629"/>
        <w:gridCol w:w="1686"/>
        <w:gridCol w:w="943"/>
        <w:gridCol w:w="760"/>
        <w:gridCol w:w="918"/>
        <w:gridCol w:w="678"/>
        <w:gridCol w:w="768"/>
        <w:gridCol w:w="750"/>
        <w:gridCol w:w="656"/>
        <w:gridCol w:w="734"/>
      </w:tblGrid>
      <w:tr>
        <w:tblPrEx>
          <w:tblCellMar>
            <w:top w:w="0" w:type="dxa"/>
            <w:left w:w="108" w:type="dxa"/>
            <w:bottom w:w="0" w:type="dxa"/>
            <w:right w:w="108" w:type="dxa"/>
          </w:tblCellMar>
        </w:tblPrEx>
        <w:trPr>
          <w:trHeight w:val="720" w:hRule="atLeast"/>
        </w:trPr>
        <w:tc>
          <w:tcPr>
            <w:tcW w:w="5000" w:type="pct"/>
            <w:gridSpan w:val="10"/>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lang w:bidi="ar"/>
                <w14:textFill>
                  <w14:solidFill>
                    <w14:schemeClr w14:val="tx1"/>
                  </w14:solidFill>
                </w14:textFill>
              </w:rPr>
              <w:t>社区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月环卫作业项目现场检查评分汇总表（30分）</w:t>
            </w:r>
          </w:p>
        </w:tc>
      </w:tr>
      <w:tr>
        <w:tblPrEx>
          <w:tblCellMar>
            <w:top w:w="0" w:type="dxa"/>
            <w:left w:w="108" w:type="dxa"/>
            <w:bottom w:w="0" w:type="dxa"/>
            <w:right w:w="108" w:type="dxa"/>
          </w:tblCellMar>
        </w:tblPrEx>
        <w:trPr>
          <w:trHeight w:val="285" w:hRule="atLeast"/>
        </w:trPr>
        <w:tc>
          <w:tcPr>
            <w:tcW w:w="5000" w:type="pct"/>
            <w:gridSpan w:val="10"/>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表4-5</w:t>
            </w:r>
          </w:p>
        </w:tc>
      </w:tr>
      <w:tr>
        <w:tblPrEx>
          <w:tblCellMar>
            <w:top w:w="0" w:type="dxa"/>
            <w:left w:w="108" w:type="dxa"/>
            <w:bottom w:w="0" w:type="dxa"/>
            <w:right w:w="108" w:type="dxa"/>
          </w:tblCellMar>
        </w:tblPrEx>
        <w:trPr>
          <w:trHeight w:val="375" w:hRule="atLeast"/>
        </w:trPr>
        <w:tc>
          <w:tcPr>
            <w:tcW w:w="5000" w:type="pct"/>
            <w:gridSpan w:val="10"/>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日期:    年   月   日</w:t>
            </w:r>
          </w:p>
        </w:tc>
      </w:tr>
      <w:tr>
        <w:tblPrEx>
          <w:tblCellMar>
            <w:top w:w="0" w:type="dxa"/>
            <w:left w:w="108" w:type="dxa"/>
            <w:bottom w:w="0" w:type="dxa"/>
            <w:right w:w="108" w:type="dxa"/>
          </w:tblCellMar>
        </w:tblPrEx>
        <w:trPr>
          <w:trHeight w:val="690" w:hRule="atLeast"/>
        </w:trPr>
        <w:tc>
          <w:tcPr>
            <w:tcW w:w="3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社区</w:t>
            </w:r>
          </w:p>
        </w:tc>
        <w:tc>
          <w:tcPr>
            <w:tcW w:w="279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月考核现场检查（20分）</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投诉处理得分（5分）</w:t>
            </w:r>
          </w:p>
        </w:tc>
        <w:tc>
          <w:tcPr>
            <w:tcW w:w="4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明查暗访得分 （5分）</w:t>
            </w:r>
          </w:p>
        </w:tc>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月考核  总分</w:t>
            </w:r>
          </w:p>
        </w:tc>
        <w:tc>
          <w:tcPr>
            <w:tcW w:w="4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备注</w:t>
            </w:r>
          </w:p>
        </w:tc>
      </w:tr>
      <w:tr>
        <w:tblPrEx>
          <w:tblCellMar>
            <w:top w:w="0" w:type="dxa"/>
            <w:left w:w="108" w:type="dxa"/>
            <w:bottom w:w="0" w:type="dxa"/>
            <w:right w:w="108" w:type="dxa"/>
          </w:tblCellMar>
        </w:tblPrEx>
        <w:trPr>
          <w:trHeight w:val="480" w:hRule="atLeast"/>
        </w:trPr>
        <w:tc>
          <w:tcPr>
            <w:tcW w:w="3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13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社区领导评名占60%（12分）</w:t>
            </w:r>
          </w:p>
        </w:tc>
        <w:tc>
          <w:tcPr>
            <w:tcW w:w="103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环境办评分占40%（8分）</w:t>
            </w:r>
          </w:p>
        </w:tc>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合计得分</w:t>
            </w: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855" w:hRule="atLeast"/>
        </w:trPr>
        <w:tc>
          <w:tcPr>
            <w:tcW w:w="3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7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实际平均分</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按12分换算得分</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实际平均分</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按8分换算得分</w:t>
            </w:r>
          </w:p>
        </w:tc>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c>
          <w:tcPr>
            <w:tcW w:w="4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825" w:hRule="atLeast"/>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229" w:type="pct"/>
            <w:gridSpan w:val="5"/>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r>
      <w:tr>
        <w:tblPrEx>
          <w:tblCellMar>
            <w:top w:w="0" w:type="dxa"/>
            <w:left w:w="108" w:type="dxa"/>
            <w:bottom w:w="0" w:type="dxa"/>
            <w:right w:w="108" w:type="dxa"/>
          </w:tblCellMar>
        </w:tblPrEx>
        <w:trPr>
          <w:trHeight w:val="375"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6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78"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2"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2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7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6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0"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5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95"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811" w:type="pct"/>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复核人员签名：</w:t>
            </w:r>
          </w:p>
        </w:tc>
        <w:tc>
          <w:tcPr>
            <w:tcW w:w="56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229" w:type="pct"/>
            <w:gridSpan w:val="5"/>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r>
    </w:tbl>
    <w:p>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p>
    <w:p>
      <w:pPr>
        <w:pStyle w:val="3"/>
        <w:pageBreakBefore/>
        <w:spacing w:line="360" w:lineRule="auto"/>
        <w:rPr>
          <w:rFonts w:hAnsi="宋体" w:cs="仿宋_GB2312"/>
          <w:color w:val="000000" w:themeColor="text1"/>
          <w:sz w:val="24"/>
          <w:highlight w:val="none"/>
          <w14:textFill>
            <w14:solidFill>
              <w14:schemeClr w14:val="tx1"/>
            </w14:solidFill>
          </w14:textFill>
        </w:rPr>
      </w:pPr>
      <w:r>
        <w:rPr>
          <w:rFonts w:hint="eastAsia" w:hAnsi="宋体" w:cs="仿宋_GB2312"/>
          <w:color w:val="000000" w:themeColor="text1"/>
          <w:sz w:val="24"/>
          <w:highlight w:val="none"/>
          <w14:textFill>
            <w14:solidFill>
              <w14:schemeClr w14:val="tx1"/>
            </w14:solidFill>
          </w14:textFill>
        </w:rPr>
        <w:t>附件：5、长安镇厦岗社区*年*月环卫工作项目考核评分结果汇总及扣分扣费情况表</w:t>
      </w:r>
    </w:p>
    <w:tbl>
      <w:tblPr>
        <w:tblStyle w:val="17"/>
        <w:tblW w:w="8554" w:type="dxa"/>
        <w:tblInd w:w="0" w:type="dxa"/>
        <w:tblLayout w:type="fixed"/>
        <w:tblCellMar>
          <w:top w:w="0" w:type="dxa"/>
          <w:left w:w="108" w:type="dxa"/>
          <w:bottom w:w="0" w:type="dxa"/>
          <w:right w:w="108" w:type="dxa"/>
        </w:tblCellMar>
      </w:tblPr>
      <w:tblGrid>
        <w:gridCol w:w="560"/>
        <w:gridCol w:w="563"/>
        <w:gridCol w:w="708"/>
        <w:gridCol w:w="877"/>
        <w:gridCol w:w="915"/>
        <w:gridCol w:w="666"/>
        <w:gridCol w:w="542"/>
        <w:gridCol w:w="625"/>
        <w:gridCol w:w="375"/>
        <w:gridCol w:w="542"/>
        <w:gridCol w:w="521"/>
        <w:gridCol w:w="830"/>
        <w:gridCol w:w="830"/>
      </w:tblGrid>
      <w:tr>
        <w:tblPrEx>
          <w:tblCellMar>
            <w:top w:w="0" w:type="dxa"/>
            <w:left w:w="108" w:type="dxa"/>
            <w:bottom w:w="0" w:type="dxa"/>
            <w:right w:w="108" w:type="dxa"/>
          </w:tblCellMar>
        </w:tblPrEx>
        <w:trPr>
          <w:trHeight w:val="700" w:hRule="atLeast"/>
        </w:trPr>
        <w:tc>
          <w:tcPr>
            <w:tcW w:w="8554" w:type="dxa"/>
            <w:gridSpan w:val="13"/>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长安镇</w:t>
            </w:r>
            <w:r>
              <w:rPr>
                <w:rFonts w:hint="eastAsia" w:ascii="宋体" w:hAnsi="宋体" w:cs="宋体"/>
                <w:color w:val="000000" w:themeColor="text1"/>
                <w:kern w:val="0"/>
                <w:szCs w:val="21"/>
                <w:highlight w:val="none"/>
                <w:u w:val="single"/>
                <w:lang w:bidi="ar"/>
                <w14:textFill>
                  <w14:solidFill>
                    <w14:schemeClr w14:val="tx1"/>
                  </w14:solidFill>
                </w14:textFill>
              </w:rPr>
              <w:t>厦岗</w:t>
            </w:r>
            <w:r>
              <w:rPr>
                <w:rFonts w:hint="eastAsia" w:ascii="宋体" w:hAnsi="宋体" w:cs="宋体"/>
                <w:color w:val="000000" w:themeColor="text1"/>
                <w:kern w:val="0"/>
                <w:szCs w:val="21"/>
                <w:highlight w:val="none"/>
                <w:lang w:bidi="ar"/>
                <w14:textFill>
                  <w14:solidFill>
                    <w14:schemeClr w14:val="tx1"/>
                  </w14:solidFill>
                </w14:textFill>
              </w:rPr>
              <w:t>社区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年</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月环卫作业项目考核评分结果汇总及扣分扣费情况表</w:t>
            </w:r>
          </w:p>
        </w:tc>
      </w:tr>
      <w:tr>
        <w:tblPrEx>
          <w:tblCellMar>
            <w:top w:w="0" w:type="dxa"/>
            <w:left w:w="108" w:type="dxa"/>
            <w:bottom w:w="0" w:type="dxa"/>
            <w:right w:w="108" w:type="dxa"/>
          </w:tblCellMar>
        </w:tblPrEx>
        <w:trPr>
          <w:trHeight w:val="375" w:hRule="atLeast"/>
        </w:trPr>
        <w:tc>
          <w:tcPr>
            <w:tcW w:w="8554" w:type="dxa"/>
            <w:gridSpan w:val="13"/>
            <w:tcBorders>
              <w:top w:val="nil"/>
              <w:left w:val="nil"/>
              <w:bottom w:val="single" w:color="000000" w:sz="4" w:space="0"/>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单位（盖章）                                            日期:      年     月   日</w:t>
            </w:r>
          </w:p>
        </w:tc>
      </w:tr>
      <w:tr>
        <w:tblPrEx>
          <w:tblCellMar>
            <w:top w:w="0" w:type="dxa"/>
            <w:left w:w="108" w:type="dxa"/>
            <w:bottom w:w="0" w:type="dxa"/>
            <w:right w:w="108" w:type="dxa"/>
          </w:tblCellMar>
        </w:tblPrEx>
        <w:trPr>
          <w:trHeight w:val="495" w:hRule="atLeast"/>
        </w:trPr>
        <w:tc>
          <w:tcPr>
            <w:tcW w:w="5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社区名称</w:t>
            </w:r>
          </w:p>
        </w:tc>
        <w:tc>
          <w:tcPr>
            <w:tcW w:w="5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承包公司</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名称</w:t>
            </w:r>
          </w:p>
        </w:tc>
        <w:tc>
          <w:tcPr>
            <w:tcW w:w="52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环卫作业项目总分100分</w:t>
            </w:r>
          </w:p>
        </w:tc>
        <w:tc>
          <w:tcPr>
            <w:tcW w:w="5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总扣分（分）</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总扣减费用（元）</w:t>
            </w:r>
          </w:p>
        </w:tc>
        <w:tc>
          <w:tcPr>
            <w:tcW w:w="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月支付费用（元）</w:t>
            </w:r>
          </w:p>
        </w:tc>
      </w:tr>
      <w:tr>
        <w:tblPrEx>
          <w:tblCellMar>
            <w:top w:w="0" w:type="dxa"/>
            <w:left w:w="108" w:type="dxa"/>
            <w:bottom w:w="0" w:type="dxa"/>
            <w:right w:w="108" w:type="dxa"/>
          </w:tblCellMar>
        </w:tblPrEx>
        <w:trPr>
          <w:trHeight w:val="570"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日检（50分）</w:t>
            </w:r>
          </w:p>
        </w:tc>
        <w:tc>
          <w:tcPr>
            <w:tcW w:w="1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半月检（20分）</w:t>
            </w:r>
          </w:p>
        </w:tc>
        <w:tc>
          <w:tcPr>
            <w:tcW w:w="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月检（30分）</w:t>
            </w:r>
          </w:p>
        </w:tc>
        <w:tc>
          <w:tcPr>
            <w:tcW w:w="3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各项合计得分</w:t>
            </w:r>
          </w:p>
        </w:tc>
        <w:tc>
          <w:tcPr>
            <w:tcW w:w="5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承包公司得分</w:t>
            </w:r>
          </w:p>
        </w:tc>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720" w:hRule="atLeast"/>
        </w:trPr>
        <w:tc>
          <w:tcPr>
            <w:tcW w:w="5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当月日检平均分</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管理架构、制度、人员配备等两次平均得分（10分）</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车辆配备两次平均得分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（10分）</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月考核现场评分（20分）</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投诉处理（5分）</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明查暗访（5分）</w:t>
            </w: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5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885"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542"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themeColor="text1"/>
                <w:szCs w:val="21"/>
                <w:highlight w:val="none"/>
                <w14:textFill>
                  <w14:solidFill>
                    <w14:schemeClr w14:val="tx1"/>
                  </w14:solidFill>
                </w14:textFill>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831" w:type="dxa"/>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84" w:type="dxa"/>
            <w:gridSpan w:val="4"/>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831" w:type="dxa"/>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复核人员签名：</w:t>
            </w: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56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63"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708"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2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42"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405" w:hRule="atLeast"/>
        </w:trPr>
        <w:tc>
          <w:tcPr>
            <w:tcW w:w="1831" w:type="dxa"/>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c>
          <w:tcPr>
            <w:tcW w:w="877"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915"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666"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84" w:type="dxa"/>
            <w:gridSpan w:val="4"/>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社区负责人签名：</w:t>
            </w:r>
          </w:p>
        </w:tc>
        <w:tc>
          <w:tcPr>
            <w:tcW w:w="521"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830" w:type="dxa"/>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pStyle w:val="2"/>
        <w:tabs>
          <w:tab w:val="left" w:pos="567"/>
        </w:tabs>
        <w:rPr>
          <w:color w:val="000000" w:themeColor="text1"/>
          <w:sz w:val="21"/>
          <w:szCs w:val="21"/>
          <w:highlight w:val="none"/>
          <w14:textFill>
            <w14:solidFill>
              <w14:schemeClr w14:val="tx1"/>
            </w14:solidFill>
          </w14:textFill>
        </w:rPr>
      </w:pPr>
    </w:p>
    <w:p>
      <w:pP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pPr>
        <w:pStyle w:val="3"/>
        <w:pageBreakBefore/>
        <w:spacing w:line="360" w:lineRule="auto"/>
        <w:rPr>
          <w:rFonts w:hAnsi="宋体" w:cs="仿宋_GB2312"/>
          <w:color w:val="000000" w:themeColor="text1"/>
          <w:sz w:val="24"/>
          <w:highlight w:val="none"/>
          <w14:textFill>
            <w14:solidFill>
              <w14:schemeClr w14:val="tx1"/>
            </w14:solidFill>
          </w14:textFill>
        </w:rPr>
      </w:pPr>
      <w:r>
        <w:rPr>
          <w:rFonts w:hint="eastAsia" w:hAnsi="宋体" w:cs="仿宋_GB2312"/>
          <w:color w:val="000000" w:themeColor="text1"/>
          <w:sz w:val="24"/>
          <w:highlight w:val="none"/>
          <w14:textFill>
            <w14:solidFill>
              <w14:schemeClr w14:val="tx1"/>
            </w14:solidFill>
          </w14:textFill>
        </w:rPr>
        <w:t>附件：6、*年长安镇厦岗社区环卫年终考核评分表</w:t>
      </w:r>
    </w:p>
    <w:tbl>
      <w:tblPr>
        <w:tblStyle w:val="17"/>
        <w:tblW w:w="5000" w:type="pct"/>
        <w:tblInd w:w="0" w:type="dxa"/>
        <w:tblLayout w:type="autofit"/>
        <w:tblCellMar>
          <w:top w:w="0" w:type="dxa"/>
          <w:left w:w="108" w:type="dxa"/>
          <w:bottom w:w="0" w:type="dxa"/>
          <w:right w:w="108" w:type="dxa"/>
        </w:tblCellMar>
      </w:tblPr>
      <w:tblGrid>
        <w:gridCol w:w="566"/>
        <w:gridCol w:w="694"/>
        <w:gridCol w:w="628"/>
        <w:gridCol w:w="625"/>
        <w:gridCol w:w="625"/>
        <w:gridCol w:w="625"/>
        <w:gridCol w:w="625"/>
        <w:gridCol w:w="625"/>
        <w:gridCol w:w="625"/>
        <w:gridCol w:w="633"/>
        <w:gridCol w:w="626"/>
        <w:gridCol w:w="626"/>
        <w:gridCol w:w="654"/>
        <w:gridCol w:w="345"/>
      </w:tblGrid>
      <w:tr>
        <w:tblPrEx>
          <w:tblCellMar>
            <w:top w:w="0" w:type="dxa"/>
            <w:left w:w="108" w:type="dxa"/>
            <w:bottom w:w="0" w:type="dxa"/>
            <w:right w:w="108" w:type="dxa"/>
          </w:tblCellMar>
        </w:tblPrEx>
        <w:trPr>
          <w:trHeight w:val="680" w:hRule="atLeast"/>
        </w:trPr>
        <w:tc>
          <w:tcPr>
            <w:tcW w:w="5000" w:type="pct"/>
            <w:gridSpan w:val="14"/>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kern w:val="0"/>
                <w:szCs w:val="21"/>
                <w:highlight w:val="none"/>
                <w:u w:val="single"/>
                <w:lang w:bidi="ar"/>
                <w14:textFill>
                  <w14:solidFill>
                    <w14:schemeClr w14:val="tx1"/>
                  </w14:solidFill>
                </w14:textFill>
              </w:rPr>
              <w:t xml:space="preserve">            年长安镇厦岗社区环卫年终考核评分表</w:t>
            </w:r>
          </w:p>
        </w:tc>
      </w:tr>
      <w:tr>
        <w:tblPrEx>
          <w:tblCellMar>
            <w:top w:w="0" w:type="dxa"/>
            <w:left w:w="108" w:type="dxa"/>
            <w:bottom w:w="0" w:type="dxa"/>
            <w:right w:w="108" w:type="dxa"/>
          </w:tblCellMar>
        </w:tblPrEx>
        <w:trPr>
          <w:trHeight w:val="285" w:hRule="atLeast"/>
        </w:trPr>
        <w:tc>
          <w:tcPr>
            <w:tcW w:w="740" w:type="pct"/>
            <w:gridSpan w:val="2"/>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表6</w:t>
            </w: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4796" w:type="pct"/>
            <w:gridSpan w:val="13"/>
            <w:tcBorders>
              <w:top w:val="nil"/>
              <w:left w:val="nil"/>
              <w:bottom w:val="single" w:color="000000" w:sz="4" w:space="0"/>
              <w:right w:val="nil"/>
            </w:tcBorders>
            <w:shd w:val="clear" w:color="auto" w:fill="auto"/>
            <w:noWrap/>
            <w:vAlign w:val="center"/>
          </w:tcPr>
          <w:p>
            <w:pPr>
              <w:widowControl/>
              <w:jc w:val="righ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日期:    年   月    日</w:t>
            </w: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1455" w:hRule="atLeast"/>
        </w:trPr>
        <w:tc>
          <w:tcPr>
            <w:tcW w:w="327"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社区名称</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一月月检平均得分</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四月月检平均得分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五月月检平均得分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六月月检平均得分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七月月检平均得分</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八月月检平均得分</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九月月检平均得分</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十月月检平均得分</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十一月</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月检平均得分</w:t>
            </w:r>
          </w:p>
        </w:tc>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十二月</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月检平均得分</w:t>
            </w:r>
          </w:p>
        </w:tc>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年终平均得分</w:t>
            </w:r>
          </w:p>
        </w:tc>
      </w:tr>
      <w:tr>
        <w:tblPrEx>
          <w:tblCellMar>
            <w:top w:w="0" w:type="dxa"/>
            <w:left w:w="108" w:type="dxa"/>
            <w:bottom w:w="0" w:type="dxa"/>
            <w:right w:w="108" w:type="dxa"/>
          </w:tblCellMar>
        </w:tblPrEx>
        <w:trPr>
          <w:trHeight w:val="99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4796" w:type="pct"/>
            <w:gridSpan w:val="13"/>
            <w:tcBorders>
              <w:top w:val="single" w:color="000000" w:sz="4" w:space="0"/>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注：每月填写分数是指参评人员在当月“月考核现场检查评表”打分的平均分数。总分100分。</w:t>
            </w: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270"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108" w:type="pct"/>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统计人员签名：</w:t>
            </w: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04" w:type="pct"/>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部门负责人签名：</w:t>
            </w: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32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41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71"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r>
        <w:tblPrEx>
          <w:tblCellMar>
            <w:top w:w="0" w:type="dxa"/>
            <w:left w:w="108" w:type="dxa"/>
            <w:bottom w:w="0" w:type="dxa"/>
            <w:right w:w="108" w:type="dxa"/>
          </w:tblCellMar>
        </w:tblPrEx>
        <w:trPr>
          <w:trHeight w:val="375" w:hRule="atLeast"/>
        </w:trPr>
        <w:tc>
          <w:tcPr>
            <w:tcW w:w="1108" w:type="pct"/>
            <w:gridSpan w:val="3"/>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复核人员签名：</w:t>
            </w: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jc w:val="center"/>
              <w:rPr>
                <w:rFonts w:ascii="宋体" w:hAnsi="宋体" w:cs="宋体"/>
                <w:color w:val="000000" w:themeColor="text1"/>
                <w:szCs w:val="21"/>
                <w:highlight w:val="none"/>
                <w14:textFill>
                  <w14:solidFill>
                    <w14:schemeClr w14:val="tx1"/>
                  </w14:solidFill>
                </w14:textFill>
              </w:rPr>
            </w:pPr>
          </w:p>
        </w:tc>
        <w:tc>
          <w:tcPr>
            <w:tcW w:w="366"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1104" w:type="pct"/>
            <w:gridSpan w:val="3"/>
            <w:tcBorders>
              <w:top w:val="nil"/>
              <w:left w:val="nil"/>
              <w:bottom w:val="nil"/>
              <w:right w:val="nil"/>
            </w:tcBorders>
            <w:shd w:val="clear" w:color="auto" w:fill="auto"/>
            <w:noWrap/>
            <w:vAlign w:val="center"/>
          </w:tcPr>
          <w:p>
            <w:pPr>
              <w:widowControl/>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分管领导签名：</w:t>
            </w: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67"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38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c>
          <w:tcPr>
            <w:tcW w:w="203" w:type="pct"/>
            <w:tcBorders>
              <w:top w:val="nil"/>
              <w:left w:val="nil"/>
              <w:bottom w:val="nil"/>
              <w:right w:val="nil"/>
            </w:tcBorders>
            <w:shd w:val="clear" w:color="auto" w:fill="auto"/>
            <w:noWrap/>
            <w:vAlign w:val="center"/>
          </w:tcPr>
          <w:p>
            <w:pPr>
              <w:rPr>
                <w:rFonts w:ascii="宋体" w:hAnsi="宋体" w:cs="宋体"/>
                <w:color w:val="000000" w:themeColor="text1"/>
                <w:szCs w:val="21"/>
                <w:highlight w:val="none"/>
                <w14:textFill>
                  <w14:solidFill>
                    <w14:schemeClr w14:val="tx1"/>
                  </w14:solidFill>
                </w14:textFill>
              </w:rPr>
            </w:pPr>
          </w:p>
        </w:tc>
      </w:tr>
    </w:tbl>
    <w:p>
      <w:pPr>
        <w:pStyle w:val="2"/>
        <w:rPr>
          <w:color w:val="000000" w:themeColor="text1"/>
          <w:highlight w:val="none"/>
          <w14:textFill>
            <w14:solidFill>
              <w14:schemeClr w14:val="tx1"/>
            </w14:solidFill>
          </w14:textFill>
        </w:rPr>
      </w:pPr>
    </w:p>
    <w:p>
      <w:pPr>
        <w:pStyle w:val="25"/>
        <w:spacing w:line="360" w:lineRule="auto"/>
        <w:ind w:firstLine="422" w:firstLineChars="200"/>
        <w:rPr>
          <w:rFonts w:ascii="宋体" w:eastAsia="宋体" w:cs="宋体"/>
          <w:b/>
          <w:bCs/>
          <w:color w:val="000000" w:themeColor="text1"/>
          <w:sz w:val="21"/>
          <w:highlight w:val="none"/>
          <w14:textFill>
            <w14:solidFill>
              <w14:schemeClr w14:val="tx1"/>
            </w14:solidFill>
          </w14:textFill>
        </w:rPr>
      </w:pPr>
      <w:r>
        <w:rPr>
          <w:rFonts w:hint="eastAsia" w:ascii="宋体" w:eastAsia="宋体" w:cs="宋体"/>
          <w:b/>
          <w:bCs/>
          <w:color w:val="000000" w:themeColor="text1"/>
          <w:sz w:val="21"/>
          <w:highlight w:val="none"/>
          <w14:textFill>
            <w14:solidFill>
              <w14:schemeClr w14:val="tx1"/>
            </w14:solidFill>
          </w14:textFill>
        </w:rPr>
        <w:br w:type="page"/>
      </w:r>
    </w:p>
    <w:p>
      <w:pPr>
        <w:pStyle w:val="3"/>
        <w:rPr>
          <w:color w:val="000000" w:themeColor="text1"/>
          <w:highlight w:val="none"/>
          <w14:textFill>
            <w14:solidFill>
              <w14:schemeClr w14:val="tx1"/>
            </w14:solidFill>
          </w14:textFill>
        </w:rPr>
      </w:pPr>
      <w:bookmarkStart w:id="151" w:name="_Toc17794"/>
      <w:r>
        <w:rPr>
          <w:rFonts w:hint="eastAsia"/>
          <w:color w:val="000000" w:themeColor="text1"/>
          <w:highlight w:val="none"/>
          <w14:textFill>
            <w14:solidFill>
              <w14:schemeClr w14:val="tx1"/>
            </w14:solidFill>
          </w14:textFill>
        </w:rPr>
        <w:t>第六篇 投标文件格式</w:t>
      </w:r>
      <w:bookmarkEnd w:id="151"/>
    </w:p>
    <w:p>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注意事项：</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投标人应提交证明其有资格参加投标和中标后有能力履行合同的相关文件，并作为其投标文件的一部分，所有文件必须真实可靠、不得伪造，否则将按相关规定予以处罚。</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1.法人或者其他组织的营业执照等证明文件，自然人的身份证明：</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2.法人包括企业法人、机关法人、事业单位法人和社会团体法人；其他组织主要包括合伙企业、非企业专业服务机构、个体工商户、农村承包经营户；自然人是指《中华人民共和国民法典》（以下简称《民法典》）规定的具有完全民事行为能力、能够承担民事责任和义务的公民。如投标人是企业（包括合伙企业），要提供在工商部门注册的有效“企业法人营业执照”或“营业执照”；如投标人是事业单位，要提供有效的“事业单位法人证书”；投标人是非企业专业服务机构的，如律师事务所，会计师事务所要提供执业许可证等证明文件；如投标人是个体工商户，要提供有效的“个体工商户营业执照”；如投标人是自然人，要提供有效的自然人身份证明。</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3.这里所指“其他组织”不包括法人的分支机构，由于法人分支机构不能独立承担民事责任，不能以分支机构的身份参加政府采购，只能以法人身份参加。“但由于银行、保险、石油石化、电力、电信等行业具有其特殊性，如果能够提供其法人给予的相应授权证明材料，可以参加政府采购活动”。</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4.财务状况报告，依法缴纳税收和社会保障资金的相关材料</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5.具有履行合同所必需的设备和专业技术能力的声明。</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6.投标人参加政府采购前三年内在经营活动中没有重大违法记录书面声明函。</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7.信用记录查询</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（1）查询渠道：通过“信用中国”网站（www.creditchina.gov.cn)和“中国政府采购网”（</w:t>
      </w:r>
      <w:r>
        <w:rPr>
          <w:rFonts w:hint="eastAsia"/>
          <w:color w:val="000000" w:themeColor="text1"/>
          <w:highlight w:val="none"/>
          <w14:textFill>
            <w14:solidFill>
              <w14:schemeClr w14:val="tx1"/>
            </w14:solidFill>
          </w14:textFill>
        </w:rPr>
        <w:fldChar w:fldCharType="begin"/>
      </w:r>
      <w:r>
        <w:rPr>
          <w:color w:val="000000" w:themeColor="text1"/>
          <w:highlight w:val="none"/>
          <w:lang w:val="en-US"/>
          <w14:textFill>
            <w14:solidFill>
              <w14:schemeClr w14:val="tx1"/>
            </w14:solidFill>
          </w14:textFill>
        </w:rPr>
        <w:instrText xml:space="preserve"> HYPERLINK "http://www.ccgp.gov.cn/" \h </w:instrText>
      </w:r>
      <w:r>
        <w:rPr>
          <w:rFonts w:hint="eastAsia"/>
          <w:color w:val="000000" w:themeColor="text1"/>
          <w:highlight w:val="none"/>
          <w14:textFill>
            <w14:solidFill>
              <w14:schemeClr w14:val="tx1"/>
            </w14:solidFill>
          </w14:textFill>
        </w:rPr>
        <w:fldChar w:fldCharType="separate"/>
      </w:r>
      <w:r>
        <w:rPr>
          <w:rFonts w:hint="eastAsia"/>
          <w:color w:val="000000" w:themeColor="text1"/>
          <w:sz w:val="20"/>
          <w:szCs w:val="20"/>
          <w:highlight w:val="none"/>
          <w:lang w:val="en-US"/>
          <w14:textFill>
            <w14:solidFill>
              <w14:schemeClr w14:val="tx1"/>
            </w14:solidFill>
          </w14:textFill>
        </w:rPr>
        <w:t>www.ccgp.gov.cn</w:t>
      </w:r>
      <w:r>
        <w:rPr>
          <w:rFonts w:hint="eastAsia"/>
          <w:color w:val="000000" w:themeColor="text1"/>
          <w:sz w:val="20"/>
          <w:szCs w:val="20"/>
          <w:highlight w:val="none"/>
          <w:lang w:val="en-US"/>
          <w14:textFill>
            <w14:solidFill>
              <w14:schemeClr w14:val="tx1"/>
            </w14:solidFill>
          </w14:textFill>
        </w:rPr>
        <w:fldChar w:fldCharType="end"/>
      </w:r>
      <w:r>
        <w:rPr>
          <w:rFonts w:hint="eastAsia"/>
          <w:color w:val="000000" w:themeColor="text1"/>
          <w:sz w:val="20"/>
          <w:szCs w:val="20"/>
          <w:highlight w:val="none"/>
          <w:lang w:val="en-US"/>
          <w14:textFill>
            <w14:solidFill>
              <w14:schemeClr w14:val="tx1"/>
            </w14:solidFill>
          </w14:textFill>
        </w:rPr>
        <w:t>）进行查询；</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（2）查询截止时点：提交投标文件截止日当天；</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（3）查询记录：对列入失信被执行人、税收违法黑名单、政府采购严重违法失信行为记录名单、信用报告进行查询；</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4）招标人或招标代理机构应当按照查询渠道、查询时间节点、查询记录内容进行查询，并存档。对信用记录查询结果中显示投标人被列入失信被执行人、税收违法黑名单、政府采购严重违法失信行为记录名单的投标人作无效投标处理。</w:t>
      </w:r>
    </w:p>
    <w:p>
      <w:pPr>
        <w:pStyle w:val="2"/>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8.按照招标文件要求，投标人应当提交的资格、资信证明文件。</w:t>
      </w:r>
    </w:p>
    <w:p>
      <w:pPr>
        <w:jc w:val="center"/>
        <w:outlineLvl w:val="1"/>
        <w:rPr>
          <w:b/>
          <w:bCs/>
          <w:color w:val="000000" w:themeColor="text1"/>
          <w:highlight w:val="none"/>
          <w14:textFill>
            <w14:solidFill>
              <w14:schemeClr w14:val="tx1"/>
            </w14:solidFill>
          </w14:textFill>
        </w:rPr>
      </w:pPr>
      <w:bookmarkStart w:id="152" w:name="_Toc32213"/>
      <w:r>
        <w:rPr>
          <w:rFonts w:hint="eastAsia"/>
          <w:b/>
          <w:bCs/>
          <w:color w:val="000000" w:themeColor="text1"/>
          <w:highlight w:val="none"/>
          <w14:textFill>
            <w14:solidFill>
              <w14:schemeClr w14:val="tx1"/>
            </w14:solidFill>
          </w14:textFill>
        </w:rPr>
        <w:t>（封面格式仅供参考）</w:t>
      </w:r>
      <w:bookmarkEnd w:id="152"/>
    </w:p>
    <w:p>
      <w:pPr>
        <w:jc w:val="center"/>
        <w:rPr>
          <w:rFonts w:ascii="宋体" w:hAnsi="宋体" w:cs="宋体"/>
          <w:b/>
          <w:color w:val="000000" w:themeColor="text1"/>
          <w:spacing w:val="10"/>
          <w:kern w:val="0"/>
          <w:sz w:val="38"/>
          <w:szCs w:val="38"/>
          <w:highlight w:val="none"/>
          <w:lang w:val="zh-CN" w:bidi="zh-CN"/>
          <w14:textFill>
            <w14:solidFill>
              <w14:schemeClr w14:val="tx1"/>
            </w14:solidFill>
          </w14:textFill>
        </w:rPr>
      </w:pPr>
    </w:p>
    <w:p>
      <w:pPr>
        <w:jc w:val="center"/>
        <w:rPr>
          <w:rFonts w:ascii="宋体" w:hAnsi="宋体" w:cs="宋体"/>
          <w:b/>
          <w:color w:val="000000" w:themeColor="text1"/>
          <w:spacing w:val="10"/>
          <w:kern w:val="0"/>
          <w:sz w:val="38"/>
          <w:szCs w:val="38"/>
          <w:highlight w:val="none"/>
          <w:lang w:val="zh-CN" w:bidi="zh-CN"/>
          <w14:textFill>
            <w14:solidFill>
              <w14:schemeClr w14:val="tx1"/>
            </w14:solidFill>
          </w14:textFill>
        </w:rPr>
      </w:pPr>
    </w:p>
    <w:p>
      <w:pPr>
        <w:jc w:val="center"/>
        <w:rPr>
          <w:rFonts w:ascii="宋体" w:hAnsi="宋体" w:cs="宋体"/>
          <w:b/>
          <w:color w:val="000000" w:themeColor="text1"/>
          <w:spacing w:val="10"/>
          <w:kern w:val="0"/>
          <w:sz w:val="38"/>
          <w:szCs w:val="38"/>
          <w:highlight w:val="none"/>
          <w:lang w:val="zh-CN" w:bidi="zh-CN"/>
          <w14:textFill>
            <w14:solidFill>
              <w14:schemeClr w14:val="tx1"/>
            </w14:solidFill>
          </w14:textFill>
        </w:rPr>
      </w:pPr>
    </w:p>
    <w:p>
      <w:pPr>
        <w:jc w:val="center"/>
        <w:rPr>
          <w:rFonts w:ascii="宋体" w:hAnsi="宋体" w:cs="宋体"/>
          <w:b/>
          <w:color w:val="000000" w:themeColor="text1"/>
          <w:spacing w:val="10"/>
          <w:kern w:val="0"/>
          <w:sz w:val="38"/>
          <w:szCs w:val="38"/>
          <w:highlight w:val="none"/>
          <w:lang w:val="zh-CN" w:bidi="zh-CN"/>
          <w14:textFill>
            <w14:solidFill>
              <w14:schemeClr w14:val="tx1"/>
            </w14:solidFill>
          </w14:textFill>
        </w:rPr>
      </w:pPr>
    </w:p>
    <w:p>
      <w:pPr>
        <w:jc w:val="center"/>
        <w:outlineLvl w:val="2"/>
        <w:rPr>
          <w:rFonts w:ascii="宋体" w:hAnsi="宋体" w:cs="宋体"/>
          <w:b/>
          <w:color w:val="000000" w:themeColor="text1"/>
          <w:kern w:val="0"/>
          <w:sz w:val="38"/>
          <w:szCs w:val="38"/>
          <w:highlight w:val="none"/>
          <w:lang w:val="zh-CN" w:bidi="zh-CN"/>
          <w14:textFill>
            <w14:solidFill>
              <w14:schemeClr w14:val="tx1"/>
            </w14:solidFill>
          </w14:textFill>
        </w:rPr>
      </w:pPr>
      <w:bookmarkStart w:id="153" w:name="_Toc14748"/>
      <w:r>
        <w:rPr>
          <w:rFonts w:ascii="宋体" w:hAnsi="宋体" w:cs="宋体"/>
          <w:b/>
          <w:color w:val="000000" w:themeColor="text1"/>
          <w:spacing w:val="10"/>
          <w:kern w:val="0"/>
          <w:sz w:val="38"/>
          <w:szCs w:val="38"/>
          <w:highlight w:val="none"/>
          <w:lang w:val="zh-CN" w:bidi="zh-CN"/>
          <w14:textFill>
            <w14:solidFill>
              <w14:schemeClr w14:val="tx1"/>
            </w14:solidFill>
          </w14:textFill>
        </w:rPr>
        <w:t>投标文件封面</w:t>
      </w:r>
      <w:bookmarkEnd w:id="153"/>
    </w:p>
    <w:p>
      <w:pPr>
        <w:autoSpaceDE w:val="0"/>
        <w:autoSpaceDN w:val="0"/>
        <w:spacing w:before="11"/>
        <w:jc w:val="center"/>
        <w:rPr>
          <w:rFonts w:ascii="宋体" w:hAnsi="宋体" w:cs="宋体"/>
          <w:b/>
          <w:color w:val="000000" w:themeColor="text1"/>
          <w:sz w:val="46"/>
          <w:szCs w:val="19"/>
          <w:highlight w:val="none"/>
          <w:lang w:val="zh-CN" w:bidi="zh-CN"/>
          <w14:textFill>
            <w14:solidFill>
              <w14:schemeClr w14:val="tx1"/>
            </w14:solidFill>
          </w14:textFill>
        </w:rPr>
      </w:pPr>
    </w:p>
    <w:p>
      <w:pPr>
        <w:autoSpaceDE w:val="0"/>
        <w:autoSpaceDN w:val="0"/>
        <w:spacing w:line="960" w:lineRule="atLeast"/>
        <w:jc w:val="center"/>
        <w:outlineLvl w:val="2"/>
        <w:rPr>
          <w:rFonts w:ascii="宋体" w:hAnsi="宋体" w:cs="宋体"/>
          <w:b/>
          <w:color w:val="000000" w:themeColor="text1"/>
          <w:kern w:val="0"/>
          <w:sz w:val="38"/>
          <w:szCs w:val="22"/>
          <w:highlight w:val="none"/>
          <w:lang w:val="zh-CN" w:bidi="zh-CN"/>
          <w14:textFill>
            <w14:solidFill>
              <w14:schemeClr w14:val="tx1"/>
            </w14:solidFill>
          </w14:textFill>
        </w:rPr>
      </w:pPr>
      <w:bookmarkStart w:id="154" w:name="_Toc17848"/>
      <w:r>
        <w:rPr>
          <w:rFonts w:ascii="宋体" w:hAnsi="宋体" w:cs="宋体"/>
          <w:b/>
          <w:color w:val="000000" w:themeColor="text1"/>
          <w:spacing w:val="12"/>
          <w:kern w:val="0"/>
          <w:sz w:val="38"/>
          <w:szCs w:val="22"/>
          <w:highlight w:val="none"/>
          <w:lang w:val="zh-CN" w:bidi="zh-CN"/>
          <w14:textFill>
            <w14:solidFill>
              <w14:schemeClr w14:val="tx1"/>
            </w14:solidFill>
          </w14:textFill>
        </w:rPr>
        <w:t>（项目名称</w:t>
      </w:r>
      <w:r>
        <w:rPr>
          <w:rFonts w:ascii="宋体" w:hAnsi="宋体" w:cs="宋体"/>
          <w:b/>
          <w:color w:val="000000" w:themeColor="text1"/>
          <w:spacing w:val="-18"/>
          <w:kern w:val="0"/>
          <w:sz w:val="38"/>
          <w:szCs w:val="22"/>
          <w:highlight w:val="none"/>
          <w:lang w:val="zh-CN" w:bidi="zh-CN"/>
          <w14:textFill>
            <w14:solidFill>
              <w14:schemeClr w14:val="tx1"/>
            </w14:solidFill>
          </w14:textFill>
        </w:rPr>
        <w:t xml:space="preserve">） </w:t>
      </w:r>
      <w:r>
        <w:rPr>
          <w:rFonts w:ascii="宋体" w:hAnsi="宋体" w:cs="宋体"/>
          <w:b/>
          <w:color w:val="000000" w:themeColor="text1"/>
          <w:spacing w:val="7"/>
          <w:kern w:val="0"/>
          <w:sz w:val="38"/>
          <w:szCs w:val="22"/>
          <w:highlight w:val="none"/>
          <w:lang w:val="zh-CN" w:bidi="zh-CN"/>
          <w14:textFill>
            <w14:solidFill>
              <w14:schemeClr w14:val="tx1"/>
            </w14:solidFill>
          </w14:textFill>
        </w:rPr>
        <w:t>投标文件封面</w:t>
      </w:r>
      <w:bookmarkEnd w:id="154"/>
    </w:p>
    <w:p>
      <w:pPr>
        <w:autoSpaceDE w:val="0"/>
        <w:autoSpaceDN w:val="0"/>
        <w:spacing w:line="479" w:lineRule="exact"/>
        <w:jc w:val="center"/>
        <w:rPr>
          <w:rFonts w:ascii="宋体" w:hAnsi="宋体" w:cs="宋体"/>
          <w:b/>
          <w:bCs/>
          <w:color w:val="000000" w:themeColor="text1"/>
          <w:sz w:val="24"/>
          <w:highlight w:val="none"/>
          <w:lang w:val="zh-CN" w:bidi="zh-CN"/>
          <w14:textFill>
            <w14:solidFill>
              <w14:schemeClr w14:val="tx1"/>
            </w14:solidFill>
          </w14:textFill>
        </w:rPr>
      </w:pPr>
      <w:r>
        <w:rPr>
          <w:rFonts w:ascii="宋体" w:hAnsi="宋体" w:cs="宋体"/>
          <w:b/>
          <w:bCs/>
          <w:color w:val="000000" w:themeColor="text1"/>
          <w:sz w:val="24"/>
          <w:highlight w:val="none"/>
          <w:lang w:val="zh-CN" w:bidi="zh-CN"/>
          <w14:textFill>
            <w14:solidFill>
              <w14:schemeClr w14:val="tx1"/>
            </w14:solidFill>
          </w14:textFill>
        </w:rPr>
        <w:t>（正本</w:t>
      </w:r>
      <w:r>
        <w:rPr>
          <w:rFonts w:hint="eastAsia" w:ascii="思源黑体 CN Heavy" w:hAnsi="宋体" w:eastAsia="思源黑体 CN Heavy" w:cs="宋体"/>
          <w:b/>
          <w:bCs/>
          <w:color w:val="000000" w:themeColor="text1"/>
          <w:sz w:val="24"/>
          <w:highlight w:val="none"/>
          <w:lang w:val="zh-CN" w:bidi="zh-CN"/>
          <w14:textFill>
            <w14:solidFill>
              <w14:schemeClr w14:val="tx1"/>
            </w14:solidFill>
          </w14:textFill>
        </w:rPr>
        <w:t>/</w:t>
      </w:r>
      <w:r>
        <w:rPr>
          <w:rFonts w:ascii="宋体" w:hAnsi="宋体" w:cs="宋体"/>
          <w:b/>
          <w:bCs/>
          <w:color w:val="000000" w:themeColor="text1"/>
          <w:sz w:val="24"/>
          <w:highlight w:val="none"/>
          <w:lang w:val="zh-CN" w:bidi="zh-CN"/>
          <w14:textFill>
            <w14:solidFill>
              <w14:schemeClr w14:val="tx1"/>
            </w14:solidFill>
          </w14:textFill>
        </w:rPr>
        <w:t>副本）</w:t>
      </w: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spacing w:before="8"/>
        <w:jc w:val="center"/>
        <w:rPr>
          <w:rFonts w:ascii="宋体" w:hAnsi="宋体" w:cs="宋体"/>
          <w:b/>
          <w:color w:val="000000" w:themeColor="text1"/>
          <w:sz w:val="38"/>
          <w:szCs w:val="19"/>
          <w:highlight w:val="none"/>
          <w:lang w:val="zh-CN" w:bidi="zh-CN"/>
          <w14:textFill>
            <w14:solidFill>
              <w14:schemeClr w14:val="tx1"/>
            </w14:solidFill>
          </w14:textFill>
        </w:rPr>
      </w:pPr>
    </w:p>
    <w:p>
      <w:pPr>
        <w:autoSpaceDE w:val="0"/>
        <w:autoSpaceDN w:val="0"/>
        <w:spacing w:line="237" w:lineRule="auto"/>
        <w:jc w:val="center"/>
        <w:rPr>
          <w:rFonts w:ascii="思源黑体 CN Heavy" w:hAnsi="宋体" w:cs="宋体"/>
          <w:b/>
          <w:color w:val="000000" w:themeColor="text1"/>
          <w:kern w:val="0"/>
          <w:sz w:val="24"/>
          <w:szCs w:val="22"/>
          <w:highlight w:val="none"/>
          <w:lang w:val="zh-CN" w:bidi="zh-CN"/>
          <w14:textFill>
            <w14:solidFill>
              <w14:schemeClr w14:val="tx1"/>
            </w14:solidFill>
          </w14:textFill>
        </w:rPr>
      </w:pPr>
      <w:r>
        <w:rPr>
          <w:rFonts w:ascii="宋体" w:hAnsi="宋体" w:cs="宋体"/>
          <w:b/>
          <w:color w:val="000000" w:themeColor="text1"/>
          <w:spacing w:val="10"/>
          <w:kern w:val="0"/>
          <w:sz w:val="24"/>
          <w:szCs w:val="22"/>
          <w:highlight w:val="none"/>
          <w:lang w:val="zh-CN" w:bidi="zh-CN"/>
          <w14:textFill>
            <w14:solidFill>
              <w14:schemeClr w14:val="tx1"/>
            </w14:solidFill>
          </w14:textFill>
        </w:rPr>
        <w:t>项目编号：</w:t>
      </w:r>
    </w:p>
    <w:p>
      <w:pPr>
        <w:autoSpaceDE w:val="0"/>
        <w:autoSpaceDN w:val="0"/>
        <w:spacing w:before="113"/>
        <w:jc w:val="center"/>
        <w:rPr>
          <w:rFonts w:ascii="宋体" w:hAnsi="宋体" w:cs="宋体"/>
          <w:b/>
          <w:color w:val="000000" w:themeColor="text1"/>
          <w:kern w:val="0"/>
          <w:sz w:val="24"/>
          <w:szCs w:val="22"/>
          <w:highlight w:val="none"/>
          <w:lang w:val="zh-CN" w:bidi="zh-CN"/>
          <w14:textFill>
            <w14:solidFill>
              <w14:schemeClr w14:val="tx1"/>
            </w14:solidFill>
          </w14:textFill>
        </w:rPr>
      </w:pPr>
      <w:r>
        <w:rPr>
          <w:rFonts w:ascii="宋体" w:hAnsi="宋体" w:cs="宋体"/>
          <w:b/>
          <w:color w:val="000000" w:themeColor="text1"/>
          <w:kern w:val="0"/>
          <w:sz w:val="24"/>
          <w:szCs w:val="22"/>
          <w:highlight w:val="none"/>
          <w:lang w:val="zh-CN" w:bidi="zh-CN"/>
          <w14:textFill>
            <w14:solidFill>
              <w14:schemeClr w14:val="tx1"/>
            </w14:solidFill>
          </w14:textFill>
        </w:rPr>
        <w:t>所投采购包：第 包</w:t>
      </w:r>
    </w:p>
    <w:p>
      <w:pPr>
        <w:autoSpaceDE w:val="0"/>
        <w:autoSpaceDN w:val="0"/>
        <w:jc w:val="center"/>
        <w:rPr>
          <w:rFonts w:ascii="宋体" w:hAnsi="宋体" w:cs="宋体"/>
          <w:b/>
          <w:color w:val="000000" w:themeColor="text1"/>
          <w:sz w:val="24"/>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4"/>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4"/>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4"/>
          <w:szCs w:val="19"/>
          <w:highlight w:val="none"/>
          <w:lang w:val="zh-CN" w:bidi="zh-CN"/>
          <w14:textFill>
            <w14:solidFill>
              <w14:schemeClr w14:val="tx1"/>
            </w14:solidFill>
          </w14:textFill>
        </w:rPr>
      </w:pPr>
    </w:p>
    <w:p>
      <w:pPr>
        <w:jc w:val="center"/>
        <w:rPr>
          <w:rFonts w:ascii="宋体" w:hAnsi="宋体" w:cs="宋体"/>
          <w:b/>
          <w:color w:val="000000" w:themeColor="text1"/>
          <w:kern w:val="0"/>
          <w:sz w:val="24"/>
          <w:szCs w:val="22"/>
          <w:highlight w:val="none"/>
          <w:lang w:val="zh-CN" w:bidi="zh-CN"/>
          <w14:textFill>
            <w14:solidFill>
              <w14:schemeClr w14:val="tx1"/>
            </w14:solidFill>
          </w14:textFill>
        </w:rPr>
      </w:pPr>
      <w:r>
        <w:rPr>
          <w:rFonts w:ascii="宋体" w:hAnsi="宋体" w:cs="宋体"/>
          <w:b/>
          <w:color w:val="000000" w:themeColor="text1"/>
          <w:kern w:val="0"/>
          <w:sz w:val="24"/>
          <w:szCs w:val="22"/>
          <w:highlight w:val="none"/>
          <w:lang w:val="zh-CN" w:bidi="zh-CN"/>
          <w14:textFill>
            <w14:solidFill>
              <w14:schemeClr w14:val="tx1"/>
            </w14:solidFill>
          </w14:textFill>
        </w:rPr>
        <w:t xml:space="preserve">（投标人名称） 年 </w:t>
      </w:r>
      <w:r>
        <w:rPr>
          <w:rFonts w:hint="eastAsia" w:ascii="宋体" w:hAnsi="宋体" w:cs="宋体"/>
          <w:b/>
          <w:color w:val="000000" w:themeColor="text1"/>
          <w:kern w:val="0"/>
          <w:sz w:val="24"/>
          <w:szCs w:val="22"/>
          <w:highlight w:val="none"/>
          <w:lang w:val="zh-CN" w:bidi="zh-CN"/>
          <w14:textFill>
            <w14:solidFill>
              <w14:schemeClr w14:val="tx1"/>
            </w14:solidFill>
          </w14:textFill>
        </w:rPr>
        <w:t>月</w:t>
      </w:r>
      <w:r>
        <w:rPr>
          <w:rFonts w:hint="eastAsia" w:ascii="宋体" w:hAnsi="宋体" w:cs="宋体"/>
          <w:b/>
          <w:color w:val="000000" w:themeColor="text1"/>
          <w:kern w:val="0"/>
          <w:sz w:val="24"/>
          <w:szCs w:val="22"/>
          <w:highlight w:val="none"/>
          <w:lang w:bidi="zh-CN"/>
          <w14:textFill>
            <w14:solidFill>
              <w14:schemeClr w14:val="tx1"/>
            </w14:solidFill>
          </w14:textFill>
        </w:rPr>
        <w:t xml:space="preserve">  </w:t>
      </w:r>
      <w:r>
        <w:rPr>
          <w:rFonts w:ascii="宋体" w:hAnsi="宋体" w:cs="宋体"/>
          <w:b/>
          <w:color w:val="000000" w:themeColor="text1"/>
          <w:kern w:val="0"/>
          <w:sz w:val="24"/>
          <w:szCs w:val="22"/>
          <w:highlight w:val="none"/>
          <w:lang w:val="zh-CN" w:bidi="zh-CN"/>
          <w14:textFill>
            <w14:solidFill>
              <w14:schemeClr w14:val="tx1"/>
            </w14:solidFill>
          </w14:textFill>
        </w:rPr>
        <w:t>日</w:t>
      </w:r>
    </w:p>
    <w:p>
      <w:pPr>
        <w:rPr>
          <w:rFonts w:ascii="宋体" w:hAnsi="宋体" w:cs="宋体"/>
          <w:b/>
          <w:color w:val="000000" w:themeColor="text1"/>
          <w:kern w:val="0"/>
          <w:sz w:val="24"/>
          <w:szCs w:val="22"/>
          <w:highlight w:val="none"/>
          <w:lang w:val="zh-CN" w:bidi="zh-CN"/>
          <w14:textFill>
            <w14:solidFill>
              <w14:schemeClr w14:val="tx1"/>
            </w14:solidFill>
          </w14:textFill>
        </w:rPr>
      </w:pPr>
      <w:r>
        <w:rPr>
          <w:rFonts w:ascii="宋体" w:hAnsi="宋体" w:cs="宋体"/>
          <w:b/>
          <w:color w:val="000000" w:themeColor="text1"/>
          <w:kern w:val="0"/>
          <w:sz w:val="24"/>
          <w:szCs w:val="22"/>
          <w:highlight w:val="none"/>
          <w:lang w:val="zh-CN" w:bidi="zh-CN"/>
          <w14:textFill>
            <w14:solidFill>
              <w14:schemeClr w14:val="tx1"/>
            </w14:solidFill>
          </w14:textFill>
        </w:rPr>
        <w:br w:type="page"/>
      </w:r>
    </w:p>
    <w:p>
      <w:pPr>
        <w:spacing w:before="312" w:beforeLines="100" w:after="312" w:afterLines="100"/>
        <w:jc w:val="center"/>
        <w:rPr>
          <w:rFonts w:ascii="宋体" w:hAnsi="宋体" w:cs="宋体"/>
          <w:b/>
          <w:color w:val="000000" w:themeColor="text1"/>
          <w:spacing w:val="20"/>
          <w:sz w:val="24"/>
          <w:highlight w:val="none"/>
          <w14:textFill>
            <w14:solidFill>
              <w14:schemeClr w14:val="tx1"/>
            </w14:solidFill>
          </w14:textFill>
        </w:rPr>
      </w:pPr>
      <w:r>
        <w:rPr>
          <w:rFonts w:hint="eastAsia" w:ascii="宋体" w:hAnsi="宋体" w:cs="宋体"/>
          <w:b/>
          <w:color w:val="000000" w:themeColor="text1"/>
          <w:spacing w:val="20"/>
          <w:sz w:val="24"/>
          <w:highlight w:val="none"/>
          <w14:textFill>
            <w14:solidFill>
              <w14:schemeClr w14:val="tx1"/>
            </w14:solidFill>
          </w14:textFill>
        </w:rPr>
        <w:t>详细评审索引表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551"/>
        <w:gridCol w:w="3382"/>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482" w:type="dxa"/>
            <w:gridSpan w:val="4"/>
            <w:vAlign w:val="center"/>
          </w:tcPr>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项目编号：</w:t>
            </w:r>
            <w:r>
              <w:rPr>
                <w:rFonts w:hint="eastAsia" w:ascii="宋体" w:hAnsi="宋体" w:cs="宋体"/>
                <w:color w:val="000000" w:themeColor="text1"/>
                <w:szCs w:val="21"/>
                <w:highlight w:val="none"/>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2" w:type="dxa"/>
            <w:gridSpan w:val="4"/>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评分内容</w:t>
            </w: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评分标准</w:t>
            </w: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2" w:type="dxa"/>
            <w:gridSpan w:val="4"/>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评分内容</w:t>
            </w: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评分标准</w:t>
            </w: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55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338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452"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bl>
    <w:p>
      <w:pP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br w:type="page"/>
      </w:r>
    </w:p>
    <w:p>
      <w:pPr>
        <w:spacing w:before="46"/>
        <w:ind w:left="3125" w:right="3192"/>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投标文件目录</w:t>
      </w:r>
    </w:p>
    <w:p>
      <w:pPr>
        <w:pStyle w:val="2"/>
        <w:spacing w:before="8"/>
        <w:rPr>
          <w:b/>
          <w:color w:val="000000" w:themeColor="text1"/>
          <w:sz w:val="12"/>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一、投标函</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二、开标一览表</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三、分项报价表</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四、</w:t>
      </w:r>
      <w:r>
        <w:rPr>
          <w:rFonts w:hint="eastAsia"/>
          <w:color w:val="000000" w:themeColor="text1"/>
          <w:highlight w:val="none"/>
          <w14:textFill>
            <w14:solidFill>
              <w14:schemeClr w14:val="tx1"/>
            </w14:solidFill>
          </w14:textFill>
        </w:rPr>
        <w:t>法定代表人证明书</w:t>
      </w:r>
      <w:r>
        <w:rPr>
          <w:color w:val="000000" w:themeColor="text1"/>
          <w:highlight w:val="none"/>
          <w14:textFill>
            <w14:solidFill>
              <w14:schemeClr w14:val="tx1"/>
            </w14:solidFill>
          </w14:textFill>
        </w:rPr>
        <w:t xml:space="preserve"> </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五、</w:t>
      </w:r>
      <w:r>
        <w:rPr>
          <w:rFonts w:hint="eastAsia"/>
          <w:color w:val="000000" w:themeColor="text1"/>
          <w:highlight w:val="none"/>
          <w14:textFill>
            <w14:solidFill>
              <w14:schemeClr w14:val="tx1"/>
            </w14:solidFill>
          </w14:textFill>
        </w:rPr>
        <w:t>法定代表人授权书</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六、</w:t>
      </w:r>
      <w:r>
        <w:rPr>
          <w:rFonts w:hint="eastAsia"/>
          <w:color w:val="000000" w:themeColor="text1"/>
          <w:highlight w:val="none"/>
          <w14:textFill>
            <w14:solidFill>
              <w14:schemeClr w14:val="tx1"/>
            </w14:solidFill>
          </w14:textFill>
        </w:rPr>
        <w:t>投标保证金</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七、</w:t>
      </w:r>
      <w:r>
        <w:rPr>
          <w:rFonts w:hint="eastAsia"/>
          <w:color w:val="000000" w:themeColor="text1"/>
          <w:highlight w:val="none"/>
          <w14:textFill>
            <w14:solidFill>
              <w14:schemeClr w14:val="tx1"/>
            </w14:solidFill>
          </w14:textFill>
        </w:rPr>
        <w:t>提供具有独立承担民事责任的能力的证明材料</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八、</w:t>
      </w:r>
      <w:r>
        <w:rPr>
          <w:rFonts w:hint="eastAsia"/>
          <w:color w:val="000000" w:themeColor="text1"/>
          <w:highlight w:val="none"/>
          <w14:textFill>
            <w14:solidFill>
              <w14:schemeClr w14:val="tx1"/>
            </w14:solidFill>
          </w14:textFill>
        </w:rPr>
        <w:t>资格性审查要求的其他资质证明文件</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九、</w:t>
      </w:r>
      <w:r>
        <w:rPr>
          <w:rFonts w:hint="eastAsia"/>
          <w:color w:val="000000" w:themeColor="text1"/>
          <w:highlight w:val="none"/>
          <w14:textFill>
            <w14:solidFill>
              <w14:schemeClr w14:val="tx1"/>
            </w14:solidFill>
          </w14:textFill>
        </w:rPr>
        <w:t>在经营活动中没有重大违法记录的书面声明</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十、</w:t>
      </w:r>
      <w:r>
        <w:rPr>
          <w:rFonts w:hint="eastAsia"/>
          <w:color w:val="000000" w:themeColor="text1"/>
          <w:highlight w:val="none"/>
          <w14:textFill>
            <w14:solidFill>
              <w14:schemeClr w14:val="tx1"/>
            </w14:solidFill>
          </w14:textFill>
        </w:rPr>
        <w:t>投标人业绩情况表</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十一、</w:t>
      </w:r>
      <w:r>
        <w:rPr>
          <w:rFonts w:hint="eastAsia"/>
          <w:color w:val="000000" w:themeColor="text1"/>
          <w:highlight w:val="none"/>
          <w14:textFill>
            <w14:solidFill>
              <w14:schemeClr w14:val="tx1"/>
            </w14:solidFill>
          </w14:textFill>
        </w:rPr>
        <w:t>技术要求响应表</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十二、</w:t>
      </w:r>
      <w:r>
        <w:rPr>
          <w:rFonts w:hint="eastAsia"/>
          <w:color w:val="000000" w:themeColor="text1"/>
          <w:highlight w:val="none"/>
          <w14:textFill>
            <w14:solidFill>
              <w14:schemeClr w14:val="tx1"/>
            </w14:solidFill>
          </w14:textFill>
        </w:rPr>
        <w:t>商务要求响应表</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十三、</w:t>
      </w:r>
      <w:r>
        <w:rPr>
          <w:rFonts w:hint="eastAsia"/>
          <w:color w:val="000000" w:themeColor="text1"/>
          <w:highlight w:val="none"/>
          <w14:textFill>
            <w14:solidFill>
              <w14:schemeClr w14:val="tx1"/>
            </w14:solidFill>
          </w14:textFill>
        </w:rPr>
        <w:t>履约进度计划表</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十四、</w:t>
      </w:r>
      <w:r>
        <w:rPr>
          <w:rFonts w:hint="eastAsia"/>
          <w:color w:val="000000" w:themeColor="text1"/>
          <w:highlight w:val="none"/>
          <w14:textFill>
            <w14:solidFill>
              <w14:schemeClr w14:val="tx1"/>
            </w14:solidFill>
          </w14:textFill>
        </w:rPr>
        <w:t>各类证明材料</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十五、</w:t>
      </w:r>
      <w:r>
        <w:rPr>
          <w:rFonts w:hint="eastAsia"/>
          <w:color w:val="000000" w:themeColor="text1"/>
          <w:highlight w:val="none"/>
          <w14:textFill>
            <w14:solidFill>
              <w14:schemeClr w14:val="tx1"/>
            </w14:solidFill>
          </w14:textFill>
        </w:rPr>
        <w:t>采购代理服务费支付承诺书</w:t>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十六、</w:t>
      </w:r>
      <w:r>
        <w:rPr>
          <w:rFonts w:hint="eastAsia"/>
          <w:color w:val="000000" w:themeColor="text1"/>
          <w:highlight w:val="none"/>
          <w14:textFill>
            <w14:solidFill>
              <w14:schemeClr w14:val="tx1"/>
            </w14:solidFill>
          </w14:textFill>
        </w:rPr>
        <w:t>需要招标人提供的附加条件</w:t>
      </w:r>
    </w:p>
    <w:p>
      <w:pPr>
        <w:rPr>
          <w:b/>
          <w:bCs/>
          <w:color w:val="000000" w:themeColor="text1"/>
          <w:sz w:val="24"/>
          <w:szCs w:val="32"/>
          <w:highlight w:val="none"/>
          <w14:textFill>
            <w14:solidFill>
              <w14:schemeClr w14:val="tx1"/>
            </w14:solidFill>
          </w14:textFill>
        </w:rPr>
      </w:pPr>
      <w:r>
        <w:rPr>
          <w:b/>
          <w:bCs/>
          <w:color w:val="000000" w:themeColor="text1"/>
          <w:sz w:val="24"/>
          <w:szCs w:val="32"/>
          <w:highlight w:val="none"/>
          <w14:textFill>
            <w14:solidFill>
              <w14:schemeClr w14:val="tx1"/>
            </w14:solidFill>
          </w14:textFill>
        </w:rPr>
        <w:br w:type="page"/>
      </w:r>
    </w:p>
    <w:p>
      <w:pPr>
        <w:rPr>
          <w:b/>
          <w:bCs/>
          <w:color w:val="000000" w:themeColor="text1"/>
          <w:sz w:val="24"/>
          <w:szCs w:val="32"/>
          <w:highlight w:val="none"/>
          <w14:textFill>
            <w14:solidFill>
              <w14:schemeClr w14:val="tx1"/>
            </w14:solidFill>
          </w14:textFill>
        </w:rPr>
      </w:pPr>
      <w:r>
        <w:rPr>
          <w:b/>
          <w:bCs/>
          <w:color w:val="000000" w:themeColor="text1"/>
          <w:sz w:val="24"/>
          <w:szCs w:val="32"/>
          <w:highlight w:val="none"/>
          <w14:textFill>
            <w14:solidFill>
              <w14:schemeClr w14:val="tx1"/>
            </w14:solidFill>
          </w14:textFill>
        </w:rPr>
        <w:t>格式一：</w:t>
      </w:r>
    </w:p>
    <w:p>
      <w:pPr>
        <w:pStyle w:val="2"/>
        <w:jc w:val="center"/>
        <w:rPr>
          <w:b/>
          <w:color w:val="000000" w:themeColor="text1"/>
          <w:sz w:val="12"/>
          <w:highlight w:val="none"/>
          <w14:textFill>
            <w14:solidFill>
              <w14:schemeClr w14:val="tx1"/>
            </w14:solidFill>
          </w14:textFill>
        </w:rPr>
      </w:pPr>
      <w:r>
        <w:rPr>
          <w:b/>
          <w:color w:val="000000" w:themeColor="text1"/>
          <w:highlight w:val="none"/>
          <w14:textFill>
            <w14:solidFill>
              <w14:schemeClr w14:val="tx1"/>
            </w14:solidFill>
          </w14:textFill>
        </w:rPr>
        <w:t>投标函</w:t>
      </w:r>
    </w:p>
    <w:p>
      <w:pPr>
        <w:pStyle w:val="2"/>
        <w:autoSpaceDE w:val="0"/>
        <w:autoSpaceDN w:val="0"/>
        <w:spacing w:before="0" w:line="360" w:lineRule="auto"/>
        <w:ind w:left="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致：国顺招标有限公司</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你方组织的</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项目的招标[项目编号为：</w:t>
      </w:r>
      <w:r>
        <w:rPr>
          <w:rFonts w:hint="eastAsia"/>
          <w:color w:val="000000" w:themeColor="text1"/>
          <w:sz w:val="21"/>
          <w:szCs w:val="21"/>
          <w:highlight w:val="non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]，我方愿参与投标。</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我方确认收到贵方提供的</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项目的招标文件的全部内容。</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我方在参与投标前已详细研究了招标文件的所有内容，包括澄清、修改文件（如果有）和所有已提供的参考资料以及有关附件，我方完全明白并认为此招标文件没有倾向性，也不存在排斥潜在投标人的内容，我方同意招标文件的相关条款，放弃对招标文件提出误解和质疑的一切权力。</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u w:val="single"/>
          <w14:textFill>
            <w14:solidFill>
              <w14:schemeClr w14:val="tx1"/>
            </w14:solidFill>
          </w14:textFill>
        </w:rPr>
        <w:t>（投标人名称)</w:t>
      </w:r>
      <w:r>
        <w:rPr>
          <w:rFonts w:hint="eastAsia"/>
          <w:color w:val="000000" w:themeColor="text1"/>
          <w:sz w:val="21"/>
          <w:szCs w:val="21"/>
          <w:highlight w:val="none"/>
          <w14:textFill>
            <w14:solidFill>
              <w14:schemeClr w14:val="tx1"/>
            </w14:solidFill>
          </w14:textFill>
        </w:rPr>
        <w:t>作为投标人正式授权</w:t>
      </w:r>
      <w:r>
        <w:rPr>
          <w:rFonts w:hint="eastAsia"/>
          <w:color w:val="000000" w:themeColor="text1"/>
          <w:sz w:val="21"/>
          <w:szCs w:val="21"/>
          <w:highlight w:val="none"/>
          <w:u w:val="single"/>
          <w14:textFill>
            <w14:solidFill>
              <w14:schemeClr w14:val="tx1"/>
            </w14:solidFill>
          </w14:textFill>
        </w:rPr>
        <w:t>（授权代表全名,职务)</w:t>
      </w:r>
      <w:r>
        <w:rPr>
          <w:rFonts w:hint="eastAsia"/>
          <w:color w:val="000000" w:themeColor="text1"/>
          <w:sz w:val="21"/>
          <w:szCs w:val="21"/>
          <w:highlight w:val="none"/>
          <w14:textFill>
            <w14:solidFill>
              <w14:schemeClr w14:val="tx1"/>
            </w14:solidFill>
          </w14:textFill>
        </w:rPr>
        <w:t>代表我方全权处理有关本投标的一切事宜。我方已完全明白招标文件的所有条款要求，并申明如下：</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（一）按招标文件提供的全部货物与相关服务的投标总价详见《开标一览表》。</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本投标文件的有效期为投标截止时间起90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（三）我方明白并同意，在规定的开标日之后，投标有效期之内撤回投标或中标后不按规定与招标人签订合同或不提交履约保证金</w:t>
      </w:r>
      <w:r>
        <w:rPr>
          <w:rFonts w:hint="eastAsia"/>
          <w:color w:val="000000" w:themeColor="text1"/>
          <w:w w:val="95"/>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则贵方将不予退还投标保证金。</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（四）我方愿意向贵方提供任何与本项报价有关的数据、情况和技术资料。若贵方需要，我方愿意提供我方作出的一切承诺的证明材料。</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（五）我方理解贵方不一定接受最低投标价或任何贵方可能收到的投标。</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（六）我方如果中标，将保证履行招标文件及其澄清、修改文件（如果有）中的全部责任和义务，按质、按量、按期完成《用户需求书》及合同中的全部任务。</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（七）我方作为法律、财务和运作上独立于招标人、招标代理机构的投标人，在此保证所提交的所有文件和全部说明是真实的和正确的。</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（八）我方投标报价已包含应向知识产权所有权人支付的所有相关税费，并保证招标人在中国使用我方提供的货物时，如有第三方提出侵犯其知识产权主张的，责任由我方承担。</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（九）我方接受招标人委托向贵方支付代理服务费，项目总报价已包含代理服务费，如果被确定为中标供应商，承诺向贵方足额支付。（若招标人支付代理服务费，则此条不适用）</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（十）我方与其他投标人不存在单位负责人为同一人或者存在直接控股、管理关系。</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（十一）我方承诺未为本项目提供整体设计、规范编制或者项目管理、监理、检测等服务。</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（十二）我方未被列入法院失信被执行人名单中。</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（十三）我方具备《中华人民共和国政府采购法》第二十二条规定的条件，承诺如下：</w:t>
      </w:r>
    </w:p>
    <w:p>
      <w:pPr>
        <w:pStyle w:val="22"/>
        <w:tabs>
          <w:tab w:val="left" w:pos="996"/>
        </w:tabs>
        <w:autoSpaceDE w:val="0"/>
        <w:autoSpaceDN w:val="0"/>
        <w:spacing w:line="360" w:lineRule="auto"/>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（1）我方参加本项目政府采购活动前</w:t>
      </w:r>
      <w:r>
        <w:rPr>
          <w:rFonts w:hint="eastAsia" w:ascii="宋体" w:hAnsi="宋体" w:cs="宋体"/>
          <w:color w:val="000000" w:themeColor="text1"/>
          <w:spacing w:val="-3"/>
          <w:w w:val="110"/>
          <w:szCs w:val="21"/>
          <w:highlight w:val="none"/>
          <w14:textFill>
            <w14:solidFill>
              <w14:schemeClr w14:val="tx1"/>
            </w14:solidFill>
          </w14:textFill>
        </w:rPr>
        <w:t>3</w:t>
      </w:r>
      <w:r>
        <w:rPr>
          <w:rFonts w:hint="eastAsia" w:ascii="宋体" w:hAnsi="宋体" w:cs="宋体"/>
          <w:color w:val="000000" w:themeColor="text1"/>
          <w:spacing w:val="-1"/>
          <w:szCs w:val="21"/>
          <w:highlight w:val="none"/>
          <w14:textFill>
            <w14:solidFill>
              <w14:schemeClr w14:val="tx1"/>
            </w14:solidFill>
          </w14:textFill>
        </w:rPr>
        <w:t>年内在经营活动中没有以下违法记录，或因违法经营被禁止参加政府采购活动的</w:t>
      </w:r>
      <w:r>
        <w:rPr>
          <w:rFonts w:hint="eastAsia" w:ascii="宋体" w:hAnsi="宋体" w:cs="宋体"/>
          <w:color w:val="000000" w:themeColor="text1"/>
          <w:szCs w:val="21"/>
          <w:highlight w:val="none"/>
          <w14:textFill>
            <w14:solidFill>
              <w14:schemeClr w14:val="tx1"/>
            </w14:solidFill>
          </w14:textFill>
        </w:rPr>
        <w:t>期限已届满：因违法经营受到刑事处罚或者责令停产停业、吊销许可证或者执照、较大数额罚款等行政处罚。</w:t>
      </w:r>
    </w:p>
    <w:p>
      <w:pPr>
        <w:pStyle w:val="22"/>
        <w:tabs>
          <w:tab w:val="left" w:pos="996"/>
        </w:tabs>
        <w:autoSpaceDE w:val="0"/>
        <w:autoSpaceDN w:val="0"/>
        <w:spacing w:line="360" w:lineRule="auto"/>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（2）我方符合法律、行政法规规定的其他条件。</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以上内容如有虚假或与事实不符的，评标委员会可将我方做无效投标处理，我方愿意承担相应的法律责任。</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（十四）我方对在本函及投标文件中所作的所有承诺承担法律责任。</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（十五）所有与本招标有关的函件请发往下列地址：</w:t>
      </w:r>
    </w:p>
    <w:p>
      <w:pPr>
        <w:pStyle w:val="2"/>
        <w:tabs>
          <w:tab w:val="left" w:pos="2854"/>
          <w:tab w:val="left" w:pos="2899"/>
          <w:tab w:val="left" w:pos="5588"/>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w:t>
      </w:r>
      <w:r>
        <w:rPr>
          <w:rFonts w:hint="eastAsia"/>
          <w:color w:val="000000" w:themeColor="text1"/>
          <w:spacing w:val="-34"/>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址：</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邮政编码：</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电</w:t>
      </w:r>
      <w:r>
        <w:rPr>
          <w:rFonts w:hint="eastAsia"/>
          <w:color w:val="000000" w:themeColor="text1"/>
          <w:spacing w:val="-29"/>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话：</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p>
    <w:p>
      <w:pPr>
        <w:pStyle w:val="2"/>
        <w:tabs>
          <w:tab w:val="left" w:pos="2899"/>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传</w:t>
      </w:r>
      <w:r>
        <w:rPr>
          <w:rFonts w:hint="eastAsia"/>
          <w:color w:val="000000" w:themeColor="text1"/>
          <w:spacing w:val="-29"/>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真：</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pStyle w:val="2"/>
        <w:tabs>
          <w:tab w:val="left" w:pos="3178"/>
          <w:tab w:val="left" w:pos="5588"/>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代表姓名：</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职</w:t>
      </w:r>
      <w:r>
        <w:rPr>
          <w:rFonts w:hint="eastAsia"/>
          <w:color w:val="000000" w:themeColor="text1"/>
          <w:spacing w:val="-29"/>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务：</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pStyle w:val="2"/>
        <w:tabs>
          <w:tab w:val="left" w:pos="6766"/>
        </w:tabs>
        <w:autoSpaceDE w:val="0"/>
        <w:autoSpaceDN w:val="0"/>
        <w:spacing w:before="0" w:line="360" w:lineRule="auto"/>
        <w:ind w:left="0" w:firstLine="420" w:firstLineChars="200"/>
        <w:jc w:val="right"/>
        <w:rPr>
          <w:color w:val="000000" w:themeColor="text1"/>
          <w:sz w:val="21"/>
          <w:szCs w:val="21"/>
          <w:highlight w:val="none"/>
          <w14:textFill>
            <w14:solidFill>
              <w14:schemeClr w14:val="tx1"/>
            </w14:solidFill>
          </w14:textFill>
        </w:rPr>
      </w:pPr>
    </w:p>
    <w:p>
      <w:pPr>
        <w:pStyle w:val="2"/>
        <w:tabs>
          <w:tab w:val="left" w:pos="6766"/>
        </w:tabs>
        <w:autoSpaceDE w:val="0"/>
        <w:autoSpaceDN w:val="0"/>
        <w:spacing w:before="0" w:line="360" w:lineRule="auto"/>
        <w:ind w:left="0" w:firstLine="420" w:firstLineChars="200"/>
        <w:jc w:val="righ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法定代表人（或投标人代表）签字或盖章：</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pStyle w:val="2"/>
        <w:tabs>
          <w:tab w:val="left" w:pos="3693"/>
        </w:tabs>
        <w:autoSpaceDE w:val="0"/>
        <w:autoSpaceDN w:val="0"/>
        <w:spacing w:before="0" w:line="360" w:lineRule="auto"/>
        <w:ind w:left="0" w:firstLine="420" w:firstLineChars="200"/>
        <w:jc w:val="righ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投标人名称（盖章）：</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pStyle w:val="2"/>
        <w:tabs>
          <w:tab w:val="left" w:pos="6766"/>
        </w:tabs>
        <w:autoSpaceDE w:val="0"/>
        <w:autoSpaceDN w:val="0"/>
        <w:spacing w:before="0" w:line="360" w:lineRule="auto"/>
        <w:ind w:left="0" w:firstLine="420" w:firstLineChars="200"/>
        <w:jc w:val="righ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日期： 年 月 日</w:t>
      </w:r>
    </w:p>
    <w:p>
      <w:pPr>
        <w:rPr>
          <w:color w:val="000000" w:themeColor="text1"/>
          <w:sz w:val="20"/>
          <w:szCs w:val="20"/>
          <w:highlight w:val="none"/>
          <w14:textFill>
            <w14:solidFill>
              <w14:schemeClr w14:val="tx1"/>
            </w14:solidFill>
          </w14:textFill>
        </w:rPr>
      </w:pPr>
      <w:r>
        <w:rPr>
          <w:color w:val="000000" w:themeColor="text1"/>
          <w:sz w:val="20"/>
          <w:szCs w:val="20"/>
          <w:highlight w:val="none"/>
          <w14:textFill>
            <w14:solidFill>
              <w14:schemeClr w14:val="tx1"/>
            </w14:solidFill>
          </w14:textFill>
        </w:rPr>
        <w:br w:type="page"/>
      </w:r>
    </w:p>
    <w:p>
      <w:pPr>
        <w:rPr>
          <w:b/>
          <w:bCs/>
          <w:color w:val="000000" w:themeColor="text1"/>
          <w:sz w:val="24"/>
          <w:szCs w:val="32"/>
          <w:highlight w:val="none"/>
          <w14:textFill>
            <w14:solidFill>
              <w14:schemeClr w14:val="tx1"/>
            </w14:solidFill>
          </w14:textFill>
        </w:rPr>
      </w:pPr>
      <w:r>
        <w:rPr>
          <w:rFonts w:hint="eastAsia"/>
          <w:b/>
          <w:bCs/>
          <w:color w:val="000000" w:themeColor="text1"/>
          <w:sz w:val="24"/>
          <w:szCs w:val="32"/>
          <w:highlight w:val="none"/>
          <w14:textFill>
            <w14:solidFill>
              <w14:schemeClr w14:val="tx1"/>
            </w14:solidFill>
          </w14:textFill>
        </w:rPr>
        <w:t>格式二：</w:t>
      </w:r>
    </w:p>
    <w:p>
      <w:pPr>
        <w:pStyle w:val="2"/>
        <w:rPr>
          <w:color w:val="000000" w:themeColor="text1"/>
          <w:highlight w:val="none"/>
          <w:lang w:val="en-US"/>
          <w14:textFill>
            <w14:solidFill>
              <w14:schemeClr w14:val="tx1"/>
            </w14:solidFill>
          </w14:textFill>
        </w:rPr>
      </w:pPr>
    </w:p>
    <w:p>
      <w:pPr>
        <w:spacing w:line="360" w:lineRule="auto"/>
        <w:jc w:val="center"/>
        <w:rPr>
          <w:rFonts w:ascii="黑体" w:eastAsia="黑体"/>
          <w:color w:val="000000" w:themeColor="text1"/>
          <w:sz w:val="32"/>
          <w:szCs w:val="32"/>
          <w:highlight w:val="none"/>
          <w14:textFill>
            <w14:solidFill>
              <w14:schemeClr w14:val="tx1"/>
            </w14:solidFill>
          </w14:textFill>
        </w:rPr>
      </w:pPr>
      <w:r>
        <w:rPr>
          <w:rFonts w:hint="eastAsia" w:ascii="宋体" w:hAnsi="宋体" w:cs="宋体"/>
          <w:b/>
          <w:color w:val="000000" w:themeColor="text1"/>
          <w:sz w:val="24"/>
          <w:highlight w:val="none"/>
          <w:lang w:val="zh-CN" w:bidi="zh-CN"/>
          <w14:textFill>
            <w14:solidFill>
              <w14:schemeClr w14:val="tx1"/>
            </w14:solidFill>
          </w14:textFill>
        </w:rPr>
        <w:t>开标一览表</w:t>
      </w:r>
    </w:p>
    <w:p>
      <w:pPr>
        <w:spacing w:line="360" w:lineRule="auto"/>
        <w:rPr>
          <w:color w:val="000000" w:themeColor="text1"/>
          <w:highlight w:val="none"/>
          <w14:textFill>
            <w14:solidFill>
              <w14:schemeClr w14:val="tx1"/>
            </w14:solidFill>
          </w14:textFill>
        </w:rPr>
      </w:pPr>
    </w:p>
    <w:p>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投标人名称：</w:t>
      </w:r>
    </w:p>
    <w:p>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2327"/>
        <w:gridCol w:w="2840"/>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8" w:hRule="atLeast"/>
          <w:jc w:val="center"/>
        </w:trPr>
        <w:tc>
          <w:tcPr>
            <w:tcW w:w="987" w:type="pct"/>
            <w:vAlign w:val="center"/>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项目名称</w:t>
            </w:r>
          </w:p>
        </w:tc>
        <w:tc>
          <w:tcPr>
            <w:tcW w:w="1365" w:type="pct"/>
            <w:vAlign w:val="center"/>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投标总价（元）</w:t>
            </w:r>
          </w:p>
        </w:tc>
        <w:tc>
          <w:tcPr>
            <w:tcW w:w="1666" w:type="pct"/>
            <w:vAlign w:val="center"/>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综合单价（元/平方米/年）</w:t>
            </w:r>
          </w:p>
        </w:tc>
        <w:tc>
          <w:tcPr>
            <w:tcW w:w="980" w:type="pct"/>
            <w:vAlign w:val="center"/>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87" w:type="pct"/>
            <w:vMerge w:val="restart"/>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365" w:type="pct"/>
            <w:vAlign w:val="center"/>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jc w:val="both"/>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小写：</w:t>
            </w:r>
          </w:p>
        </w:tc>
        <w:tc>
          <w:tcPr>
            <w:tcW w:w="1666" w:type="pct"/>
            <w:vAlign w:val="center"/>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jc w:val="both"/>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小写：</w:t>
            </w:r>
          </w:p>
        </w:tc>
        <w:tc>
          <w:tcPr>
            <w:tcW w:w="980" w:type="pct"/>
            <w:vMerge w:val="restart"/>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center"/>
              <w:rPr>
                <w:rFonts w:ascii="宋体" w:hAnsi="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987" w:type="pct"/>
            <w:vMerge w:val="continue"/>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both"/>
              <w:rPr>
                <w:color w:val="000000" w:themeColor="text1"/>
                <w:highlight w:val="none"/>
                <w14:textFill>
                  <w14:solidFill>
                    <w14:schemeClr w14:val="tx1"/>
                  </w14:solidFill>
                </w14:textFill>
              </w:rPr>
            </w:pPr>
          </w:p>
        </w:tc>
        <w:tc>
          <w:tcPr>
            <w:tcW w:w="1365" w:type="pct"/>
            <w:vAlign w:val="center"/>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jc w:val="both"/>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大写：</w:t>
            </w:r>
          </w:p>
        </w:tc>
        <w:tc>
          <w:tcPr>
            <w:tcW w:w="1666" w:type="pct"/>
            <w:vAlign w:val="center"/>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jc w:val="both"/>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大写：</w:t>
            </w:r>
          </w:p>
        </w:tc>
        <w:tc>
          <w:tcPr>
            <w:tcW w:w="980" w:type="pct"/>
            <w:vMerge w:val="continue"/>
          </w:tcPr>
          <w:p>
            <w:pPr>
              <w:widowControl/>
              <w:tabs>
                <w:tab w:val="left" w:pos="654"/>
                <w:tab w:val="left" w:pos="1734"/>
                <w:tab w:val="left" w:pos="2814"/>
                <w:tab w:val="left" w:pos="3894"/>
                <w:tab w:val="left" w:pos="5334"/>
                <w:tab w:val="left" w:pos="6414"/>
                <w:tab w:val="left" w:pos="7254"/>
                <w:tab w:val="left" w:pos="8574"/>
                <w:tab w:val="left" w:pos="9654"/>
              </w:tabs>
              <w:adjustRightInd w:val="0"/>
              <w:snapToGrid w:val="0"/>
              <w:spacing w:line="360" w:lineRule="auto"/>
              <w:jc w:val="both"/>
              <w:rPr>
                <w:rFonts w:ascii="宋体" w:hAnsi="宋体"/>
                <w:color w:val="000000" w:themeColor="text1"/>
                <w:szCs w:val="21"/>
                <w:highlight w:val="none"/>
                <w14:textFill>
                  <w14:solidFill>
                    <w14:schemeClr w14:val="tx1"/>
                  </w14:solidFill>
                </w14:textFill>
              </w:rPr>
            </w:pPr>
          </w:p>
        </w:tc>
      </w:tr>
    </w:tbl>
    <w:p>
      <w:pPr>
        <w:spacing w:line="360" w:lineRule="auto"/>
        <w:rPr>
          <w:rFonts w:ascii="宋体" w:hAnsi="宋体"/>
          <w:color w:val="000000" w:themeColor="text1"/>
          <w:szCs w:val="21"/>
          <w:highlight w:val="none"/>
          <w14:textFill>
            <w14:solidFill>
              <w14:schemeClr w14:val="tx1"/>
            </w14:solidFill>
          </w14:textFill>
        </w:rPr>
      </w:pPr>
    </w:p>
    <w:p>
      <w:pPr>
        <w:spacing w:line="360" w:lineRule="auto"/>
        <w:ind w:firstLine="359" w:firstLineChars="171"/>
        <w:rPr>
          <w:rFonts w:ascii="宋体" w:hAnsi="宋体"/>
          <w:color w:val="000000" w:themeColor="text1"/>
          <w:szCs w:val="21"/>
          <w:highlight w:val="none"/>
          <w14:textFill>
            <w14:solidFill>
              <w14:schemeClr w14:val="tx1"/>
            </w14:solidFill>
          </w14:textFill>
        </w:rPr>
      </w:pPr>
    </w:p>
    <w:p>
      <w:pPr>
        <w:spacing w:line="360" w:lineRule="auto"/>
        <w:ind w:firstLine="359" w:firstLineChars="171"/>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投标人代表签字：</w:t>
      </w:r>
    </w:p>
    <w:p>
      <w:pPr>
        <w:spacing w:line="360" w:lineRule="auto"/>
        <w:ind w:firstLine="342" w:firstLineChars="171"/>
        <w:rPr>
          <w:rFonts w:ascii="宋体" w:hAnsi="宋体"/>
          <w:color w:val="000000" w:themeColor="text1"/>
          <w:szCs w:val="21"/>
          <w:highlight w:val="none"/>
          <w14:textFill>
            <w14:solidFill>
              <w14:schemeClr w14:val="tx1"/>
            </w14:solidFill>
          </w14:textFill>
        </w:rPr>
      </w:pPr>
      <w:r>
        <w:rPr>
          <w:color w:val="000000" w:themeColor="text1"/>
          <w:sz w:val="20"/>
          <w:szCs w:val="20"/>
          <w:highlight w:val="none"/>
          <w14:textFill>
            <w14:solidFill>
              <w14:schemeClr w14:val="tx1"/>
            </w14:solidFill>
          </w14:textFill>
        </w:rPr>
        <w:t>投标人名称（盖章）</w:t>
      </w:r>
      <w:r>
        <w:rPr>
          <w:rFonts w:hint="eastAsia" w:ascii="宋体" w:hAnsi="宋体"/>
          <w:color w:val="000000" w:themeColor="text1"/>
          <w:szCs w:val="21"/>
          <w:highlight w:val="none"/>
          <w14:textFill>
            <w14:solidFill>
              <w14:schemeClr w14:val="tx1"/>
            </w14:solidFill>
          </w14:textFill>
        </w:rPr>
        <w:t>：</w:t>
      </w:r>
    </w:p>
    <w:p>
      <w:pPr>
        <w:spacing w:line="360" w:lineRule="auto"/>
        <w:ind w:firstLine="359" w:firstLineChars="171"/>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w:t>
      </w:r>
      <w:r>
        <w:rPr>
          <w:color w:val="000000" w:themeColor="text1"/>
          <w:sz w:val="20"/>
          <w:szCs w:val="20"/>
          <w:highlight w:val="none"/>
          <w14:textFill>
            <w14:solidFill>
              <w14:schemeClr w14:val="tx1"/>
            </w14:solidFill>
          </w14:textFill>
        </w:rPr>
        <w:t xml:space="preserve"> 年</w:t>
      </w:r>
      <w:r>
        <w:rPr>
          <w:rFonts w:hint="eastAsia"/>
          <w:color w:val="000000" w:themeColor="text1"/>
          <w:sz w:val="20"/>
          <w:szCs w:val="20"/>
          <w:highlight w:val="none"/>
          <w14:textFill>
            <w14:solidFill>
              <w14:schemeClr w14:val="tx1"/>
            </w14:solidFill>
          </w14:textFill>
        </w:rPr>
        <w:t xml:space="preserve">  </w:t>
      </w:r>
      <w:r>
        <w:rPr>
          <w:color w:val="000000" w:themeColor="text1"/>
          <w:sz w:val="20"/>
          <w:szCs w:val="20"/>
          <w:highlight w:val="none"/>
          <w14:textFill>
            <w14:solidFill>
              <w14:schemeClr w14:val="tx1"/>
            </w14:solidFill>
          </w14:textFill>
        </w:rPr>
        <w:t xml:space="preserve"> 月 </w:t>
      </w:r>
      <w:r>
        <w:rPr>
          <w:rFonts w:hint="eastAsia"/>
          <w:color w:val="000000" w:themeColor="text1"/>
          <w:sz w:val="20"/>
          <w:szCs w:val="20"/>
          <w:highlight w:val="none"/>
          <w14:textFill>
            <w14:solidFill>
              <w14:schemeClr w14:val="tx1"/>
            </w14:solidFill>
          </w14:textFill>
        </w:rPr>
        <w:t xml:space="preserve">  </w:t>
      </w:r>
      <w:r>
        <w:rPr>
          <w:color w:val="000000" w:themeColor="text1"/>
          <w:sz w:val="20"/>
          <w:szCs w:val="20"/>
          <w:highlight w:val="none"/>
          <w14:textFill>
            <w14:solidFill>
              <w14:schemeClr w14:val="tx1"/>
            </w14:solidFill>
          </w14:textFill>
        </w:rPr>
        <w:t>日</w:t>
      </w:r>
    </w:p>
    <w:p>
      <w:pPr>
        <w:spacing w:line="360" w:lineRule="auto"/>
        <w:ind w:firstLine="359" w:firstLineChars="171"/>
        <w:rPr>
          <w:rFonts w:ascii="宋体" w:hAnsi="宋体"/>
          <w:color w:val="000000" w:themeColor="text1"/>
          <w:szCs w:val="21"/>
          <w:highlight w:val="none"/>
          <w14:textFill>
            <w14:solidFill>
              <w14:schemeClr w14:val="tx1"/>
            </w14:solidFill>
          </w14:textFill>
        </w:rPr>
      </w:pPr>
    </w:p>
    <w:p>
      <w:pPr>
        <w:spacing w:before="312" w:beforeLines="100"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注明：</w:t>
      </w:r>
    </w:p>
    <w:p>
      <w:pPr>
        <w:pStyle w:val="22"/>
        <w:spacing w:line="360" w:lineRule="auto"/>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1、投标总价栏须用大写金额和小写金额两种方式表示的投标总价，报价保留小数点后两位。投标总价大小写不一致，以大写为准。投标总价必须准确唯一且应包含招标文件要求的所有费用。</w:t>
      </w:r>
    </w:p>
    <w:p>
      <w:pPr>
        <w:pStyle w:val="22"/>
        <w:spacing w:line="360" w:lineRule="auto"/>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2、未按招标文件要求报价、填写开标一览表是导致投标人废标的常见问题，请投标人仔细填写，认真核对。</w:t>
      </w:r>
    </w:p>
    <w:p>
      <w:pPr>
        <w:pStyle w:val="22"/>
        <w:spacing w:line="360" w:lineRule="auto"/>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w:t>
      </w:r>
      <w:r>
        <w:rPr>
          <w:rFonts w:hint="eastAsia" w:ascii="宋体" w:hAnsi="宋体"/>
          <w:b/>
          <w:bCs/>
          <w:color w:val="000000" w:themeColor="text1"/>
          <w:szCs w:val="21"/>
          <w:highlight w:val="none"/>
          <w14:textFill>
            <w14:solidFill>
              <w14:schemeClr w14:val="tx1"/>
            </w14:solidFill>
          </w14:textFill>
        </w:rPr>
        <w:t>总价最高限价：40,276,946.16元；单价最高限价：12元/平方米/年；超出报价作无效投标处理。（即12元/平方米/年*3年*1118804.06平方米（折算后合计）=40,276,946.16元）</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pPr>
        <w:rPr>
          <w:b/>
          <w:bCs/>
          <w:color w:val="000000" w:themeColor="text1"/>
          <w:sz w:val="24"/>
          <w:szCs w:val="32"/>
          <w:highlight w:val="none"/>
          <w14:textFill>
            <w14:solidFill>
              <w14:schemeClr w14:val="tx1"/>
            </w14:solidFill>
          </w14:textFill>
        </w:rPr>
      </w:pPr>
      <w:r>
        <w:rPr>
          <w:rFonts w:hint="eastAsia"/>
          <w:b/>
          <w:bCs/>
          <w:color w:val="000000" w:themeColor="text1"/>
          <w:sz w:val="24"/>
          <w:szCs w:val="32"/>
          <w:highlight w:val="none"/>
          <w14:textFill>
            <w14:solidFill>
              <w14:schemeClr w14:val="tx1"/>
            </w14:solidFill>
          </w14:textFill>
        </w:rPr>
        <w:t>格式三：</w:t>
      </w:r>
    </w:p>
    <w:p>
      <w:pPr>
        <w:jc w:val="center"/>
        <w:rPr>
          <w:b/>
          <w:bCs/>
          <w:color w:val="000000" w:themeColor="text1"/>
          <w:sz w:val="24"/>
          <w:szCs w:val="32"/>
          <w:highlight w:val="none"/>
          <w14:textFill>
            <w14:solidFill>
              <w14:schemeClr w14:val="tx1"/>
            </w14:solidFill>
          </w14:textFill>
        </w:rPr>
      </w:pPr>
      <w:r>
        <w:rPr>
          <w:rFonts w:hint="eastAsia"/>
          <w:b/>
          <w:bCs/>
          <w:color w:val="000000" w:themeColor="text1"/>
          <w:sz w:val="24"/>
          <w:szCs w:val="32"/>
          <w:highlight w:val="none"/>
          <w14:textFill>
            <w14:solidFill>
              <w14:schemeClr w14:val="tx1"/>
            </w14:solidFill>
          </w14:textFill>
        </w:rPr>
        <w:t>分项报价表</w:t>
      </w:r>
    </w:p>
    <w:p>
      <w:pPr>
        <w:pStyle w:val="10"/>
        <w:spacing w:line="360" w:lineRule="auto"/>
        <w:jc w:val="right"/>
        <w:rPr>
          <w:rFonts w:hAnsi="宋体" w:eastAsia="宋体" w:cs="宋体"/>
          <w:color w:val="000000" w:themeColor="text1"/>
          <w:szCs w:val="21"/>
          <w:highlight w:val="none"/>
          <w14:textFill>
            <w14:solidFill>
              <w14:schemeClr w14:val="tx1"/>
            </w14:solidFill>
          </w14:textFill>
        </w:rPr>
      </w:pPr>
      <w:r>
        <w:rPr>
          <w:rFonts w:hint="eastAsia" w:hAnsi="宋体" w:eastAsia="宋体" w:cs="宋体"/>
          <w:color w:val="000000" w:themeColor="text1"/>
          <w:szCs w:val="21"/>
          <w:highlight w:val="none"/>
          <w14:textFill>
            <w14:solidFill>
              <w14:schemeClr w14:val="tx1"/>
            </w14:solidFill>
          </w14:textFill>
        </w:rPr>
        <w:t>[货币单位：人民币元]</w:t>
      </w:r>
    </w:p>
    <w:tbl>
      <w:tblPr>
        <w:tblStyle w:val="17"/>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3045"/>
        <w:gridCol w:w="1257"/>
        <w:gridCol w:w="1440"/>
        <w:gridCol w:w="1441"/>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序号</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分项内容</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数量</w:t>
            </w: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单价</w:t>
            </w: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总价</w:t>
            </w: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总计</w:t>
            </w:r>
          </w:p>
        </w:tc>
        <w:tc>
          <w:tcPr>
            <w:tcW w:w="718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（大写）                            （小写）</w:t>
            </w:r>
            <w:r>
              <w:rPr>
                <w:rFonts w:hint="eastAsia" w:ascii="宋体" w:hAnsi="宋体" w:cs="宋体"/>
                <w:b/>
                <w:color w:val="000000" w:themeColor="text1"/>
                <w:szCs w:val="21"/>
                <w:highlight w:val="none"/>
                <w14:textFill>
                  <w14:solidFill>
                    <w14:schemeClr w14:val="tx1"/>
                  </w14:solidFill>
                </w14:textFill>
              </w:rPr>
              <w:t xml:space="preserve">                          　　　　　　  </w:t>
            </w: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p>
        </w:tc>
      </w:tr>
    </w:tbl>
    <w:p>
      <w:pPr>
        <w:spacing w:line="360" w:lineRule="auto"/>
        <w:jc w:val="center"/>
        <w:rPr>
          <w:rFonts w:ascii="宋体" w:hAnsi="宋体" w:cs="宋体"/>
          <w:b/>
          <w:color w:val="000000" w:themeColor="text1"/>
          <w:szCs w:val="21"/>
          <w:highlight w:val="none"/>
          <w14:textFill>
            <w14:solidFill>
              <w14:schemeClr w14:val="tx1"/>
            </w14:solidFill>
          </w14:textFill>
        </w:rPr>
      </w:pPr>
    </w:p>
    <w:p>
      <w:pPr>
        <w:spacing w:line="360" w:lineRule="auto"/>
        <w:rPr>
          <w:rFonts w:ascii="宋体" w:hAnsi="宋体" w:cs="宋体"/>
          <w:b/>
          <w:color w:val="000000" w:themeColor="text1"/>
          <w:szCs w:val="21"/>
          <w:highlight w:val="none"/>
          <w14:textFill>
            <w14:solidFill>
              <w14:schemeClr w14:val="tx1"/>
            </w14:solidFill>
          </w14:textFill>
        </w:rPr>
      </w:pP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注：1.如果单价和总价不符时，以单价为准，修正总价和总计。</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2.投标人的报价应包括但不限于上述内容，应列明“用户需求书”所要求提供的所有服务（货物）的价格明细。</w:t>
      </w:r>
    </w:p>
    <w:p>
      <w:pPr>
        <w:spacing w:line="360" w:lineRule="auto"/>
        <w:ind w:firstLine="359" w:firstLineChars="171"/>
        <w:rPr>
          <w:rFonts w:ascii="宋体" w:hAnsi="宋体"/>
          <w:color w:val="000000" w:themeColor="text1"/>
          <w:szCs w:val="21"/>
          <w:highlight w:val="none"/>
          <w14:textFill>
            <w14:solidFill>
              <w14:schemeClr w14:val="tx1"/>
            </w14:solidFill>
          </w14:textFill>
        </w:rPr>
      </w:pPr>
    </w:p>
    <w:p>
      <w:pPr>
        <w:spacing w:line="360" w:lineRule="auto"/>
        <w:ind w:firstLine="359" w:firstLineChars="171"/>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投标人代表签字：</w:t>
      </w:r>
    </w:p>
    <w:p>
      <w:pPr>
        <w:spacing w:line="360" w:lineRule="auto"/>
        <w:ind w:firstLine="342" w:firstLineChars="171"/>
        <w:rPr>
          <w:rFonts w:ascii="宋体" w:hAnsi="宋体"/>
          <w:color w:val="000000" w:themeColor="text1"/>
          <w:szCs w:val="21"/>
          <w:highlight w:val="none"/>
          <w14:textFill>
            <w14:solidFill>
              <w14:schemeClr w14:val="tx1"/>
            </w14:solidFill>
          </w14:textFill>
        </w:rPr>
      </w:pPr>
      <w:r>
        <w:rPr>
          <w:color w:val="000000" w:themeColor="text1"/>
          <w:sz w:val="20"/>
          <w:szCs w:val="20"/>
          <w:highlight w:val="none"/>
          <w14:textFill>
            <w14:solidFill>
              <w14:schemeClr w14:val="tx1"/>
            </w14:solidFill>
          </w14:textFill>
        </w:rPr>
        <w:t>投标人名称（盖章）</w:t>
      </w:r>
      <w:r>
        <w:rPr>
          <w:rFonts w:hint="eastAsia" w:ascii="宋体" w:hAnsi="宋体"/>
          <w:color w:val="000000" w:themeColor="text1"/>
          <w:szCs w:val="21"/>
          <w:highlight w:val="none"/>
          <w14:textFill>
            <w14:solidFill>
              <w14:schemeClr w14:val="tx1"/>
            </w14:solidFill>
          </w14:textFill>
        </w:rPr>
        <w:t>：</w:t>
      </w:r>
    </w:p>
    <w:p>
      <w:pPr>
        <w:spacing w:line="360" w:lineRule="auto"/>
        <w:ind w:firstLine="342" w:firstLineChars="171"/>
        <w:rPr>
          <w:color w:val="000000" w:themeColor="text1"/>
          <w:sz w:val="20"/>
          <w:szCs w:val="20"/>
          <w:highlight w:val="none"/>
          <w14:textFill>
            <w14:solidFill>
              <w14:schemeClr w14:val="tx1"/>
            </w14:solidFill>
          </w14:textFill>
        </w:rPr>
      </w:pPr>
      <w:r>
        <w:rPr>
          <w:rFonts w:hint="eastAsia"/>
          <w:color w:val="000000" w:themeColor="text1"/>
          <w:sz w:val="20"/>
          <w:szCs w:val="20"/>
          <w:highlight w:val="none"/>
          <w14:textFill>
            <w14:solidFill>
              <w14:schemeClr w14:val="tx1"/>
            </w14:solidFill>
          </w14:textFill>
        </w:rPr>
        <w:t>日期：</w:t>
      </w:r>
      <w:r>
        <w:rPr>
          <w:color w:val="000000" w:themeColor="text1"/>
          <w:sz w:val="20"/>
          <w:szCs w:val="20"/>
          <w:highlight w:val="none"/>
          <w14:textFill>
            <w14:solidFill>
              <w14:schemeClr w14:val="tx1"/>
            </w14:solidFill>
          </w14:textFill>
        </w:rPr>
        <w:t xml:space="preserve"> 年 月 日</w:t>
      </w:r>
    </w:p>
    <w:p>
      <w:pPr>
        <w:rPr>
          <w:color w:val="000000" w:themeColor="text1"/>
          <w:sz w:val="20"/>
          <w:szCs w:val="20"/>
          <w:highlight w:val="none"/>
          <w14:textFill>
            <w14:solidFill>
              <w14:schemeClr w14:val="tx1"/>
            </w14:solidFill>
          </w14:textFill>
        </w:rPr>
      </w:pPr>
      <w:r>
        <w:rPr>
          <w:color w:val="000000" w:themeColor="text1"/>
          <w:sz w:val="20"/>
          <w:szCs w:val="20"/>
          <w:highlight w:val="none"/>
          <w14:textFill>
            <w14:solidFill>
              <w14:schemeClr w14:val="tx1"/>
            </w14:solidFill>
          </w14:textFill>
        </w:rPr>
        <w:br w:type="page"/>
      </w:r>
    </w:p>
    <w:p>
      <w:pPr>
        <w:pStyle w:val="2"/>
        <w:rPr>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格式四：</w:t>
      </w:r>
    </w:p>
    <w:p>
      <w:pPr>
        <w:pStyle w:val="4"/>
        <w:spacing w:line="360" w:lineRule="auto"/>
        <w:rPr>
          <w:color w:val="000000" w:themeColor="text1"/>
          <w:sz w:val="24"/>
          <w:highlight w:val="none"/>
          <w14:textFill>
            <w14:solidFill>
              <w14:schemeClr w14:val="tx1"/>
            </w14:solidFill>
          </w14:textFill>
        </w:rPr>
      </w:pPr>
      <w:bookmarkStart w:id="155" w:name="_Toc23039"/>
      <w:r>
        <w:rPr>
          <w:color w:val="000000" w:themeColor="text1"/>
          <w:sz w:val="24"/>
          <w:highlight w:val="none"/>
          <w14:textFill>
            <w14:solidFill>
              <w14:schemeClr w14:val="tx1"/>
            </w14:solidFill>
          </w14:textFill>
        </w:rPr>
        <w:t>法定代表人证明书</w:t>
      </w:r>
      <w:bookmarkEnd w:id="155"/>
    </w:p>
    <w:p>
      <w:pPr>
        <w:pStyle w:val="2"/>
        <w:tabs>
          <w:tab w:val="left" w:pos="1738"/>
          <w:tab w:val="left" w:pos="3223"/>
          <w:tab w:val="left" w:pos="3947"/>
        </w:tabs>
        <w:autoSpaceDE w:val="0"/>
        <w:autoSpaceDN w:val="0"/>
        <w:spacing w:line="360" w:lineRule="auto"/>
        <w:ind w:left="0"/>
        <w:rPr>
          <w:color w:val="000000" w:themeColor="text1"/>
          <w:spacing w:val="-18"/>
          <w:sz w:val="21"/>
          <w:szCs w:val="21"/>
          <w:highlight w:val="none"/>
          <w14:textFill>
            <w14:solidFill>
              <w14:schemeClr w14:val="tx1"/>
            </w14:solidFill>
          </w14:textFill>
        </w:rPr>
      </w:pPr>
      <w:r>
        <w:rPr>
          <w:rFonts w:hint="eastAsia"/>
          <w:color w:val="000000" w:themeColor="text1"/>
          <w:w w:val="10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现任我单位</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职务，为法定代表人，特此证明</w:t>
      </w:r>
      <w:r>
        <w:rPr>
          <w:rFonts w:hint="eastAsia"/>
          <w:color w:val="000000" w:themeColor="text1"/>
          <w:spacing w:val="-18"/>
          <w:sz w:val="21"/>
          <w:szCs w:val="21"/>
          <w:highlight w:val="none"/>
          <w14:textFill>
            <w14:solidFill>
              <w14:schemeClr w14:val="tx1"/>
            </w14:solidFill>
          </w14:textFill>
        </w:rPr>
        <w:t>。</w:t>
      </w:r>
    </w:p>
    <w:p>
      <w:pPr>
        <w:pStyle w:val="2"/>
        <w:tabs>
          <w:tab w:val="left" w:pos="1738"/>
          <w:tab w:val="left" w:pos="3223"/>
          <w:tab w:val="left" w:pos="3947"/>
        </w:tabs>
        <w:autoSpaceDE w:val="0"/>
        <w:autoSpaceDN w:val="0"/>
        <w:spacing w:line="360" w:lineRule="auto"/>
        <w:ind w:left="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有效期限：</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p>
    <w:p>
      <w:pPr>
        <w:pStyle w:val="2"/>
        <w:tabs>
          <w:tab w:val="left" w:pos="2506"/>
          <w:tab w:val="left" w:pos="3370"/>
          <w:tab w:val="left" w:pos="3992"/>
          <w:tab w:val="left" w:pos="6932"/>
          <w:tab w:val="left" w:pos="7064"/>
        </w:tabs>
        <w:autoSpaceDE w:val="0"/>
        <w:autoSpaceDN w:val="0"/>
        <w:spacing w:line="360" w:lineRule="auto"/>
        <w:ind w:left="0"/>
        <w:rPr>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附：代表人性别：</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年龄：</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p>
    <w:p>
      <w:pPr>
        <w:pStyle w:val="2"/>
        <w:tabs>
          <w:tab w:val="left" w:pos="2506"/>
          <w:tab w:val="left" w:pos="3370"/>
          <w:tab w:val="left" w:pos="3992"/>
          <w:tab w:val="left" w:pos="6932"/>
          <w:tab w:val="left" w:pos="7064"/>
        </w:tabs>
        <w:autoSpaceDE w:val="0"/>
        <w:autoSpaceDN w:val="0"/>
        <w:spacing w:line="360" w:lineRule="auto"/>
        <w:ind w:left="0"/>
        <w:rPr>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身份证号码：</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 xml:space="preserve">                 </w:t>
      </w:r>
    </w:p>
    <w:p>
      <w:pPr>
        <w:pStyle w:val="2"/>
        <w:tabs>
          <w:tab w:val="left" w:pos="2506"/>
          <w:tab w:val="left" w:pos="3370"/>
          <w:tab w:val="left" w:pos="3992"/>
          <w:tab w:val="left" w:pos="6932"/>
          <w:tab w:val="left" w:pos="7064"/>
        </w:tabs>
        <w:autoSpaceDE w:val="0"/>
        <w:autoSpaceDN w:val="0"/>
        <w:spacing w:line="360" w:lineRule="auto"/>
        <w:ind w:left="0"/>
        <w:rPr>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注册号码：</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p>
    <w:p>
      <w:pPr>
        <w:pStyle w:val="2"/>
        <w:tabs>
          <w:tab w:val="left" w:pos="2506"/>
          <w:tab w:val="left" w:pos="3370"/>
          <w:tab w:val="left" w:pos="3992"/>
          <w:tab w:val="left" w:pos="6932"/>
          <w:tab w:val="left" w:pos="7064"/>
        </w:tabs>
        <w:autoSpaceDE w:val="0"/>
        <w:autoSpaceDN w:val="0"/>
        <w:spacing w:line="360" w:lineRule="auto"/>
        <w:ind w:left="0"/>
        <w:rPr>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企业类型：</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 xml:space="preserve">  </w:t>
      </w:r>
    </w:p>
    <w:p>
      <w:pPr>
        <w:pStyle w:val="2"/>
        <w:tabs>
          <w:tab w:val="left" w:pos="2506"/>
          <w:tab w:val="left" w:pos="3370"/>
          <w:tab w:val="left" w:pos="3992"/>
          <w:tab w:val="left" w:pos="6932"/>
          <w:tab w:val="left" w:pos="7064"/>
        </w:tabs>
        <w:autoSpaceDE w:val="0"/>
        <w:autoSpaceDN w:val="0"/>
        <w:spacing w:line="360" w:lineRule="auto"/>
        <w:ind w:left="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经营范围：</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p>
    <w:p>
      <w:pPr>
        <w:pStyle w:val="2"/>
        <w:tabs>
          <w:tab w:val="left" w:pos="3693"/>
        </w:tabs>
        <w:spacing w:line="242" w:lineRule="exact"/>
        <w:ind w:right="104"/>
        <w:jc w:val="right"/>
        <w:rPr>
          <w:color w:val="000000" w:themeColor="text1"/>
          <w:sz w:val="21"/>
          <w:szCs w:val="21"/>
          <w:highlight w:val="none"/>
          <w14:textFill>
            <w14:solidFill>
              <w14:schemeClr w14:val="tx1"/>
            </w14:solidFill>
          </w14:textFill>
        </w:rPr>
      </w:pPr>
    </w:p>
    <w:p>
      <w:pPr>
        <w:pStyle w:val="2"/>
        <w:tabs>
          <w:tab w:val="left" w:pos="3693"/>
        </w:tabs>
        <w:spacing w:line="242" w:lineRule="exact"/>
        <w:ind w:right="104"/>
        <w:jc w:val="right"/>
        <w:rPr>
          <w:color w:val="000000" w:themeColor="text1"/>
          <w:sz w:val="21"/>
          <w:szCs w:val="21"/>
          <w:highlight w:val="none"/>
          <w14:textFill>
            <w14:solidFill>
              <w14:schemeClr w14:val="tx1"/>
            </w14:solidFill>
          </w14:textFill>
        </w:rPr>
      </w:pPr>
    </w:p>
    <w:p>
      <w:pPr>
        <w:pStyle w:val="2"/>
        <w:tabs>
          <w:tab w:val="left" w:pos="3693"/>
        </w:tabs>
        <w:spacing w:before="0" w:line="480" w:lineRule="auto"/>
        <w:ind w:left="0"/>
        <w:jc w:val="righ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投标人名称（盖章）：</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pStyle w:val="2"/>
        <w:tabs>
          <w:tab w:val="left" w:pos="10713"/>
        </w:tabs>
        <w:wordWrap w:val="0"/>
        <w:spacing w:before="0" w:line="480" w:lineRule="auto"/>
        <w:ind w:left="0" w:firstLine="192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地址：</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10713"/>
        </w:tabs>
        <w:wordWrap w:val="0"/>
        <w:spacing w:before="0" w:line="480" w:lineRule="auto"/>
        <w:ind w:left="0" w:firstLine="192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法定代表人（签字或盖章）：</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2349"/>
        </w:tabs>
        <w:spacing w:before="0" w:line="480" w:lineRule="auto"/>
        <w:ind w:left="0"/>
        <w:jc w:val="righ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职务：</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spacing w:line="480" w:lineRule="auto"/>
        <w:jc w:val="righ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日期： 年 月 日</w:t>
      </w:r>
    </w:p>
    <w:p>
      <w:pPr>
        <w:pStyle w:val="2"/>
        <w:rPr>
          <w:color w:val="000000" w:themeColor="text1"/>
          <w:highlight w:val="none"/>
          <w:lang w:val="en-US"/>
          <w14:textFill>
            <w14:solidFill>
              <w14:schemeClr w14:val="tx1"/>
            </w14:solidFill>
          </w14:textFill>
        </w:rPr>
      </w:pPr>
    </w:p>
    <w:p>
      <w:pPr>
        <w:rPr>
          <w:color w:val="000000" w:themeColor="text1"/>
          <w:highlight w:val="none"/>
          <w14:textFill>
            <w14:solidFill>
              <w14:schemeClr w14:val="tx1"/>
            </w14:solidFill>
          </w14:textFill>
        </w:rPr>
      </w:pPr>
    </w:p>
    <w:p>
      <w:pPr>
        <w:pStyle w:val="2"/>
        <w:rPr>
          <w:color w:val="000000" w:themeColor="text1"/>
          <w:highlight w:val="none"/>
          <w:lang w:val="en-US"/>
          <w14:textFill>
            <w14:solidFill>
              <w14:schemeClr w14:val="tx1"/>
            </w14:solidFill>
          </w14:textFill>
        </w:rPr>
      </w:pPr>
    </w:p>
    <w:p>
      <w:pPr>
        <w:spacing w:before="156" w:beforeLines="50" w:after="156" w:afterLines="50"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须附：法定代表人有效期内身份证复印件</w:t>
      </w:r>
    </w:p>
    <w:tbl>
      <w:tblPr>
        <w:tblStyle w:val="17"/>
        <w:tblW w:w="5000" w:type="pct"/>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1"/>
        <w:gridCol w:w="4261"/>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99" w:hRule="atLeast"/>
          <w:jc w:val="center"/>
        </w:trPr>
        <w:tc>
          <w:tcPr>
            <w:tcW w:w="2500" w:type="pct"/>
            <w:vAlign w:val="center"/>
          </w:tcPr>
          <w:p>
            <w:pPr>
              <w:pStyle w:val="25"/>
              <w:spacing w:line="460" w:lineRule="exact"/>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正面</w:t>
            </w:r>
          </w:p>
        </w:tc>
        <w:tc>
          <w:tcPr>
            <w:tcW w:w="2500" w:type="pct"/>
            <w:vAlign w:val="center"/>
          </w:tcPr>
          <w:p>
            <w:pPr>
              <w:pStyle w:val="25"/>
              <w:spacing w:line="460" w:lineRule="exact"/>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背面</w:t>
            </w:r>
          </w:p>
        </w:tc>
      </w:tr>
    </w:tbl>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2"/>
        <w:rPr>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格式五：</w:t>
      </w:r>
    </w:p>
    <w:p>
      <w:pPr>
        <w:jc w:val="center"/>
        <w:rPr>
          <w:b/>
          <w:bCs/>
          <w:color w:val="000000" w:themeColor="text1"/>
          <w:sz w:val="24"/>
          <w:szCs w:val="32"/>
          <w:highlight w:val="none"/>
          <w14:textFill>
            <w14:solidFill>
              <w14:schemeClr w14:val="tx1"/>
            </w14:solidFill>
          </w14:textFill>
        </w:rPr>
      </w:pPr>
      <w:r>
        <w:rPr>
          <w:b/>
          <w:bCs/>
          <w:color w:val="000000" w:themeColor="text1"/>
          <w:sz w:val="24"/>
          <w:szCs w:val="32"/>
          <w:highlight w:val="none"/>
          <w14:textFill>
            <w14:solidFill>
              <w14:schemeClr w14:val="tx1"/>
            </w14:solidFill>
          </w14:textFill>
        </w:rPr>
        <w:t>法定代表人授权书</w:t>
      </w:r>
    </w:p>
    <w:p>
      <w:pPr>
        <w:pStyle w:val="2"/>
        <w:spacing w:before="0" w:line="360" w:lineRule="auto"/>
        <w:ind w:left="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致：国顺招标有限公司</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本授权书声明：</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是注册于</w:t>
      </w:r>
      <w:r>
        <w:rPr>
          <w:rFonts w:hint="eastAsia"/>
          <w:color w:val="000000" w:themeColor="text1"/>
          <w:sz w:val="21"/>
          <w:szCs w:val="21"/>
          <w:highlight w:val="none"/>
          <w:u w:val="single"/>
          <w14:textFill>
            <w14:solidFill>
              <w14:schemeClr w14:val="tx1"/>
            </w14:solidFill>
          </w14:textFill>
        </w:rPr>
        <w:t xml:space="preserve"> （国家或地区）</w:t>
      </w:r>
      <w:r>
        <w:rPr>
          <w:rFonts w:hint="eastAsia"/>
          <w:color w:val="000000" w:themeColor="text1"/>
          <w:sz w:val="21"/>
          <w:szCs w:val="21"/>
          <w:highlight w:val="none"/>
          <w14:textFill>
            <w14:solidFill>
              <w14:schemeClr w14:val="tx1"/>
            </w14:solidFill>
          </w14:textFill>
        </w:rPr>
        <w:t>的</w:t>
      </w:r>
      <w:r>
        <w:rPr>
          <w:rFonts w:hint="eastAsia"/>
          <w:color w:val="000000" w:themeColor="text1"/>
          <w:sz w:val="21"/>
          <w:szCs w:val="21"/>
          <w:highlight w:val="none"/>
          <w:u w:val="single"/>
          <w14:textFill>
            <w14:solidFill>
              <w14:schemeClr w14:val="tx1"/>
            </w14:solidFill>
          </w14:textFill>
        </w:rPr>
        <w:t>（投标人名称）</w:t>
      </w:r>
      <w:r>
        <w:rPr>
          <w:rFonts w:hint="eastAsia"/>
          <w:color w:val="000000" w:themeColor="text1"/>
          <w:sz w:val="21"/>
          <w:szCs w:val="21"/>
          <w:highlight w:val="none"/>
          <w14:textFill>
            <w14:solidFill>
              <w14:schemeClr w14:val="tx1"/>
            </w14:solidFill>
          </w14:textFill>
        </w:rPr>
        <w:t>的法定代表人，现任</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 xml:space="preserve">职务，有效证件号码： </w:t>
      </w:r>
      <w:r>
        <w:rPr>
          <w:rFonts w:hint="eastAsia"/>
          <w:color w:val="000000" w:themeColor="text1"/>
          <w:sz w:val="21"/>
          <w:szCs w:val="21"/>
          <w:highlight w:val="non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现授权</w:t>
      </w:r>
      <w:r>
        <w:rPr>
          <w:rFonts w:hint="eastAsia"/>
          <w:color w:val="000000" w:themeColor="text1"/>
          <w:sz w:val="21"/>
          <w:szCs w:val="21"/>
          <w:highlight w:val="none"/>
          <w:u w:val="single"/>
          <w14:textFill>
            <w14:solidFill>
              <w14:schemeClr w14:val="tx1"/>
            </w14:solidFill>
          </w14:textFill>
        </w:rPr>
        <w:t xml:space="preserve"> （姓名、职务） </w:t>
      </w:r>
      <w:r>
        <w:rPr>
          <w:rFonts w:hint="eastAsia"/>
          <w:color w:val="000000" w:themeColor="text1"/>
          <w:sz w:val="21"/>
          <w:szCs w:val="21"/>
          <w:highlight w:val="none"/>
          <w14:textFill>
            <w14:solidFill>
              <w14:schemeClr w14:val="tx1"/>
            </w14:solidFill>
          </w14:textFill>
        </w:rPr>
        <w:t>作为我公司的全权代理人，就</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项目</w:t>
      </w:r>
      <w:r>
        <w:rPr>
          <w:rFonts w:hint="eastAsia"/>
          <w:color w:val="000000" w:themeColor="text1"/>
          <w:sz w:val="21"/>
          <w:szCs w:val="21"/>
          <w:highlight w:val="none"/>
          <w14:textFill>
            <w14:solidFill>
              <w14:schemeClr w14:val="tx1"/>
            </w14:solidFill>
          </w14:textFill>
        </w:rPr>
        <w:t>采购</w:t>
      </w:r>
      <w:r>
        <w:rPr>
          <w:rFonts w:hint="eastAsia"/>
          <w:color w:val="000000" w:themeColor="text1"/>
          <w:sz w:val="21"/>
          <w:szCs w:val="21"/>
          <w:highlight w:val="none"/>
          <w:u w:val="single"/>
          <w14:textFill>
            <w14:solidFill>
              <w14:schemeClr w14:val="tx1"/>
            </w14:solidFill>
          </w14:textFill>
        </w:rPr>
        <w:t>[项目编号为</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w:t>
      </w:r>
      <w:r>
        <w:rPr>
          <w:rFonts w:hint="eastAsia"/>
          <w:color w:val="000000" w:themeColor="text1"/>
          <w:sz w:val="21"/>
          <w:szCs w:val="21"/>
          <w:highlight w:val="none"/>
          <w14:textFill>
            <w14:solidFill>
              <w14:schemeClr w14:val="tx1"/>
            </w14:solidFill>
          </w14:textFill>
        </w:rPr>
        <w:t>的投标和合同执行，以我方的名义处理一切与之有关的事宜。</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本授权书于 </w:t>
      </w:r>
      <w:r>
        <w:rPr>
          <w:rFonts w:hint="eastAsia"/>
          <w:color w:val="000000" w:themeColor="text1"/>
          <w:sz w:val="21"/>
          <w:szCs w:val="21"/>
          <w:highlight w:val="none"/>
          <w14:textFill>
            <w14:solidFill>
              <w14:schemeClr w14:val="tx1"/>
            </w14:solidFill>
          </w14:textFill>
        </w:rPr>
        <w:tab/>
      </w:r>
      <w:r>
        <w:rPr>
          <w:rFonts w:hint="eastAsia"/>
          <w:color w:val="000000" w:themeColor="text1"/>
          <w:sz w:val="21"/>
          <w:szCs w:val="21"/>
          <w:highlight w:val="none"/>
          <w14:textFill>
            <w14:solidFill>
              <w14:schemeClr w14:val="tx1"/>
            </w14:solidFill>
          </w14:textFill>
        </w:rPr>
        <w:t xml:space="preserve">年 </w:t>
      </w:r>
      <w:r>
        <w:rPr>
          <w:rFonts w:hint="eastAsia"/>
          <w:color w:val="000000" w:themeColor="text1"/>
          <w:sz w:val="21"/>
          <w:szCs w:val="21"/>
          <w:highlight w:val="none"/>
          <w14:textFill>
            <w14:solidFill>
              <w14:schemeClr w14:val="tx1"/>
            </w14:solidFill>
          </w14:textFill>
        </w:rPr>
        <w:tab/>
      </w:r>
      <w:r>
        <w:rPr>
          <w:rFonts w:hint="eastAsia"/>
          <w:color w:val="000000" w:themeColor="text1"/>
          <w:sz w:val="21"/>
          <w:szCs w:val="21"/>
          <w:highlight w:val="none"/>
          <w14:textFill>
            <w14:solidFill>
              <w14:schemeClr w14:val="tx1"/>
            </w14:solidFill>
          </w14:textFill>
        </w:rPr>
        <w:t xml:space="preserve">月 </w:t>
      </w:r>
      <w:r>
        <w:rPr>
          <w:rFonts w:hint="eastAsia"/>
          <w:color w:val="000000" w:themeColor="text1"/>
          <w:sz w:val="21"/>
          <w:szCs w:val="21"/>
          <w:highlight w:val="none"/>
          <w14:textFill>
            <w14:solidFill>
              <w14:schemeClr w14:val="tx1"/>
            </w14:solidFill>
          </w14:textFill>
        </w:rPr>
        <w:tab/>
      </w:r>
      <w:r>
        <w:rPr>
          <w:rFonts w:hint="eastAsia"/>
          <w:color w:val="000000" w:themeColor="text1"/>
          <w:sz w:val="21"/>
          <w:szCs w:val="21"/>
          <w:highlight w:val="none"/>
          <w14:textFill>
            <w14:solidFill>
              <w14:schemeClr w14:val="tx1"/>
            </w14:solidFill>
          </w14:textFill>
        </w:rPr>
        <w:t>日签字生效，特此声明。</w:t>
      </w:r>
    </w:p>
    <w:p>
      <w:pPr>
        <w:pStyle w:val="2"/>
        <w:tabs>
          <w:tab w:val="left" w:pos="10713"/>
        </w:tabs>
        <w:spacing w:before="0" w:line="360" w:lineRule="auto"/>
        <w:ind w:left="0"/>
        <w:jc w:val="right"/>
        <w:rPr>
          <w:color w:val="000000" w:themeColor="text1"/>
          <w:sz w:val="21"/>
          <w:szCs w:val="21"/>
          <w:highlight w:val="none"/>
          <w14:textFill>
            <w14:solidFill>
              <w14:schemeClr w14:val="tx1"/>
            </w14:solidFill>
          </w14:textFill>
        </w:rPr>
      </w:pPr>
    </w:p>
    <w:p>
      <w:pPr>
        <w:pStyle w:val="2"/>
        <w:tabs>
          <w:tab w:val="left" w:pos="10713"/>
        </w:tabs>
        <w:spacing w:before="0" w:line="360" w:lineRule="auto"/>
        <w:ind w:left="0"/>
        <w:jc w:val="right"/>
        <w:rPr>
          <w:color w:val="000000" w:themeColor="text1"/>
          <w:sz w:val="21"/>
          <w:szCs w:val="21"/>
          <w:highlight w:val="none"/>
          <w14:textFill>
            <w14:solidFill>
              <w14:schemeClr w14:val="tx1"/>
            </w14:solidFill>
          </w14:textFill>
        </w:rPr>
      </w:pPr>
    </w:p>
    <w:p>
      <w:pPr>
        <w:pStyle w:val="2"/>
        <w:tabs>
          <w:tab w:val="left" w:pos="10713"/>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投标人名称（盖章）：</w:t>
      </w:r>
      <w:r>
        <w:rPr>
          <w:rFonts w:hint="eastAsia"/>
          <w:color w:val="000000" w:themeColor="text1"/>
          <w:sz w:val="21"/>
          <w:szCs w:val="21"/>
          <w:highlight w:val="none"/>
          <w:lang w:val="en-US"/>
          <w14:textFill>
            <w14:solidFill>
              <w14:schemeClr w14:val="tx1"/>
            </w14:solidFill>
          </w14:textFill>
        </w:rPr>
        <w:t xml:space="preserve"> </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10713"/>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地址：</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10713"/>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法定代表人（签字或盖章）：</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lang w:val="en-US"/>
          <w14:textFill>
            <w14:solidFill>
              <w14:schemeClr w14:val="tx1"/>
            </w14:solidFill>
          </w14:textFill>
        </w:rPr>
        <w:t xml:space="preserve"> </w:t>
      </w:r>
    </w:p>
    <w:p>
      <w:pPr>
        <w:pStyle w:val="2"/>
        <w:tabs>
          <w:tab w:val="left" w:pos="10713"/>
        </w:tabs>
        <w:wordWrap w:val="0"/>
        <w:spacing w:before="0" w:line="480" w:lineRule="auto"/>
        <w:ind w:left="0"/>
        <w:jc w:val="right"/>
        <w:rPr>
          <w:color w:val="000000" w:themeColor="text1"/>
          <w:sz w:val="21"/>
          <w:szCs w:val="21"/>
          <w:highlight w:val="none"/>
          <w:u w:val="singl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职务：</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10713"/>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被授权人（签字或盖章）：</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10713"/>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职务：</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2349"/>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日期： 年 月 日</w:t>
      </w:r>
      <w:r>
        <w:rPr>
          <w:rFonts w:hint="eastAsia"/>
          <w:color w:val="000000" w:themeColor="text1"/>
          <w:sz w:val="21"/>
          <w:szCs w:val="21"/>
          <w:highlight w:val="none"/>
          <w:lang w:val="en-US"/>
          <w14:textFill>
            <w14:solidFill>
              <w14:schemeClr w14:val="tx1"/>
            </w14:solidFill>
          </w14:textFill>
        </w:rPr>
        <w:t xml:space="preserve">      </w:t>
      </w:r>
    </w:p>
    <w:p>
      <w:pPr>
        <w:pStyle w:val="2"/>
        <w:tabs>
          <w:tab w:val="left" w:pos="2349"/>
        </w:tabs>
        <w:spacing w:before="0" w:line="480" w:lineRule="auto"/>
        <w:ind w:left="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 xml:space="preserve"> </w:t>
      </w:r>
    </w:p>
    <w:p>
      <w:pPr>
        <w:pStyle w:val="2"/>
        <w:tabs>
          <w:tab w:val="left" w:pos="2349"/>
        </w:tabs>
        <w:spacing w:before="0" w:line="480" w:lineRule="auto"/>
        <w:ind w:left="0"/>
        <w:rPr>
          <w:color w:val="000000" w:themeColor="text1"/>
          <w:sz w:val="21"/>
          <w:szCs w:val="21"/>
          <w:highlight w:val="none"/>
          <w:lang w:val="en-US"/>
          <w14:textFill>
            <w14:solidFill>
              <w14:schemeClr w14:val="tx1"/>
            </w14:solidFill>
          </w14:textFill>
        </w:rPr>
      </w:pPr>
    </w:p>
    <w:p>
      <w:pPr>
        <w:spacing w:after="156" w:afterLines="50"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须附：被授权人有效期内身份证复印件</w:t>
      </w:r>
    </w:p>
    <w:tbl>
      <w:tblPr>
        <w:tblStyle w:val="17"/>
        <w:tblW w:w="5000" w:type="pct"/>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1"/>
        <w:gridCol w:w="4261"/>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459" w:hRule="atLeast"/>
          <w:jc w:val="center"/>
        </w:trPr>
        <w:tc>
          <w:tcPr>
            <w:tcW w:w="2500" w:type="pct"/>
            <w:vAlign w:val="center"/>
          </w:tcPr>
          <w:p>
            <w:pPr>
              <w:pStyle w:val="25"/>
              <w:spacing w:line="460" w:lineRule="exact"/>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正面</w:t>
            </w:r>
          </w:p>
        </w:tc>
        <w:tc>
          <w:tcPr>
            <w:tcW w:w="2500" w:type="pct"/>
            <w:vAlign w:val="center"/>
          </w:tcPr>
          <w:p>
            <w:pPr>
              <w:pStyle w:val="25"/>
              <w:spacing w:line="460" w:lineRule="exact"/>
              <w:ind w:firstLine="0" w:firstLineChars="0"/>
              <w:jc w:val="center"/>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背面</w:t>
            </w:r>
          </w:p>
        </w:tc>
      </w:tr>
    </w:tbl>
    <w:p>
      <w:pPr>
        <w:pStyle w:val="2"/>
        <w:tabs>
          <w:tab w:val="left" w:pos="2349"/>
        </w:tabs>
        <w:spacing w:before="0" w:line="480" w:lineRule="auto"/>
        <w:ind w:left="0"/>
        <w:rPr>
          <w:color w:val="000000" w:themeColor="text1"/>
          <w:sz w:val="20"/>
          <w:szCs w:val="20"/>
          <w:highlight w:val="none"/>
          <w:lang w:val="en-US"/>
          <w14:textFill>
            <w14:solidFill>
              <w14:schemeClr w14:val="tx1"/>
            </w14:solidFill>
          </w14:textFill>
        </w:rPr>
      </w:pPr>
    </w:p>
    <w:p>
      <w:pPr>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br w:type="page"/>
      </w:r>
    </w:p>
    <w:p>
      <w:pPr>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格式六：</w:t>
      </w:r>
    </w:p>
    <w:p>
      <w:pPr>
        <w:rPr>
          <w:b/>
          <w:bCs/>
          <w:color w:val="000000" w:themeColor="text1"/>
          <w:sz w:val="24"/>
          <w:highlight w:val="none"/>
          <w14:textFill>
            <w14:solidFill>
              <w14:schemeClr w14:val="tx1"/>
            </w14:solidFill>
          </w14:textFill>
        </w:rPr>
      </w:pPr>
      <w:r>
        <w:rPr>
          <w:color w:val="000000" w:themeColor="text1"/>
          <w:sz w:val="20"/>
          <w:szCs w:val="20"/>
          <w:highlight w:val="none"/>
          <w14:textFill>
            <w14:solidFill>
              <w14:schemeClr w14:val="tx1"/>
            </w14:solidFill>
          </w14:textFill>
        </w:rPr>
        <w:t>（以下格式文件由</w:t>
      </w:r>
      <w:r>
        <w:rPr>
          <w:rFonts w:hint="eastAsia"/>
          <w:color w:val="000000" w:themeColor="text1"/>
          <w:sz w:val="20"/>
          <w:szCs w:val="20"/>
          <w:highlight w:val="none"/>
          <w14:textFill>
            <w14:solidFill>
              <w14:schemeClr w14:val="tx1"/>
            </w14:solidFill>
          </w14:textFill>
        </w:rPr>
        <w:t>投标人</w:t>
      </w:r>
      <w:r>
        <w:rPr>
          <w:color w:val="000000" w:themeColor="text1"/>
          <w:sz w:val="20"/>
          <w:szCs w:val="20"/>
          <w:highlight w:val="none"/>
          <w14:textFill>
            <w14:solidFill>
              <w14:schemeClr w14:val="tx1"/>
            </w14:solidFill>
          </w14:textFill>
        </w:rPr>
        <w:t>根据需要选用）</w:t>
      </w:r>
    </w:p>
    <w:p>
      <w:pPr>
        <w:jc w:val="center"/>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投标保证金</w:t>
      </w:r>
    </w:p>
    <w:p>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致：国顺招标有限公司：</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本单位已按</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项目</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包（项目编号：</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）的招标文件要求，于</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日前以</w:t>
      </w:r>
      <w:r>
        <w:rPr>
          <w:rFonts w:hint="eastAsia" w:ascii="宋体" w:hAnsi="宋体"/>
          <w:color w:val="000000" w:themeColor="text1"/>
          <w:szCs w:val="21"/>
          <w:highlight w:val="none"/>
          <w:u w:val="single"/>
          <w14:textFill>
            <w14:solidFill>
              <w14:schemeClr w14:val="tx1"/>
            </w14:solidFill>
          </w14:textFill>
        </w:rPr>
        <w:t xml:space="preserve">           （付款形式）</w:t>
      </w:r>
      <w:r>
        <w:rPr>
          <w:rFonts w:hint="eastAsia" w:ascii="宋体" w:hAnsi="宋体"/>
          <w:color w:val="000000" w:themeColor="text1"/>
          <w:szCs w:val="21"/>
          <w:highlight w:val="none"/>
          <w14:textFill>
            <w14:solidFill>
              <w14:schemeClr w14:val="tx1"/>
            </w14:solidFill>
          </w14:textFill>
        </w:rPr>
        <w:t>方式汇入指定账户（账户名称：</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，账号：</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,开户银行：</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本单位投标保证金的汇款情况：（详见附件－投标保证金汇款凭证）</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汇出时间：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汇款金额：（大写）人民币</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元（小写：￥</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元），</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汇款账户名称：</w:t>
      </w:r>
      <w:r>
        <w:rPr>
          <w:rFonts w:hint="eastAsia" w:ascii="宋体" w:hAnsi="宋体"/>
          <w:color w:val="000000" w:themeColor="text1"/>
          <w:szCs w:val="21"/>
          <w:highlight w:val="none"/>
          <w:u w:val="single"/>
          <w14:textFill>
            <w14:solidFill>
              <w14:schemeClr w14:val="tx1"/>
            </w14:solidFill>
          </w14:textFill>
        </w:rPr>
        <w:t xml:space="preserve">  （必须是投标时使用的账户名）   </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        号：</w:t>
      </w:r>
      <w:r>
        <w:rPr>
          <w:rFonts w:hint="eastAsia" w:ascii="宋体" w:hAnsi="宋体"/>
          <w:color w:val="000000" w:themeColor="text1"/>
          <w:szCs w:val="21"/>
          <w:highlight w:val="none"/>
          <w:u w:val="single"/>
          <w14:textFill>
            <w14:solidFill>
              <w14:schemeClr w14:val="tx1"/>
            </w14:solidFill>
          </w14:textFill>
        </w:rPr>
        <w:t xml:space="preserve">  （必须是投标时使用的账号）     </w:t>
      </w:r>
    </w:p>
    <w:p>
      <w:pPr>
        <w:spacing w:line="360" w:lineRule="auto"/>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 户  银 行：</w:t>
      </w:r>
      <w:r>
        <w:rPr>
          <w:rFonts w:hint="eastAsia" w:ascii="宋体" w:hAnsi="宋体"/>
          <w:color w:val="000000" w:themeColor="text1"/>
          <w:szCs w:val="21"/>
          <w:highlight w:val="none"/>
          <w:u w:val="single"/>
          <w14:textFill>
            <w14:solidFill>
              <w14:schemeClr w14:val="tx1"/>
            </w14:solidFill>
          </w14:textFill>
        </w:rPr>
        <w:t xml:space="preserve">  （      银行   分行  支行    ）</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本单位谨承诺上述资料是正确、真实的，如因上述证明与事实不符导致的一切损失，本单位保证承担赔偿等一切法律责任。</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投标保证金退回时，请按上述资料退回。</w:t>
      </w:r>
    </w:p>
    <w:p>
      <w:pPr>
        <w:spacing w:line="360" w:lineRule="auto"/>
        <w:ind w:right="844" w:rightChars="402"/>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（单位公章）</w:t>
      </w:r>
    </w:p>
    <w:p>
      <w:pPr>
        <w:spacing w:line="360" w:lineRule="auto"/>
        <w:ind w:right="628" w:rightChars="299"/>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年 月 日</w:t>
      </w:r>
    </w:p>
    <w:p>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单位名称：</w:t>
      </w:r>
      <w:r>
        <w:rPr>
          <w:rFonts w:hint="eastAsia" w:ascii="宋体" w:hAnsi="宋体"/>
          <w:color w:val="000000" w:themeColor="text1"/>
          <w:szCs w:val="21"/>
          <w:highlight w:val="none"/>
          <w:u w:val="single"/>
          <w14:textFill>
            <w14:solidFill>
              <w14:schemeClr w14:val="tx1"/>
            </w14:solidFill>
          </w14:textFill>
        </w:rPr>
        <w:t xml:space="preserve">           </w:t>
      </w:r>
    </w:p>
    <w:p>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单位地址：</w:t>
      </w:r>
      <w:r>
        <w:rPr>
          <w:rFonts w:hint="eastAsia" w:ascii="宋体" w:hAnsi="宋体"/>
          <w:color w:val="000000" w:themeColor="text1"/>
          <w:szCs w:val="21"/>
          <w:highlight w:val="none"/>
          <w:u w:val="single"/>
          <w14:textFill>
            <w14:solidFill>
              <w14:schemeClr w14:val="tx1"/>
            </w14:solidFill>
          </w14:textFill>
        </w:rPr>
        <w:t xml:space="preserve">           </w:t>
      </w:r>
    </w:p>
    <w:p>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r>
        <w:rPr>
          <w:rFonts w:hint="eastAsia" w:ascii="宋体" w:hAnsi="宋体"/>
          <w:color w:val="000000" w:themeColor="text1"/>
          <w:szCs w:val="21"/>
          <w:highlight w:val="none"/>
          <w:u w:val="single"/>
          <w14:textFill>
            <w14:solidFill>
              <w14:schemeClr w14:val="tx1"/>
            </w14:solidFill>
          </w14:textFill>
        </w:rPr>
        <w:t xml:space="preserve">                   </w:t>
      </w:r>
    </w:p>
    <w:p>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单位电话：</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联系人手机：</w:t>
      </w:r>
      <w:r>
        <w:rPr>
          <w:rFonts w:hint="eastAsia" w:ascii="宋体" w:hAnsi="宋体"/>
          <w:color w:val="000000" w:themeColor="text1"/>
          <w:szCs w:val="21"/>
          <w:highlight w:val="none"/>
          <w:u w:val="single"/>
          <w14:textFill>
            <w14:solidFill>
              <w14:schemeClr w14:val="tx1"/>
            </w14:solidFill>
          </w14:textFill>
        </w:rPr>
        <w:t xml:space="preserve">              </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附：我方投标保证金汇款凭证</w:t>
      </w:r>
    </w:p>
    <w:tbl>
      <w:tblPr>
        <w:tblStyle w:val="17"/>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trPr>
        <w:tc>
          <w:tcPr>
            <w:tcW w:w="5000" w:type="pct"/>
            <w:vAlign w:val="center"/>
          </w:tcPr>
          <w:p>
            <w:pPr>
              <w:tabs>
                <w:tab w:val="left" w:pos="3885"/>
              </w:tabs>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（粘贴汇款单或转账</w:t>
            </w:r>
            <w:r>
              <w:rPr>
                <w:rFonts w:ascii="宋体" w:hAnsi="宋体"/>
                <w:color w:val="000000" w:themeColor="text1"/>
                <w:szCs w:val="21"/>
                <w:highlight w:val="none"/>
                <w14:textFill>
                  <w14:solidFill>
                    <w14:schemeClr w14:val="tx1"/>
                  </w14:solidFill>
                </w14:textFill>
              </w:rPr>
              <w:t>凭证</w:t>
            </w:r>
            <w:r>
              <w:rPr>
                <w:rFonts w:hint="eastAsia" w:ascii="宋体" w:hAnsi="宋体"/>
                <w:color w:val="000000" w:themeColor="text1"/>
                <w:szCs w:val="21"/>
                <w:highlight w:val="none"/>
                <w14:textFill>
                  <w14:solidFill>
                    <w14:schemeClr w14:val="tx1"/>
                  </w14:solidFill>
                </w14:textFill>
              </w:rPr>
              <w:t>复印件，并在骑缝上加盖投标人公章，或是直接把转账</w:t>
            </w:r>
            <w:r>
              <w:rPr>
                <w:rFonts w:ascii="宋体" w:hAnsi="宋体"/>
                <w:color w:val="000000" w:themeColor="text1"/>
                <w:szCs w:val="21"/>
                <w:highlight w:val="none"/>
                <w14:textFill>
                  <w14:solidFill>
                    <w14:schemeClr w14:val="tx1"/>
                  </w14:solidFill>
                </w14:textFill>
              </w:rPr>
              <w:t>凭证</w:t>
            </w:r>
            <w:r>
              <w:rPr>
                <w:rFonts w:hint="eastAsia" w:ascii="宋体" w:hAnsi="宋体"/>
                <w:color w:val="000000" w:themeColor="text1"/>
                <w:szCs w:val="21"/>
                <w:highlight w:val="none"/>
                <w14:textFill>
                  <w14:solidFill>
                    <w14:schemeClr w14:val="tx1"/>
                  </w14:solidFill>
                </w14:textFill>
              </w:rPr>
              <w:t>复印到此张纸上）</w:t>
            </w:r>
          </w:p>
        </w:tc>
      </w:tr>
    </w:tbl>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rPr>
          <w:b/>
          <w:bCs/>
          <w:color w:val="000000" w:themeColor="text1"/>
          <w:sz w:val="24"/>
          <w:szCs w:val="32"/>
          <w:highlight w:val="none"/>
          <w14:textFill>
            <w14:solidFill>
              <w14:schemeClr w14:val="tx1"/>
            </w14:solidFill>
          </w14:textFill>
        </w:rPr>
      </w:pPr>
      <w:r>
        <w:rPr>
          <w:rFonts w:hint="eastAsia"/>
          <w:b/>
          <w:bCs/>
          <w:color w:val="000000" w:themeColor="text1"/>
          <w:sz w:val="24"/>
          <w:szCs w:val="32"/>
          <w:highlight w:val="none"/>
          <w14:textFill>
            <w14:solidFill>
              <w14:schemeClr w14:val="tx1"/>
            </w14:solidFill>
          </w14:textFill>
        </w:rPr>
        <w:t>格式七：</w:t>
      </w:r>
    </w:p>
    <w:p>
      <w:pPr>
        <w:pStyle w:val="2"/>
        <w:jc w:val="center"/>
        <w:rPr>
          <w:b/>
          <w:bCs/>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提供具有独立承担民事责任的能力的证明材料</w:t>
      </w:r>
    </w:p>
    <w:p>
      <w:pPr>
        <w:ind w:firstLine="420" w:firstLineChars="200"/>
        <w:rPr>
          <w:color w:val="000000" w:themeColor="text1"/>
          <w:highlight w:val="none"/>
          <w14:textFill>
            <w14:solidFill>
              <w14:schemeClr w14:val="tx1"/>
            </w14:solidFill>
          </w14:textFill>
        </w:rPr>
      </w:pPr>
    </w:p>
    <w:p>
      <w:pPr>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szCs w:val="21"/>
          <w:highlight w:val="none"/>
          <w14:textFill>
            <w14:solidFill>
              <w14:schemeClr w14:val="tx1"/>
            </w14:solidFill>
          </w14:textFill>
        </w:rPr>
        <w:t>在中华人民共和国境内注册的法人或其他组织或自然人，投标（响应）时提交有效的营业执照（或事业法人登记证或身份证等相关证明）副本复印件。分支机构投标的，须提供总公司和分公司营业执照副本复印件，总公司出具给分支机构的授权书</w:t>
      </w:r>
      <w:r>
        <w:rPr>
          <w:color w:val="000000" w:themeColor="text1"/>
          <w:w w:val="101"/>
          <w:szCs w:val="2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p>
    <w:p>
      <w:pP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br w:type="page"/>
      </w:r>
    </w:p>
    <w:p>
      <w:pPr>
        <w:rPr>
          <w:b/>
          <w:bCs/>
          <w:color w:val="000000" w:themeColor="text1"/>
          <w:sz w:val="24"/>
          <w:szCs w:val="32"/>
          <w:highlight w:val="none"/>
          <w14:textFill>
            <w14:solidFill>
              <w14:schemeClr w14:val="tx1"/>
            </w14:solidFill>
          </w14:textFill>
        </w:rPr>
      </w:pPr>
      <w:r>
        <w:rPr>
          <w:rFonts w:hint="eastAsia"/>
          <w:b/>
          <w:bCs/>
          <w:color w:val="000000" w:themeColor="text1"/>
          <w:sz w:val="24"/>
          <w:szCs w:val="32"/>
          <w:highlight w:val="none"/>
          <w14:textFill>
            <w14:solidFill>
              <w14:schemeClr w14:val="tx1"/>
            </w14:solidFill>
          </w14:textFill>
        </w:rPr>
        <w:t>格式八：</w:t>
      </w:r>
    </w:p>
    <w:p>
      <w:pPr>
        <w:pStyle w:val="2"/>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资格性审查要求的其他资质证明文件</w:t>
      </w:r>
    </w:p>
    <w:p>
      <w:pPr>
        <w:widowControl/>
        <w:spacing w:line="360" w:lineRule="auto"/>
        <w:rPr>
          <w:rFonts w:ascii="宋体" w:hAnsi="宋体"/>
          <w:color w:val="000000" w:themeColor="text1"/>
          <w:szCs w:val="21"/>
          <w:highlight w:val="none"/>
          <w14:textFill>
            <w14:solidFill>
              <w14:schemeClr w14:val="tx1"/>
            </w14:solidFill>
          </w14:textFill>
        </w:rPr>
      </w:pPr>
    </w:p>
    <w:p>
      <w:pPr>
        <w:widowControl/>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有依法缴纳税收和社会保障资金的良好记录：提供投标截止日前6个月内任意1个月依法缴纳税收和社会保障资金的相关材料。如依法免税或不需要缴纳社会保障资金的，提供相应证明材料。（提供相关证明资料或参考投标文件格式“资格条件声明函”作相关承诺）</w:t>
      </w:r>
    </w:p>
    <w:p>
      <w:pPr>
        <w:widowControl/>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具有良好的商业信誉和健全的财务会计制度：供应商必须具有良好的商业信誉和健全的财务会计制度（提供2021年度或2022年度财务状况报告或基本开户行出具的资信证明）。（提供相关证明资料或参考投标文件格式“资格条件声明函”作相关承诺）</w:t>
      </w:r>
    </w:p>
    <w:p>
      <w:pPr>
        <w:widowControl/>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3、履行合同所必需的设备和专业技术能力：填报设备及专业技术能力情况，格式自拟。（提供相关证明资料或参考投标文件格式“资格条件声明函”作相关承诺）</w:t>
      </w:r>
    </w:p>
    <w:p>
      <w:pPr>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br w:type="page"/>
      </w:r>
    </w:p>
    <w:p>
      <w:pPr>
        <w:pStyle w:val="2"/>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资格条件声明函</w:t>
      </w:r>
    </w:p>
    <w:p>
      <w:pPr>
        <w:rPr>
          <w:rFonts w:ascii="仿宋_GB2312" w:hAnsi="仿宋_GB2312" w:eastAsia="仿宋_GB2312" w:cs="仿宋_GB2312"/>
          <w:color w:val="000000" w:themeColor="text1"/>
          <w:sz w:val="32"/>
          <w:szCs w:val="32"/>
          <w:highlight w:val="none"/>
          <w14:textFill>
            <w14:solidFill>
              <w14:schemeClr w14:val="tx1"/>
            </w14:solidFill>
          </w14:textFill>
        </w:rPr>
      </w:pP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w:t>
      </w:r>
      <w:r>
        <w:rPr>
          <w:rFonts w:hint="eastAsia" w:ascii="宋体" w:hAnsi="宋体" w:cs="宋体"/>
          <w:color w:val="000000" w:themeColor="text1"/>
          <w:szCs w:val="21"/>
          <w:highlight w:val="none"/>
          <w:u w:val="single"/>
          <w14:textFill>
            <w14:solidFill>
              <w14:schemeClr w14:val="tx1"/>
            </w14:solidFill>
          </w14:textFill>
        </w:rPr>
        <w:t>（供应商名称）</w:t>
      </w:r>
      <w:r>
        <w:rPr>
          <w:rFonts w:hint="eastAsia" w:ascii="宋体" w:hAnsi="宋体" w:cs="宋体"/>
          <w:color w:val="000000" w:themeColor="text1"/>
          <w:szCs w:val="21"/>
          <w:highlight w:val="none"/>
          <w14:textFill>
            <w14:solidFill>
              <w14:schemeClr w14:val="tx1"/>
            </w14:solidFill>
          </w14:textFill>
        </w:rPr>
        <w:t>愿响应关于</w:t>
      </w:r>
      <w:r>
        <w:rPr>
          <w:rFonts w:hint="eastAsia" w:ascii="宋体" w:hAnsi="宋体" w:cs="宋体"/>
          <w:color w:val="000000" w:themeColor="text1"/>
          <w:szCs w:val="21"/>
          <w:highlight w:val="none"/>
          <w:u w:val="single"/>
          <w14:textFill>
            <w14:solidFill>
              <w14:schemeClr w14:val="tx1"/>
            </w14:solidFill>
          </w14:textFill>
        </w:rPr>
        <w:t>（项目名称）（采购项目编号：）</w:t>
      </w:r>
      <w:r>
        <w:rPr>
          <w:rFonts w:hint="eastAsia" w:ascii="宋体" w:hAnsi="宋体" w:cs="宋体"/>
          <w:color w:val="000000" w:themeColor="text1"/>
          <w:szCs w:val="21"/>
          <w:highlight w:val="none"/>
          <w14:textFill>
            <w14:solidFill>
              <w14:schemeClr w14:val="tx1"/>
            </w14:solidFill>
          </w14:textFill>
        </w:rPr>
        <w:t>的投标邀请并参与本项目投标，符合《中华人民共和国政府采购法》第二十二条第一款第（二）项、第（三）项、第（四）项、第（五）项规定条件，具体包括：</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1.具有良好的商业信誉和健全的财务会计制度；</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2.具有履行合同所必需的设备和专业技术能力；</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3.具有依法缴纳税收和社会保障资金的良好记录；</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4.参加政府采购活动前三年内，在经营活动中没有重大违法记录。</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对上述承诺的真实性负责，在评审环节结束后，自愿接受采购单位（采购代理机构）的检查核验，配合提供相关证明材料，证明符合《中华人民共和国政府采购法》规定的供应商基本资格条件。如有虚假，将依法承担相应法律责任。</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p>
    <w:p>
      <w:pPr>
        <w:spacing w:line="360" w:lineRule="auto"/>
        <w:ind w:firstLine="420" w:firstLineChars="200"/>
        <w:jc w:val="righ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供应商名称（公章）</w:t>
      </w:r>
    </w:p>
    <w:p>
      <w:pPr>
        <w:spacing w:line="360" w:lineRule="auto"/>
        <w:ind w:firstLine="420" w:firstLineChars="20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日期：</w:t>
      </w:r>
    </w:p>
    <w:p>
      <w:pP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br w:type="page"/>
      </w:r>
    </w:p>
    <w:p>
      <w:pPr>
        <w:pStyle w:val="2"/>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格式九：</w:t>
      </w:r>
    </w:p>
    <w:p>
      <w:pPr>
        <w:rPr>
          <w:color w:val="000000" w:themeColor="text1"/>
          <w:highlight w:val="none"/>
          <w14:textFill>
            <w14:solidFill>
              <w14:schemeClr w14:val="tx1"/>
            </w14:solidFill>
          </w14:textFill>
        </w:rPr>
      </w:pPr>
    </w:p>
    <w:p>
      <w:pPr>
        <w:jc w:val="center"/>
        <w:rPr>
          <w:b/>
          <w:bCs/>
          <w:color w:val="000000" w:themeColor="text1"/>
          <w:sz w:val="24"/>
          <w:szCs w:val="32"/>
          <w:highlight w:val="none"/>
          <w14:textFill>
            <w14:solidFill>
              <w14:schemeClr w14:val="tx1"/>
            </w14:solidFill>
          </w14:textFill>
        </w:rPr>
      </w:pPr>
      <w:r>
        <w:rPr>
          <w:rFonts w:hint="eastAsia"/>
          <w:b/>
          <w:bCs/>
          <w:color w:val="000000" w:themeColor="text1"/>
          <w:sz w:val="24"/>
          <w:szCs w:val="32"/>
          <w:highlight w:val="none"/>
          <w14:textFill>
            <w14:solidFill>
              <w14:schemeClr w14:val="tx1"/>
            </w14:solidFill>
          </w14:textFill>
        </w:rPr>
        <w:t>在经营活动中没有重大违法记录的书面声明</w:t>
      </w:r>
    </w:p>
    <w:p>
      <w:pPr>
        <w:rPr>
          <w:color w:val="000000" w:themeColor="text1"/>
          <w:highlight w:val="none"/>
          <w14:textFill>
            <w14:solidFill>
              <w14:schemeClr w14:val="tx1"/>
            </w14:solidFill>
          </w14:textFill>
        </w:rPr>
      </w:pP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国顺招标有限公司：</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我公司郑重承诺：在参加“</w:t>
      </w:r>
      <w:r>
        <w:rPr>
          <w:rFonts w:hint="eastAsia" w:ascii="宋体" w:hAnsi="宋体" w:cs="宋体"/>
          <w:color w:val="000000" w:themeColor="text1"/>
          <w:szCs w:val="21"/>
          <w:highlight w:val="none"/>
          <w:u w:val="single"/>
          <w14:textFill>
            <w14:solidFill>
              <w14:schemeClr w14:val="tx1"/>
            </w14:solidFill>
          </w14:textFill>
        </w:rPr>
        <w:t>（项目名称）</w:t>
      </w:r>
      <w:r>
        <w:rPr>
          <w:rFonts w:hint="eastAsia" w:ascii="宋体" w:hAnsi="宋体" w:cs="宋体"/>
          <w:color w:val="000000" w:themeColor="text1"/>
          <w:szCs w:val="21"/>
          <w:highlight w:val="none"/>
          <w14:textFill>
            <w14:solidFill>
              <w14:schemeClr w14:val="tx1"/>
            </w14:solidFill>
          </w14:textFill>
        </w:rPr>
        <w:t>” （项目编号:</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）政府采购活动前三年内（设立不满三年的从设立之日计算），在经营活动中没有因违法经营受到刑事处罚或者责令停产停业、吊销许可证或者执照、较大数额罚款等行政处罚。</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我公司以上承诺均为真实有效，绝无任何虚假、伪造的成份，否则，愿承担相应的后果和法律责任。</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p>
    <w:p>
      <w:pPr>
        <w:spacing w:line="360" w:lineRule="auto"/>
        <w:rPr>
          <w:rFonts w:ascii="宋体" w:hAnsi="宋体" w:cs="宋体"/>
          <w:color w:val="000000" w:themeColor="text1"/>
          <w:szCs w:val="21"/>
          <w:highlight w:val="none"/>
          <w14:textFill>
            <w14:solidFill>
              <w14:schemeClr w14:val="tx1"/>
            </w14:solidFill>
          </w14:textFill>
        </w:rPr>
      </w:pP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投标人名称（盖章）：</w:t>
      </w:r>
    </w:p>
    <w:p>
      <w:pPr>
        <w:spacing w:line="360" w:lineRule="auto"/>
        <w:rPr>
          <w:rFonts w:ascii="宋体" w:hAnsi="宋体" w:cs="宋体"/>
          <w:color w:val="000000" w:themeColor="text1"/>
          <w:szCs w:val="21"/>
          <w:highlight w:val="none"/>
          <w14:textFill>
            <w14:solidFill>
              <w14:schemeClr w14:val="tx1"/>
            </w14:solidFill>
          </w14:textFill>
        </w:rPr>
      </w:pP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日期：</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rPr>
          <w:b/>
          <w:bCs/>
          <w:color w:val="000000" w:themeColor="text1"/>
          <w:sz w:val="24"/>
          <w:szCs w:val="32"/>
          <w:highlight w:val="none"/>
          <w14:textFill>
            <w14:solidFill>
              <w14:schemeClr w14:val="tx1"/>
            </w14:solidFill>
          </w14:textFill>
        </w:rPr>
      </w:pPr>
      <w:r>
        <w:rPr>
          <w:rFonts w:hint="eastAsia"/>
          <w:b/>
          <w:bCs/>
          <w:color w:val="000000" w:themeColor="text1"/>
          <w:sz w:val="24"/>
          <w:szCs w:val="32"/>
          <w:highlight w:val="none"/>
          <w14:textFill>
            <w14:solidFill>
              <w14:schemeClr w14:val="tx1"/>
            </w14:solidFill>
          </w14:textFill>
        </w:rPr>
        <w:t>格式十：</w:t>
      </w:r>
    </w:p>
    <w:p>
      <w:pPr>
        <w:pStyle w:val="2"/>
        <w:jc w:val="center"/>
        <w:rPr>
          <w:b/>
          <w:bCs/>
          <w:color w:val="000000" w:themeColor="text1"/>
          <w:highlight w:val="none"/>
          <w:lang w:val="en-US"/>
          <w14:textFill>
            <w14:solidFill>
              <w14:schemeClr w14:val="tx1"/>
            </w14:solidFill>
          </w14:textFill>
        </w:rPr>
      </w:pPr>
      <w:r>
        <w:rPr>
          <w:b/>
          <w:bCs/>
          <w:color w:val="000000" w:themeColor="text1"/>
          <w:highlight w:val="none"/>
          <w:lang w:val="en-US"/>
          <w14:textFill>
            <w14:solidFill>
              <w14:schemeClr w14:val="tx1"/>
            </w14:solidFill>
          </w14:textFill>
        </w:rPr>
        <w:t>投标人业绩情况表</w:t>
      </w:r>
    </w:p>
    <w:p>
      <w:pPr>
        <w:pStyle w:val="2"/>
        <w:spacing w:before="2" w:after="1"/>
        <w:rPr>
          <w:b/>
          <w:color w:val="000000" w:themeColor="text1"/>
          <w:sz w:val="17"/>
          <w:highlight w:val="none"/>
          <w14:textFill>
            <w14:solidFill>
              <w14:schemeClr w14:val="tx1"/>
            </w14:solidFill>
          </w14:textFill>
        </w:rPr>
      </w:pPr>
    </w:p>
    <w:tbl>
      <w:tblPr>
        <w:tblStyle w:val="17"/>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547"/>
        <w:gridCol w:w="917"/>
        <w:gridCol w:w="2585"/>
        <w:gridCol w:w="1297"/>
        <w:gridCol w:w="1666"/>
        <w:gridCol w:w="13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vAlign w:val="center"/>
          </w:tcPr>
          <w:p>
            <w:pPr>
              <w:pStyle w:val="24"/>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551" w:type="pct"/>
            <w:shd w:val="clear" w:color="auto" w:fill="FFFFFF" w:themeFill="background1"/>
            <w:vAlign w:val="center"/>
          </w:tcPr>
          <w:p>
            <w:pPr>
              <w:pStyle w:val="24"/>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客户名称</w:t>
            </w:r>
          </w:p>
        </w:tc>
        <w:tc>
          <w:tcPr>
            <w:tcW w:w="1553" w:type="pct"/>
            <w:shd w:val="clear" w:color="auto" w:fill="FFFFFF" w:themeFill="background1"/>
            <w:vAlign w:val="center"/>
          </w:tcPr>
          <w:p>
            <w:pPr>
              <w:pStyle w:val="24"/>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项目名称及合同金额（万元）</w:t>
            </w:r>
          </w:p>
        </w:tc>
        <w:tc>
          <w:tcPr>
            <w:tcW w:w="779" w:type="pct"/>
            <w:shd w:val="clear" w:color="auto" w:fill="FFFFFF" w:themeFill="background1"/>
            <w:vAlign w:val="center"/>
          </w:tcPr>
          <w:p>
            <w:pPr>
              <w:pStyle w:val="24"/>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签订合同时间</w:t>
            </w:r>
          </w:p>
        </w:tc>
        <w:tc>
          <w:tcPr>
            <w:tcW w:w="1001" w:type="pct"/>
            <w:shd w:val="clear" w:color="auto" w:fill="FFFFFF" w:themeFill="background1"/>
            <w:vAlign w:val="center"/>
          </w:tcPr>
          <w:p>
            <w:pPr>
              <w:pStyle w:val="24"/>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竣工验收报告时间</w:t>
            </w:r>
          </w:p>
        </w:tc>
        <w:tc>
          <w:tcPr>
            <w:tcW w:w="785" w:type="pct"/>
            <w:shd w:val="clear" w:color="auto" w:fill="FFFFFF" w:themeFill="background1"/>
            <w:vAlign w:val="center"/>
          </w:tcPr>
          <w:p>
            <w:pPr>
              <w:pStyle w:val="24"/>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联系人及电话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pPr>
              <w:pStyle w:val="24"/>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1</w:t>
            </w:r>
          </w:p>
        </w:tc>
        <w:tc>
          <w:tcPr>
            <w:tcW w:w="551"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553"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779"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001"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785"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pPr>
              <w:pStyle w:val="24"/>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2</w:t>
            </w:r>
          </w:p>
        </w:tc>
        <w:tc>
          <w:tcPr>
            <w:tcW w:w="551"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553"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779"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001"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785"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pPr>
              <w:pStyle w:val="24"/>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3</w:t>
            </w:r>
          </w:p>
        </w:tc>
        <w:tc>
          <w:tcPr>
            <w:tcW w:w="551"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553"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779"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001"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785"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tcPr>
          <w:p>
            <w:pPr>
              <w:pStyle w:val="24"/>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4</w:t>
            </w:r>
          </w:p>
        </w:tc>
        <w:tc>
          <w:tcPr>
            <w:tcW w:w="551"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553"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779"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001"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785"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tcPr>
          <w:p>
            <w:pPr>
              <w:pStyle w:val="24"/>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01"/>
                <w:szCs w:val="21"/>
                <w:highlight w:val="none"/>
                <w14:textFill>
                  <w14:solidFill>
                    <w14:schemeClr w14:val="tx1"/>
                  </w14:solidFill>
                </w14:textFill>
              </w:rPr>
              <w:t>…</w:t>
            </w:r>
          </w:p>
        </w:tc>
        <w:tc>
          <w:tcPr>
            <w:tcW w:w="551"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553"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779"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001"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785"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根据上述业绩情况，按招标文件要求附销售或服务合同复印件及评审标准要求的证明材料。</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pPr>
        <w:pStyle w:val="2"/>
        <w:rPr>
          <w:b/>
          <w:bCs/>
          <w:color w:val="000000" w:themeColor="text1"/>
          <w:highlight w:val="none"/>
          <w:lang w:val="en-US"/>
          <w14:textFill>
            <w14:solidFill>
              <w14:schemeClr w14:val="tx1"/>
            </w14:solidFill>
          </w14:textFill>
        </w:rPr>
      </w:pPr>
      <w:r>
        <w:rPr>
          <w:rFonts w:hint="eastAsia"/>
          <w:b/>
          <w:bCs/>
          <w:color w:val="000000" w:themeColor="text1"/>
          <w:highlight w:val="none"/>
          <w:lang w:val="en-US"/>
          <w14:textFill>
            <w14:solidFill>
              <w14:schemeClr w14:val="tx1"/>
            </w14:solidFill>
          </w14:textFill>
        </w:rPr>
        <w:t>格式十一：</w:t>
      </w:r>
    </w:p>
    <w:p>
      <w:pPr>
        <w:jc w:val="center"/>
        <w:rPr>
          <w:b/>
          <w:bCs/>
          <w:color w:val="000000" w:themeColor="text1"/>
          <w:sz w:val="24"/>
          <w:szCs w:val="32"/>
          <w:highlight w:val="none"/>
          <w14:textFill>
            <w14:solidFill>
              <w14:schemeClr w14:val="tx1"/>
            </w14:solidFill>
          </w14:textFill>
        </w:rPr>
      </w:pPr>
      <w:r>
        <w:rPr>
          <w:b/>
          <w:bCs/>
          <w:color w:val="000000" w:themeColor="text1"/>
          <w:sz w:val="24"/>
          <w:szCs w:val="32"/>
          <w:highlight w:val="none"/>
          <w14:textFill>
            <w14:solidFill>
              <w14:schemeClr w14:val="tx1"/>
            </w14:solidFill>
          </w14:textFill>
        </w:rPr>
        <w:t>技术要求响应表</w:t>
      </w:r>
    </w:p>
    <w:p>
      <w:pPr>
        <w:pStyle w:val="2"/>
        <w:rPr>
          <w:color w:val="000000" w:themeColor="text1"/>
          <w:highlight w:val="none"/>
          <w:lang w:val="en-US"/>
          <w14:textFill>
            <w14:solidFill>
              <w14:schemeClr w14:val="tx1"/>
            </w14:solidFill>
          </w14:textFill>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830"/>
        <w:gridCol w:w="830"/>
        <w:gridCol w:w="1771"/>
        <w:gridCol w:w="1771"/>
        <w:gridCol w:w="830"/>
        <w:gridCol w:w="1367"/>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序号</w:t>
            </w:r>
          </w:p>
        </w:tc>
        <w:tc>
          <w:tcPr>
            <w:tcW w:w="0" w:type="auto"/>
            <w:vAlign w:val="center"/>
          </w:tcPr>
          <w:p>
            <w:pPr>
              <w:pStyle w:val="2"/>
              <w:spacing w:before="0" w:line="360" w:lineRule="auto"/>
              <w:ind w:left="0"/>
              <w:jc w:val="center"/>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标的名称</w:t>
            </w:r>
          </w:p>
        </w:tc>
        <w:tc>
          <w:tcPr>
            <w:tcW w:w="0" w:type="auto"/>
            <w:vAlign w:val="center"/>
          </w:tcPr>
          <w:p>
            <w:pPr>
              <w:pStyle w:val="2"/>
              <w:spacing w:before="0" w:line="360" w:lineRule="auto"/>
              <w:ind w:left="0"/>
              <w:jc w:val="center"/>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参数性质</w:t>
            </w:r>
          </w:p>
        </w:tc>
        <w:tc>
          <w:tcPr>
            <w:tcW w:w="0" w:type="auto"/>
            <w:vAlign w:val="center"/>
          </w:tcPr>
          <w:p>
            <w:pPr>
              <w:pStyle w:val="2"/>
              <w:spacing w:before="0" w:line="360" w:lineRule="auto"/>
              <w:ind w:left="0"/>
              <w:jc w:val="center"/>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招标文件规定的技术要求</w:t>
            </w:r>
          </w:p>
        </w:tc>
        <w:tc>
          <w:tcPr>
            <w:tcW w:w="0" w:type="auto"/>
            <w:vAlign w:val="center"/>
          </w:tcPr>
          <w:p>
            <w:pPr>
              <w:pStyle w:val="2"/>
              <w:spacing w:before="0" w:line="360" w:lineRule="auto"/>
              <w:ind w:left="0"/>
              <w:jc w:val="center"/>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投标文件响应的具体内容</w:t>
            </w:r>
          </w:p>
        </w:tc>
        <w:tc>
          <w:tcPr>
            <w:tcW w:w="0" w:type="auto"/>
            <w:vAlign w:val="center"/>
          </w:tcPr>
          <w:p>
            <w:pPr>
              <w:pStyle w:val="2"/>
              <w:spacing w:before="0" w:line="360" w:lineRule="auto"/>
              <w:ind w:left="0"/>
              <w:jc w:val="center"/>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是否偏离</w:t>
            </w:r>
          </w:p>
        </w:tc>
        <w:tc>
          <w:tcPr>
            <w:tcW w:w="0" w:type="auto"/>
            <w:vAlign w:val="center"/>
          </w:tcPr>
          <w:p>
            <w:pPr>
              <w:pStyle w:val="2"/>
              <w:spacing w:before="0" w:line="360" w:lineRule="auto"/>
              <w:ind w:left="0"/>
              <w:jc w:val="center"/>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证明文件所在位置</w:t>
            </w:r>
          </w:p>
        </w:tc>
        <w:tc>
          <w:tcPr>
            <w:tcW w:w="0" w:type="auto"/>
            <w:vAlign w:val="center"/>
          </w:tcPr>
          <w:p>
            <w:pPr>
              <w:pStyle w:val="2"/>
              <w:spacing w:before="0" w:line="360" w:lineRule="auto"/>
              <w:ind w:left="0"/>
              <w:jc w:val="center"/>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w:t>
            </w: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4</w:t>
            </w: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w:t>
            </w: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0" w:type="auto"/>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bl>
    <w:p>
      <w:pPr>
        <w:pStyle w:val="2"/>
        <w:rPr>
          <w:color w:val="000000" w:themeColor="text1"/>
          <w:highlight w:val="none"/>
          <w:lang w:val="en-US"/>
          <w14:textFill>
            <w14:solidFill>
              <w14:schemeClr w14:val="tx1"/>
            </w14:solidFill>
          </w14:textFill>
        </w:rPr>
      </w:pPr>
    </w:p>
    <w:p>
      <w:pPr>
        <w:rPr>
          <w:color w:val="000000" w:themeColor="text1"/>
          <w:highlight w:val="none"/>
          <w14:textFill>
            <w14:solidFill>
              <w14:schemeClr w14:val="tx1"/>
            </w14:solidFill>
          </w14:textFill>
        </w:rPr>
      </w:pP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说明：</w:t>
      </w:r>
    </w:p>
    <w:p>
      <w:pPr>
        <w:pStyle w:val="22"/>
        <w:tabs>
          <w:tab w:val="left" w:pos="731"/>
        </w:tabs>
        <w:autoSpaceDE w:val="0"/>
        <w:autoSpaceDN w:val="0"/>
        <w:spacing w:line="360" w:lineRule="auto"/>
        <w:ind w:firstLine="423"/>
        <w:rPr>
          <w:rFonts w:ascii="宋体" w:hAnsi="宋体" w:cs="宋体"/>
          <w:color w:val="000000" w:themeColor="text1"/>
          <w:w w:val="101"/>
          <w:szCs w:val="21"/>
          <w:highlight w:val="none"/>
          <w14:textFill>
            <w14:solidFill>
              <w14:schemeClr w14:val="tx1"/>
            </w14:solidFill>
          </w14:textFill>
        </w:rPr>
      </w:pP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1.“招标文件规定的技术要求”项下填写的内容应与招标文件中用户需求书的 “技术要求”的内容保持一致。</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投标人应当如实填写上表“投标文件响应的具体内容”处内容，对招标文件提出的技术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r>
        <w:rPr>
          <w:rFonts w:hint="eastAsia"/>
          <w:color w:val="000000" w:themeColor="text1"/>
          <w:sz w:val="21"/>
          <w:szCs w:val="21"/>
          <w:highlight w:val="none"/>
          <w14:textFill>
            <w14:solidFill>
              <w14:schemeClr w14:val="tx1"/>
            </w14:solidFill>
          </w14:textFill>
        </w:rPr>
        <w:t>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4.</w:t>
      </w:r>
      <w:r>
        <w:rPr>
          <w:rFonts w:hint="eastAsia"/>
          <w:color w:val="000000" w:themeColor="text1"/>
          <w:sz w:val="21"/>
          <w:szCs w:val="21"/>
          <w:highlight w:val="none"/>
          <w14:textFill>
            <w14:solidFill>
              <w14:schemeClr w14:val="tx1"/>
            </w14:solidFill>
          </w14:textFill>
        </w:rPr>
        <w:t>“是否偏离”项下应按下列规定填写：优于的，填写“正偏离”；符合的，填写“无偏离”；低于的，填写“负偏离”。</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5.“备注”处可填写偏离情况的说明。</w:t>
      </w:r>
    </w:p>
    <w:p>
      <w:pPr>
        <w:rPr>
          <w:rFonts w:ascii="宋体" w:hAnsi="宋体" w:cs="宋体"/>
          <w:color w:val="000000" w:themeColor="text1"/>
          <w:w w:val="101"/>
          <w:sz w:val="20"/>
          <w:szCs w:val="20"/>
          <w:highlight w:val="none"/>
          <w14:textFill>
            <w14:solidFill>
              <w14:schemeClr w14:val="tx1"/>
            </w14:solidFill>
          </w14:textFill>
        </w:rPr>
      </w:pPr>
      <w:r>
        <w:rPr>
          <w:rFonts w:hint="eastAsia" w:ascii="宋体" w:hAnsi="宋体" w:cs="宋体"/>
          <w:color w:val="000000" w:themeColor="text1"/>
          <w:w w:val="101"/>
          <w:sz w:val="20"/>
          <w:szCs w:val="20"/>
          <w:highlight w:val="none"/>
          <w14:textFill>
            <w14:solidFill>
              <w14:schemeClr w14:val="tx1"/>
            </w14:solidFill>
          </w14:textFill>
        </w:rPr>
        <w:br w:type="page"/>
      </w:r>
    </w:p>
    <w:p>
      <w:pPr>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格式十二：</w:t>
      </w:r>
    </w:p>
    <w:p>
      <w:pPr>
        <w:pStyle w:val="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商务</w:t>
      </w:r>
      <w:r>
        <w:rPr>
          <w:rFonts w:hint="eastAsia"/>
          <w:b/>
          <w:bCs/>
          <w:color w:val="000000" w:themeColor="text1"/>
          <w:highlight w:val="none"/>
          <w14:textFill>
            <w14:solidFill>
              <w14:schemeClr w14:val="tx1"/>
            </w14:solidFill>
          </w14:textFill>
        </w:rPr>
        <w:t>要求</w:t>
      </w:r>
      <w:r>
        <w:rPr>
          <w:b/>
          <w:bCs/>
          <w:color w:val="000000" w:themeColor="text1"/>
          <w:highlight w:val="none"/>
          <w14:textFill>
            <w14:solidFill>
              <w14:schemeClr w14:val="tx1"/>
            </w14:solidFill>
          </w14:textFill>
        </w:rPr>
        <w:t>响应表</w:t>
      </w:r>
    </w:p>
    <w:p>
      <w:pPr>
        <w:rPr>
          <w:b/>
          <w:bCs/>
          <w:color w:val="000000" w:themeColor="text1"/>
          <w:sz w:val="24"/>
          <w:highlight w:val="none"/>
          <w14:textFill>
            <w14:solidFill>
              <w14:schemeClr w14:val="tx1"/>
            </w14:solidFill>
          </w14:textFill>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814"/>
        <w:gridCol w:w="814"/>
        <w:gridCol w:w="1900"/>
        <w:gridCol w:w="1900"/>
        <w:gridCol w:w="647"/>
        <w:gridCol w:w="1386"/>
        <w:gridCol w:w="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序号</w:t>
            </w:r>
          </w:p>
        </w:tc>
        <w:tc>
          <w:tcPr>
            <w:tcW w:w="814" w:type="dxa"/>
            <w:vAlign w:val="center"/>
          </w:tcPr>
          <w:p>
            <w:pPr>
              <w:pStyle w:val="2"/>
              <w:spacing w:before="0" w:line="360" w:lineRule="auto"/>
              <w:ind w:left="0"/>
              <w:jc w:val="center"/>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标的名称</w:t>
            </w:r>
          </w:p>
        </w:tc>
        <w:tc>
          <w:tcPr>
            <w:tcW w:w="814"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参数性质</w:t>
            </w:r>
          </w:p>
        </w:tc>
        <w:tc>
          <w:tcPr>
            <w:tcW w:w="1900"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招标文件规定的商务要求</w:t>
            </w:r>
          </w:p>
        </w:tc>
        <w:tc>
          <w:tcPr>
            <w:tcW w:w="1900"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投标文件响应的具体内容</w:t>
            </w:r>
          </w:p>
        </w:tc>
        <w:tc>
          <w:tcPr>
            <w:tcW w:w="647"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是否偏离</w:t>
            </w:r>
          </w:p>
        </w:tc>
        <w:tc>
          <w:tcPr>
            <w:tcW w:w="1386"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证明文件所在位置</w:t>
            </w:r>
          </w:p>
        </w:tc>
        <w:tc>
          <w:tcPr>
            <w:tcW w:w="529"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w:t>
            </w:r>
          </w:p>
        </w:tc>
        <w:tc>
          <w:tcPr>
            <w:tcW w:w="814"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814"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900"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900"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647"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386"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529"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w:t>
            </w:r>
          </w:p>
        </w:tc>
        <w:tc>
          <w:tcPr>
            <w:tcW w:w="814"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814"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900"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900"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647"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386"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529"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p>
        </w:tc>
        <w:tc>
          <w:tcPr>
            <w:tcW w:w="814"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814"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900"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900"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647"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386"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529"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4</w:t>
            </w:r>
          </w:p>
        </w:tc>
        <w:tc>
          <w:tcPr>
            <w:tcW w:w="814"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814"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900"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900"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647"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1386"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c>
          <w:tcPr>
            <w:tcW w:w="529" w:type="dxa"/>
            <w:vAlign w:val="center"/>
          </w:tcPr>
          <w:p>
            <w:pPr>
              <w:pStyle w:val="2"/>
              <w:spacing w:before="0" w:line="360" w:lineRule="auto"/>
              <w:ind w:left="0"/>
              <w:jc w:val="center"/>
              <w:rPr>
                <w:color w:val="000000" w:themeColor="text1"/>
                <w:sz w:val="21"/>
                <w:szCs w:val="21"/>
                <w:highlight w:val="none"/>
                <w:lang w:val="en-US"/>
                <w14:textFill>
                  <w14:solidFill>
                    <w14:schemeClr w14:val="tx1"/>
                  </w14:solidFill>
                </w14:textFill>
              </w:rPr>
            </w:pPr>
          </w:p>
        </w:tc>
      </w:tr>
    </w:tbl>
    <w:p>
      <w:pPr>
        <w:pStyle w:val="2"/>
        <w:rPr>
          <w:color w:val="000000" w:themeColor="text1"/>
          <w:sz w:val="21"/>
          <w:szCs w:val="21"/>
          <w:highlight w:val="none"/>
          <w:lang w:val="en-US"/>
          <w14:textFill>
            <w14:solidFill>
              <w14:schemeClr w14:val="tx1"/>
            </w14:solidFill>
          </w14:textFill>
        </w:rPr>
      </w:pPr>
    </w:p>
    <w:p>
      <w:pPr>
        <w:rPr>
          <w:color w:val="000000" w:themeColor="text1"/>
          <w:szCs w:val="21"/>
          <w:highlight w:val="none"/>
          <w14:textFill>
            <w14:solidFill>
              <w14:schemeClr w14:val="tx1"/>
            </w14:solidFill>
          </w14:textFill>
        </w:rPr>
      </w:pP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说明：</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1.“招标文件规定的商务要求”项下填写的内容应与招标文件中用户需求书的“商务要求”的内容保持一致。</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投标人应当如实填写上表“投标文件响应的具体内容”处内容，对招标文件规定的商务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4.“是否偏离”项下应按下列规定填写：优于的，填写“正偏离”；符合的，填写“无偏离”；低于的，填写“负偏离”。</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5.“备注”处可填写偏离情况的说明。</w:t>
      </w:r>
    </w:p>
    <w:p>
      <w:pPr>
        <w:rPr>
          <w:rFonts w:ascii="宋体" w:hAnsi="宋体" w:cs="宋体"/>
          <w:color w:val="000000" w:themeColor="text1"/>
          <w:w w:val="101"/>
          <w:sz w:val="20"/>
          <w:szCs w:val="20"/>
          <w:highlight w:val="none"/>
          <w14:textFill>
            <w14:solidFill>
              <w14:schemeClr w14:val="tx1"/>
            </w14:solidFill>
          </w14:textFill>
        </w:rPr>
      </w:pPr>
      <w:r>
        <w:rPr>
          <w:rFonts w:hint="eastAsia" w:ascii="宋体" w:hAnsi="宋体" w:cs="宋体"/>
          <w:color w:val="000000" w:themeColor="text1"/>
          <w:w w:val="101"/>
          <w:sz w:val="20"/>
          <w:szCs w:val="20"/>
          <w:highlight w:val="none"/>
          <w14:textFill>
            <w14:solidFill>
              <w14:schemeClr w14:val="tx1"/>
            </w14:solidFill>
          </w14:textFill>
        </w:rPr>
        <w:br w:type="page"/>
      </w:r>
    </w:p>
    <w:p>
      <w:pPr>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格式十三：</w:t>
      </w:r>
    </w:p>
    <w:p>
      <w:pPr>
        <w:pStyle w:val="2"/>
        <w:spacing w:before="114"/>
        <w:ind w:left="49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（以下格式文件由</w:t>
      </w:r>
      <w:r>
        <w:rPr>
          <w:rFonts w:hint="eastAsia"/>
          <w:color w:val="000000" w:themeColor="text1"/>
          <w:sz w:val="21"/>
          <w:szCs w:val="21"/>
          <w:highlight w:val="none"/>
          <w14:textFill>
            <w14:solidFill>
              <w14:schemeClr w14:val="tx1"/>
            </w14:solidFill>
          </w14:textFill>
        </w:rPr>
        <w:t>投标人</w:t>
      </w:r>
      <w:r>
        <w:rPr>
          <w:color w:val="000000" w:themeColor="text1"/>
          <w:sz w:val="21"/>
          <w:szCs w:val="21"/>
          <w:highlight w:val="none"/>
          <w14:textFill>
            <w14:solidFill>
              <w14:schemeClr w14:val="tx1"/>
            </w14:solidFill>
          </w14:textFill>
        </w:rPr>
        <w:t>根据需要选用）</w:t>
      </w:r>
    </w:p>
    <w:p>
      <w:pPr>
        <w:pStyle w:val="2"/>
        <w:spacing w:before="8"/>
        <w:rPr>
          <w:color w:val="000000" w:themeColor="text1"/>
          <w:sz w:val="13"/>
          <w:highlight w:val="none"/>
          <w14:textFill>
            <w14:solidFill>
              <w14:schemeClr w14:val="tx1"/>
            </w14:solidFill>
          </w14:textFill>
        </w:rPr>
      </w:pPr>
    </w:p>
    <w:p>
      <w:pPr>
        <w:pStyle w:val="4"/>
        <w:rPr>
          <w:color w:val="000000" w:themeColor="text1"/>
          <w:highlight w:val="none"/>
          <w14:textFill>
            <w14:solidFill>
              <w14:schemeClr w14:val="tx1"/>
            </w14:solidFill>
          </w14:textFill>
        </w:rPr>
      </w:pPr>
      <w:bookmarkStart w:id="156" w:name="_Toc20098"/>
      <w:r>
        <w:rPr>
          <w:color w:val="000000" w:themeColor="text1"/>
          <w:highlight w:val="none"/>
          <w14:textFill>
            <w14:solidFill>
              <w14:schemeClr w14:val="tx1"/>
            </w14:solidFill>
          </w14:textFill>
        </w:rPr>
        <w:t>履约进度计划表</w:t>
      </w:r>
      <w:bookmarkEnd w:id="156"/>
    </w:p>
    <w:p>
      <w:pPr>
        <w:pStyle w:val="2"/>
        <w:spacing w:before="2" w:after="1"/>
        <w:rPr>
          <w:b/>
          <w:color w:val="000000" w:themeColor="text1"/>
          <w:sz w:val="17"/>
          <w:highlight w:val="none"/>
          <w14:textFill>
            <w14:solidFill>
              <w14:schemeClr w14:val="tx1"/>
            </w14:solidFill>
          </w14:textFill>
        </w:rPr>
      </w:pPr>
    </w:p>
    <w:tbl>
      <w:tblPr>
        <w:tblStyle w:val="17"/>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47"/>
        <w:gridCol w:w="2829"/>
        <w:gridCol w:w="2490"/>
        <w:gridCol w:w="22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4"/>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1700" w:type="pct"/>
            <w:shd w:val="clear" w:color="auto" w:fill="FFFFFF" w:themeFill="background1"/>
          </w:tcPr>
          <w:p>
            <w:pPr>
              <w:pStyle w:val="24"/>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拟定时间安排</w:t>
            </w:r>
          </w:p>
        </w:tc>
        <w:tc>
          <w:tcPr>
            <w:tcW w:w="1496" w:type="pct"/>
            <w:shd w:val="clear" w:color="auto" w:fill="FFFFFF" w:themeFill="background1"/>
          </w:tcPr>
          <w:p>
            <w:pPr>
              <w:pStyle w:val="24"/>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计划完成的工作内容</w:t>
            </w:r>
          </w:p>
        </w:tc>
        <w:tc>
          <w:tcPr>
            <w:tcW w:w="1354" w:type="pct"/>
            <w:shd w:val="clear" w:color="auto" w:fill="FFFFFF" w:themeFill="background1"/>
          </w:tcPr>
          <w:p>
            <w:pPr>
              <w:pStyle w:val="24"/>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实施方建议或要求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4"/>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1</w:t>
            </w:r>
          </w:p>
        </w:tc>
        <w:tc>
          <w:tcPr>
            <w:tcW w:w="1700" w:type="pct"/>
            <w:shd w:val="clear" w:color="auto" w:fill="FFFFFF" w:themeFill="background1"/>
          </w:tcPr>
          <w:p>
            <w:pPr>
              <w:pStyle w:val="24"/>
              <w:tabs>
                <w:tab w:val="left" w:pos="772"/>
                <w:tab w:val="left" w:pos="1253"/>
                <w:tab w:val="left" w:pos="1733"/>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拟定</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p>
        </w:tc>
        <w:tc>
          <w:tcPr>
            <w:tcW w:w="1496"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签定合同并生效</w:t>
            </w:r>
          </w:p>
        </w:tc>
        <w:tc>
          <w:tcPr>
            <w:tcW w:w="1354"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4"/>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2</w:t>
            </w:r>
          </w:p>
        </w:tc>
        <w:tc>
          <w:tcPr>
            <w:tcW w:w="1700" w:type="pct"/>
            <w:shd w:val="clear" w:color="auto" w:fill="FFFFFF" w:themeFill="background1"/>
          </w:tcPr>
          <w:p>
            <w:pPr>
              <w:pStyle w:val="24"/>
              <w:tabs>
                <w:tab w:val="left" w:pos="388"/>
                <w:tab w:val="left" w:pos="868"/>
                <w:tab w:val="left" w:pos="1541"/>
                <w:tab w:val="left" w:pos="2021"/>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0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p>
        </w:tc>
        <w:tc>
          <w:tcPr>
            <w:tcW w:w="1496"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354"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4"/>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3</w:t>
            </w:r>
          </w:p>
        </w:tc>
        <w:tc>
          <w:tcPr>
            <w:tcW w:w="1700" w:type="pct"/>
            <w:shd w:val="clear" w:color="auto" w:fill="FFFFFF" w:themeFill="background1"/>
          </w:tcPr>
          <w:p>
            <w:pPr>
              <w:pStyle w:val="24"/>
              <w:tabs>
                <w:tab w:val="left" w:pos="388"/>
                <w:tab w:val="left" w:pos="868"/>
                <w:tab w:val="left" w:pos="1541"/>
                <w:tab w:val="left" w:pos="2021"/>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0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p>
        </w:tc>
        <w:tc>
          <w:tcPr>
            <w:tcW w:w="1496"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c>
          <w:tcPr>
            <w:tcW w:w="1354"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4"/>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4</w:t>
            </w:r>
          </w:p>
        </w:tc>
        <w:tc>
          <w:tcPr>
            <w:tcW w:w="1700" w:type="pct"/>
            <w:shd w:val="clear" w:color="auto" w:fill="FFFFFF" w:themeFill="background1"/>
          </w:tcPr>
          <w:p>
            <w:pPr>
              <w:pStyle w:val="24"/>
              <w:tabs>
                <w:tab w:val="left" w:pos="388"/>
                <w:tab w:val="left" w:pos="868"/>
                <w:tab w:val="left" w:pos="1541"/>
                <w:tab w:val="left" w:pos="2021"/>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0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p>
        </w:tc>
        <w:tc>
          <w:tcPr>
            <w:tcW w:w="1496"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质保期</w:t>
            </w:r>
          </w:p>
        </w:tc>
        <w:tc>
          <w:tcPr>
            <w:tcW w:w="1354" w:type="pct"/>
            <w:shd w:val="clear" w:color="auto" w:fill="FFFFFF" w:themeFill="background1"/>
          </w:tcPr>
          <w:p>
            <w:pPr>
              <w:pStyle w:val="24"/>
              <w:spacing w:line="360" w:lineRule="auto"/>
              <w:rPr>
                <w:rFonts w:ascii="宋体" w:hAnsi="宋体" w:cs="宋体"/>
                <w:color w:val="000000" w:themeColor="text1"/>
                <w:szCs w:val="21"/>
                <w:highlight w:val="none"/>
                <w14:textFill>
                  <w14:solidFill>
                    <w14:schemeClr w14:val="tx1"/>
                  </w14:solidFill>
                </w14:textFill>
              </w:rPr>
            </w:pPr>
          </w:p>
        </w:tc>
      </w:tr>
    </w:tbl>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outlineLvl w:val="1"/>
        <w:rPr>
          <w:b/>
          <w:bCs/>
          <w:color w:val="000000" w:themeColor="text1"/>
          <w:sz w:val="24"/>
          <w:szCs w:val="32"/>
          <w:highlight w:val="none"/>
          <w14:textFill>
            <w14:solidFill>
              <w14:schemeClr w14:val="tx1"/>
            </w14:solidFill>
          </w14:textFill>
        </w:rPr>
      </w:pPr>
      <w:bookmarkStart w:id="157" w:name="_Toc2912"/>
      <w:r>
        <w:rPr>
          <w:rFonts w:hint="eastAsia"/>
          <w:b/>
          <w:bCs/>
          <w:color w:val="000000" w:themeColor="text1"/>
          <w:sz w:val="24"/>
          <w:szCs w:val="32"/>
          <w:highlight w:val="none"/>
          <w14:textFill>
            <w14:solidFill>
              <w14:schemeClr w14:val="tx1"/>
            </w14:solidFill>
          </w14:textFill>
        </w:rPr>
        <w:t>格式十四：</w:t>
      </w:r>
      <w:bookmarkEnd w:id="157"/>
    </w:p>
    <w:p>
      <w:pPr>
        <w:pStyle w:val="2"/>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（以下格式文件由</w:t>
      </w:r>
      <w:r>
        <w:rPr>
          <w:rFonts w:hint="eastAsia"/>
          <w:color w:val="000000" w:themeColor="text1"/>
          <w:sz w:val="21"/>
          <w:szCs w:val="21"/>
          <w:highlight w:val="none"/>
          <w14:textFill>
            <w14:solidFill>
              <w14:schemeClr w14:val="tx1"/>
            </w14:solidFill>
          </w14:textFill>
        </w:rPr>
        <w:t>投标人</w:t>
      </w:r>
      <w:r>
        <w:rPr>
          <w:color w:val="000000" w:themeColor="text1"/>
          <w:sz w:val="21"/>
          <w:szCs w:val="21"/>
          <w:highlight w:val="none"/>
          <w14:textFill>
            <w14:solidFill>
              <w14:schemeClr w14:val="tx1"/>
            </w14:solidFill>
          </w14:textFill>
        </w:rPr>
        <w:t>根据需要选用）</w:t>
      </w:r>
    </w:p>
    <w:p>
      <w:pPr>
        <w:rPr>
          <w:color w:val="000000" w:themeColor="text1"/>
          <w:sz w:val="20"/>
          <w:szCs w:val="20"/>
          <w:highlight w:val="none"/>
          <w14:textFill>
            <w14:solidFill>
              <w14:schemeClr w14:val="tx1"/>
            </w14:solidFill>
          </w14:textFill>
        </w:rPr>
      </w:pPr>
    </w:p>
    <w:p>
      <w:pPr>
        <w:pStyle w:val="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各类证明材料</w:t>
      </w:r>
    </w:p>
    <w:p>
      <w:pPr>
        <w:pStyle w:val="22"/>
        <w:tabs>
          <w:tab w:val="left" w:pos="673"/>
        </w:tabs>
        <w:spacing w:line="360" w:lineRule="auto"/>
        <w:ind w:firstLine="0" w:firstLineChars="0"/>
        <w:outlineLvl w:val="1"/>
        <w:rPr>
          <w:rFonts w:ascii="宋体" w:hAnsi="宋体" w:cs="宋体"/>
          <w:color w:val="000000" w:themeColor="text1"/>
          <w:szCs w:val="21"/>
          <w:highlight w:val="none"/>
          <w14:textFill>
            <w14:solidFill>
              <w14:schemeClr w14:val="tx1"/>
            </w14:solidFill>
          </w14:textFill>
        </w:rPr>
      </w:pPr>
      <w:bookmarkStart w:id="158" w:name="_Toc14919"/>
      <w:r>
        <w:rPr>
          <w:rFonts w:hint="eastAsia" w:ascii="宋体" w:hAnsi="宋体" w:cs="宋体"/>
          <w:color w:val="000000" w:themeColor="text1"/>
          <w:szCs w:val="21"/>
          <w:highlight w:val="none"/>
          <w14:textFill>
            <w14:solidFill>
              <w14:schemeClr w14:val="tx1"/>
            </w14:solidFill>
          </w14:textFill>
        </w:rPr>
        <w:t>1、招标文件要求提供的其他资料。</w:t>
      </w:r>
      <w:bookmarkEnd w:id="158"/>
    </w:p>
    <w:p>
      <w:pPr>
        <w:pStyle w:val="22"/>
        <w:tabs>
          <w:tab w:val="left" w:pos="673"/>
        </w:tabs>
        <w:spacing w:line="360" w:lineRule="auto"/>
        <w:ind w:firstLine="0" w:firstLineChars="0"/>
        <w:outlineLvl w:val="1"/>
        <w:rPr>
          <w:rFonts w:ascii="宋体" w:hAnsi="宋体" w:cs="宋体"/>
          <w:color w:val="000000" w:themeColor="text1"/>
          <w:szCs w:val="21"/>
          <w:highlight w:val="none"/>
          <w14:textFill>
            <w14:solidFill>
              <w14:schemeClr w14:val="tx1"/>
            </w14:solidFill>
          </w14:textFill>
        </w:rPr>
      </w:pPr>
      <w:bookmarkStart w:id="159" w:name="_Toc7938"/>
      <w:r>
        <w:rPr>
          <w:rFonts w:hint="eastAsia" w:ascii="宋体" w:hAnsi="宋体" w:cs="宋体"/>
          <w:color w:val="000000" w:themeColor="text1"/>
          <w:szCs w:val="21"/>
          <w:highlight w:val="none"/>
          <w14:textFill>
            <w14:solidFill>
              <w14:schemeClr w14:val="tx1"/>
            </w14:solidFill>
          </w14:textFill>
        </w:rPr>
        <w:t>2、投标人认为需提供的其他资料。</w:t>
      </w:r>
      <w:bookmarkEnd w:id="159"/>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pPr>
        <w:pStyle w:val="22"/>
        <w:tabs>
          <w:tab w:val="left" w:pos="673"/>
        </w:tabs>
        <w:spacing w:line="360" w:lineRule="auto"/>
        <w:ind w:firstLine="0" w:firstLineChars="0"/>
        <w:outlineLvl w:val="1"/>
        <w:rPr>
          <w:rFonts w:ascii="宋体" w:hAnsi="宋体" w:cs="宋体"/>
          <w:b/>
          <w:bCs/>
          <w:color w:val="000000" w:themeColor="text1"/>
          <w:sz w:val="24"/>
          <w:highlight w:val="none"/>
          <w14:textFill>
            <w14:solidFill>
              <w14:schemeClr w14:val="tx1"/>
            </w14:solidFill>
          </w14:textFill>
        </w:rPr>
      </w:pPr>
      <w:bookmarkStart w:id="160" w:name="_Toc30382"/>
      <w:r>
        <w:rPr>
          <w:rFonts w:hint="eastAsia" w:ascii="宋体" w:hAnsi="宋体" w:cs="宋体"/>
          <w:b/>
          <w:bCs/>
          <w:color w:val="000000" w:themeColor="text1"/>
          <w:sz w:val="24"/>
          <w:highlight w:val="none"/>
          <w14:textFill>
            <w14:solidFill>
              <w14:schemeClr w14:val="tx1"/>
            </w14:solidFill>
          </w14:textFill>
        </w:rPr>
        <w:t>格式十五：</w:t>
      </w:r>
      <w:bookmarkEnd w:id="160"/>
    </w:p>
    <w:p>
      <w:pPr>
        <w:pStyle w:val="22"/>
        <w:tabs>
          <w:tab w:val="left" w:pos="673"/>
        </w:tabs>
        <w:spacing w:line="360" w:lineRule="auto"/>
        <w:ind w:firstLine="0" w:firstLineChars="0"/>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采购代理服务费支付承诺书</w:t>
      </w:r>
    </w:p>
    <w:p>
      <w:pPr>
        <w:rPr>
          <w:color w:val="000000" w:themeColor="text1"/>
          <w:highlight w:val="none"/>
          <w14:textFill>
            <w14:solidFill>
              <w14:schemeClr w14:val="tx1"/>
            </w14:solidFill>
          </w14:textFill>
        </w:rPr>
      </w:pP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致：国顺招标有限公司</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如果我方在贵采购代理机构组织的</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项目招标中获中标（项目编号：</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w w:val="105"/>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我方保证在收取《中标通知书》时，按招标文件对代理服务费支付方式的约定，承担本项目代理服务费。</w:t>
      </w:r>
    </w:p>
    <w:p>
      <w:pPr>
        <w:pStyle w:val="22"/>
        <w:tabs>
          <w:tab w:val="left" w:pos="673"/>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国顺招标有限公司的要求办理支付手续。</w:t>
      </w:r>
    </w:p>
    <w:p>
      <w:pPr>
        <w:pStyle w:val="22"/>
        <w:tabs>
          <w:tab w:val="left" w:pos="673"/>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pPr>
        <w:spacing w:line="360" w:lineRule="auto"/>
        <w:ind w:firstLine="420" w:firstLineChars="200"/>
        <w:rPr>
          <w:color w:val="000000" w:themeColor="text1"/>
          <w:highlight w:val="none"/>
          <w14:textFill>
            <w14:solidFill>
              <w14:schemeClr w14:val="tx1"/>
            </w14:solidFill>
          </w14:textFill>
        </w:rPr>
      </w:pPr>
    </w:p>
    <w:p>
      <w:pPr>
        <w:spacing w:line="48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投标人法定名称（公章）：</w:t>
      </w:r>
    </w:p>
    <w:p>
      <w:pPr>
        <w:spacing w:line="48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投标人法定地址：</w:t>
      </w:r>
    </w:p>
    <w:p>
      <w:pPr>
        <w:spacing w:line="48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投标人授权代表（签字或盖章）：</w:t>
      </w:r>
    </w:p>
    <w:p>
      <w:pPr>
        <w:spacing w:line="48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 话：</w:t>
      </w:r>
    </w:p>
    <w:p>
      <w:pPr>
        <w:spacing w:line="48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 真：</w:t>
      </w:r>
    </w:p>
    <w:p>
      <w:pPr>
        <w:pStyle w:val="22"/>
        <w:tabs>
          <w:tab w:val="left" w:pos="673"/>
        </w:tabs>
        <w:spacing w:line="48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承诺日期：</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pStyle w:val="22"/>
        <w:tabs>
          <w:tab w:val="left" w:pos="673"/>
        </w:tabs>
        <w:spacing w:line="360" w:lineRule="auto"/>
        <w:ind w:firstLine="0" w:firstLineChars="0"/>
        <w:outlineLvl w:val="1"/>
        <w:rPr>
          <w:rFonts w:ascii="宋体" w:hAnsi="宋体" w:cs="宋体"/>
          <w:b/>
          <w:bCs/>
          <w:color w:val="000000" w:themeColor="text1"/>
          <w:sz w:val="24"/>
          <w:highlight w:val="none"/>
          <w14:textFill>
            <w14:solidFill>
              <w14:schemeClr w14:val="tx1"/>
            </w14:solidFill>
          </w14:textFill>
        </w:rPr>
      </w:pPr>
      <w:bookmarkStart w:id="161" w:name="_Toc3970"/>
      <w:r>
        <w:rPr>
          <w:rFonts w:hint="eastAsia" w:ascii="宋体" w:hAnsi="宋体" w:cs="宋体"/>
          <w:b/>
          <w:bCs/>
          <w:color w:val="000000" w:themeColor="text1"/>
          <w:sz w:val="24"/>
          <w:highlight w:val="none"/>
          <w14:textFill>
            <w14:solidFill>
              <w14:schemeClr w14:val="tx1"/>
            </w14:solidFill>
          </w14:textFill>
        </w:rPr>
        <w:t>格式十五：</w:t>
      </w:r>
      <w:bookmarkEnd w:id="161"/>
    </w:p>
    <w:p>
      <w:pPr>
        <w:pStyle w:val="2"/>
        <w:spacing w:before="0" w:line="360" w:lineRule="auto"/>
        <w:ind w:left="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（以下格式文件由投标人根据需要选用）</w:t>
      </w:r>
    </w:p>
    <w:p>
      <w:pPr>
        <w:pStyle w:val="2"/>
        <w:spacing w:before="8"/>
        <w:rPr>
          <w:color w:val="000000" w:themeColor="text1"/>
          <w:sz w:val="21"/>
          <w:szCs w:val="21"/>
          <w:highlight w:val="none"/>
          <w14:textFill>
            <w14:solidFill>
              <w14:schemeClr w14:val="tx1"/>
            </w14:solidFill>
          </w14:textFill>
        </w:rPr>
      </w:pPr>
    </w:p>
    <w:p>
      <w:pPr>
        <w:jc w:val="center"/>
        <w:outlineLvl w:val="1"/>
        <w:rPr>
          <w:rFonts w:ascii="宋体" w:hAnsi="宋体" w:cs="宋体"/>
          <w:b/>
          <w:bCs/>
          <w:color w:val="000000" w:themeColor="text1"/>
          <w:szCs w:val="21"/>
          <w:highlight w:val="none"/>
          <w14:textFill>
            <w14:solidFill>
              <w14:schemeClr w14:val="tx1"/>
            </w14:solidFill>
          </w14:textFill>
        </w:rPr>
      </w:pPr>
      <w:bookmarkStart w:id="162" w:name="_Toc4401"/>
      <w:r>
        <w:rPr>
          <w:rFonts w:hint="eastAsia" w:ascii="宋体" w:hAnsi="宋体" w:cs="宋体"/>
          <w:b/>
          <w:bCs/>
          <w:color w:val="000000" w:themeColor="text1"/>
          <w:szCs w:val="21"/>
          <w:highlight w:val="none"/>
          <w14:textFill>
            <w14:solidFill>
              <w14:schemeClr w14:val="tx1"/>
            </w14:solidFill>
          </w14:textFill>
        </w:rPr>
        <w:t>需要招标人提供的附加条件</w:t>
      </w:r>
      <w:bookmarkEnd w:id="162"/>
    </w:p>
    <w:p>
      <w:pPr>
        <w:pStyle w:val="2"/>
        <w:autoSpaceDE w:val="0"/>
        <w:autoSpaceDN w:val="0"/>
        <w:spacing w:before="0" w:line="360" w:lineRule="auto"/>
        <w:ind w:left="0"/>
        <w:rPr>
          <w:b/>
          <w:color w:val="000000" w:themeColor="text1"/>
          <w:sz w:val="21"/>
          <w:szCs w:val="21"/>
          <w:highlight w:val="none"/>
          <w14:textFill>
            <w14:solidFill>
              <w14:schemeClr w14:val="tx1"/>
            </w14:solidFill>
          </w14:textFill>
        </w:rPr>
      </w:pPr>
    </w:p>
    <w:tbl>
      <w:tblPr>
        <w:tblStyle w:val="17"/>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305"/>
        <w:gridCol w:w="70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shd w:val="clear" w:color="auto" w:fill="F4F4F4"/>
          </w:tcPr>
          <w:p>
            <w:pPr>
              <w:pStyle w:val="24"/>
              <w:autoSpaceDE w:val="0"/>
              <w:autoSpaceDN w:val="0"/>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4215" w:type="pct"/>
            <w:shd w:val="clear" w:color="auto" w:fill="F4F4F4"/>
          </w:tcPr>
          <w:p>
            <w:pPr>
              <w:pStyle w:val="24"/>
              <w:autoSpaceDE w:val="0"/>
              <w:autoSpaceDN w:val="0"/>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投标人需要招标人提供的附加条件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pPr>
              <w:pStyle w:val="24"/>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1</w:t>
            </w:r>
          </w:p>
        </w:tc>
        <w:tc>
          <w:tcPr>
            <w:tcW w:w="4215"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pPr>
              <w:pStyle w:val="24"/>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2</w:t>
            </w:r>
          </w:p>
        </w:tc>
        <w:tc>
          <w:tcPr>
            <w:tcW w:w="4215"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pPr>
              <w:pStyle w:val="24"/>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3</w:t>
            </w:r>
          </w:p>
        </w:tc>
        <w:tc>
          <w:tcPr>
            <w:tcW w:w="4215" w:type="pct"/>
          </w:tcPr>
          <w:p>
            <w:pPr>
              <w:pStyle w:val="24"/>
              <w:spacing w:line="360" w:lineRule="auto"/>
              <w:rPr>
                <w:rFonts w:ascii="宋体" w:hAnsi="宋体" w:cs="宋体"/>
                <w:color w:val="000000" w:themeColor="text1"/>
                <w:szCs w:val="21"/>
                <w:highlight w:val="none"/>
                <w14:textFill>
                  <w14:solidFill>
                    <w14:schemeClr w14:val="tx1"/>
                  </w14:solidFill>
                </w14:textFill>
              </w:rPr>
            </w:pPr>
          </w:p>
        </w:tc>
      </w:tr>
    </w:tbl>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注：投标人完成本项目需要招标人配合或提供的条件必须在上表列出，否则将视为投标人同意按现有条件完成本项目。如上表所列附加条件含有招标人不能接受的，将被视为投标无效。</w:t>
      </w:r>
    </w:p>
    <w:p>
      <w:pPr>
        <w:rPr>
          <w:color w:val="000000" w:themeColor="text1"/>
          <w:sz w:val="20"/>
          <w:szCs w:val="20"/>
          <w:highlight w:val="none"/>
          <w14:textFill>
            <w14:solidFill>
              <w14:schemeClr w14:val="tx1"/>
            </w14:solidFill>
          </w14:textFill>
        </w:rPr>
      </w:pPr>
      <w:r>
        <w:rPr>
          <w:color w:val="000000" w:themeColor="text1"/>
          <w:sz w:val="20"/>
          <w:szCs w:val="20"/>
          <w:highlight w:val="none"/>
          <w14:textFill>
            <w14:solidFill>
              <w14:schemeClr w14:val="tx1"/>
            </w14:solidFill>
          </w14:textFill>
        </w:rPr>
        <w:br w:type="page"/>
      </w:r>
    </w:p>
    <w:p>
      <w:pPr>
        <w:pStyle w:val="2"/>
        <w:outlineLvl w:val="1"/>
        <w:rPr>
          <w:b/>
          <w:bCs/>
          <w:color w:val="000000" w:themeColor="text1"/>
          <w:highlight w:val="none"/>
          <w:lang w:val="en-US"/>
          <w14:textFill>
            <w14:solidFill>
              <w14:schemeClr w14:val="tx1"/>
            </w14:solidFill>
          </w14:textFill>
        </w:rPr>
      </w:pPr>
      <w:bookmarkStart w:id="163" w:name="_Toc25747"/>
      <w:r>
        <w:rPr>
          <w:rFonts w:hint="eastAsia"/>
          <w:b/>
          <w:bCs/>
          <w:color w:val="000000" w:themeColor="text1"/>
          <w:highlight w:val="none"/>
          <w:lang w:val="en-US"/>
          <w14:textFill>
            <w14:solidFill>
              <w14:schemeClr w14:val="tx1"/>
            </w14:solidFill>
          </w14:textFill>
        </w:rPr>
        <w:t>格式十六：</w:t>
      </w:r>
      <w:bookmarkEnd w:id="163"/>
    </w:p>
    <w:p>
      <w:pPr>
        <w:pStyle w:val="2"/>
        <w:spacing w:before="114"/>
        <w:ind w:left="49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（以下格式文件由</w:t>
      </w:r>
      <w:r>
        <w:rPr>
          <w:rFonts w:hint="eastAsia"/>
          <w:color w:val="000000" w:themeColor="text1"/>
          <w:sz w:val="20"/>
          <w:szCs w:val="20"/>
          <w:highlight w:val="none"/>
          <w14:textFill>
            <w14:solidFill>
              <w14:schemeClr w14:val="tx1"/>
            </w14:solidFill>
          </w14:textFill>
        </w:rPr>
        <w:t>投标人</w:t>
      </w:r>
      <w:r>
        <w:rPr>
          <w:color w:val="000000" w:themeColor="text1"/>
          <w:sz w:val="21"/>
          <w:szCs w:val="21"/>
          <w:highlight w:val="none"/>
          <w14:textFill>
            <w14:solidFill>
              <w14:schemeClr w14:val="tx1"/>
            </w14:solidFill>
          </w14:textFill>
        </w:rPr>
        <w:t>根据需要选用）</w:t>
      </w:r>
    </w:p>
    <w:p>
      <w:pPr>
        <w:pStyle w:val="2"/>
        <w:spacing w:before="140"/>
        <w:ind w:left="49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项目实施方案、质量保证及售后服务承诺等内容和格式自拟。</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br w:type="page"/>
      </w:r>
    </w:p>
    <w:p>
      <w:pPr>
        <w:pStyle w:val="3"/>
        <w:rPr>
          <w:color w:val="000000" w:themeColor="text1"/>
          <w:highlight w:val="none"/>
          <w14:textFill>
            <w14:solidFill>
              <w14:schemeClr w14:val="tx1"/>
            </w14:solidFill>
          </w14:textFill>
        </w:rPr>
      </w:pPr>
      <w:bookmarkStart w:id="164" w:name="_Toc27211"/>
      <w:r>
        <w:rPr>
          <w:rFonts w:hint="eastAsia"/>
          <w:color w:val="000000" w:themeColor="text1"/>
          <w:highlight w:val="none"/>
          <w14:textFill>
            <w14:solidFill>
              <w14:schemeClr w14:val="tx1"/>
            </w14:solidFill>
          </w14:textFill>
        </w:rPr>
        <w:t>第七篇 开标文件格式</w:t>
      </w:r>
      <w:bookmarkEnd w:id="164"/>
    </w:p>
    <w:p>
      <w:pPr>
        <w:jc w:val="center"/>
        <w:outlineLvl w:val="1"/>
        <w:rPr>
          <w:b/>
          <w:bCs/>
          <w:color w:val="000000" w:themeColor="text1"/>
          <w:highlight w:val="none"/>
          <w14:textFill>
            <w14:solidFill>
              <w14:schemeClr w14:val="tx1"/>
            </w14:solidFill>
          </w14:textFill>
        </w:rPr>
      </w:pPr>
      <w:bookmarkStart w:id="165" w:name="_Toc32249"/>
      <w:r>
        <w:rPr>
          <w:rFonts w:hint="eastAsia"/>
          <w:b/>
          <w:bCs/>
          <w:color w:val="000000" w:themeColor="text1"/>
          <w:highlight w:val="none"/>
          <w14:textFill>
            <w14:solidFill>
              <w14:schemeClr w14:val="tx1"/>
            </w14:solidFill>
          </w14:textFill>
        </w:rPr>
        <w:t>（封面格式仅供参考）</w:t>
      </w:r>
      <w:bookmarkEnd w:id="165"/>
    </w:p>
    <w:p>
      <w:pPr>
        <w:jc w:val="center"/>
        <w:rPr>
          <w:rFonts w:ascii="宋体" w:hAnsi="宋体" w:cs="宋体"/>
          <w:b/>
          <w:color w:val="000000" w:themeColor="text1"/>
          <w:spacing w:val="10"/>
          <w:kern w:val="0"/>
          <w:sz w:val="38"/>
          <w:szCs w:val="38"/>
          <w:highlight w:val="none"/>
          <w:lang w:val="zh-CN" w:bidi="zh-CN"/>
          <w14:textFill>
            <w14:solidFill>
              <w14:schemeClr w14:val="tx1"/>
            </w14:solidFill>
          </w14:textFill>
        </w:rPr>
      </w:pPr>
    </w:p>
    <w:p>
      <w:pPr>
        <w:jc w:val="center"/>
        <w:rPr>
          <w:rFonts w:ascii="宋体" w:hAnsi="宋体" w:cs="宋体"/>
          <w:b/>
          <w:color w:val="000000" w:themeColor="text1"/>
          <w:spacing w:val="10"/>
          <w:kern w:val="0"/>
          <w:sz w:val="38"/>
          <w:szCs w:val="38"/>
          <w:highlight w:val="none"/>
          <w:lang w:val="zh-CN" w:bidi="zh-CN"/>
          <w14:textFill>
            <w14:solidFill>
              <w14:schemeClr w14:val="tx1"/>
            </w14:solidFill>
          </w14:textFill>
        </w:rPr>
      </w:pPr>
    </w:p>
    <w:p>
      <w:pPr>
        <w:jc w:val="center"/>
        <w:rPr>
          <w:rFonts w:ascii="宋体" w:hAnsi="宋体" w:cs="宋体"/>
          <w:b/>
          <w:color w:val="000000" w:themeColor="text1"/>
          <w:spacing w:val="10"/>
          <w:kern w:val="0"/>
          <w:sz w:val="38"/>
          <w:szCs w:val="38"/>
          <w:highlight w:val="none"/>
          <w:lang w:val="zh-CN" w:bidi="zh-CN"/>
          <w14:textFill>
            <w14:solidFill>
              <w14:schemeClr w14:val="tx1"/>
            </w14:solidFill>
          </w14:textFill>
        </w:rPr>
      </w:pPr>
    </w:p>
    <w:p>
      <w:pPr>
        <w:jc w:val="center"/>
        <w:outlineLvl w:val="2"/>
        <w:rPr>
          <w:rFonts w:ascii="宋体" w:hAnsi="宋体" w:cs="宋体"/>
          <w:b/>
          <w:color w:val="000000" w:themeColor="text1"/>
          <w:kern w:val="0"/>
          <w:sz w:val="38"/>
          <w:szCs w:val="38"/>
          <w:highlight w:val="none"/>
          <w:lang w:val="zh-CN" w:bidi="zh-CN"/>
          <w14:textFill>
            <w14:solidFill>
              <w14:schemeClr w14:val="tx1"/>
            </w14:solidFill>
          </w14:textFill>
        </w:rPr>
      </w:pPr>
      <w:bookmarkStart w:id="166" w:name="_Toc10015"/>
      <w:r>
        <w:rPr>
          <w:rFonts w:hint="eastAsia" w:ascii="宋体" w:hAnsi="宋体" w:cs="宋体"/>
          <w:b/>
          <w:color w:val="000000" w:themeColor="text1"/>
          <w:spacing w:val="10"/>
          <w:kern w:val="0"/>
          <w:sz w:val="38"/>
          <w:szCs w:val="38"/>
          <w:highlight w:val="none"/>
          <w:lang w:val="zh-CN" w:bidi="zh-CN"/>
          <w14:textFill>
            <w14:solidFill>
              <w14:schemeClr w14:val="tx1"/>
            </w14:solidFill>
          </w14:textFill>
        </w:rPr>
        <w:t>开标</w:t>
      </w:r>
      <w:r>
        <w:rPr>
          <w:rFonts w:ascii="宋体" w:hAnsi="宋体" w:cs="宋体"/>
          <w:b/>
          <w:color w:val="000000" w:themeColor="text1"/>
          <w:spacing w:val="10"/>
          <w:kern w:val="0"/>
          <w:sz w:val="38"/>
          <w:szCs w:val="38"/>
          <w:highlight w:val="none"/>
          <w:lang w:val="zh-CN" w:bidi="zh-CN"/>
          <w14:textFill>
            <w14:solidFill>
              <w14:schemeClr w14:val="tx1"/>
            </w14:solidFill>
          </w14:textFill>
        </w:rPr>
        <w:t>文件封面</w:t>
      </w:r>
      <w:bookmarkEnd w:id="166"/>
    </w:p>
    <w:p>
      <w:pPr>
        <w:autoSpaceDE w:val="0"/>
        <w:autoSpaceDN w:val="0"/>
        <w:spacing w:before="11"/>
        <w:jc w:val="center"/>
        <w:rPr>
          <w:rFonts w:ascii="宋体" w:hAnsi="宋体" w:cs="宋体"/>
          <w:b/>
          <w:color w:val="000000" w:themeColor="text1"/>
          <w:sz w:val="46"/>
          <w:szCs w:val="19"/>
          <w:highlight w:val="none"/>
          <w:lang w:val="zh-CN" w:bidi="zh-CN"/>
          <w14:textFill>
            <w14:solidFill>
              <w14:schemeClr w14:val="tx1"/>
            </w14:solidFill>
          </w14:textFill>
        </w:rPr>
      </w:pPr>
    </w:p>
    <w:p>
      <w:pPr>
        <w:autoSpaceDE w:val="0"/>
        <w:autoSpaceDN w:val="0"/>
        <w:spacing w:line="960" w:lineRule="atLeast"/>
        <w:jc w:val="center"/>
        <w:outlineLvl w:val="2"/>
        <w:rPr>
          <w:rFonts w:ascii="宋体" w:hAnsi="宋体" w:cs="宋体"/>
          <w:b/>
          <w:color w:val="000000" w:themeColor="text1"/>
          <w:kern w:val="0"/>
          <w:sz w:val="38"/>
          <w:szCs w:val="22"/>
          <w:highlight w:val="none"/>
          <w:lang w:val="zh-CN" w:bidi="zh-CN"/>
          <w14:textFill>
            <w14:solidFill>
              <w14:schemeClr w14:val="tx1"/>
            </w14:solidFill>
          </w14:textFill>
        </w:rPr>
      </w:pPr>
      <w:bookmarkStart w:id="167" w:name="_Toc18186"/>
      <w:r>
        <w:rPr>
          <w:rFonts w:ascii="宋体" w:hAnsi="宋体" w:cs="宋体"/>
          <w:b/>
          <w:color w:val="000000" w:themeColor="text1"/>
          <w:spacing w:val="12"/>
          <w:kern w:val="0"/>
          <w:sz w:val="38"/>
          <w:szCs w:val="22"/>
          <w:highlight w:val="none"/>
          <w:lang w:val="zh-CN" w:bidi="zh-CN"/>
          <w14:textFill>
            <w14:solidFill>
              <w14:schemeClr w14:val="tx1"/>
            </w14:solidFill>
          </w14:textFill>
        </w:rPr>
        <w:t>（项目名称</w:t>
      </w:r>
      <w:r>
        <w:rPr>
          <w:rFonts w:ascii="宋体" w:hAnsi="宋体" w:cs="宋体"/>
          <w:b/>
          <w:color w:val="000000" w:themeColor="text1"/>
          <w:spacing w:val="-18"/>
          <w:kern w:val="0"/>
          <w:sz w:val="38"/>
          <w:szCs w:val="22"/>
          <w:highlight w:val="none"/>
          <w:lang w:val="zh-CN" w:bidi="zh-CN"/>
          <w14:textFill>
            <w14:solidFill>
              <w14:schemeClr w14:val="tx1"/>
            </w14:solidFill>
          </w14:textFill>
        </w:rPr>
        <w:t xml:space="preserve">） </w:t>
      </w:r>
      <w:r>
        <w:rPr>
          <w:rFonts w:hint="eastAsia" w:ascii="宋体" w:hAnsi="宋体" w:cs="宋体"/>
          <w:b/>
          <w:color w:val="000000" w:themeColor="text1"/>
          <w:spacing w:val="7"/>
          <w:kern w:val="0"/>
          <w:sz w:val="38"/>
          <w:szCs w:val="22"/>
          <w:highlight w:val="none"/>
          <w:lang w:val="zh-CN" w:bidi="zh-CN"/>
          <w14:textFill>
            <w14:solidFill>
              <w14:schemeClr w14:val="tx1"/>
            </w14:solidFill>
          </w14:textFill>
        </w:rPr>
        <w:t>开标</w:t>
      </w:r>
      <w:r>
        <w:rPr>
          <w:rFonts w:ascii="宋体" w:hAnsi="宋体" w:cs="宋体"/>
          <w:b/>
          <w:color w:val="000000" w:themeColor="text1"/>
          <w:spacing w:val="7"/>
          <w:kern w:val="0"/>
          <w:sz w:val="38"/>
          <w:szCs w:val="22"/>
          <w:highlight w:val="none"/>
          <w:lang w:val="zh-CN" w:bidi="zh-CN"/>
          <w14:textFill>
            <w14:solidFill>
              <w14:schemeClr w14:val="tx1"/>
            </w14:solidFill>
          </w14:textFill>
        </w:rPr>
        <w:t>文件封面</w:t>
      </w:r>
      <w:bookmarkEnd w:id="167"/>
    </w:p>
    <w:p>
      <w:pPr>
        <w:autoSpaceDE w:val="0"/>
        <w:autoSpaceDN w:val="0"/>
        <w:spacing w:line="479" w:lineRule="exact"/>
        <w:jc w:val="center"/>
        <w:rPr>
          <w:rFonts w:ascii="宋体" w:hAnsi="宋体" w:cs="宋体"/>
          <w:b/>
          <w:bCs/>
          <w:color w:val="000000" w:themeColor="text1"/>
          <w:sz w:val="24"/>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8"/>
          <w:szCs w:val="19"/>
          <w:highlight w:val="none"/>
          <w:lang w:val="zh-CN" w:bidi="zh-CN"/>
          <w14:textFill>
            <w14:solidFill>
              <w14:schemeClr w14:val="tx1"/>
            </w14:solidFill>
          </w14:textFill>
        </w:rPr>
      </w:pPr>
    </w:p>
    <w:p>
      <w:pPr>
        <w:autoSpaceDE w:val="0"/>
        <w:autoSpaceDN w:val="0"/>
        <w:spacing w:before="8"/>
        <w:jc w:val="center"/>
        <w:rPr>
          <w:rFonts w:ascii="宋体" w:hAnsi="宋体" w:cs="宋体"/>
          <w:b/>
          <w:color w:val="000000" w:themeColor="text1"/>
          <w:sz w:val="38"/>
          <w:szCs w:val="19"/>
          <w:highlight w:val="none"/>
          <w:lang w:val="zh-CN" w:bidi="zh-CN"/>
          <w14:textFill>
            <w14:solidFill>
              <w14:schemeClr w14:val="tx1"/>
            </w14:solidFill>
          </w14:textFill>
        </w:rPr>
      </w:pPr>
    </w:p>
    <w:p>
      <w:pPr>
        <w:autoSpaceDE w:val="0"/>
        <w:autoSpaceDN w:val="0"/>
        <w:spacing w:line="237" w:lineRule="auto"/>
        <w:jc w:val="center"/>
        <w:rPr>
          <w:rFonts w:ascii="思源黑体 CN Heavy" w:hAnsi="宋体" w:cs="宋体"/>
          <w:b/>
          <w:color w:val="000000" w:themeColor="text1"/>
          <w:kern w:val="0"/>
          <w:sz w:val="24"/>
          <w:szCs w:val="22"/>
          <w:highlight w:val="none"/>
          <w:lang w:val="zh-CN" w:bidi="zh-CN"/>
          <w14:textFill>
            <w14:solidFill>
              <w14:schemeClr w14:val="tx1"/>
            </w14:solidFill>
          </w14:textFill>
        </w:rPr>
      </w:pPr>
      <w:r>
        <w:rPr>
          <w:rFonts w:ascii="宋体" w:hAnsi="宋体" w:cs="宋体"/>
          <w:b/>
          <w:color w:val="000000" w:themeColor="text1"/>
          <w:spacing w:val="10"/>
          <w:kern w:val="0"/>
          <w:sz w:val="24"/>
          <w:szCs w:val="22"/>
          <w:highlight w:val="none"/>
          <w:lang w:val="zh-CN" w:bidi="zh-CN"/>
          <w14:textFill>
            <w14:solidFill>
              <w14:schemeClr w14:val="tx1"/>
            </w14:solidFill>
          </w14:textFill>
        </w:rPr>
        <w:t>项目编号：</w:t>
      </w:r>
    </w:p>
    <w:p>
      <w:pPr>
        <w:autoSpaceDE w:val="0"/>
        <w:autoSpaceDN w:val="0"/>
        <w:spacing w:before="113"/>
        <w:jc w:val="center"/>
        <w:rPr>
          <w:rFonts w:ascii="宋体" w:hAnsi="宋体" w:cs="宋体"/>
          <w:b/>
          <w:color w:val="000000" w:themeColor="text1"/>
          <w:kern w:val="0"/>
          <w:sz w:val="24"/>
          <w:szCs w:val="22"/>
          <w:highlight w:val="none"/>
          <w:lang w:val="zh-CN" w:bidi="zh-CN"/>
          <w14:textFill>
            <w14:solidFill>
              <w14:schemeClr w14:val="tx1"/>
            </w14:solidFill>
          </w14:textFill>
        </w:rPr>
      </w:pPr>
      <w:r>
        <w:rPr>
          <w:rFonts w:ascii="宋体" w:hAnsi="宋体" w:cs="宋体"/>
          <w:b/>
          <w:color w:val="000000" w:themeColor="text1"/>
          <w:kern w:val="0"/>
          <w:sz w:val="24"/>
          <w:szCs w:val="22"/>
          <w:highlight w:val="none"/>
          <w:lang w:val="zh-CN" w:bidi="zh-CN"/>
          <w14:textFill>
            <w14:solidFill>
              <w14:schemeClr w14:val="tx1"/>
            </w14:solidFill>
          </w14:textFill>
        </w:rPr>
        <w:t>所投采购包：第 包</w:t>
      </w:r>
    </w:p>
    <w:p>
      <w:pPr>
        <w:autoSpaceDE w:val="0"/>
        <w:autoSpaceDN w:val="0"/>
        <w:jc w:val="center"/>
        <w:rPr>
          <w:rFonts w:ascii="宋体" w:hAnsi="宋体" w:cs="宋体"/>
          <w:b/>
          <w:color w:val="000000" w:themeColor="text1"/>
          <w:sz w:val="24"/>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4"/>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4"/>
          <w:szCs w:val="19"/>
          <w:highlight w:val="none"/>
          <w:lang w:val="zh-CN" w:bidi="zh-CN"/>
          <w14:textFill>
            <w14:solidFill>
              <w14:schemeClr w14:val="tx1"/>
            </w14:solidFill>
          </w14:textFill>
        </w:rPr>
      </w:pPr>
    </w:p>
    <w:p>
      <w:pPr>
        <w:autoSpaceDE w:val="0"/>
        <w:autoSpaceDN w:val="0"/>
        <w:jc w:val="center"/>
        <w:rPr>
          <w:rFonts w:ascii="宋体" w:hAnsi="宋体" w:cs="宋体"/>
          <w:b/>
          <w:color w:val="000000" w:themeColor="text1"/>
          <w:sz w:val="24"/>
          <w:szCs w:val="19"/>
          <w:highlight w:val="none"/>
          <w:lang w:val="zh-CN" w:bidi="zh-CN"/>
          <w14:textFill>
            <w14:solidFill>
              <w14:schemeClr w14:val="tx1"/>
            </w14:solidFill>
          </w14:textFill>
        </w:rPr>
      </w:pPr>
    </w:p>
    <w:p>
      <w:pPr>
        <w:jc w:val="center"/>
        <w:rPr>
          <w:rFonts w:ascii="宋体" w:hAnsi="宋体" w:cs="宋体"/>
          <w:b/>
          <w:color w:val="000000" w:themeColor="text1"/>
          <w:kern w:val="0"/>
          <w:sz w:val="24"/>
          <w:szCs w:val="22"/>
          <w:highlight w:val="none"/>
          <w:lang w:val="zh-CN" w:bidi="zh-CN"/>
          <w14:textFill>
            <w14:solidFill>
              <w14:schemeClr w14:val="tx1"/>
            </w14:solidFill>
          </w14:textFill>
        </w:rPr>
      </w:pPr>
      <w:r>
        <w:rPr>
          <w:rFonts w:ascii="宋体" w:hAnsi="宋体" w:cs="宋体"/>
          <w:b/>
          <w:color w:val="000000" w:themeColor="text1"/>
          <w:kern w:val="0"/>
          <w:sz w:val="24"/>
          <w:szCs w:val="22"/>
          <w:highlight w:val="none"/>
          <w:lang w:val="zh-CN" w:bidi="zh-CN"/>
          <w14:textFill>
            <w14:solidFill>
              <w14:schemeClr w14:val="tx1"/>
            </w14:solidFill>
          </w14:textFill>
        </w:rPr>
        <w:t xml:space="preserve">（投标人名称） 年 </w:t>
      </w:r>
      <w:r>
        <w:rPr>
          <w:rFonts w:hint="eastAsia" w:ascii="宋体" w:hAnsi="宋体" w:cs="宋体"/>
          <w:b/>
          <w:color w:val="000000" w:themeColor="text1"/>
          <w:kern w:val="0"/>
          <w:sz w:val="24"/>
          <w:szCs w:val="22"/>
          <w:highlight w:val="none"/>
          <w:lang w:val="zh-CN" w:bidi="zh-CN"/>
          <w14:textFill>
            <w14:solidFill>
              <w14:schemeClr w14:val="tx1"/>
            </w14:solidFill>
          </w14:textFill>
        </w:rPr>
        <w:t>月</w:t>
      </w:r>
      <w:r>
        <w:rPr>
          <w:rFonts w:hint="eastAsia" w:ascii="宋体" w:hAnsi="宋体" w:cs="宋体"/>
          <w:b/>
          <w:color w:val="000000" w:themeColor="text1"/>
          <w:kern w:val="0"/>
          <w:sz w:val="24"/>
          <w:szCs w:val="22"/>
          <w:highlight w:val="none"/>
          <w:lang w:bidi="zh-CN"/>
          <w14:textFill>
            <w14:solidFill>
              <w14:schemeClr w14:val="tx1"/>
            </w14:solidFill>
          </w14:textFill>
        </w:rPr>
        <w:t xml:space="preserve">  </w:t>
      </w:r>
      <w:r>
        <w:rPr>
          <w:rFonts w:ascii="宋体" w:hAnsi="宋体" w:cs="宋体"/>
          <w:b/>
          <w:color w:val="000000" w:themeColor="text1"/>
          <w:kern w:val="0"/>
          <w:sz w:val="24"/>
          <w:szCs w:val="22"/>
          <w:highlight w:val="none"/>
          <w:lang w:val="zh-CN" w:bidi="zh-CN"/>
          <w14:textFill>
            <w14:solidFill>
              <w14:schemeClr w14:val="tx1"/>
            </w14:solidFill>
          </w14:textFill>
        </w:rPr>
        <w:t>日</w:t>
      </w:r>
    </w:p>
    <w:p>
      <w:pPr>
        <w:rPr>
          <w:rFonts w:ascii="宋体" w:hAnsi="宋体" w:cs="宋体"/>
          <w:b/>
          <w:color w:val="000000" w:themeColor="text1"/>
          <w:kern w:val="0"/>
          <w:sz w:val="24"/>
          <w:szCs w:val="22"/>
          <w:highlight w:val="none"/>
          <w:lang w:val="zh-CN" w:bidi="zh-CN"/>
          <w14:textFill>
            <w14:solidFill>
              <w14:schemeClr w14:val="tx1"/>
            </w14:solidFill>
          </w14:textFill>
        </w:rPr>
      </w:pPr>
      <w:r>
        <w:rPr>
          <w:rFonts w:ascii="宋体" w:hAnsi="宋体" w:cs="宋体"/>
          <w:b/>
          <w:color w:val="000000" w:themeColor="text1"/>
          <w:kern w:val="0"/>
          <w:sz w:val="24"/>
          <w:szCs w:val="22"/>
          <w:highlight w:val="none"/>
          <w:lang w:val="zh-CN" w:bidi="zh-CN"/>
          <w14:textFill>
            <w14:solidFill>
              <w14:schemeClr w14:val="tx1"/>
            </w14:solidFill>
          </w14:textFill>
        </w:rPr>
        <w:br w:type="page"/>
      </w:r>
    </w:p>
    <w:p>
      <w:pPr>
        <w:pStyle w:val="2"/>
        <w:spacing w:before="0" w:line="360" w:lineRule="auto"/>
        <w:ind w:left="0"/>
        <w:rPr>
          <w:b/>
          <w:bCs/>
          <w:color w:val="000000" w:themeColor="text1"/>
          <w:sz w:val="21"/>
          <w:szCs w:val="21"/>
          <w:highlight w:val="none"/>
          <w:lang w:val="en-US"/>
          <w14:textFill>
            <w14:solidFill>
              <w14:schemeClr w14:val="tx1"/>
            </w14:solidFill>
          </w14:textFill>
        </w:rPr>
      </w:pPr>
      <w:r>
        <w:rPr>
          <w:rFonts w:hint="eastAsia"/>
          <w:b/>
          <w:bCs/>
          <w:color w:val="000000" w:themeColor="text1"/>
          <w:sz w:val="21"/>
          <w:szCs w:val="21"/>
          <w:highlight w:val="none"/>
          <w:lang w:val="en-US"/>
          <w14:textFill>
            <w14:solidFill>
              <w14:schemeClr w14:val="tx1"/>
            </w14:solidFill>
          </w14:textFill>
        </w:rPr>
        <w:t>开标文件包括：</w:t>
      </w:r>
    </w:p>
    <w:p>
      <w:pPr>
        <w:pStyle w:val="2"/>
        <w:spacing w:before="0" w:line="360" w:lineRule="auto"/>
        <w:ind w:left="0"/>
        <w:outlineLvl w:val="1"/>
        <w:rPr>
          <w:b/>
          <w:bCs/>
          <w:color w:val="000000" w:themeColor="text1"/>
          <w:sz w:val="21"/>
          <w:szCs w:val="21"/>
          <w:highlight w:val="none"/>
          <w:lang w:val="en-US"/>
          <w14:textFill>
            <w14:solidFill>
              <w14:schemeClr w14:val="tx1"/>
            </w14:solidFill>
          </w14:textFill>
        </w:rPr>
      </w:pPr>
      <w:bookmarkStart w:id="168" w:name="_Toc32100"/>
      <w:r>
        <w:rPr>
          <w:rFonts w:hint="eastAsia"/>
          <w:b/>
          <w:bCs/>
          <w:color w:val="000000" w:themeColor="text1"/>
          <w:sz w:val="21"/>
          <w:szCs w:val="21"/>
          <w:highlight w:val="none"/>
          <w:lang w:val="en-US"/>
          <w14:textFill>
            <w14:solidFill>
              <w14:schemeClr w14:val="tx1"/>
            </w14:solidFill>
          </w14:textFill>
        </w:rPr>
        <w:t>1、开标一览表</w:t>
      </w:r>
      <w:bookmarkEnd w:id="168"/>
    </w:p>
    <w:p>
      <w:pPr>
        <w:spacing w:line="360" w:lineRule="auto"/>
        <w:outlineLvl w:val="1"/>
        <w:rPr>
          <w:rFonts w:ascii="宋体" w:hAnsi="宋体" w:cs="宋体"/>
          <w:b/>
          <w:bCs/>
          <w:color w:val="000000" w:themeColor="text1"/>
          <w:szCs w:val="21"/>
          <w:highlight w:val="none"/>
          <w14:textFill>
            <w14:solidFill>
              <w14:schemeClr w14:val="tx1"/>
            </w14:solidFill>
          </w14:textFill>
        </w:rPr>
      </w:pPr>
      <w:bookmarkStart w:id="169" w:name="_Toc8054"/>
      <w:r>
        <w:rPr>
          <w:rFonts w:hint="eastAsia" w:ascii="宋体" w:hAnsi="宋体" w:cs="宋体"/>
          <w:b/>
          <w:bCs/>
          <w:color w:val="000000" w:themeColor="text1"/>
          <w:szCs w:val="21"/>
          <w:highlight w:val="none"/>
          <w14:textFill>
            <w14:solidFill>
              <w14:schemeClr w14:val="tx1"/>
            </w14:solidFill>
          </w14:textFill>
        </w:rPr>
        <w:t>2、分项报价表</w:t>
      </w:r>
      <w:bookmarkEnd w:id="169"/>
    </w:p>
    <w:p>
      <w:pPr>
        <w:pStyle w:val="2"/>
        <w:spacing w:before="0" w:line="360" w:lineRule="auto"/>
        <w:ind w:left="0"/>
        <w:outlineLvl w:val="1"/>
        <w:rPr>
          <w:b/>
          <w:bCs/>
          <w:color w:val="000000" w:themeColor="text1"/>
          <w:sz w:val="21"/>
          <w:szCs w:val="21"/>
          <w:highlight w:val="none"/>
          <w:lang w:val="en-US"/>
          <w14:textFill>
            <w14:solidFill>
              <w14:schemeClr w14:val="tx1"/>
            </w14:solidFill>
          </w14:textFill>
        </w:rPr>
      </w:pPr>
      <w:bookmarkStart w:id="170" w:name="_Toc5011"/>
      <w:r>
        <w:rPr>
          <w:rFonts w:hint="eastAsia"/>
          <w:b/>
          <w:bCs/>
          <w:color w:val="000000" w:themeColor="text1"/>
          <w:sz w:val="21"/>
          <w:szCs w:val="21"/>
          <w:highlight w:val="none"/>
          <w:lang w:val="en-US"/>
          <w14:textFill>
            <w14:solidFill>
              <w14:schemeClr w14:val="tx1"/>
            </w14:solidFill>
          </w14:textFill>
        </w:rPr>
        <w:t>3、法定代表人证明书</w:t>
      </w:r>
      <w:bookmarkEnd w:id="170"/>
    </w:p>
    <w:p>
      <w:pPr>
        <w:pStyle w:val="2"/>
        <w:spacing w:before="0" w:line="360" w:lineRule="auto"/>
        <w:ind w:left="0"/>
        <w:outlineLvl w:val="1"/>
        <w:rPr>
          <w:b/>
          <w:bCs/>
          <w:color w:val="000000" w:themeColor="text1"/>
          <w:sz w:val="21"/>
          <w:szCs w:val="21"/>
          <w:highlight w:val="none"/>
          <w:lang w:val="en-US"/>
          <w14:textFill>
            <w14:solidFill>
              <w14:schemeClr w14:val="tx1"/>
            </w14:solidFill>
          </w14:textFill>
        </w:rPr>
      </w:pPr>
      <w:bookmarkStart w:id="171" w:name="_Toc27439"/>
      <w:r>
        <w:rPr>
          <w:rFonts w:hint="eastAsia"/>
          <w:b/>
          <w:bCs/>
          <w:color w:val="000000" w:themeColor="text1"/>
          <w:sz w:val="21"/>
          <w:szCs w:val="21"/>
          <w:highlight w:val="none"/>
          <w:lang w:val="en-US"/>
          <w14:textFill>
            <w14:solidFill>
              <w14:schemeClr w14:val="tx1"/>
            </w14:solidFill>
          </w14:textFill>
        </w:rPr>
        <w:t>4、法定代表人授权书</w:t>
      </w:r>
      <w:bookmarkEnd w:id="171"/>
    </w:p>
    <w:p>
      <w:pPr>
        <w:spacing w:line="360" w:lineRule="auto"/>
        <w:outlineLvl w:val="1"/>
        <w:rPr>
          <w:rFonts w:ascii="宋体" w:hAnsi="宋体" w:cs="宋体"/>
          <w:b/>
          <w:bCs/>
          <w:color w:val="000000" w:themeColor="text1"/>
          <w:szCs w:val="21"/>
          <w:highlight w:val="none"/>
          <w14:textFill>
            <w14:solidFill>
              <w14:schemeClr w14:val="tx1"/>
            </w14:solidFill>
          </w14:textFill>
        </w:rPr>
      </w:pPr>
      <w:bookmarkStart w:id="172" w:name="_Toc16304"/>
      <w:r>
        <w:rPr>
          <w:rFonts w:hint="eastAsia" w:ascii="宋体" w:hAnsi="宋体" w:cs="宋体"/>
          <w:b/>
          <w:bCs/>
          <w:color w:val="000000" w:themeColor="text1"/>
          <w:szCs w:val="21"/>
          <w:highlight w:val="none"/>
          <w14:textFill>
            <w14:solidFill>
              <w14:schemeClr w14:val="tx1"/>
            </w14:solidFill>
          </w14:textFill>
        </w:rPr>
        <w:t>5、投标保证金</w:t>
      </w:r>
      <w:bookmarkEnd w:id="172"/>
    </w:p>
    <w:p>
      <w:pPr>
        <w:rPr>
          <w:color w:val="000000" w:themeColor="text1"/>
          <w:highlight w:val="none"/>
          <w14:textFill>
            <w14:solidFill>
              <w14:schemeClr w14:val="tx1"/>
            </w14:solidFill>
          </w14:textFill>
        </w:rPr>
      </w:pPr>
    </w:p>
    <w:p>
      <w:pPr>
        <w:pStyle w:val="2"/>
        <w:rPr>
          <w:color w:val="000000" w:themeColor="text1"/>
          <w:highlight w:val="none"/>
          <w:lang w:val="en-US"/>
          <w14:textFill>
            <w14:solidFill>
              <w14:schemeClr w14:val="tx1"/>
            </w14:solidFill>
          </w14:textFill>
        </w:rPr>
      </w:pPr>
    </w:p>
    <w:p>
      <w:pPr>
        <w:spacing w:line="360" w:lineRule="auto"/>
        <w:ind w:firstLine="420" w:firstLineChars="200"/>
        <w:jc w:val="both"/>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投标人应将开标一览表、分项报价表、法人代表证明书、法定代表人授权书（法人投标无需提交授权书）、投标保证金（加盖公章）和投标保证金支付凭证银行汇款底单（复印件加盖公章）单独密封提交，并在信封上标明“开标文件”字样。“开标文件”份数及签章等要求与投标文件正本相同（1份）。</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若投标人采用担保函形式的，则无需密封在“开标文件”内，投标人需在开标时间截止前将原件提交至招标代理机构。</w:t>
      </w:r>
    </w:p>
    <w:p>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br w:type="page"/>
      </w:r>
    </w:p>
    <w:p>
      <w:pPr>
        <w:pStyle w:val="3"/>
        <w:rPr>
          <w:color w:val="000000" w:themeColor="text1"/>
          <w:highlight w:val="none"/>
          <w14:textFill>
            <w14:solidFill>
              <w14:schemeClr w14:val="tx1"/>
            </w14:solidFill>
          </w14:textFill>
        </w:rPr>
      </w:pPr>
      <w:bookmarkStart w:id="173" w:name="_Toc2722"/>
      <w:r>
        <w:rPr>
          <w:rFonts w:hint="eastAsia"/>
          <w:color w:val="000000" w:themeColor="text1"/>
          <w:highlight w:val="none"/>
          <w14:textFill>
            <w14:solidFill>
              <w14:schemeClr w14:val="tx1"/>
            </w14:solidFill>
          </w14:textFill>
        </w:rPr>
        <w:t>第八篇 其它文件格式（如有需要）</w:t>
      </w:r>
      <w:bookmarkEnd w:id="173"/>
    </w:p>
    <w:p>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格式一：</w:t>
      </w:r>
    </w:p>
    <w:p>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询问函、质疑函格式</w:t>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说明：本部分格式为投标人提交询问函、质疑函时使用，不属于投标文件格式的组成部分。</w:t>
      </w:r>
    </w:p>
    <w:p>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询问函</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国顺招标有限</w:t>
      </w:r>
      <w:r>
        <w:rPr>
          <w:color w:val="000000" w:themeColor="text1"/>
          <w:sz w:val="21"/>
          <w:szCs w:val="21"/>
          <w:highlight w:val="none"/>
          <w14:textFill>
            <w14:solidFill>
              <w14:schemeClr w14:val="tx1"/>
            </w14:solidFill>
          </w14:textFill>
        </w:rPr>
        <w:t>公司</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我单位已登记并准备参与</w:t>
      </w:r>
      <w:r>
        <w:rPr>
          <w:rFonts w:hint="eastAsia"/>
          <w:color w:val="000000" w:themeColor="text1"/>
          <w:sz w:val="21"/>
          <w:szCs w:val="21"/>
          <w:highlight w:val="none"/>
          <w:u w:val="single"/>
          <w:lang w:val="en-US"/>
          <w14:textFill>
            <w14:solidFill>
              <w14:schemeClr w14:val="tx1"/>
            </w14:solidFill>
          </w14:textFill>
        </w:rPr>
        <w:t xml:space="preserve">    </w:t>
      </w:r>
      <w:r>
        <w:rPr>
          <w:color w:val="000000" w:themeColor="text1"/>
          <w:sz w:val="21"/>
          <w:szCs w:val="21"/>
          <w:highlight w:val="none"/>
          <w14:textFill>
            <w14:solidFill>
              <w14:schemeClr w14:val="tx1"/>
            </w14:solidFill>
          </w14:textFill>
        </w:rPr>
        <w:t>项目（项目编号：</w:t>
      </w:r>
      <w:r>
        <w:rPr>
          <w:rFonts w:hint="eastAsia"/>
          <w:color w:val="000000" w:themeColor="text1"/>
          <w:sz w:val="21"/>
          <w:szCs w:val="21"/>
          <w:highlight w:val="none"/>
          <w:u w:val="single"/>
          <w:lang w:val="en-US"/>
          <w14:textFill>
            <w14:solidFill>
              <w14:schemeClr w14:val="tx1"/>
            </w14:solidFill>
          </w14:textFill>
        </w:rPr>
        <w:t xml:space="preserve">    </w:t>
      </w:r>
      <w:r>
        <w:rPr>
          <w:color w:val="000000" w:themeColor="text1"/>
          <w:sz w:val="21"/>
          <w:szCs w:val="21"/>
          <w:highlight w:val="none"/>
          <w14:textFill>
            <w14:solidFill>
              <w14:schemeClr w14:val="tx1"/>
            </w14:solidFill>
          </w14:textFill>
        </w:rPr>
        <w:t>）的投标活动，现有以下几个内容（或条款）存在疑问（或无法理解），特提出询问。</w:t>
      </w:r>
    </w:p>
    <w:p>
      <w:pPr>
        <w:pStyle w:val="2"/>
        <w:tabs>
          <w:tab w:val="left" w:pos="2890"/>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（事项一）</w:t>
      </w:r>
    </w:p>
    <w:p>
      <w:pPr>
        <w:pStyle w:val="22"/>
        <w:tabs>
          <w:tab w:val="left" w:pos="996"/>
          <w:tab w:val="left" w:pos="291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w:t>
      </w:r>
      <w:r>
        <w:rPr>
          <w:rFonts w:hint="eastAsia" w:ascii="宋体" w:hAnsi="宋体" w:cs="宋体"/>
          <w:color w:val="000000" w:themeColor="text1"/>
          <w:szCs w:val="21"/>
          <w:highlight w:val="none"/>
          <w:lang w:bidi="zh-CN"/>
          <w14:textFill>
            <w14:solidFill>
              <w14:schemeClr w14:val="tx1"/>
            </w14:solidFill>
          </w14:textFill>
        </w:rPr>
        <w:t>1</w:t>
      </w:r>
      <w:r>
        <w:rPr>
          <w:rFonts w:hint="eastAsia" w:ascii="宋体" w:hAnsi="宋体" w:cs="宋体"/>
          <w:color w:val="000000" w:themeColor="text1"/>
          <w:szCs w:val="21"/>
          <w:highlight w:val="none"/>
          <w:lang w:val="zh-CN" w:bidi="zh-CN"/>
          <w14:textFill>
            <w14:solidFill>
              <w14:schemeClr w14:val="tx1"/>
            </w14:solidFill>
          </w14:textFill>
        </w:rPr>
        <w:t>）</w:t>
      </w:r>
      <w:r>
        <w:rPr>
          <w:rFonts w:hint="eastAsia" w:ascii="宋体" w:hAnsi="宋体" w:cs="宋体"/>
          <w:color w:val="000000" w:themeColor="text1"/>
          <w:w w:val="10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（问题或条款内容）</w:t>
      </w:r>
    </w:p>
    <w:p>
      <w:pPr>
        <w:pStyle w:val="22"/>
        <w:tabs>
          <w:tab w:val="left" w:pos="996"/>
          <w:tab w:val="left" w:pos="291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w:t>
      </w:r>
      <w:r>
        <w:rPr>
          <w:rFonts w:hint="eastAsia" w:ascii="宋体" w:hAnsi="宋体" w:cs="宋体"/>
          <w:color w:val="000000" w:themeColor="text1"/>
          <w:szCs w:val="21"/>
          <w:highlight w:val="none"/>
          <w:lang w:bidi="zh-CN"/>
          <w14:textFill>
            <w14:solidFill>
              <w14:schemeClr w14:val="tx1"/>
            </w14:solidFill>
          </w14:textFill>
        </w:rPr>
        <w:t>2</w:t>
      </w:r>
      <w:r>
        <w:rPr>
          <w:rFonts w:hint="eastAsia" w:ascii="宋体" w:hAnsi="宋体" w:cs="宋体"/>
          <w:color w:val="000000" w:themeColor="text1"/>
          <w:szCs w:val="21"/>
          <w:highlight w:val="none"/>
          <w:lang w:val="zh-CN" w:bidi="zh-CN"/>
          <w14:textFill>
            <w14:solidFill>
              <w14:schemeClr w14:val="tx1"/>
            </w14:solidFill>
          </w14:textFill>
        </w:rPr>
        <w:t>）</w:t>
      </w:r>
      <w:r>
        <w:rPr>
          <w:rFonts w:hint="eastAsia" w:ascii="宋体" w:hAnsi="宋体" w:cs="宋体"/>
          <w:color w:val="000000" w:themeColor="text1"/>
          <w:w w:val="10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（说明疑问或无法理解原因）</w:t>
      </w:r>
    </w:p>
    <w:p>
      <w:pPr>
        <w:pStyle w:val="2"/>
        <w:tabs>
          <w:tab w:val="left" w:pos="2890"/>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3</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 xml:space="preserve">（建议） </w:t>
      </w:r>
    </w:p>
    <w:p>
      <w:pPr>
        <w:pStyle w:val="2"/>
        <w:tabs>
          <w:tab w:val="left" w:pos="2890"/>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（事项二</w:t>
      </w:r>
      <w:r>
        <w:rPr>
          <w:rFonts w:hint="eastAsia"/>
          <w:color w:val="000000" w:themeColor="text1"/>
          <w:spacing w:val="-17"/>
          <w:sz w:val="21"/>
          <w:szCs w:val="21"/>
          <w:highlight w:val="none"/>
          <w14:textFill>
            <w14:solidFill>
              <w14:schemeClr w14:val="tx1"/>
            </w14:solidFill>
          </w14:textFill>
        </w:rPr>
        <w:t>）</w:t>
      </w:r>
    </w:p>
    <w:p>
      <w:pPr>
        <w:pStyle w:val="2"/>
        <w:autoSpaceDE w:val="0"/>
        <w:autoSpaceDN w:val="0"/>
        <w:spacing w:before="0" w:line="360" w:lineRule="auto"/>
        <w:ind w:left="0" w:firstLine="314" w:firstLineChars="200"/>
        <w:rPr>
          <w:color w:val="000000" w:themeColor="text1"/>
          <w:sz w:val="21"/>
          <w:szCs w:val="21"/>
          <w:highlight w:val="none"/>
          <w14:textFill>
            <w14:solidFill>
              <w14:schemeClr w14:val="tx1"/>
            </w14:solidFill>
          </w14:textFill>
        </w:rPr>
      </w:pPr>
      <w:r>
        <w:rPr>
          <w:color w:val="000000" w:themeColor="text1"/>
          <w:w w:val="75"/>
          <w:sz w:val="21"/>
          <w:szCs w:val="21"/>
          <w:highlight w:val="none"/>
          <w14:textFill>
            <w14:solidFill>
              <w14:schemeClr w14:val="tx1"/>
            </w14:solidFill>
          </w14:textFill>
        </w:rPr>
        <w:t>...</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随附相关证明材料如下：（目录）</w:t>
      </w:r>
    </w:p>
    <w:p>
      <w:pPr>
        <w:pStyle w:val="2"/>
        <w:tabs>
          <w:tab w:val="left" w:pos="10713"/>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p>
    <w:p>
      <w:pPr>
        <w:pStyle w:val="2"/>
        <w:tabs>
          <w:tab w:val="left" w:pos="10713"/>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询问人（公章）：</w:t>
      </w:r>
    </w:p>
    <w:p>
      <w:pPr>
        <w:pStyle w:val="2"/>
        <w:tabs>
          <w:tab w:val="left" w:pos="10713"/>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法定代表人或授权代表（签字或盖章）：</w:t>
      </w:r>
    </w:p>
    <w:p>
      <w:pPr>
        <w:pStyle w:val="2"/>
        <w:tabs>
          <w:tab w:val="left" w:pos="10713"/>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地址/邮编：</w:t>
      </w:r>
    </w:p>
    <w:p>
      <w:pPr>
        <w:pStyle w:val="2"/>
        <w:tabs>
          <w:tab w:val="left" w:pos="10713"/>
        </w:tabs>
        <w:autoSpaceDE w:val="0"/>
        <w:autoSpaceDN w:val="0"/>
        <w:spacing w:before="0" w:line="360" w:lineRule="auto"/>
        <w:ind w:left="0" w:firstLine="420" w:firstLineChars="200"/>
        <w:rPr>
          <w:rFonts w:ascii="Times New Roman" w:eastAsia="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电话/传真：</w:t>
      </w:r>
    </w:p>
    <w:p>
      <w:pPr>
        <w:pStyle w:val="2"/>
        <w:tabs>
          <w:tab w:val="left" w:pos="10713"/>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日期： 年 月 日</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br w:type="page"/>
      </w:r>
    </w:p>
    <w:p>
      <w:pPr>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质疑函</w:t>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一、质疑供应商基本信息质疑供应商：</w:t>
      </w:r>
    </w:p>
    <w:p>
      <w:pPr>
        <w:pStyle w:val="2"/>
        <w:tabs>
          <w:tab w:val="left" w:pos="3082"/>
          <w:tab w:val="left" w:pos="5720"/>
        </w:tabs>
        <w:autoSpaceDE w:val="0"/>
        <w:autoSpaceDN w:val="0"/>
        <w:spacing w:line="360" w:lineRule="auto"/>
        <w:ind w:left="0" w:firstLine="420" w:firstLineChars="200"/>
        <w:rPr>
          <w:rFonts w:ascii="Times New Roman" w:eastAsia="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地址：</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邮编：</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ascii="Times New Roman" w:eastAsia="Times New Roman"/>
          <w:color w:val="000000" w:themeColor="text1"/>
          <w:sz w:val="21"/>
          <w:szCs w:val="21"/>
          <w:highlight w:val="none"/>
          <w:u w:val="single"/>
          <w14:textFill>
            <w14:solidFill>
              <w14:schemeClr w14:val="tx1"/>
            </w14:solidFill>
          </w14:textFill>
        </w:rPr>
        <w:tab/>
      </w:r>
    </w:p>
    <w:p>
      <w:pPr>
        <w:pStyle w:val="2"/>
        <w:tabs>
          <w:tab w:val="left" w:pos="3082"/>
          <w:tab w:val="left" w:pos="3511"/>
          <w:tab w:val="left" w:pos="6104"/>
        </w:tabs>
        <w:autoSpaceDE w:val="0"/>
        <w:autoSpaceDN w:val="0"/>
        <w:spacing w:line="360" w:lineRule="auto"/>
        <w:ind w:left="0" w:firstLine="420" w:firstLineChars="200"/>
        <w:rPr>
          <w:color w:val="000000" w:themeColor="text1"/>
          <w:sz w:val="21"/>
          <w:szCs w:val="21"/>
          <w:highlight w:val="none"/>
          <w:u w:val="single"/>
          <w:lang w:val="en-US"/>
          <w14:textFill>
            <w14:solidFill>
              <w14:schemeClr w14:val="tx1"/>
            </w14:solidFill>
          </w14:textFill>
        </w:rPr>
      </w:pPr>
      <w:r>
        <w:rPr>
          <w:color w:val="000000" w:themeColor="text1"/>
          <w:sz w:val="21"/>
          <w:szCs w:val="21"/>
          <w:highlight w:val="none"/>
          <w14:textFill>
            <w14:solidFill>
              <w14:schemeClr w14:val="tx1"/>
            </w14:solidFill>
          </w14:textFill>
        </w:rPr>
        <w:t>联系：</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联系电话：</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3082"/>
          <w:tab w:val="left" w:pos="3511"/>
          <w:tab w:val="left" w:pos="6104"/>
        </w:tabs>
        <w:autoSpaceDE w:val="0"/>
        <w:autoSpaceDN w:val="0"/>
        <w:spacing w:line="360" w:lineRule="auto"/>
        <w:ind w:left="0" w:firstLine="420" w:firstLineChars="200"/>
        <w:rPr>
          <w:rFonts w:ascii="Times New Roman"/>
          <w:color w:val="000000" w:themeColor="text1"/>
          <w:sz w:val="21"/>
          <w:szCs w:val="21"/>
          <w:highlight w:val="none"/>
          <w:lang w:val="en-US"/>
          <w14:textFill>
            <w14:solidFill>
              <w14:schemeClr w14:val="tx1"/>
            </w14:solidFill>
          </w14:textFill>
        </w:rPr>
      </w:pPr>
      <w:r>
        <w:rPr>
          <w:color w:val="000000" w:themeColor="text1"/>
          <w:sz w:val="21"/>
          <w:szCs w:val="21"/>
          <w:highlight w:val="none"/>
          <w14:textFill>
            <w14:solidFill>
              <w14:schemeClr w14:val="tx1"/>
            </w14:solidFill>
          </w14:textFill>
        </w:rPr>
        <w:t>授权代表：</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ascii="Times New Roman" w:eastAsia="Times New Roman"/>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联系电话：</w:t>
      </w:r>
      <w:r>
        <w:rPr>
          <w:rFonts w:hint="eastAsia" w:ascii="Times New Roman"/>
          <w:color w:val="000000" w:themeColor="text1"/>
          <w:sz w:val="21"/>
          <w:szCs w:val="21"/>
          <w:highlight w:val="none"/>
          <w:u w:val="single"/>
          <w:lang w:val="en-US"/>
          <w14:textFill>
            <w14:solidFill>
              <w14:schemeClr w14:val="tx1"/>
            </w14:solidFill>
          </w14:textFill>
        </w:rPr>
        <w:t xml:space="preserve">               </w:t>
      </w:r>
    </w:p>
    <w:p>
      <w:pPr>
        <w:pStyle w:val="2"/>
        <w:tabs>
          <w:tab w:val="left" w:pos="3082"/>
          <w:tab w:val="left" w:pos="5720"/>
        </w:tabs>
        <w:autoSpaceDE w:val="0"/>
        <w:autoSpaceDN w:val="0"/>
        <w:spacing w:line="360" w:lineRule="auto"/>
        <w:ind w:left="0" w:firstLine="420" w:firstLineChars="200"/>
        <w:rPr>
          <w:color w:val="000000" w:themeColor="text1"/>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地址：</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邮编：</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u w:val="single"/>
          <w14:textFill>
            <w14:solidFill>
              <w14:schemeClr w14:val="tx1"/>
            </w14:solidFill>
          </w14:textFill>
        </w:rPr>
        <w:t xml:space="preserve">       </w:t>
      </w:r>
    </w:p>
    <w:p>
      <w:pPr>
        <w:pStyle w:val="2"/>
        <w:tabs>
          <w:tab w:val="left" w:pos="3082"/>
          <w:tab w:val="left" w:pos="5720"/>
        </w:tabs>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二、质疑项目基本情况</w:t>
      </w:r>
    </w:p>
    <w:p>
      <w:pPr>
        <w:pStyle w:val="2"/>
        <w:tabs>
          <w:tab w:val="left" w:pos="4088"/>
        </w:tabs>
        <w:autoSpaceDE w:val="0"/>
        <w:autoSpaceDN w:val="0"/>
        <w:spacing w:line="360" w:lineRule="auto"/>
        <w:ind w:left="0" w:firstLine="420" w:firstLineChars="200"/>
        <w:rPr>
          <w:rFonts w:ascii="Times New Roman" w:eastAsia="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质疑项目的名称：</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ascii="Times New Roman" w:eastAsia="Times New Roman"/>
          <w:color w:val="000000" w:themeColor="text1"/>
          <w:sz w:val="21"/>
          <w:szCs w:val="21"/>
          <w:highlight w:val="none"/>
          <w:u w:val="single"/>
          <w14:textFill>
            <w14:solidFill>
              <w14:schemeClr w14:val="tx1"/>
            </w14:solidFill>
          </w14:textFill>
        </w:rPr>
        <w:tab/>
      </w:r>
    </w:p>
    <w:p>
      <w:pPr>
        <w:pStyle w:val="2"/>
        <w:tabs>
          <w:tab w:val="left" w:pos="3703"/>
          <w:tab w:val="left" w:pos="4088"/>
          <w:tab w:val="left" w:pos="6740"/>
        </w:tabs>
        <w:autoSpaceDE w:val="0"/>
        <w:autoSpaceDN w:val="0"/>
        <w:spacing w:line="360" w:lineRule="auto"/>
        <w:ind w:left="0" w:firstLine="420" w:firstLineChars="200"/>
        <w:rPr>
          <w:color w:val="000000" w:themeColor="text1"/>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质疑项目的编号：</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包号：</w:t>
      </w:r>
      <w:r>
        <w:rPr>
          <w:rFonts w:hint="eastAsia"/>
          <w:color w:val="000000" w:themeColor="text1"/>
          <w:sz w:val="21"/>
          <w:szCs w:val="21"/>
          <w:highlight w:val="none"/>
          <w:u w:val="single"/>
          <w:lang w:val="en-US"/>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 xml:space="preserve">      </w:t>
      </w:r>
    </w:p>
    <w:p>
      <w:pPr>
        <w:pStyle w:val="2"/>
        <w:tabs>
          <w:tab w:val="left" w:pos="3703"/>
          <w:tab w:val="left" w:pos="4088"/>
          <w:tab w:val="left" w:pos="6740"/>
        </w:tabs>
        <w:autoSpaceDE w:val="0"/>
        <w:autoSpaceDN w:val="0"/>
        <w:spacing w:line="360" w:lineRule="auto"/>
        <w:ind w:left="0" w:firstLine="420" w:firstLineChars="200"/>
        <w:rPr>
          <w:color w:val="000000" w:themeColor="text1"/>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采购人名称：</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ascii="Times New Roman" w:eastAsia="Times New Roman"/>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采购文件获取日期：</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u w:val="single"/>
          <w14:textFill>
            <w14:solidFill>
              <w14:schemeClr w14:val="tx1"/>
            </w14:solidFill>
          </w14:textFill>
        </w:rPr>
        <w:t xml:space="preserve">      </w:t>
      </w:r>
    </w:p>
    <w:p>
      <w:pPr>
        <w:pStyle w:val="2"/>
        <w:tabs>
          <w:tab w:val="left" w:pos="4280"/>
        </w:tabs>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三、质疑事项具体内容</w:t>
      </w:r>
    </w:p>
    <w:p>
      <w:pPr>
        <w:pStyle w:val="2"/>
        <w:tabs>
          <w:tab w:val="left" w:pos="3511"/>
          <w:tab w:val="left" w:pos="3631"/>
        </w:tabs>
        <w:autoSpaceDE w:val="0"/>
        <w:autoSpaceDN w:val="0"/>
        <w:spacing w:line="360" w:lineRule="auto"/>
        <w:ind w:left="0" w:firstLine="408" w:firstLineChars="200"/>
        <w:rPr>
          <w:color w:val="000000" w:themeColor="text1"/>
          <w:sz w:val="21"/>
          <w:szCs w:val="21"/>
          <w:highlight w:val="none"/>
          <w:u w:val="single"/>
          <w14:textFill>
            <w14:solidFill>
              <w14:schemeClr w14:val="tx1"/>
            </w14:solidFill>
          </w14:textFill>
        </w:rPr>
      </w:pPr>
      <w:r>
        <w:rPr>
          <w:color w:val="000000" w:themeColor="text1"/>
          <w:spacing w:val="-3"/>
          <w:sz w:val="21"/>
          <w:szCs w:val="21"/>
          <w:highlight w:val="none"/>
          <w14:textFill>
            <w14:solidFill>
              <w14:schemeClr w14:val="tx1"/>
            </w14:solidFill>
          </w14:textFill>
        </w:rPr>
        <w:t>质疑事项1：</w:t>
      </w:r>
      <w:r>
        <w:rPr>
          <w:color w:val="000000" w:themeColor="text1"/>
          <w:spacing w:val="-3"/>
          <w:sz w:val="21"/>
          <w:szCs w:val="21"/>
          <w:highlight w:val="none"/>
          <w:u w:val="single"/>
          <w14:textFill>
            <w14:solidFill>
              <w14:schemeClr w14:val="tx1"/>
            </w14:solidFill>
          </w14:textFill>
        </w:rPr>
        <w:tab/>
      </w:r>
      <w:r>
        <w:rPr>
          <w:color w:val="000000" w:themeColor="text1"/>
          <w:spacing w:val="-3"/>
          <w:sz w:val="21"/>
          <w:szCs w:val="21"/>
          <w:highlight w:val="none"/>
          <w:u w:val="single"/>
          <w14:textFill>
            <w14:solidFill>
              <w14:schemeClr w14:val="tx1"/>
            </w14:solidFill>
          </w14:textFill>
        </w:rPr>
        <w:tab/>
      </w:r>
      <w:r>
        <w:rPr>
          <w:color w:val="000000" w:themeColor="text1"/>
          <w:sz w:val="21"/>
          <w:szCs w:val="21"/>
          <w:highlight w:val="none"/>
          <w:u w:val="single"/>
          <w14:textFill>
            <w14:solidFill>
              <w14:schemeClr w14:val="tx1"/>
            </w14:solidFill>
          </w14:textFill>
        </w:rPr>
        <w:t xml:space="preserve">                    </w:t>
      </w:r>
    </w:p>
    <w:p>
      <w:pPr>
        <w:pStyle w:val="2"/>
        <w:tabs>
          <w:tab w:val="left" w:pos="3511"/>
          <w:tab w:val="left" w:pos="3631"/>
        </w:tabs>
        <w:autoSpaceDE w:val="0"/>
        <w:autoSpaceDN w:val="0"/>
        <w:spacing w:line="360" w:lineRule="auto"/>
        <w:ind w:left="0" w:firstLine="420" w:firstLineChars="200"/>
        <w:rPr>
          <w:color w:val="000000" w:themeColor="text1"/>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事实依据：</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u w:val="single"/>
          <w14:textFill>
            <w14:solidFill>
              <w14:schemeClr w14:val="tx1"/>
            </w14:solidFill>
          </w14:textFill>
        </w:rPr>
        <w:t xml:space="preserve">                    </w:t>
      </w:r>
    </w:p>
    <w:p>
      <w:pPr>
        <w:pStyle w:val="2"/>
        <w:tabs>
          <w:tab w:val="left" w:pos="3511"/>
          <w:tab w:val="left" w:pos="3631"/>
        </w:tabs>
        <w:autoSpaceDE w:val="0"/>
        <w:autoSpaceDN w:val="0"/>
        <w:spacing w:line="360" w:lineRule="auto"/>
        <w:ind w:left="0" w:firstLine="420" w:firstLineChars="200"/>
        <w:rPr>
          <w:color w:val="000000" w:themeColor="text1"/>
          <w:spacing w:val="60"/>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法律依据：</w:t>
      </w:r>
      <w:r>
        <w:rPr>
          <w:color w:val="000000" w:themeColor="text1"/>
          <w:sz w:val="21"/>
          <w:szCs w:val="21"/>
          <w:highlight w:val="none"/>
          <w:u w:val="single"/>
          <w14:textFill>
            <w14:solidFill>
              <w14:schemeClr w14:val="tx1"/>
            </w14:solidFill>
          </w14:textFill>
        </w:rPr>
        <w:tab/>
      </w:r>
      <w:r>
        <w:rPr>
          <w:color w:val="000000" w:themeColor="text1"/>
          <w:spacing w:val="-3"/>
          <w:sz w:val="21"/>
          <w:szCs w:val="21"/>
          <w:highlight w:val="none"/>
          <w:u w:val="single"/>
          <w14:textFill>
            <w14:solidFill>
              <w14:schemeClr w14:val="tx1"/>
            </w14:solidFill>
          </w14:textFill>
        </w:rPr>
        <w:t xml:space="preserve">                    </w:t>
      </w:r>
      <w:r>
        <w:rPr>
          <w:color w:val="000000" w:themeColor="text1"/>
          <w:spacing w:val="60"/>
          <w:sz w:val="21"/>
          <w:szCs w:val="21"/>
          <w:highlight w:val="none"/>
          <w:u w:val="single"/>
          <w14:textFill>
            <w14:solidFill>
              <w14:schemeClr w14:val="tx1"/>
            </w14:solidFill>
          </w14:textFill>
        </w:rPr>
        <w:t xml:space="preserve"> </w:t>
      </w:r>
    </w:p>
    <w:p>
      <w:pPr>
        <w:pStyle w:val="2"/>
        <w:tabs>
          <w:tab w:val="left" w:pos="3511"/>
          <w:tab w:val="left" w:pos="3631"/>
        </w:tabs>
        <w:autoSpaceDE w:val="0"/>
        <w:autoSpaceDN w:val="0"/>
        <w:spacing w:line="360" w:lineRule="auto"/>
        <w:ind w:left="0" w:firstLine="408" w:firstLineChars="200"/>
        <w:rPr>
          <w:rFonts w:ascii="Times New Roman" w:eastAsia="Times New Roman"/>
          <w:color w:val="000000" w:themeColor="text1"/>
          <w:sz w:val="21"/>
          <w:szCs w:val="21"/>
          <w:highlight w:val="none"/>
          <w14:textFill>
            <w14:solidFill>
              <w14:schemeClr w14:val="tx1"/>
            </w14:solidFill>
          </w14:textFill>
        </w:rPr>
      </w:pPr>
      <w:r>
        <w:rPr>
          <w:color w:val="000000" w:themeColor="text1"/>
          <w:spacing w:val="-3"/>
          <w:sz w:val="21"/>
          <w:szCs w:val="21"/>
          <w:highlight w:val="none"/>
          <w14:textFill>
            <w14:solidFill>
              <w14:schemeClr w14:val="tx1"/>
            </w14:solidFill>
          </w14:textFill>
        </w:rPr>
        <w:t>质疑事项2：</w:t>
      </w:r>
      <w:r>
        <w:rPr>
          <w:rFonts w:ascii="Times New Roman" w:eastAsia="Times New Roman"/>
          <w:color w:val="000000" w:themeColor="text1"/>
          <w:spacing w:val="-3"/>
          <w:sz w:val="21"/>
          <w:szCs w:val="21"/>
          <w:highlight w:val="none"/>
          <w:u w:val="single"/>
          <w14:textFill>
            <w14:solidFill>
              <w14:schemeClr w14:val="tx1"/>
            </w14:solidFill>
          </w14:textFill>
        </w:rPr>
        <w:t xml:space="preserve"> </w:t>
      </w:r>
      <w:r>
        <w:rPr>
          <w:rFonts w:ascii="Times New Roman" w:eastAsia="Times New Roman"/>
          <w:color w:val="000000" w:themeColor="text1"/>
          <w:spacing w:val="-3"/>
          <w:sz w:val="21"/>
          <w:szCs w:val="21"/>
          <w:highlight w:val="none"/>
          <w:u w:val="single"/>
          <w14:textFill>
            <w14:solidFill>
              <w14:schemeClr w14:val="tx1"/>
            </w14:solidFill>
          </w14:textFill>
        </w:rPr>
        <w:tab/>
      </w:r>
      <w:r>
        <w:rPr>
          <w:rFonts w:ascii="Times New Roman" w:eastAsia="Times New Roman"/>
          <w:color w:val="000000" w:themeColor="text1"/>
          <w:spacing w:val="-3"/>
          <w:sz w:val="21"/>
          <w:szCs w:val="21"/>
          <w:highlight w:val="none"/>
          <w:u w:val="single"/>
          <w14:textFill>
            <w14:solidFill>
              <w14:schemeClr w14:val="tx1"/>
            </w14:solidFill>
          </w14:textFill>
        </w:rPr>
        <w:tab/>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四、与质疑事项相关的质疑请求</w:t>
      </w:r>
    </w:p>
    <w:p>
      <w:pPr>
        <w:pStyle w:val="2"/>
        <w:tabs>
          <w:tab w:val="left" w:pos="5144"/>
        </w:tabs>
        <w:autoSpaceDE w:val="0"/>
        <w:autoSpaceDN w:val="0"/>
        <w:spacing w:line="360" w:lineRule="auto"/>
        <w:ind w:left="0" w:firstLine="420" w:firstLineChars="200"/>
        <w:rPr>
          <w:rFonts w:ascii="Times New Roman"/>
          <w:color w:val="000000" w:themeColor="text1"/>
          <w:sz w:val="21"/>
          <w:szCs w:val="21"/>
          <w:highlight w:val="none"/>
          <w:lang w:val="en-US"/>
          <w14:textFill>
            <w14:solidFill>
              <w14:schemeClr w14:val="tx1"/>
            </w14:solidFill>
          </w14:textFill>
        </w:rPr>
      </w:pPr>
      <w:r>
        <w:rPr>
          <w:color w:val="000000" w:themeColor="text1"/>
          <w:sz w:val="21"/>
          <w:szCs w:val="21"/>
          <w:highlight w:val="none"/>
          <w14:textFill>
            <w14:solidFill>
              <w14:schemeClr w14:val="tx1"/>
            </w14:solidFill>
          </w14:textFill>
        </w:rPr>
        <w:t>请求：</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hint="eastAsia" w:ascii="Times New Roman"/>
          <w:color w:val="000000" w:themeColor="text1"/>
          <w:sz w:val="21"/>
          <w:szCs w:val="21"/>
          <w:highlight w:val="none"/>
          <w:u w:val="single"/>
          <w:lang w:val="en-US"/>
          <w14:textFill>
            <w14:solidFill>
              <w14:schemeClr w14:val="tx1"/>
            </w14:solidFill>
          </w14:textFill>
        </w:rPr>
        <w:t xml:space="preserve">                                           </w:t>
      </w:r>
    </w:p>
    <w:p>
      <w:pPr>
        <w:pStyle w:val="2"/>
        <w:tabs>
          <w:tab w:val="left" w:pos="3165"/>
          <w:tab w:val="left" w:pos="5818"/>
        </w:tabs>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p>
    <w:p>
      <w:pPr>
        <w:pStyle w:val="2"/>
        <w:tabs>
          <w:tab w:val="left" w:pos="3165"/>
          <w:tab w:val="left" w:pos="5818"/>
        </w:tabs>
        <w:autoSpaceDE w:val="0"/>
        <w:autoSpaceDN w:val="0"/>
        <w:spacing w:line="360" w:lineRule="auto"/>
        <w:ind w:left="0" w:firstLine="420" w:firstLineChars="200"/>
        <w:rPr>
          <w:color w:val="000000" w:themeColor="text1"/>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签字</w:t>
      </w:r>
      <w:r>
        <w:rPr>
          <w:rFonts w:hint="eastAsia"/>
          <w:color w:val="000000" w:themeColor="text1"/>
          <w:spacing w:val="-3"/>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签章)：</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p>
    <w:p>
      <w:pPr>
        <w:pStyle w:val="2"/>
        <w:tabs>
          <w:tab w:val="left" w:pos="3165"/>
          <w:tab w:val="left" w:pos="5818"/>
        </w:tabs>
        <w:autoSpaceDE w:val="0"/>
        <w:autoSpaceDN w:val="0"/>
        <w:spacing w:line="360" w:lineRule="auto"/>
        <w:ind w:left="0" w:firstLine="420" w:firstLineChars="200"/>
        <w:rPr>
          <w:rFonts w:ascii="Times New Roman" w:eastAsia="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公章：</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ascii="Times New Roman" w:eastAsia="Times New Roman"/>
          <w:color w:val="000000" w:themeColor="text1"/>
          <w:sz w:val="21"/>
          <w:szCs w:val="21"/>
          <w:highlight w:val="none"/>
          <w:u w:val="single"/>
          <w14:textFill>
            <w14:solidFill>
              <w14:schemeClr w14:val="tx1"/>
            </w14:solidFill>
          </w14:textFill>
        </w:rPr>
        <w:tab/>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日期： 年 月 日</w:t>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质疑函制作说明：</w:t>
      </w:r>
    </w:p>
    <w:p>
      <w:pPr>
        <w:pStyle w:val="22"/>
        <w:tabs>
          <w:tab w:val="left" w:pos="673"/>
        </w:tabs>
        <w:autoSpaceDE w:val="0"/>
        <w:autoSpaceDN w:val="0"/>
        <w:spacing w:line="360" w:lineRule="auto"/>
        <w:ind w:left="420" w:leftChars="200"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r>
        <w:rPr>
          <w:color w:val="000000" w:themeColor="text1"/>
          <w:szCs w:val="21"/>
          <w:highlight w:val="none"/>
          <w14:textFill>
            <w14:solidFill>
              <w14:schemeClr w14:val="tx1"/>
            </w14:solidFill>
          </w14:textFill>
        </w:rPr>
        <w:t>供应商提出质疑时，应提交质疑函和必要的证明材料。</w:t>
      </w:r>
    </w:p>
    <w:p>
      <w:pPr>
        <w:pStyle w:val="22"/>
        <w:tabs>
          <w:tab w:val="left" w:pos="673"/>
        </w:tabs>
        <w:autoSpaceDE w:val="0"/>
        <w:autoSpaceDN w:val="0"/>
        <w:spacing w:line="360" w:lineRule="auto"/>
        <w:ind w:left="420" w:leftChars="200"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质疑供应商若委托代理人进行质疑的，质疑函应按要求列明</w:t>
      </w:r>
      <w:r>
        <w:rPr>
          <w:color w:val="000000" w:themeColor="text1"/>
          <w:spacing w:val="-4"/>
          <w:w w:val="80"/>
          <w:szCs w:val="21"/>
          <w:highlight w:val="none"/>
          <w14:textFill>
            <w14:solidFill>
              <w14:schemeClr w14:val="tx1"/>
            </w14:solidFill>
          </w14:textFill>
        </w:rPr>
        <w:t>“</w:t>
      </w:r>
      <w:r>
        <w:rPr>
          <w:color w:val="000000" w:themeColor="text1"/>
          <w:szCs w:val="21"/>
          <w:highlight w:val="none"/>
          <w14:textFill>
            <w14:solidFill>
              <w14:schemeClr w14:val="tx1"/>
            </w14:solidFill>
          </w14:textFill>
        </w:rPr>
        <w:t>授权代表</w:t>
      </w:r>
      <w:r>
        <w:rPr>
          <w:color w:val="000000" w:themeColor="text1"/>
          <w:spacing w:val="-4"/>
          <w:w w:val="80"/>
          <w:szCs w:val="21"/>
          <w:highlight w:val="none"/>
          <w14:textFill>
            <w14:solidFill>
              <w14:schemeClr w14:val="tx1"/>
            </w14:solidFill>
          </w14:textFill>
        </w:rPr>
        <w:t>”</w:t>
      </w:r>
      <w:r>
        <w:rPr>
          <w:color w:val="000000" w:themeColor="text1"/>
          <w:spacing w:val="-1"/>
          <w:szCs w:val="21"/>
          <w:highlight w:val="none"/>
          <w14:textFill>
            <w14:solidFill>
              <w14:schemeClr w14:val="tx1"/>
            </w14:solidFill>
          </w14:textFill>
        </w:rPr>
        <w:t>的有关内容，并在附件中提交由质疑供应商签署</w:t>
      </w:r>
      <w:r>
        <w:rPr>
          <w:color w:val="000000" w:themeColor="text1"/>
          <w:szCs w:val="21"/>
          <w:highlight w:val="none"/>
          <w14:textFill>
            <w14:solidFill>
              <w14:schemeClr w14:val="tx1"/>
            </w14:solidFill>
          </w14:textFill>
        </w:rPr>
        <w:t>的授权委托书。授权委托书应载明代理人的姓名或者名称、代理事项、具体权限、期限和相关事项。</w:t>
      </w:r>
    </w:p>
    <w:p>
      <w:pPr>
        <w:pStyle w:val="22"/>
        <w:tabs>
          <w:tab w:val="left" w:pos="673"/>
        </w:tabs>
        <w:autoSpaceDE w:val="0"/>
        <w:autoSpaceDN w:val="0"/>
        <w:spacing w:line="360" w:lineRule="auto"/>
        <w:ind w:left="420" w:leftChars="200"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r>
        <w:rPr>
          <w:color w:val="000000" w:themeColor="text1"/>
          <w:szCs w:val="21"/>
          <w:highlight w:val="none"/>
          <w14:textFill>
            <w14:solidFill>
              <w14:schemeClr w14:val="tx1"/>
            </w14:solidFill>
          </w14:textFill>
        </w:rPr>
        <w:t>质疑供应商若对项目的某一分包进行质疑，质疑函中应列明具体采购包号。</w:t>
      </w:r>
    </w:p>
    <w:p>
      <w:pPr>
        <w:pStyle w:val="22"/>
        <w:tabs>
          <w:tab w:val="left" w:pos="673"/>
        </w:tabs>
        <w:autoSpaceDE w:val="0"/>
        <w:autoSpaceDN w:val="0"/>
        <w:spacing w:line="360" w:lineRule="auto"/>
        <w:ind w:left="420" w:leftChars="200"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r>
        <w:rPr>
          <w:color w:val="000000" w:themeColor="text1"/>
          <w:szCs w:val="21"/>
          <w:highlight w:val="none"/>
          <w14:textFill>
            <w14:solidFill>
              <w14:schemeClr w14:val="tx1"/>
            </w14:solidFill>
          </w14:textFill>
        </w:rPr>
        <w:t>质疑函的质疑事项应具体、明确，并有必要的事实依据和法律依据。</w:t>
      </w:r>
    </w:p>
    <w:p>
      <w:pPr>
        <w:pStyle w:val="22"/>
        <w:tabs>
          <w:tab w:val="left" w:pos="673"/>
        </w:tabs>
        <w:autoSpaceDE w:val="0"/>
        <w:autoSpaceDN w:val="0"/>
        <w:spacing w:line="360" w:lineRule="auto"/>
        <w:ind w:left="420" w:leftChars="200"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r>
        <w:rPr>
          <w:color w:val="000000" w:themeColor="text1"/>
          <w:szCs w:val="21"/>
          <w:highlight w:val="none"/>
          <w14:textFill>
            <w14:solidFill>
              <w14:schemeClr w14:val="tx1"/>
            </w14:solidFill>
          </w14:textFill>
        </w:rPr>
        <w:t>质疑函的质疑请求应与质疑事项相关。</w:t>
      </w:r>
    </w:p>
    <w:p>
      <w:pPr>
        <w:pStyle w:val="22"/>
        <w:tabs>
          <w:tab w:val="left" w:pos="673"/>
        </w:tabs>
        <w:autoSpaceDE w:val="0"/>
        <w:autoSpaceDN w:val="0"/>
        <w:spacing w:line="360" w:lineRule="auto"/>
        <w:ind w:left="420" w:leftChars="200" w:firstLine="0" w:firstLineChars="0"/>
        <w:rPr>
          <w:color w:val="000000" w:themeColor="text1"/>
          <w:spacing w:val="-1"/>
          <w:szCs w:val="21"/>
          <w:highlight w:val="none"/>
          <w14:textFill>
            <w14:solidFill>
              <w14:schemeClr w14:val="tx1"/>
            </w14:solidFill>
          </w14:textFill>
        </w:rPr>
      </w:pPr>
      <w:r>
        <w:rPr>
          <w:color w:val="000000" w:themeColor="text1"/>
          <w:spacing w:val="-1"/>
          <w:szCs w:val="21"/>
          <w:highlight w:val="none"/>
          <w14:textFill>
            <w14:solidFill>
              <w14:schemeClr w14:val="tx1"/>
            </w14:solidFill>
          </w14:textFill>
        </w:rPr>
        <w:t>质疑供应商为自然人的，质疑函应由本人签字；质疑供应商为法人或者其他组织的，质疑函应由法定代表人、主要负责人，或者其授权代表签字或者盖章，并加盖公章。</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br w:type="page"/>
      </w:r>
    </w:p>
    <w:p>
      <w:pPr>
        <w:pStyle w:val="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格式二：</w:t>
      </w:r>
    </w:p>
    <w:p>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投标担保函</w:t>
      </w:r>
    </w:p>
    <w:p>
      <w:pPr>
        <w:wordWrap w:val="0"/>
        <w:spacing w:line="360" w:lineRule="auto"/>
        <w:jc w:val="right"/>
        <w:rPr>
          <w:rFonts w:ascii="仿宋_GB2312" w:eastAsia="仿宋_GB2312"/>
          <w:color w:val="000000" w:themeColor="text1"/>
          <w:sz w:val="32"/>
          <w:szCs w:val="32"/>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编号：</w:t>
      </w:r>
      <w:r>
        <w:rPr>
          <w:rFonts w:hint="eastAsia" w:ascii="仿宋_GB2312" w:eastAsia="仿宋_GB2312"/>
          <w:color w:val="000000" w:themeColor="text1"/>
          <w:sz w:val="28"/>
          <w:szCs w:val="28"/>
          <w:highlight w:val="none"/>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（招标人或招标代理机构）：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鉴于</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（以下简称“投标人”）拟参加编号为</w:t>
      </w:r>
      <w:r>
        <w:rPr>
          <w:rFonts w:hint="eastAsia" w:ascii="宋体" w:hAnsi="宋体" w:cs="宋体"/>
          <w:color w:val="000000" w:themeColor="text1"/>
          <w:szCs w:val="21"/>
          <w:highlight w:val="none"/>
          <w:u w:val="single"/>
          <w14:textFill>
            <w14:solidFill>
              <w14:schemeClr w14:val="tx1"/>
            </w14:solidFill>
          </w14:textFill>
        </w:rPr>
        <w:t xml:space="preserve">            的</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一、保证责任的情形及保证金额</w:t>
      </w:r>
    </w:p>
    <w:p>
      <w:pP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（一）在投标人出现下列情形之一时，我方承担保证责任：</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1．中标后投标人无正当理由不与招标人或者招标代理机构签订合同；</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2．招标文件规定的投标人应当缴纳保证金的其他情形。</w:t>
      </w:r>
    </w:p>
    <w:p>
      <w:pPr>
        <w:spacing w:line="360" w:lineRule="auto"/>
        <w:ind w:firstLine="210" w:firstLine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（二）我方承担保证责任的最高金额为人民币</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元（大写</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），即本项目的投标保证金金额。</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二、保证的方式及保证期间</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我方保证的方式为：连带责任保证。</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我方的保证期间为：自本保函生效之日起</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个月止。</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三、承担保证责任的程序</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2．我方在收到索赔通知及相关证明材料后，在</w:t>
      </w:r>
      <w:r>
        <w:rPr>
          <w:rFonts w:hint="eastAsia" w:ascii="宋体" w:hAnsi="宋体" w:cs="宋体"/>
          <w:color w:val="000000" w:themeColor="text1"/>
          <w:szCs w:val="21"/>
          <w:highlight w:val="none"/>
          <w:u w:val="single"/>
          <w14:textFill>
            <w14:solidFill>
              <w14:schemeClr w14:val="tx1"/>
            </w14:solidFill>
          </w14:textFill>
        </w:rPr>
        <w:t>　　　</w:t>
      </w:r>
      <w:r>
        <w:rPr>
          <w:rFonts w:hint="eastAsia" w:ascii="宋体" w:hAnsi="宋体" w:cs="宋体"/>
          <w:color w:val="000000" w:themeColor="text1"/>
          <w:szCs w:val="21"/>
          <w:highlight w:val="none"/>
          <w14:textFill>
            <w14:solidFill>
              <w14:schemeClr w14:val="tx1"/>
            </w14:solidFill>
          </w14:textFill>
        </w:rPr>
        <w:t>个工作日内进行审查，符合应承担保证责任情形的，我方应按照你方的要求代投标人向你方支付投标保证金。</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四、保证责任的终止</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1．保证期间届满你方未向我方书面主张保证责任的，自保证期间届满次日起，我方保证责任自动终止。</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2．我方按照本保函向你贵方履行了保证责任后，自我方向你贵方支付款项（支付款项从我方账户划出）之日起，保证责任终止。</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3．按照法律法规的规定或出现我方保证责任终止的其它情形的，我方在本保函项下的保证责任亦终止。</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五、免责条款</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1．依照法律规定或你方与投标人的另行约定，全部或者部分免除投标人投标保证金义务时，我方亦免除相应的保证责任。</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2．因你方原因致使投标人发生本保函第一条第（一）款约定情形的，我方不承担保证责任。</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3．因不可抗力造成投标人发生本保函第一条约定情形的，我方不承担保证责任。</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4．你方或其他有权机关对招标文件进行任何澄清或修改，加重我方保证责任的，我方对加重部分不承担保证责任，但该澄清或修改经我方事先书面同意的除外。</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六、争议的解决</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因本保函发生的纠纷，由你我双方协商解决，协商不成的，通过诉讼程序解决，诉讼管辖地法院为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法院。</w:t>
      </w:r>
    </w:p>
    <w:p>
      <w:pPr>
        <w:spacing w:line="360" w:lineRule="auto"/>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七、保函的生效</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本保函自我方加盖公章之日起生效。</w:t>
      </w:r>
    </w:p>
    <w:p>
      <w:pPr>
        <w:spacing w:line="360" w:lineRule="auto"/>
        <w:jc w:val="righ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保证人：（公章）</w:t>
      </w:r>
    </w:p>
    <w:p>
      <w:pPr>
        <w:spacing w:line="360" w:lineRule="auto"/>
        <w:jc w:val="righ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     月      日</w:t>
      </w:r>
    </w:p>
    <w:p>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（1）若投标人不以投标担保函</w:t>
      </w:r>
      <w:r>
        <w:rPr>
          <w:rFonts w:hint="eastAsia" w:ascii="宋体" w:hAnsi="宋体" w:cs="宋体"/>
          <w:color w:val="000000" w:themeColor="text1"/>
          <w:szCs w:val="21"/>
          <w:highlight w:val="none"/>
          <w14:textFill>
            <w14:solidFill>
              <w14:schemeClr w14:val="tx1"/>
            </w14:solidFill>
          </w14:textFill>
        </w:rPr>
        <w:t>形式</w:t>
      </w:r>
      <w:r>
        <w:rPr>
          <w:rFonts w:hint="eastAsia" w:ascii="宋体" w:hAnsi="宋体"/>
          <w:color w:val="000000" w:themeColor="text1"/>
          <w:szCs w:val="21"/>
          <w:highlight w:val="none"/>
          <w14:textFill>
            <w14:solidFill>
              <w14:schemeClr w14:val="tx1"/>
            </w14:solidFill>
          </w14:textFill>
        </w:rPr>
        <w:t>提交投标保证金，则无需在投标文件中提供此格式。</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（2）若投标人以投标担保函形式提交投标保证金，则应将投标担保函原件交予招标代理机构。</w:t>
      </w:r>
    </w:p>
    <w:p>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br w:type="page"/>
      </w:r>
    </w:p>
    <w:p>
      <w:pPr>
        <w:pStyle w:val="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格式三：</w:t>
      </w:r>
    </w:p>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履约担保函</w:t>
      </w:r>
    </w:p>
    <w:p>
      <w:pPr>
        <w:spacing w:line="360" w:lineRule="auto"/>
        <w:ind w:firstLine="3512" w:firstLineChars="1666"/>
        <w:rPr>
          <w:rFonts w:ascii="宋体" w:hAnsi="宋体" w:cs="宋体"/>
          <w:b/>
          <w:color w:val="000000" w:themeColor="text1"/>
          <w:szCs w:val="21"/>
          <w:highlight w:val="none"/>
          <w14:textFill>
            <w14:solidFill>
              <w14:schemeClr w14:val="tx1"/>
            </w14:solidFill>
          </w14:textFill>
        </w:rPr>
      </w:pPr>
    </w:p>
    <w:p>
      <w:pPr>
        <w:spacing w:line="360" w:lineRule="auto"/>
        <w:jc w:val="righ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编号：</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______________________（招标人)：</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鉴于你方与________________（以下简称供应商）于_____年_____月_____日签定编号为 的 《_____________政府采购合同》（以下简称主合同），且依据该合同的约定，供应商应在_____年_____月_____日前向你方交纳履约保证金，且可以履约担保函的形式交纳履约保证金。应供应商的申请，我方以保证的方式向你方提供如下履约保证金担保：</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一、保证责任的情形及保证金额</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（一)在供应商出现下列情形之一时，我方承担保证责任：</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1.将中标项目转让给他人，或者在投标文件中未说明，且未经采购招标机构人同意，将中标项目分包给他人的；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2.主合同约定的应 当缴纳履约保证金的情形:</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（1）未按主合同约定的质量、数量和期限供应货物／提供服务／完成工程的；</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（2)_______________________________________________________________。</w:t>
      </w:r>
    </w:p>
    <w:p>
      <w:pPr>
        <w:spacing w:line="360" w:lineRule="auto"/>
        <w:ind w:firstLine="315"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（二)我方的保证范围是主合同约定的合同价款总额的______%数额为_______元（大写</w:t>
      </w:r>
      <w:r>
        <w:rPr>
          <w:rFonts w:hint="eastAsia" w:ascii="宋体" w:hAnsi="宋体" w:cs="宋体"/>
          <w:color w:val="000000" w:themeColor="text1"/>
          <w:szCs w:val="21"/>
          <w:highlight w:val="non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__________），币种为__________。（即主合同履约保证金金额）</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二、保证的方式及保证期间</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我方保证的方式为：连带责任保证。</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我方保证的期间为：自本合同生效之日起至供应商按照主合同约定的供货／完工期限届满后______日内。</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如果供应商未按主合同约定向贵方供应货物／提供服务／完成工程的，由我方在保证金额内向你方支付上述款项。</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三、承担保证责任的程序</w:t>
      </w:r>
    </w:p>
    <w:p>
      <w:pPr>
        <w:spacing w:line="360" w:lineRule="auto"/>
        <w:ind w:firstLine="315"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1.你方要求我方承担保证责任的 ，应在本保函保证期间内向我方发出书面索赔通知。索赔通知应写明要求索赔的金额，支付款项应到达的帐号。并附有证明供应商违约事实的证明材料。</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果你方与供应商因货物质量问题产生争议，你方还需同时提供________部门出具的质量检测报告，或经诉讼（仲裁）程序裁决后的裁决书、调解书，本保证人即按照检测结果或裁决书、调解书决定是否承担保证责任。</w:t>
      </w:r>
    </w:p>
    <w:p>
      <w:pPr>
        <w:spacing w:line="360" w:lineRule="auto"/>
        <w:ind w:firstLine="315"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2.我方收到你方的书面索赔通知及相应证明材料，在_____工作日内进行核定后按照本保函的承诺承担保证责任。</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四、保证责任的终止</w:t>
      </w:r>
    </w:p>
    <w:p>
      <w:pPr>
        <w:spacing w:line="360" w:lineRule="auto"/>
        <w:ind w:firstLine="315"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line="360" w:lineRule="auto"/>
        <w:ind w:firstLine="315"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2.我方按照本保函向你方履行了保证责任后，自我方向你方支付款项（支付款项从我方账户划出）之日起，保证责任即终止。</w:t>
      </w:r>
    </w:p>
    <w:p>
      <w:pPr>
        <w:spacing w:line="360" w:lineRule="auto"/>
        <w:ind w:firstLine="315"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3.按照法律法规的规定或出现应终止我方保证责任的其它情形的，我方在本保函项下的保证责任亦终止。</w:t>
      </w:r>
    </w:p>
    <w:p>
      <w:pPr>
        <w:spacing w:line="360" w:lineRule="auto"/>
        <w:ind w:firstLine="315"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你方与供应商修改主合同，加重我方保证责任的，我方对加重部分不承担保证责任，但该等修改事先经我方书面同意的除外；你方与供应离修改主合同履行期限，我方保证期间仍依修改前的履行期限计算，但该等修改事先经我方书面同意的除外。</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五、免责条款</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1.因你方违反主合同约定致使供应商不能履行义务的，我方不承担保证责任。</w:t>
      </w:r>
    </w:p>
    <w:p>
      <w:pPr>
        <w:spacing w:line="360" w:lineRule="auto"/>
        <w:ind w:firstLine="315"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2.依照法律法规的规定或你方与供应商的另行约定，全部或者部分免除供应商应缴纳的保证金义务的，我方亦免除相应的保证责任。</w:t>
      </w:r>
    </w:p>
    <w:p>
      <w:pPr>
        <w:spacing w:line="360" w:lineRule="auto"/>
        <w:ind w:firstLine="315"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3.因不可抗力造成供应商不能履行供货义务的，我方不承担保证责任。</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六、争议的解决</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因本保函发生的纠纷，由你我双方协商解决，协商不成的，通过诉讼程序解决,诉讼管辖地法院为_______________法院。</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七、保函的生效</w:t>
      </w:r>
    </w:p>
    <w:p>
      <w:pPr>
        <w:spacing w:line="360" w:lineRule="auto"/>
        <w:ind w:firstLine="405"/>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本保函自我方加盖公章之日起生效。</w:t>
      </w:r>
    </w:p>
    <w:p>
      <w:pPr>
        <w:spacing w:line="360" w:lineRule="auto"/>
        <w:jc w:val="righ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保证人：（公章） </w:t>
      </w:r>
    </w:p>
    <w:p>
      <w:pPr>
        <w:spacing w:line="360" w:lineRule="auto"/>
        <w:jc w:val="righ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  月  日</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pPr>
        <w:pStyle w:val="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格式四：</w:t>
      </w:r>
    </w:p>
    <w:p>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联合体共同投标协议书</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立约方：（甲公司全称）</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（乙公司全称）</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（……公司全称）</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（甲公司全称）、（乙公司全称）、（……公司全称）自愿组成联合体，以一个投标供应商的身份共同参加（采购项目名称） （采购项目编号）的响应活动。经各方充分协商一致，就项目的响应和合同实施阶段的有关事务协商一致订立协议如下：</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一、联合体各方关系</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甲公司全称）、（乙公司全称）、（……公司全称）共同组成一个联合体，以一个投标供应商的身份共同参加本项目的响应。（甲公司全称）、（乙公司全称）、（……公司全称）作为联合体成员，若中标，联合体各方共同与（采购人）签订政府采购合同。</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二、联合体内部有关事项约定如下：</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1.作为联合体的牵头单位，代表联合体双方负责投标和合同实施阶段的主办、协调工作。</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联合体将严格按照文件的各项要求，递交投标文件，切实执行一切合同文件，共同承担合同规定的一切义务和责任，同时按照内部职责的划分，承担自身所负的责任和风险，在法律在承担连带责任。</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如果本联合体中标，（甲公司全称）负责本项目            部分，（乙公司全称）负责本项目              部分。</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4.如中标，联合体各方共同与（采购人）签订合同书，并就中标项目向采购人负责有连带的和各自的法律责任；</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5.联合体成员　（公司全称）　为（请填写：小型、微型）企业，将承担合同总金额　　%的工作内容（联合体成员中有小型、微型企业时适用）。</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四、联合体如因违约过失责任而导致采购人经济损失或被索赔时，本联合体任何一方均同意无条件优先清偿采购人的一切债务和经济赔偿。</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五、本协议在自签署之日起生效，有效期内有效，如获中标资格，合同有效期延续至合同履行完毕之日。</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六、本协议书正本一式  份，随投标文件装订   份，送采购人   份，联合体成员各一份；副本一式   份，联合体成员各执    份。</w:t>
      </w:r>
    </w:p>
    <w:p>
      <w:pPr>
        <w:spacing w:line="360" w:lineRule="auto"/>
        <w:ind w:firstLine="420" w:firstLineChars="200"/>
        <w:rPr>
          <w:rFonts w:ascii="宋体" w:hAnsi="宋体"/>
          <w:color w:val="000000" w:themeColor="text1"/>
          <w:szCs w:val="21"/>
          <w:highlight w:val="none"/>
          <w14:textFill>
            <w14:solidFill>
              <w14:schemeClr w14:val="tx1"/>
            </w14:solidFill>
          </w14:textFill>
        </w:rPr>
      </w:pP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甲公司全称：（盖章） </w:t>
      </w:r>
      <w:r>
        <w:rPr>
          <w:rFonts w:hint="eastAsia" w:ascii="宋体" w:hAnsi="宋体"/>
          <w:color w:val="000000" w:themeColor="text1"/>
          <w:szCs w:val="21"/>
          <w:highlight w:val="non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 xml:space="preserve">   乙公司全称：（盖章）</w:t>
      </w:r>
      <w:r>
        <w:rPr>
          <w:rFonts w:hint="eastAsia" w:ascii="宋体" w:hAnsi="宋体"/>
          <w:color w:val="000000" w:themeColor="text1"/>
          <w:szCs w:val="21"/>
          <w:highlight w:val="non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 xml:space="preserve">        ……公司全称（盖章）</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法定代表人：（签字或盖章） 法定代表人（签字或盖章）</w:t>
      </w:r>
      <w:r>
        <w:rPr>
          <w:rFonts w:hint="eastAsia" w:ascii="宋体" w:hAnsi="宋体"/>
          <w:color w:val="000000" w:themeColor="text1"/>
          <w:szCs w:val="21"/>
          <w:highlight w:val="non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 xml:space="preserve"> 法定代表人（签字或盖章）</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年　　月　　日</w:t>
      </w:r>
      <w:r>
        <w:rPr>
          <w:rFonts w:hint="eastAsia" w:ascii="宋体" w:hAnsi="宋体"/>
          <w:color w:val="000000" w:themeColor="text1"/>
          <w:szCs w:val="21"/>
          <w:highlight w:val="non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　　       年　　月　　日</w:t>
      </w:r>
      <w:r>
        <w:rPr>
          <w:rFonts w:hint="eastAsia" w:ascii="宋体" w:hAnsi="宋体"/>
          <w:color w:val="000000" w:themeColor="text1"/>
          <w:szCs w:val="21"/>
          <w:highlight w:val="non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　　     年　　月　　日</w:t>
      </w:r>
    </w:p>
    <w:p>
      <w:pPr>
        <w:spacing w:line="360" w:lineRule="auto"/>
        <w:ind w:firstLine="420" w:firstLineChars="200"/>
        <w:rPr>
          <w:rFonts w:ascii="宋体" w:hAnsi="宋体"/>
          <w:color w:val="000000" w:themeColor="text1"/>
          <w:szCs w:val="21"/>
          <w:highlight w:val="none"/>
          <w14:textFill>
            <w14:solidFill>
              <w14:schemeClr w14:val="tx1"/>
            </w14:solidFill>
          </w14:textFill>
        </w:rPr>
      </w:pP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注：1．联合投标时需签本协议，联合体各方成员应在本协议上共同盖章确认。</w:t>
      </w:r>
    </w:p>
    <w:p>
      <w:pPr>
        <w:ind w:firstLine="840" w:firstLineChars="4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2．本协议内容不得擅自修改。此协议将作为签订合同的附件之一。</w:t>
      </w:r>
    </w:p>
    <w:p>
      <w:pPr>
        <w:spacing w:line="360" w:lineRule="auto"/>
        <w:rPr>
          <w:rFonts w:ascii="宋体" w:hAnsi="宋体" w:cs="宋体"/>
          <w:color w:val="000000" w:themeColor="text1"/>
          <w:highlight w:val="none"/>
          <w14:textFill>
            <w14:solidFill>
              <w14:schemeClr w14:val="tx1"/>
            </w14:solidFill>
          </w14:textFill>
        </w:rPr>
      </w:pPr>
    </w:p>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B0604020202020204"/>
    <w:charset w:val="86"/>
    <w:family w:val="modern"/>
    <w:pitch w:val="default"/>
    <w:sig w:usb0="00000000" w:usb1="00000000" w:usb2="00000000" w:usb3="00000000" w:csb0="00040000" w:csb1="00000000"/>
  </w:font>
  <w:font w:name="Times">
    <w:altName w:val="Times New Roman"/>
    <w:panose1 w:val="00000000000000000000"/>
    <w:charset w:val="00"/>
    <w:family w:val="auto"/>
    <w:pitch w:val="default"/>
    <w:sig w:usb0="00000000" w:usb1="00000000" w:usb2="00000000" w:usb3="00000000" w:csb0="00000007" w:csb1="00000000"/>
  </w:font>
  <w:font w:name="微软雅黑">
    <w:panose1 w:val="020B0503020204020204"/>
    <w:charset w:val="86"/>
    <w:family w:val="swiss"/>
    <w:pitch w:val="default"/>
    <w:sig w:usb0="80000287" w:usb1="2ACF3C50" w:usb2="00000016" w:usb3="00000000" w:csb0="0004001F" w:csb1="00000000"/>
  </w:font>
  <w:font w:name="华康简标题宋">
    <w:altName w:val="微软雅黑"/>
    <w:panose1 w:val="020B0604020202020204"/>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思源黑体 CN Heavy">
    <w:altName w:val="黑体"/>
    <w:panose1 w:val="020B0604020202020204"/>
    <w:charset w:val="80"/>
    <w:family w:val="swiss"/>
    <w:pitch w:val="default"/>
    <w:sig w:usb0="00000000" w:usb1="00000000" w:usb2="00000016" w:usb3="00000000" w:csb0="60060107"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uppressAutoHyphens/>
      <w:snapToGrid w:val="0"/>
      <w:rPr>
        <w:rFonts w:ascii="Times New Roman" w:hAnsi="Times New Roman" w:cs="Times New Roman"/>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69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69</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31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jc w:val="center"/>
    </w:pPr>
    <w:r>
      <w:t>东莞市长安镇厦岗社区环卫保洁服务项目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2D7C7"/>
    <w:multiLevelType w:val="singleLevel"/>
    <w:tmpl w:val="90A2D7C7"/>
    <w:lvl w:ilvl="0" w:tentative="0">
      <w:start w:val="1"/>
      <w:numFmt w:val="decimal"/>
      <w:suff w:val="nothing"/>
      <w:lvlText w:val="%1、"/>
      <w:lvlJc w:val="left"/>
    </w:lvl>
  </w:abstractNum>
  <w:abstractNum w:abstractNumId="1">
    <w:nsid w:val="99073AA4"/>
    <w:multiLevelType w:val="singleLevel"/>
    <w:tmpl w:val="99073AA4"/>
    <w:lvl w:ilvl="0" w:tentative="0">
      <w:start w:val="1"/>
      <w:numFmt w:val="chineseCounting"/>
      <w:suff w:val="space"/>
      <w:lvlText w:val="第%1篇"/>
      <w:lvlJc w:val="left"/>
      <w:rPr>
        <w:rFonts w:hint="eastAsia"/>
      </w:rPr>
    </w:lvl>
  </w:abstractNum>
  <w:abstractNum w:abstractNumId="2">
    <w:nsid w:val="E55BFF18"/>
    <w:multiLevelType w:val="singleLevel"/>
    <w:tmpl w:val="E55BFF18"/>
    <w:lvl w:ilvl="0" w:tentative="0">
      <w:start w:val="1"/>
      <w:numFmt w:val="decimal"/>
      <w:suff w:val="nothing"/>
      <w:lvlText w:val="（%1）"/>
      <w:lvlJc w:val="left"/>
    </w:lvl>
  </w:abstractNum>
  <w:abstractNum w:abstractNumId="3">
    <w:nsid w:val="F3851CDE"/>
    <w:multiLevelType w:val="singleLevel"/>
    <w:tmpl w:val="F3851CDE"/>
    <w:lvl w:ilvl="0" w:tentative="0">
      <w:start w:val="2"/>
      <w:numFmt w:val="chineseCounting"/>
      <w:suff w:val="nothing"/>
      <w:lvlText w:val="%1、"/>
      <w:lvlJc w:val="left"/>
      <w:rPr>
        <w:rFonts w:hint="eastAsia"/>
      </w:rPr>
    </w:lvl>
  </w:abstractNum>
  <w:abstractNum w:abstractNumId="4">
    <w:nsid w:val="F73DC5D7"/>
    <w:multiLevelType w:val="singleLevel"/>
    <w:tmpl w:val="F73DC5D7"/>
    <w:lvl w:ilvl="0" w:tentative="0">
      <w:start w:val="1"/>
      <w:numFmt w:val="decimal"/>
      <w:suff w:val="nothing"/>
      <w:lvlText w:val="（%1）"/>
      <w:lvlJc w:val="left"/>
      <w:pPr>
        <w:ind w:left="66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2E25990"/>
    <w:multiLevelType w:val="singleLevel"/>
    <w:tmpl w:val="32E25990"/>
    <w:lvl w:ilvl="0" w:tentative="0">
      <w:start w:val="1"/>
      <w:numFmt w:val="decimal"/>
      <w:suff w:val="nothing"/>
      <w:lvlText w:val="%1、"/>
      <w:lvlJc w:val="left"/>
    </w:lvl>
  </w:abstractNum>
  <w:abstractNum w:abstractNumId="8">
    <w:nsid w:val="3F88662E"/>
    <w:multiLevelType w:val="singleLevel"/>
    <w:tmpl w:val="3F88662E"/>
    <w:lvl w:ilvl="0" w:tentative="0">
      <w:start w:val="1"/>
      <w:numFmt w:val="decimal"/>
      <w:suff w:val="space"/>
      <w:lvlText w:val="%1)"/>
      <w:lvlJc w:val="left"/>
    </w:lvl>
  </w:abstractNum>
  <w:abstractNum w:abstractNumId="9">
    <w:nsid w:val="571F971C"/>
    <w:multiLevelType w:val="singleLevel"/>
    <w:tmpl w:val="571F971C"/>
    <w:lvl w:ilvl="0" w:tentative="0">
      <w:start w:val="1"/>
      <w:numFmt w:val="decimal"/>
      <w:lvlText w:val="%1."/>
      <w:lvlJc w:val="left"/>
      <w:pPr>
        <w:tabs>
          <w:tab w:val="left" w:pos="312"/>
        </w:tabs>
      </w:pPr>
    </w:lvl>
  </w:abstractNum>
  <w:num w:numId="1">
    <w:abstractNumId w:val="1"/>
  </w:num>
  <w:num w:numId="2">
    <w:abstractNumId w:val="7"/>
  </w:num>
  <w:num w:numId="3">
    <w:abstractNumId w:val="0"/>
  </w:num>
  <w:num w:numId="4">
    <w:abstractNumId w:val="2"/>
  </w:num>
  <w:num w:numId="5">
    <w:abstractNumId w:val="3"/>
  </w:num>
  <w:num w:numId="6">
    <w:abstractNumId w:val="5"/>
  </w:num>
  <w:num w:numId="7">
    <w:abstractNumId w:val="8"/>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1MDBkMjlmY2UwNzIwYjliNzE3ZDM5ZDYxNGMzYjgifQ=="/>
  </w:docVars>
  <w:rsids>
    <w:rsidRoot w:val="0B696582"/>
    <w:rsid w:val="000239C0"/>
    <w:rsid w:val="00026E7A"/>
    <w:rsid w:val="00036EFF"/>
    <w:rsid w:val="000B36B1"/>
    <w:rsid w:val="00104657"/>
    <w:rsid w:val="00137708"/>
    <w:rsid w:val="00184D64"/>
    <w:rsid w:val="001B4CC4"/>
    <w:rsid w:val="001C28A0"/>
    <w:rsid w:val="001D0F5C"/>
    <w:rsid w:val="001F123B"/>
    <w:rsid w:val="00240B9E"/>
    <w:rsid w:val="00322F58"/>
    <w:rsid w:val="00346D05"/>
    <w:rsid w:val="003E406F"/>
    <w:rsid w:val="00402A62"/>
    <w:rsid w:val="004165F2"/>
    <w:rsid w:val="00420292"/>
    <w:rsid w:val="004B4352"/>
    <w:rsid w:val="004F3033"/>
    <w:rsid w:val="005A4311"/>
    <w:rsid w:val="005B47E0"/>
    <w:rsid w:val="0073568B"/>
    <w:rsid w:val="00747096"/>
    <w:rsid w:val="00750EC0"/>
    <w:rsid w:val="007F63F9"/>
    <w:rsid w:val="00847F36"/>
    <w:rsid w:val="008755AA"/>
    <w:rsid w:val="0089082B"/>
    <w:rsid w:val="00890EDC"/>
    <w:rsid w:val="008C2A4C"/>
    <w:rsid w:val="00991890"/>
    <w:rsid w:val="00A24392"/>
    <w:rsid w:val="00A7029B"/>
    <w:rsid w:val="00AE7502"/>
    <w:rsid w:val="00AF3740"/>
    <w:rsid w:val="00B73293"/>
    <w:rsid w:val="00C21B40"/>
    <w:rsid w:val="00D77B21"/>
    <w:rsid w:val="00E63C0E"/>
    <w:rsid w:val="00EF08EE"/>
    <w:rsid w:val="00F84A2D"/>
    <w:rsid w:val="013915B4"/>
    <w:rsid w:val="01455ABA"/>
    <w:rsid w:val="017754C9"/>
    <w:rsid w:val="018450AB"/>
    <w:rsid w:val="03DB3CD5"/>
    <w:rsid w:val="03FE10F9"/>
    <w:rsid w:val="0428632B"/>
    <w:rsid w:val="057C5CF6"/>
    <w:rsid w:val="05871995"/>
    <w:rsid w:val="05BE394B"/>
    <w:rsid w:val="07342FC6"/>
    <w:rsid w:val="07361687"/>
    <w:rsid w:val="08F278CA"/>
    <w:rsid w:val="0A69609B"/>
    <w:rsid w:val="0AAB1D08"/>
    <w:rsid w:val="0B5B7E94"/>
    <w:rsid w:val="0B696582"/>
    <w:rsid w:val="0C502C33"/>
    <w:rsid w:val="0CD41D0B"/>
    <w:rsid w:val="0E824294"/>
    <w:rsid w:val="0F1622A5"/>
    <w:rsid w:val="11D83EB6"/>
    <w:rsid w:val="121918AE"/>
    <w:rsid w:val="126E350F"/>
    <w:rsid w:val="131D46FB"/>
    <w:rsid w:val="14150B14"/>
    <w:rsid w:val="15380D0C"/>
    <w:rsid w:val="161909DD"/>
    <w:rsid w:val="16373A24"/>
    <w:rsid w:val="17D8413B"/>
    <w:rsid w:val="180141BB"/>
    <w:rsid w:val="18062A99"/>
    <w:rsid w:val="1B33302E"/>
    <w:rsid w:val="1BBB674D"/>
    <w:rsid w:val="1BC548EF"/>
    <w:rsid w:val="1BE705BF"/>
    <w:rsid w:val="1C8C2165"/>
    <w:rsid w:val="1DB725C0"/>
    <w:rsid w:val="1E440D57"/>
    <w:rsid w:val="1F442B72"/>
    <w:rsid w:val="20332F5E"/>
    <w:rsid w:val="20606EF4"/>
    <w:rsid w:val="209314D4"/>
    <w:rsid w:val="20FA1CCE"/>
    <w:rsid w:val="23477A98"/>
    <w:rsid w:val="244868B3"/>
    <w:rsid w:val="265E5011"/>
    <w:rsid w:val="269A0871"/>
    <w:rsid w:val="28416767"/>
    <w:rsid w:val="2A213986"/>
    <w:rsid w:val="2A62427C"/>
    <w:rsid w:val="2A89565E"/>
    <w:rsid w:val="2AF14A37"/>
    <w:rsid w:val="2B775BA3"/>
    <w:rsid w:val="2D3A4F1C"/>
    <w:rsid w:val="2DE33D62"/>
    <w:rsid w:val="2E462ABD"/>
    <w:rsid w:val="2F4F681A"/>
    <w:rsid w:val="2FE55D43"/>
    <w:rsid w:val="30C474C2"/>
    <w:rsid w:val="3158095E"/>
    <w:rsid w:val="31ED0D4A"/>
    <w:rsid w:val="32243FC1"/>
    <w:rsid w:val="34BE4BEB"/>
    <w:rsid w:val="35C1129C"/>
    <w:rsid w:val="36322B3B"/>
    <w:rsid w:val="36F40CDF"/>
    <w:rsid w:val="372D3A3D"/>
    <w:rsid w:val="373F6180"/>
    <w:rsid w:val="37423885"/>
    <w:rsid w:val="37A82279"/>
    <w:rsid w:val="37AE1B8B"/>
    <w:rsid w:val="38D064F5"/>
    <w:rsid w:val="38F27424"/>
    <w:rsid w:val="3B2A432E"/>
    <w:rsid w:val="3C8E00EA"/>
    <w:rsid w:val="3E0202C6"/>
    <w:rsid w:val="416077C3"/>
    <w:rsid w:val="42A03617"/>
    <w:rsid w:val="43143B39"/>
    <w:rsid w:val="438833C2"/>
    <w:rsid w:val="45BA44CC"/>
    <w:rsid w:val="468A6BFD"/>
    <w:rsid w:val="47190606"/>
    <w:rsid w:val="47735BD0"/>
    <w:rsid w:val="47BB609D"/>
    <w:rsid w:val="47CA196A"/>
    <w:rsid w:val="47F5521B"/>
    <w:rsid w:val="481D3236"/>
    <w:rsid w:val="498145E0"/>
    <w:rsid w:val="498B40A3"/>
    <w:rsid w:val="499333FE"/>
    <w:rsid w:val="4AA503AB"/>
    <w:rsid w:val="4B0E19F6"/>
    <w:rsid w:val="4B783BB4"/>
    <w:rsid w:val="4BE07E65"/>
    <w:rsid w:val="4C573AD4"/>
    <w:rsid w:val="4D144D35"/>
    <w:rsid w:val="4D7635CF"/>
    <w:rsid w:val="4DAA2866"/>
    <w:rsid w:val="4F2676D5"/>
    <w:rsid w:val="4FA6125F"/>
    <w:rsid w:val="505E70EA"/>
    <w:rsid w:val="5112378D"/>
    <w:rsid w:val="525B07C5"/>
    <w:rsid w:val="52E14EC4"/>
    <w:rsid w:val="53F51E89"/>
    <w:rsid w:val="54BB4CE2"/>
    <w:rsid w:val="57EE60DD"/>
    <w:rsid w:val="5A1A1C34"/>
    <w:rsid w:val="5A4E0010"/>
    <w:rsid w:val="5B812734"/>
    <w:rsid w:val="5BE04967"/>
    <w:rsid w:val="5C015C21"/>
    <w:rsid w:val="5D744988"/>
    <w:rsid w:val="5E720F58"/>
    <w:rsid w:val="61A62337"/>
    <w:rsid w:val="622349C8"/>
    <w:rsid w:val="630030FE"/>
    <w:rsid w:val="64344366"/>
    <w:rsid w:val="64D3048A"/>
    <w:rsid w:val="6516700E"/>
    <w:rsid w:val="65851F87"/>
    <w:rsid w:val="66CA48D2"/>
    <w:rsid w:val="68226450"/>
    <w:rsid w:val="687065DC"/>
    <w:rsid w:val="698B5557"/>
    <w:rsid w:val="69FB3BA8"/>
    <w:rsid w:val="6B3F4116"/>
    <w:rsid w:val="6C1535F7"/>
    <w:rsid w:val="6D2952CE"/>
    <w:rsid w:val="6E003853"/>
    <w:rsid w:val="6ECE5FF3"/>
    <w:rsid w:val="6ED74C74"/>
    <w:rsid w:val="6F1E75D5"/>
    <w:rsid w:val="6F566CB3"/>
    <w:rsid w:val="6FE10E88"/>
    <w:rsid w:val="70323266"/>
    <w:rsid w:val="7152191D"/>
    <w:rsid w:val="717F42C4"/>
    <w:rsid w:val="72377DC9"/>
    <w:rsid w:val="73240EA1"/>
    <w:rsid w:val="74036204"/>
    <w:rsid w:val="7479143D"/>
    <w:rsid w:val="74951BFB"/>
    <w:rsid w:val="74F71418"/>
    <w:rsid w:val="76821F0E"/>
    <w:rsid w:val="7B017C91"/>
    <w:rsid w:val="7EA32264"/>
    <w:rsid w:val="7F2D0F9D"/>
    <w:rsid w:val="7FA37B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eastAsia="宋体" w:asciiTheme="minorHAnsi" w:hAnsiTheme="minorHAnsi" w:cstheme="minorBidi"/>
      <w:kern w:val="2"/>
      <w:sz w:val="21"/>
      <w:szCs w:val="24"/>
      <w:lang w:val="en-US" w:eastAsia="zh-CN" w:bidi="ar-SA"/>
    </w:rPr>
  </w:style>
  <w:style w:type="paragraph" w:styleId="3">
    <w:name w:val="heading 1"/>
    <w:basedOn w:val="1"/>
    <w:next w:val="1"/>
    <w:link w:val="23"/>
    <w:qFormat/>
    <w:uiPriority w:val="0"/>
    <w:pPr>
      <w:keepNext/>
      <w:keepLines/>
      <w:spacing w:line="576" w:lineRule="auto"/>
      <w:jc w:val="center"/>
      <w:outlineLvl w:val="0"/>
    </w:pPr>
    <w:rPr>
      <w:b/>
      <w:kern w:val="44"/>
      <w:sz w:val="30"/>
    </w:rPr>
  </w:style>
  <w:style w:type="paragraph" w:styleId="4">
    <w:name w:val="heading 2"/>
    <w:basedOn w:val="1"/>
    <w:next w:val="1"/>
    <w:unhideWhenUsed/>
    <w:qFormat/>
    <w:uiPriority w:val="0"/>
    <w:pPr>
      <w:keepNext/>
      <w:keepLines/>
      <w:spacing w:line="413" w:lineRule="auto"/>
      <w:jc w:val="center"/>
      <w:outlineLvl w:val="1"/>
    </w:pPr>
    <w:rPr>
      <w:rFonts w:ascii="Arial" w:hAnsi="Arial"/>
      <w:b/>
      <w:sz w:val="28"/>
    </w:rPr>
  </w:style>
  <w:style w:type="paragraph" w:styleId="5">
    <w:name w:val="heading 3"/>
    <w:basedOn w:val="1"/>
    <w:next w:val="1"/>
    <w:unhideWhenUsed/>
    <w:qFormat/>
    <w:uiPriority w:val="0"/>
    <w:pPr>
      <w:keepNext/>
      <w:keepLines/>
      <w:spacing w:line="360" w:lineRule="auto"/>
      <w:outlineLvl w:val="2"/>
    </w:pPr>
    <w:rPr>
      <w:b/>
    </w:rPr>
  </w:style>
  <w:style w:type="paragraph" w:styleId="6">
    <w:name w:val="heading 4"/>
    <w:basedOn w:val="1"/>
    <w:next w:val="1"/>
    <w:unhideWhenUsed/>
    <w:qFormat/>
    <w:uiPriority w:val="9"/>
    <w:pPr>
      <w:keepNext/>
      <w:keepLines/>
      <w:spacing w:before="280" w:after="290" w:line="376" w:lineRule="auto"/>
      <w:outlineLvl w:val="3"/>
    </w:pPr>
    <w:rPr>
      <w:rFonts w:ascii="Cambria" w:hAnsi="Cambria" w:cs="Times New Roman"/>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7">
    <w:name w:val="Normal Indent"/>
    <w:basedOn w:val="1"/>
    <w:semiHidden/>
    <w:unhideWhenUsed/>
    <w:qFormat/>
    <w:uiPriority w:val="99"/>
    <w:pPr>
      <w:ind w:firstLine="420" w:firstLineChars="200"/>
    </w:pPr>
  </w:style>
  <w:style w:type="paragraph" w:styleId="8">
    <w:name w:val="annotation text"/>
    <w:basedOn w:val="1"/>
    <w:link w:val="53"/>
    <w:qFormat/>
    <w:uiPriority w:val="0"/>
  </w:style>
  <w:style w:type="paragraph" w:styleId="9">
    <w:name w:val="Body Text Indent"/>
    <w:basedOn w:val="1"/>
    <w:qFormat/>
    <w:uiPriority w:val="0"/>
    <w:pPr>
      <w:spacing w:after="120"/>
      <w:ind w:left="420" w:leftChars="200"/>
    </w:pPr>
  </w:style>
  <w:style w:type="paragraph" w:styleId="10">
    <w:name w:val="Plain Text"/>
    <w:basedOn w:val="1"/>
    <w:qFormat/>
    <w:uiPriority w:val="0"/>
    <w:rPr>
      <w:rFonts w:ascii="宋体" w:hAnsi="Courier New" w:eastAsiaTheme="minorEastAsia"/>
      <w:szCs w:val="22"/>
    </w:rPr>
  </w:style>
  <w:style w:type="paragraph" w:styleId="11">
    <w:name w:val="Balloon Text"/>
    <w:basedOn w:val="1"/>
    <w:link w:val="30"/>
    <w:qFormat/>
    <w:uiPriority w:val="0"/>
    <w:rPr>
      <w:sz w:val="18"/>
      <w:szCs w:val="18"/>
    </w:rPr>
  </w:style>
  <w:style w:type="paragraph" w:styleId="12">
    <w:name w:val="footer"/>
    <w:basedOn w:val="1"/>
    <w:qFormat/>
    <w:uiPriority w:val="0"/>
    <w:pPr>
      <w:tabs>
        <w:tab w:val="center" w:pos="4153"/>
        <w:tab w:val="right" w:pos="8306"/>
      </w:tabs>
      <w:snapToGrid w:val="0"/>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4">
    <w:name w:val="Normal (Web)"/>
    <w:basedOn w:val="1"/>
    <w:qFormat/>
    <w:uiPriority w:val="0"/>
    <w:rPr>
      <w:rFonts w:ascii="Times New Roman" w:hAnsi="Times New Roman" w:cs="Times New Roman"/>
      <w:sz w:val="24"/>
    </w:rPr>
  </w:style>
  <w:style w:type="paragraph" w:styleId="15">
    <w:name w:val="annotation subject"/>
    <w:basedOn w:val="8"/>
    <w:next w:val="8"/>
    <w:link w:val="54"/>
    <w:qFormat/>
    <w:uiPriority w:val="0"/>
    <w:rPr>
      <w:b/>
      <w:bCs/>
    </w:rPr>
  </w:style>
  <w:style w:type="paragraph" w:styleId="16">
    <w:name w:val="Body Text First Indent 2"/>
    <w:basedOn w:val="9"/>
    <w:qFormat/>
    <w:uiPriority w:val="0"/>
    <w:pPr>
      <w:spacing w:line="360" w:lineRule="auto"/>
      <w:ind w:firstLine="420" w:firstLineChars="200"/>
    </w:pPr>
    <w:rPr>
      <w:bCs/>
      <w:szCs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qFormat/>
    <w:uiPriority w:val="99"/>
    <w:rPr>
      <w:color w:val="0000FF"/>
      <w:u w:val="single"/>
    </w:rPr>
  </w:style>
  <w:style w:type="character" w:styleId="21">
    <w:name w:val="annotation reference"/>
    <w:basedOn w:val="19"/>
    <w:qFormat/>
    <w:uiPriority w:val="0"/>
    <w:rPr>
      <w:sz w:val="21"/>
      <w:szCs w:val="21"/>
    </w:rPr>
  </w:style>
  <w:style w:type="paragraph" w:styleId="22">
    <w:name w:val="List Paragraph"/>
    <w:basedOn w:val="1"/>
    <w:qFormat/>
    <w:uiPriority w:val="34"/>
    <w:pPr>
      <w:ind w:firstLine="420" w:firstLineChars="200"/>
    </w:pPr>
  </w:style>
  <w:style w:type="character" w:customStyle="1" w:styleId="23">
    <w:name w:val="标题 1 字符"/>
    <w:link w:val="3"/>
    <w:qFormat/>
    <w:uiPriority w:val="0"/>
    <w:rPr>
      <w:b/>
      <w:kern w:val="44"/>
      <w:sz w:val="30"/>
    </w:rPr>
  </w:style>
  <w:style w:type="paragraph" w:customStyle="1" w:styleId="24">
    <w:name w:val="Table Paragraph"/>
    <w:basedOn w:val="1"/>
    <w:qFormat/>
    <w:uiPriority w:val="1"/>
  </w:style>
  <w:style w:type="paragraph" w:customStyle="1" w:styleId="25">
    <w:name w:val="正文缩进2格"/>
    <w:basedOn w:val="1"/>
    <w:qFormat/>
    <w:uiPriority w:val="0"/>
    <w:pPr>
      <w:spacing w:line="600" w:lineRule="exact"/>
      <w:ind w:firstLine="639" w:firstLineChars="206"/>
      <w:jc w:val="both"/>
    </w:pPr>
    <w:rPr>
      <w:rFonts w:ascii="仿宋_GB2312" w:hAnsi="宋体" w:eastAsia="仿宋_GB2312"/>
      <w:sz w:val="31"/>
    </w:rPr>
  </w:style>
  <w:style w:type="paragraph" w:customStyle="1" w:styleId="26">
    <w:name w:val="WPSOffice手动目录 1"/>
    <w:qFormat/>
    <w:uiPriority w:val="0"/>
    <w:rPr>
      <w:rFonts w:asciiTheme="minorHAnsi" w:hAnsiTheme="minorHAnsi" w:eastAsiaTheme="minorEastAsia" w:cstheme="minorBidi"/>
      <w:lang w:val="en-US" w:eastAsia="zh-CN" w:bidi="ar-SA"/>
    </w:rPr>
  </w:style>
  <w:style w:type="paragraph" w:customStyle="1" w:styleId="27">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8">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29">
    <w:name w:val="列出段落1"/>
    <w:basedOn w:val="1"/>
    <w:qFormat/>
    <w:uiPriority w:val="0"/>
    <w:pPr>
      <w:ind w:firstLine="420" w:firstLineChars="200"/>
    </w:pPr>
    <w:rPr>
      <w:rFonts w:ascii="Calibri" w:hAnsi="Calibri"/>
      <w:kern w:val="0"/>
      <w:sz w:val="20"/>
      <w:szCs w:val="20"/>
    </w:rPr>
  </w:style>
  <w:style w:type="character" w:customStyle="1" w:styleId="30">
    <w:name w:val="批注框文本 字符"/>
    <w:basedOn w:val="19"/>
    <w:link w:val="11"/>
    <w:qFormat/>
    <w:uiPriority w:val="0"/>
    <w:rPr>
      <w:rFonts w:asciiTheme="minorHAnsi" w:hAnsiTheme="minorHAnsi" w:cstheme="minorBidi"/>
      <w:kern w:val="2"/>
      <w:sz w:val="18"/>
      <w:szCs w:val="18"/>
    </w:rPr>
  </w:style>
  <w:style w:type="paragraph" w:customStyle="1" w:styleId="31">
    <w:name w:val="Other|1"/>
    <w:basedOn w:val="1"/>
    <w:qFormat/>
    <w:uiPriority w:val="0"/>
    <w:pPr>
      <w:jc w:val="center"/>
    </w:pPr>
    <w:rPr>
      <w:rFonts w:ascii="宋体" w:hAnsi="宋体" w:cs="宋体"/>
      <w:sz w:val="14"/>
      <w:szCs w:val="14"/>
      <w:lang w:val="zh-TW" w:eastAsia="zh-TW" w:bidi="zh-TW"/>
    </w:rPr>
  </w:style>
  <w:style w:type="paragraph" w:customStyle="1" w:styleId="32">
    <w:name w:val="Char"/>
    <w:qFormat/>
    <w:uiPriority w:val="0"/>
    <w:pPr>
      <w:adjustRightInd w:val="0"/>
      <w:snapToGrid w:val="0"/>
      <w:spacing w:after="160" w:line="240" w:lineRule="exact"/>
      <w:ind w:left="-62" w:right="36" w:rightChars="15"/>
    </w:pPr>
    <w:rPr>
      <w:rFonts w:ascii="Arial" w:hAnsi="Arial" w:eastAsia="Times New Roman" w:cs="Times New Roman"/>
      <w:lang w:val="en-US" w:eastAsia="en-US" w:bidi="ar-SA"/>
    </w:rPr>
  </w:style>
  <w:style w:type="paragraph" w:customStyle="1" w:styleId="33">
    <w:name w:val="List Paragraph1"/>
    <w:basedOn w:val="1"/>
    <w:qFormat/>
    <w:uiPriority w:val="0"/>
    <w:pPr>
      <w:ind w:firstLine="420" w:firstLineChars="200"/>
      <w:jc w:val="both"/>
    </w:pPr>
    <w:rPr>
      <w:rFonts w:ascii="Calibri" w:hAnsi="Calibri"/>
    </w:rPr>
  </w:style>
  <w:style w:type="paragraph" w:customStyle="1" w:styleId="34">
    <w:name w:val="表格文字"/>
    <w:basedOn w:val="1"/>
    <w:qFormat/>
    <w:uiPriority w:val="0"/>
    <w:pPr>
      <w:spacing w:before="25" w:after="25" w:line="300" w:lineRule="auto"/>
    </w:pPr>
    <w:rPr>
      <w:rFonts w:ascii="Times" w:hAnsi="Times"/>
      <w:spacing w:val="10"/>
      <w:kern w:val="0"/>
      <w:sz w:val="24"/>
    </w:rPr>
  </w:style>
  <w:style w:type="paragraph" w:customStyle="1" w:styleId="35">
    <w:name w:val="Table Text"/>
    <w:basedOn w:val="1"/>
    <w:semiHidden/>
    <w:qFormat/>
    <w:uiPriority w:val="0"/>
    <w:rPr>
      <w:rFonts w:ascii="宋体" w:hAnsi="宋体" w:cs="宋体"/>
      <w:sz w:val="24"/>
      <w:lang w:eastAsia="en-US"/>
    </w:rPr>
  </w:style>
  <w:style w:type="table" w:customStyle="1" w:styleId="36">
    <w:name w:val="Table Normal"/>
    <w:semiHidden/>
    <w:unhideWhenUsed/>
    <w:qFormat/>
    <w:uiPriority w:val="0"/>
    <w:tblPr>
      <w:tblCellMar>
        <w:top w:w="0" w:type="dxa"/>
        <w:left w:w="0" w:type="dxa"/>
        <w:bottom w:w="0" w:type="dxa"/>
        <w:right w:w="0" w:type="dxa"/>
      </w:tblCellMar>
    </w:tblPr>
  </w:style>
  <w:style w:type="character" w:customStyle="1" w:styleId="37">
    <w:name w:val="font41"/>
    <w:basedOn w:val="19"/>
    <w:qFormat/>
    <w:uiPriority w:val="0"/>
    <w:rPr>
      <w:rFonts w:hint="eastAsia" w:ascii="宋体" w:hAnsi="宋体" w:eastAsia="宋体" w:cs="宋体"/>
      <w:b/>
      <w:bCs/>
      <w:color w:val="000000"/>
      <w:sz w:val="20"/>
      <w:szCs w:val="20"/>
      <w:u w:val="none"/>
    </w:rPr>
  </w:style>
  <w:style w:type="character" w:customStyle="1" w:styleId="38">
    <w:name w:val="font21"/>
    <w:basedOn w:val="19"/>
    <w:qFormat/>
    <w:uiPriority w:val="0"/>
    <w:rPr>
      <w:rFonts w:hint="default" w:ascii="Times New Roman" w:hAnsi="Times New Roman" w:cs="Times New Roman"/>
      <w:b/>
      <w:bCs/>
      <w:color w:val="000000"/>
      <w:sz w:val="20"/>
      <w:szCs w:val="20"/>
      <w:u w:val="none"/>
    </w:rPr>
  </w:style>
  <w:style w:type="character" w:customStyle="1" w:styleId="39">
    <w:name w:val="font51"/>
    <w:basedOn w:val="19"/>
    <w:qFormat/>
    <w:uiPriority w:val="0"/>
    <w:rPr>
      <w:rFonts w:hint="default" w:ascii="Times New Roman" w:hAnsi="Times New Roman" w:cs="Times New Roman"/>
      <w:b/>
      <w:bCs/>
      <w:color w:val="000000"/>
      <w:sz w:val="20"/>
      <w:szCs w:val="20"/>
      <w:u w:val="none"/>
      <w:vertAlign w:val="superscript"/>
    </w:rPr>
  </w:style>
  <w:style w:type="character" w:customStyle="1" w:styleId="40">
    <w:name w:val="font61"/>
    <w:basedOn w:val="19"/>
    <w:qFormat/>
    <w:uiPriority w:val="0"/>
    <w:rPr>
      <w:rFonts w:hint="eastAsia" w:ascii="宋体" w:hAnsi="宋体" w:eastAsia="宋体" w:cs="宋体"/>
      <w:color w:val="000000"/>
      <w:sz w:val="20"/>
      <w:szCs w:val="20"/>
      <w:u w:val="none"/>
    </w:rPr>
  </w:style>
  <w:style w:type="character" w:customStyle="1" w:styleId="41">
    <w:name w:val="font31"/>
    <w:basedOn w:val="19"/>
    <w:qFormat/>
    <w:uiPriority w:val="0"/>
    <w:rPr>
      <w:rFonts w:hint="default" w:ascii="Times New Roman" w:hAnsi="Times New Roman" w:cs="Times New Roman"/>
      <w:color w:val="000000"/>
      <w:sz w:val="20"/>
      <w:szCs w:val="20"/>
      <w:u w:val="none"/>
    </w:rPr>
  </w:style>
  <w:style w:type="character" w:customStyle="1" w:styleId="42">
    <w:name w:val="font71"/>
    <w:qFormat/>
    <w:uiPriority w:val="0"/>
    <w:rPr>
      <w:rFonts w:hint="eastAsia" w:ascii="微软雅黑" w:hAnsi="微软雅黑" w:eastAsia="微软雅黑" w:cs="微软雅黑"/>
      <w:color w:val="000000"/>
      <w:sz w:val="22"/>
      <w:szCs w:val="22"/>
      <w:u w:val="none"/>
    </w:rPr>
  </w:style>
  <w:style w:type="character" w:customStyle="1" w:styleId="43">
    <w:name w:val="font81"/>
    <w:qFormat/>
    <w:uiPriority w:val="0"/>
    <w:rPr>
      <w:rFonts w:hint="eastAsia" w:ascii="微软雅黑" w:hAnsi="微软雅黑" w:eastAsia="微软雅黑" w:cs="微软雅黑"/>
      <w:b/>
      <w:bCs/>
      <w:color w:val="000000"/>
      <w:sz w:val="22"/>
      <w:szCs w:val="22"/>
      <w:u w:val="none"/>
    </w:rPr>
  </w:style>
  <w:style w:type="character" w:customStyle="1" w:styleId="44">
    <w:name w:val="font11"/>
    <w:qFormat/>
    <w:uiPriority w:val="0"/>
    <w:rPr>
      <w:rFonts w:hint="eastAsia" w:ascii="微软雅黑" w:hAnsi="微软雅黑" w:eastAsia="微软雅黑" w:cs="微软雅黑"/>
      <w:color w:val="000000"/>
      <w:sz w:val="22"/>
      <w:szCs w:val="22"/>
      <w:u w:val="none"/>
    </w:rPr>
  </w:style>
  <w:style w:type="character" w:customStyle="1" w:styleId="45">
    <w:name w:val="font101"/>
    <w:basedOn w:val="19"/>
    <w:qFormat/>
    <w:uiPriority w:val="0"/>
    <w:rPr>
      <w:rFonts w:hint="eastAsia" w:ascii="宋体" w:hAnsi="宋体" w:eastAsia="宋体" w:cs="宋体"/>
      <w:color w:val="FF0000"/>
      <w:sz w:val="24"/>
      <w:szCs w:val="24"/>
      <w:u w:val="none"/>
    </w:rPr>
  </w:style>
  <w:style w:type="character" w:customStyle="1" w:styleId="46">
    <w:name w:val="font91"/>
    <w:basedOn w:val="19"/>
    <w:qFormat/>
    <w:uiPriority w:val="0"/>
    <w:rPr>
      <w:rFonts w:hint="eastAsia" w:ascii="宋体" w:hAnsi="宋体" w:eastAsia="宋体" w:cs="宋体"/>
      <w:b/>
      <w:bCs/>
      <w:color w:val="000000"/>
      <w:sz w:val="24"/>
      <w:szCs w:val="24"/>
      <w:u w:val="none"/>
    </w:rPr>
  </w:style>
  <w:style w:type="character" w:customStyle="1" w:styleId="47">
    <w:name w:val="font112"/>
    <w:basedOn w:val="19"/>
    <w:qFormat/>
    <w:uiPriority w:val="0"/>
    <w:rPr>
      <w:rFonts w:hint="eastAsia" w:ascii="宋体" w:hAnsi="宋体" w:eastAsia="宋体" w:cs="宋体"/>
      <w:color w:val="000000"/>
      <w:sz w:val="24"/>
      <w:szCs w:val="24"/>
      <w:u w:val="none"/>
      <w:vertAlign w:val="subscript"/>
    </w:rPr>
  </w:style>
  <w:style w:type="character" w:customStyle="1" w:styleId="48">
    <w:name w:val="font01"/>
    <w:basedOn w:val="19"/>
    <w:qFormat/>
    <w:uiPriority w:val="0"/>
    <w:rPr>
      <w:rFonts w:hint="eastAsia" w:ascii="宋体" w:hAnsi="宋体" w:eastAsia="宋体" w:cs="宋体"/>
      <w:color w:val="000000"/>
      <w:sz w:val="24"/>
      <w:szCs w:val="24"/>
      <w:u w:val="none"/>
    </w:rPr>
  </w:style>
  <w:style w:type="character" w:customStyle="1" w:styleId="49">
    <w:name w:val="font181"/>
    <w:basedOn w:val="19"/>
    <w:qFormat/>
    <w:uiPriority w:val="0"/>
    <w:rPr>
      <w:rFonts w:hint="default" w:ascii="华康简标题宋" w:hAnsi="华康简标题宋" w:eastAsia="华康简标题宋" w:cs="华康简标题宋"/>
      <w:b/>
      <w:bCs/>
      <w:color w:val="000000"/>
      <w:sz w:val="32"/>
      <w:szCs w:val="32"/>
      <w:u w:val="single"/>
    </w:rPr>
  </w:style>
  <w:style w:type="character" w:customStyle="1" w:styleId="50">
    <w:name w:val="font151"/>
    <w:basedOn w:val="19"/>
    <w:qFormat/>
    <w:uiPriority w:val="0"/>
    <w:rPr>
      <w:rFonts w:hint="default" w:ascii="仿宋_GB2312" w:eastAsia="仿宋_GB2312" w:cs="仿宋_GB2312"/>
      <w:color w:val="000000"/>
      <w:sz w:val="16"/>
      <w:szCs w:val="16"/>
      <w:u w:val="none"/>
    </w:rPr>
  </w:style>
  <w:style w:type="character" w:customStyle="1" w:styleId="51">
    <w:name w:val="font131"/>
    <w:basedOn w:val="19"/>
    <w:qFormat/>
    <w:uiPriority w:val="0"/>
    <w:rPr>
      <w:rFonts w:hint="default" w:ascii="仿宋_GB2312" w:eastAsia="仿宋_GB2312" w:cs="仿宋_GB2312"/>
      <w:b/>
      <w:bCs/>
      <w:color w:val="000000"/>
      <w:sz w:val="16"/>
      <w:szCs w:val="16"/>
      <w:u w:val="none"/>
    </w:rPr>
  </w:style>
  <w:style w:type="character" w:customStyle="1" w:styleId="52">
    <w:name w:val="font161"/>
    <w:basedOn w:val="19"/>
    <w:qFormat/>
    <w:uiPriority w:val="0"/>
    <w:rPr>
      <w:rFonts w:hint="eastAsia" w:ascii="黑体" w:hAnsi="宋体" w:eastAsia="黑体" w:cs="黑体"/>
      <w:color w:val="000000"/>
      <w:sz w:val="20"/>
      <w:szCs w:val="20"/>
      <w:u w:val="none"/>
    </w:rPr>
  </w:style>
  <w:style w:type="character" w:customStyle="1" w:styleId="53">
    <w:name w:val="批注文字 字符"/>
    <w:basedOn w:val="19"/>
    <w:link w:val="8"/>
    <w:qFormat/>
    <w:uiPriority w:val="0"/>
    <w:rPr>
      <w:rFonts w:asciiTheme="minorHAnsi" w:hAnsiTheme="minorHAnsi" w:cstheme="minorBidi"/>
      <w:kern w:val="2"/>
      <w:sz w:val="21"/>
      <w:szCs w:val="24"/>
    </w:rPr>
  </w:style>
  <w:style w:type="character" w:customStyle="1" w:styleId="54">
    <w:name w:val="批注主题 字符"/>
    <w:basedOn w:val="53"/>
    <w:link w:val="15"/>
    <w:qFormat/>
    <w:uiPriority w:val="0"/>
    <w:rPr>
      <w:rFonts w:asciiTheme="minorHAnsi" w:hAnsiTheme="minorHAnsi"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226</Pages>
  <Words>24789</Words>
  <Characters>141303</Characters>
  <Lines>1177</Lines>
  <Paragraphs>331</Paragraphs>
  <TotalTime>2</TotalTime>
  <ScaleCrop>false</ScaleCrop>
  <LinksUpToDate>false</LinksUpToDate>
  <CharactersWithSpaces>165761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2022-03-25T07:20:00Z</dcterms:created>
  <dc:creator>国顺-陈锦涛</dc:creator>
  <cp:lastModifiedBy>国顺</cp:lastModifiedBy>
  <cp:lastPrinted>2023-12-22T09:20:00Z</cp:lastPrinted>
  <dcterms:modified xsi:type="dcterms:W3CDTF">2023-12-25T03:01:58Z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3C0A8ED14C2F4F55862FA348C60EA068_13</vt:lpwstr>
  </property>
</Properties>
</file>