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color w:val="auto"/>
          <w:highlight w:val="none"/>
        </w:rPr>
      </w:pPr>
    </w:p>
    <w:p>
      <w:pPr>
        <w:jc w:val="center"/>
        <w:rPr>
          <w:color w:val="auto"/>
          <w:highlight w:val="none"/>
        </w:rPr>
      </w:pPr>
    </w:p>
    <w:p>
      <w:pPr>
        <w:spacing w:before="156" w:beforeLines="50" w:after="156"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pPr>
        <w:spacing w:before="156" w:beforeLines="50" w:after="156"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pPr>
        <w:spacing w:before="156" w:beforeLines="50" w:after="156"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8" cstate="print"/>
                    <a:stretch>
                      <a:fillRect/>
                    </a:stretch>
                  </pic:blipFill>
                  <pic:spPr>
                    <a:xfrm>
                      <a:off x="0" y="0"/>
                      <a:ext cx="1563370" cy="1588135"/>
                    </a:xfrm>
                    <a:prstGeom prst="rect">
                      <a:avLst/>
                    </a:prstGeom>
                  </pic:spPr>
                </pic:pic>
              </a:graphicData>
            </a:graphic>
          </wp:inline>
        </w:drawing>
      </w:r>
    </w:p>
    <w:p>
      <w:pPr>
        <w:rPr>
          <w:color w:val="auto"/>
          <w:highlight w:val="none"/>
        </w:rPr>
      </w:pPr>
    </w:p>
    <w:p>
      <w:pPr>
        <w:rPr>
          <w:color w:val="auto"/>
          <w:highlight w:val="none"/>
        </w:rPr>
      </w:pPr>
    </w:p>
    <w:p>
      <w:pPr>
        <w:rPr>
          <w:color w:val="auto"/>
          <w:highlight w:val="none"/>
        </w:rPr>
      </w:pPr>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370"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ascii="黑体" w:hAnsi="黑体" w:eastAsia="黑体" w:cs="黑体"/>
                <w:color w:val="auto"/>
                <w:sz w:val="30"/>
                <w:szCs w:val="30"/>
                <w:highlight w:val="none"/>
              </w:rPr>
              <w:t>东莞市长安镇</w:t>
            </w:r>
            <w:r>
              <w:rPr>
                <w:rFonts w:hint="eastAsia" w:ascii="黑体" w:hAnsi="黑体" w:eastAsia="黑体" w:cs="黑体"/>
                <w:color w:val="auto"/>
                <w:sz w:val="30"/>
                <w:szCs w:val="30"/>
                <w:highlight w:val="none"/>
                <w:lang w:eastAsia="zh-CN"/>
              </w:rPr>
              <w:t>新民</w:t>
            </w:r>
            <w:r>
              <w:rPr>
                <w:rFonts w:ascii="黑体" w:hAnsi="黑体" w:eastAsia="黑体" w:cs="黑体"/>
                <w:color w:val="auto"/>
                <w:sz w:val="30"/>
                <w:szCs w:val="30"/>
                <w:highlight w:val="none"/>
              </w:rPr>
              <w:t>社区环卫保洁服务项目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370"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ascii="黑体" w:hAnsi="黑体" w:eastAsia="黑体" w:cs="黑体"/>
                <w:color w:val="auto"/>
                <w:sz w:val="30"/>
                <w:szCs w:val="30"/>
                <w:highlight w:val="none"/>
              </w:rPr>
              <w:t>GSDG2023-04</w:t>
            </w:r>
            <w:r>
              <w:rPr>
                <w:rFonts w:hint="eastAsia" w:ascii="黑体" w:hAnsi="黑体" w:eastAsia="黑体" w:cs="黑体"/>
                <w:color w:val="auto"/>
                <w:sz w:val="30"/>
                <w:szCs w:val="30"/>
                <w:highlight w:val="none"/>
                <w:lang w:val="en-US" w:eastAsia="zh-CN"/>
              </w:rPr>
              <w:t>6</w:t>
            </w:r>
            <w:r>
              <w:rPr>
                <w:rFonts w:ascii="黑体" w:hAnsi="黑体" w:eastAsia="黑体" w:cs="黑体"/>
                <w:color w:val="auto"/>
                <w:sz w:val="30"/>
                <w:szCs w:val="3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w:t>
            </w:r>
          </w:p>
        </w:tc>
        <w:tc>
          <w:tcPr>
            <w:tcW w:w="3370"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ascii="黑体" w:hAnsi="黑体" w:eastAsia="黑体" w:cs="黑体"/>
                <w:color w:val="auto"/>
                <w:sz w:val="30"/>
                <w:szCs w:val="30"/>
                <w:highlight w:val="none"/>
              </w:rPr>
              <w:t>东莞市长安镇</w:t>
            </w:r>
            <w:r>
              <w:rPr>
                <w:rFonts w:hint="eastAsia" w:ascii="黑体" w:hAnsi="黑体" w:eastAsia="黑体" w:cs="黑体"/>
                <w:color w:val="auto"/>
                <w:sz w:val="30"/>
                <w:szCs w:val="30"/>
                <w:highlight w:val="none"/>
                <w:lang w:eastAsia="zh-CN"/>
              </w:rPr>
              <w:t>新民</w:t>
            </w:r>
            <w:r>
              <w:rPr>
                <w:rFonts w:ascii="黑体" w:hAnsi="黑体" w:eastAsia="黑体" w:cs="黑体"/>
                <w:color w:val="auto"/>
                <w:sz w:val="30"/>
                <w:szCs w:val="30"/>
                <w:highlight w:val="none"/>
              </w:rPr>
              <w:t>社区居民委员会</w:t>
            </w:r>
            <w:r>
              <w:rPr>
                <w:rFonts w:hint="eastAsia" w:ascii="黑体" w:hAnsi="黑体" w:eastAsia="黑体" w:cs="黑体"/>
                <w:color w:val="auto"/>
                <w:sz w:val="30"/>
                <w:szCs w:val="3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370"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pPr>
        <w:rPr>
          <w:color w:val="auto"/>
          <w:highlight w:val="none"/>
        </w:rPr>
      </w:pPr>
    </w:p>
    <w:p>
      <w:pPr>
        <w:rPr>
          <w:color w:val="auto"/>
          <w:highlight w:val="none"/>
        </w:rPr>
      </w:pPr>
    </w:p>
    <w:p>
      <w:pPr>
        <w:jc w:val="center"/>
        <w:rPr>
          <w:color w:val="auto"/>
          <w:sz w:val="24"/>
          <w:szCs w:val="32"/>
          <w:highlight w:val="none"/>
        </w:rPr>
      </w:pPr>
    </w:p>
    <w:p>
      <w:pPr>
        <w:jc w:val="center"/>
        <w:rPr>
          <w:color w:val="auto"/>
          <w:sz w:val="24"/>
          <w:szCs w:val="32"/>
          <w:highlight w:val="none"/>
        </w:rPr>
      </w:pPr>
    </w:p>
    <w:p>
      <w:pPr>
        <w:jc w:val="center"/>
        <w:outlineLvl w:val="0"/>
        <w:rPr>
          <w:rFonts w:ascii="黑体" w:hAnsi="黑体" w:eastAsia="黑体" w:cs="黑体"/>
          <w:color w:val="auto"/>
          <w:sz w:val="30"/>
          <w:szCs w:val="30"/>
          <w:highlight w:val="none"/>
        </w:rPr>
        <w:sectPr>
          <w:headerReference r:id="rId3" w:type="default"/>
          <w:pgSz w:w="11906" w:h="16838"/>
          <w:pgMar w:top="1440" w:right="1800" w:bottom="1440" w:left="1800" w:header="851" w:footer="992" w:gutter="0"/>
          <w:cols w:space="425" w:num="1"/>
          <w:titlePg/>
          <w:docGrid w:type="lines" w:linePitch="312" w:charSpace="0"/>
        </w:sectPr>
      </w:pPr>
      <w:bookmarkStart w:id="2" w:name="_Toc5265"/>
      <w:r>
        <w:rPr>
          <w:rFonts w:hint="eastAsia" w:ascii="黑体" w:hAnsi="黑体" w:eastAsia="黑体" w:cs="黑体"/>
          <w:color w:val="auto"/>
          <w:sz w:val="30"/>
          <w:szCs w:val="30"/>
          <w:highlight w:val="none"/>
        </w:rPr>
        <w:t>2023年</w:t>
      </w:r>
      <w:r>
        <w:rPr>
          <w:rFonts w:hint="eastAsia" w:ascii="黑体" w:hAnsi="黑体" w:eastAsia="黑体" w:cs="黑体"/>
          <w:color w:val="auto"/>
          <w:sz w:val="30"/>
          <w:szCs w:val="30"/>
          <w:highlight w:val="none"/>
          <w:lang w:val="en-US" w:eastAsia="zh-CN"/>
        </w:rPr>
        <w:t>12</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29</w:t>
      </w:r>
      <w:r>
        <w:rPr>
          <w:rFonts w:hint="eastAsia" w:ascii="黑体" w:hAnsi="黑体" w:eastAsia="黑体" w:cs="黑体"/>
          <w:color w:val="auto"/>
          <w:sz w:val="30"/>
          <w:szCs w:val="30"/>
          <w:highlight w:val="none"/>
        </w:rPr>
        <w:t>日</w:t>
      </w:r>
      <w:bookmarkEnd w:id="2"/>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pPr>
            <w:jc w:val="center"/>
            <w:rPr>
              <w:b/>
              <w:bCs/>
              <w:color w:val="auto"/>
              <w:sz w:val="24"/>
              <w:szCs w:val="32"/>
              <w:highlight w:val="none"/>
            </w:rPr>
          </w:pPr>
          <w:r>
            <w:rPr>
              <w:rFonts w:ascii="宋体" w:hAnsi="宋体"/>
              <w:b/>
              <w:bCs/>
              <w:color w:val="auto"/>
              <w:sz w:val="24"/>
              <w:szCs w:val="32"/>
              <w:highlight w:val="none"/>
            </w:rPr>
            <w:t>目录</w:t>
          </w:r>
        </w:p>
        <w:p>
          <w:pPr>
            <w:pStyle w:val="27"/>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pPr>
            <w:pStyle w:val="27"/>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7"/>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8"/>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8"/>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16.★投标保证金（本项目不收取）</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7"/>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7"/>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pPr>
            <w:pStyle w:val="27"/>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pPr>
            <w:pStyle w:val="27"/>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159</w:t>
          </w:r>
          <w:r>
            <w:rPr>
              <w:color w:val="auto"/>
              <w:highlight w:val="none"/>
            </w:rPr>
            <w:fldChar w:fldCharType="end"/>
          </w:r>
          <w:r>
            <w:rPr>
              <w:color w:val="auto"/>
              <w:highlight w:val="none"/>
            </w:rPr>
            <w:fldChar w:fldCharType="end"/>
          </w:r>
        </w:p>
        <w:p>
          <w:pPr>
            <w:pStyle w:val="27"/>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182</w:t>
          </w:r>
          <w:r>
            <w:rPr>
              <w:color w:val="auto"/>
              <w:highlight w:val="none"/>
            </w:rPr>
            <w:fldChar w:fldCharType="end"/>
          </w:r>
          <w:r>
            <w:rPr>
              <w:color w:val="auto"/>
              <w:highlight w:val="none"/>
            </w:rPr>
            <w:fldChar w:fldCharType="end"/>
          </w:r>
        </w:p>
        <w:p>
          <w:pPr>
            <w:pStyle w:val="27"/>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184</w:t>
          </w:r>
          <w:r>
            <w:rPr>
              <w:color w:val="auto"/>
              <w:highlight w:val="none"/>
            </w:rPr>
            <w:fldChar w:fldCharType="end"/>
          </w:r>
          <w:r>
            <w:rPr>
              <w:color w:val="auto"/>
              <w:highlight w:val="none"/>
            </w:rPr>
            <w:fldChar w:fldCharType="end"/>
          </w:r>
        </w:p>
        <w:p>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pStyle w:val="3"/>
        <w:numPr>
          <w:ilvl w:val="0"/>
          <w:numId w:val="1"/>
        </w:numPr>
        <w:rPr>
          <w:color w:val="auto"/>
          <w:highlight w:val="none"/>
        </w:rPr>
      </w:pPr>
      <w:bookmarkStart w:id="3" w:name="_Toc6185"/>
      <w:r>
        <w:rPr>
          <w:rFonts w:hint="eastAsia"/>
          <w:color w:val="auto"/>
          <w:highlight w:val="none"/>
        </w:rPr>
        <w:t>投标邀请</w:t>
      </w:r>
      <w:bookmarkEnd w:id="3"/>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ascii="宋体" w:hAnsi="宋体" w:cs="宋体"/>
          <w:b/>
          <w:bCs/>
          <w:color w:val="auto"/>
          <w:szCs w:val="21"/>
          <w:highlight w:val="none"/>
          <w:u w:val="single"/>
        </w:rPr>
        <w:t>东莞市长安镇</w:t>
      </w:r>
      <w:r>
        <w:rPr>
          <w:rFonts w:hint="eastAsia" w:ascii="宋体" w:hAnsi="宋体" w:cs="宋体"/>
          <w:b/>
          <w:bCs/>
          <w:color w:val="auto"/>
          <w:szCs w:val="21"/>
          <w:highlight w:val="none"/>
          <w:u w:val="single"/>
          <w:lang w:eastAsia="zh-CN"/>
        </w:rPr>
        <w:t>新民</w:t>
      </w:r>
      <w:r>
        <w:rPr>
          <w:rFonts w:ascii="宋体" w:hAnsi="宋体" w:cs="宋体"/>
          <w:b/>
          <w:bCs/>
          <w:color w:val="auto"/>
          <w:szCs w:val="21"/>
          <w:highlight w:val="none"/>
          <w:u w:val="single"/>
        </w:rPr>
        <w:t>社区环卫保洁服务项目</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东莞市南城街道鸿福西路81号国际商会大厦13A层01室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2024年</w:t>
      </w:r>
      <w:r>
        <w:rPr>
          <w:rFonts w:hint="eastAsia" w:ascii="宋体" w:hAnsi="宋体" w:cs="宋体"/>
          <w:b/>
          <w:bCs/>
          <w:color w:val="auto"/>
          <w:szCs w:val="21"/>
          <w:highlight w:val="none"/>
          <w:u w:val="single"/>
          <w:lang w:val="en-US" w:eastAsia="zh-CN"/>
        </w:rPr>
        <w:t>1</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19</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14</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p>
    <w:p>
      <w:pPr>
        <w:pStyle w:val="4"/>
        <w:spacing w:line="360" w:lineRule="auto"/>
        <w:jc w:val="left"/>
        <w:rPr>
          <w:rFonts w:ascii="宋体" w:hAnsi="宋体" w:cs="宋体"/>
          <w:bCs/>
          <w:color w:val="auto"/>
          <w:sz w:val="21"/>
          <w:szCs w:val="21"/>
          <w:highlight w:val="none"/>
        </w:rPr>
      </w:pPr>
      <w:bookmarkStart w:id="4" w:name="_Toc28359079"/>
      <w:bookmarkStart w:id="5" w:name="_Toc28359002"/>
      <w:bookmarkStart w:id="6" w:name="_Toc35393621"/>
      <w:bookmarkStart w:id="7" w:name="_Toc35393790"/>
      <w:bookmarkStart w:id="8" w:name="_Toc2169"/>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GSDG2023-046C</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w:t>
      </w:r>
      <w:r>
        <w:rPr>
          <w:rFonts w:ascii="宋体" w:hAnsi="宋体" w:cs="宋体"/>
          <w:color w:val="auto"/>
          <w:szCs w:val="21"/>
          <w:highlight w:val="none"/>
        </w:rPr>
        <w:t>东莞市长安镇</w:t>
      </w:r>
      <w:r>
        <w:rPr>
          <w:rFonts w:hint="eastAsia" w:ascii="宋体" w:hAnsi="宋体" w:cs="宋体"/>
          <w:color w:val="auto"/>
          <w:szCs w:val="21"/>
          <w:highlight w:val="none"/>
          <w:lang w:eastAsia="zh-CN"/>
        </w:rPr>
        <w:t>新民</w:t>
      </w:r>
      <w:r>
        <w:rPr>
          <w:rFonts w:ascii="宋体" w:hAnsi="宋体" w:cs="宋体"/>
          <w:color w:val="auto"/>
          <w:szCs w:val="21"/>
          <w:highlight w:val="none"/>
        </w:rPr>
        <w:t>社区环卫保洁服务项目</w:t>
      </w:r>
    </w:p>
    <w:bookmarkEnd w:id="9"/>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项目预算：¥19</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007</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297.58元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4855"/>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59" w:type="dxa"/>
            <w:vAlign w:val="center"/>
          </w:tcPr>
          <w:p>
            <w:pPr>
              <w:spacing w:line="360" w:lineRule="auto"/>
              <w:jc w:val="center"/>
              <w:rPr>
                <w:rFonts w:hAnsi="宋体"/>
                <w:color w:val="auto"/>
                <w:szCs w:val="21"/>
                <w:highlight w:val="none"/>
              </w:rPr>
            </w:pPr>
            <w:r>
              <w:rPr>
                <w:rFonts w:hint="eastAsia" w:hAnsi="宋体"/>
                <w:color w:val="auto"/>
                <w:szCs w:val="21"/>
                <w:highlight w:val="none"/>
              </w:rPr>
              <w:t>包号</w:t>
            </w:r>
          </w:p>
        </w:tc>
        <w:tc>
          <w:tcPr>
            <w:tcW w:w="4855" w:type="dxa"/>
            <w:vAlign w:val="center"/>
          </w:tcPr>
          <w:p>
            <w:pPr>
              <w:spacing w:line="360" w:lineRule="auto"/>
              <w:jc w:val="center"/>
              <w:rPr>
                <w:rFonts w:hAnsi="宋体"/>
                <w:color w:val="auto"/>
                <w:szCs w:val="21"/>
                <w:highlight w:val="none"/>
              </w:rPr>
            </w:pPr>
            <w:r>
              <w:rPr>
                <w:rFonts w:hint="eastAsia" w:hAnsi="宋体"/>
                <w:b/>
                <w:color w:val="auto"/>
                <w:szCs w:val="21"/>
                <w:highlight w:val="none"/>
              </w:rPr>
              <w:t>项目内容</w:t>
            </w:r>
          </w:p>
        </w:tc>
        <w:tc>
          <w:tcPr>
            <w:tcW w:w="2500" w:type="dxa"/>
            <w:vAlign w:val="center"/>
          </w:tcPr>
          <w:p>
            <w:pPr>
              <w:spacing w:line="360" w:lineRule="auto"/>
              <w:jc w:val="center"/>
              <w:rPr>
                <w:rFonts w:hAnsi="宋体"/>
                <w:b/>
                <w:color w:val="auto"/>
                <w:szCs w:val="21"/>
                <w:highlight w:val="none"/>
              </w:rPr>
            </w:pPr>
            <w:r>
              <w:rPr>
                <w:rFonts w:hint="eastAsia" w:hAnsi="宋体"/>
                <w:b/>
                <w:color w:val="auto"/>
                <w:szCs w:val="21"/>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059" w:type="dxa"/>
            <w:vAlign w:val="center"/>
          </w:tcPr>
          <w:p>
            <w:pPr>
              <w:spacing w:line="360" w:lineRule="auto"/>
              <w:jc w:val="center"/>
              <w:rPr>
                <w:rFonts w:hAnsi="宋体"/>
                <w:color w:val="auto"/>
                <w:szCs w:val="21"/>
                <w:highlight w:val="none"/>
              </w:rPr>
            </w:pPr>
            <w:r>
              <w:rPr>
                <w:rFonts w:hint="eastAsia" w:hAnsi="宋体"/>
                <w:color w:val="auto"/>
                <w:szCs w:val="21"/>
                <w:highlight w:val="none"/>
              </w:rPr>
              <w:t>包A</w:t>
            </w:r>
          </w:p>
        </w:tc>
        <w:tc>
          <w:tcPr>
            <w:tcW w:w="4855" w:type="dxa"/>
            <w:vAlign w:val="center"/>
          </w:tcPr>
          <w:p>
            <w:pPr>
              <w:spacing w:line="360" w:lineRule="auto"/>
              <w:jc w:val="center"/>
              <w:rPr>
                <w:rFonts w:hAnsi="宋体"/>
                <w:color w:val="auto"/>
                <w:szCs w:val="21"/>
                <w:highlight w:val="none"/>
              </w:rPr>
            </w:pPr>
            <w:r>
              <w:rPr>
                <w:rFonts w:ascii="宋体" w:hAnsi="宋体" w:cs="宋体"/>
                <w:color w:val="auto"/>
                <w:szCs w:val="21"/>
                <w:highlight w:val="none"/>
              </w:rPr>
              <w:t>东莞市长安镇</w:t>
            </w:r>
            <w:r>
              <w:rPr>
                <w:rFonts w:hint="eastAsia" w:ascii="宋体" w:hAnsi="宋体" w:cs="宋体"/>
                <w:color w:val="auto"/>
                <w:szCs w:val="21"/>
                <w:highlight w:val="none"/>
                <w:lang w:eastAsia="zh-CN"/>
              </w:rPr>
              <w:t>新民</w:t>
            </w:r>
            <w:r>
              <w:rPr>
                <w:rFonts w:ascii="宋体" w:hAnsi="宋体" w:cs="宋体"/>
                <w:color w:val="auto"/>
                <w:szCs w:val="21"/>
                <w:highlight w:val="none"/>
              </w:rPr>
              <w:t>社区环卫保洁服务项目</w:t>
            </w:r>
            <w:r>
              <w:rPr>
                <w:rFonts w:hint="eastAsia" w:hAnsi="宋体"/>
                <w:color w:val="auto"/>
                <w:szCs w:val="21"/>
                <w:highlight w:val="none"/>
              </w:rPr>
              <w:t>采购一项</w:t>
            </w:r>
          </w:p>
        </w:tc>
        <w:tc>
          <w:tcPr>
            <w:tcW w:w="2500" w:type="dxa"/>
            <w:vAlign w:val="center"/>
          </w:tcPr>
          <w:p>
            <w:pPr>
              <w:spacing w:line="360" w:lineRule="auto"/>
              <w:jc w:val="center"/>
              <w:rPr>
                <w:rFonts w:hAnsi="宋体"/>
                <w:color w:val="auto"/>
                <w:szCs w:val="21"/>
                <w:highlight w:val="none"/>
              </w:rPr>
            </w:pPr>
            <w:r>
              <w:rPr>
                <w:rFonts w:hint="eastAsia" w:ascii="宋体" w:hAnsi="宋体"/>
                <w:color w:val="auto"/>
                <w:szCs w:val="21"/>
                <w:highlight w:val="none"/>
              </w:rPr>
              <w:t>服务期为3年。</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本项目不接受联合体投标。</w:t>
      </w:r>
    </w:p>
    <w:p>
      <w:pPr>
        <w:pStyle w:val="4"/>
        <w:spacing w:line="360" w:lineRule="auto"/>
        <w:jc w:val="left"/>
        <w:rPr>
          <w:rFonts w:ascii="宋体" w:hAnsi="宋体" w:cs="宋体"/>
          <w:b w:val="0"/>
          <w:color w:val="auto"/>
          <w:sz w:val="21"/>
          <w:szCs w:val="21"/>
          <w:highlight w:val="none"/>
        </w:rPr>
      </w:pPr>
      <w:bookmarkStart w:id="10" w:name="_Toc35393622"/>
      <w:bookmarkStart w:id="11" w:name="_Toc25198"/>
      <w:bookmarkStart w:id="12" w:name="_Toc28359080"/>
      <w:bookmarkStart w:id="13" w:name="_Toc28359003"/>
      <w:bookmarkStart w:id="14" w:name="_Toc35393791"/>
      <w:r>
        <w:rPr>
          <w:rFonts w:hint="eastAsia" w:ascii="宋体" w:hAnsi="宋体" w:cs="宋体"/>
          <w:bCs/>
          <w:color w:val="auto"/>
          <w:sz w:val="21"/>
          <w:szCs w:val="21"/>
          <w:highlight w:val="none"/>
        </w:rPr>
        <w:t>二、申请人的资格要求：</w:t>
      </w:r>
      <w:bookmarkEnd w:id="10"/>
      <w:bookmarkEnd w:id="11"/>
      <w:bookmarkEnd w:id="12"/>
      <w:bookmarkEnd w:id="13"/>
      <w:bookmarkEnd w:id="14"/>
    </w:p>
    <w:p>
      <w:pPr>
        <w:widowControl/>
        <w:spacing w:line="360" w:lineRule="auto"/>
        <w:ind w:firstLine="420" w:firstLineChars="200"/>
        <w:outlineLvl w:val="2"/>
        <w:rPr>
          <w:rFonts w:ascii="宋体" w:hAnsi="宋体"/>
          <w:color w:val="auto"/>
          <w:szCs w:val="21"/>
          <w:highlight w:val="none"/>
        </w:rPr>
      </w:pPr>
      <w:bookmarkStart w:id="15" w:name="_Toc16211"/>
      <w:bookmarkStart w:id="16" w:name="_Toc28359004"/>
      <w:bookmarkStart w:id="17" w:name="_Toc28359081"/>
      <w:r>
        <w:rPr>
          <w:rFonts w:hint="eastAsia" w:ascii="宋体" w:hAnsi="宋体"/>
          <w:color w:val="auto"/>
          <w:szCs w:val="21"/>
          <w:highlight w:val="none"/>
        </w:rPr>
        <w:t>1.投标供应商应具备《政府采购法》第二十二条规定的条件，提供下列材料：</w:t>
      </w:r>
      <w:bookmarkEnd w:id="15"/>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提供相关证明资料或参考投标文件格式“资格条件声明函”作相关承诺）</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2021年度或2022年度财务状况报告或基本开户行出具的资信证明）。（提供相关证明资料或参考投标文件格式“资格条件声明函”作相关承诺）</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4）履行合同所必需的设备和专业技术能力：填报设备及专业技术能力情况，格式自拟。（提供相关证明资料或参考投标文件格式“资格条件声明函”作相关承诺）</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6）信用记录：供应商未被列入“信用中国”网站（www.creditchina.gov.cn)“记录失信被执行人或税收违法黑名单”记录名单；不处于中国政府采购网（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pPr>
        <w:widowControl/>
        <w:spacing w:line="360" w:lineRule="auto"/>
        <w:ind w:firstLine="420" w:firstLineChars="200"/>
        <w:outlineLvl w:val="2"/>
        <w:rPr>
          <w:rFonts w:ascii="宋体" w:hAnsi="宋体"/>
          <w:color w:val="auto"/>
          <w:szCs w:val="21"/>
          <w:highlight w:val="none"/>
        </w:rPr>
      </w:pPr>
      <w:bookmarkStart w:id="18" w:name="_Toc26119"/>
      <w:r>
        <w:rPr>
          <w:rFonts w:hint="eastAsia" w:ascii="宋体" w:hAnsi="宋体"/>
          <w:color w:val="auto"/>
          <w:szCs w:val="21"/>
          <w:highlight w:val="none"/>
        </w:rPr>
        <w:t>2.本项目的特定资格要求：</w:t>
      </w:r>
      <w:bookmarkEnd w:id="18"/>
    </w:p>
    <w:p>
      <w:pPr>
        <w:spacing w:line="360" w:lineRule="auto"/>
        <w:ind w:firstLine="420" w:firstLineChars="200"/>
        <w:rPr>
          <w:rFonts w:ascii="宋体" w:hAnsi="宋体" w:cs="宋体"/>
          <w:i/>
          <w:iCs/>
          <w:color w:val="auto"/>
          <w:szCs w:val="21"/>
          <w:highlight w:val="none"/>
          <w:u w:val="single"/>
        </w:rPr>
      </w:pPr>
      <w:r>
        <w:rPr>
          <w:rFonts w:hint="eastAsia" w:ascii="宋体" w:hAnsi="宋体"/>
          <w:color w:val="auto"/>
          <w:szCs w:val="21"/>
          <w:highlight w:val="none"/>
        </w:rPr>
        <w:t>（1）无。</w:t>
      </w:r>
    </w:p>
    <w:p>
      <w:pPr>
        <w:pStyle w:val="4"/>
        <w:spacing w:line="360" w:lineRule="auto"/>
        <w:jc w:val="left"/>
        <w:rPr>
          <w:rFonts w:ascii="宋体" w:hAnsi="宋体" w:cs="宋体"/>
          <w:bCs/>
          <w:color w:val="auto"/>
          <w:sz w:val="21"/>
          <w:szCs w:val="21"/>
          <w:highlight w:val="none"/>
        </w:rPr>
      </w:pPr>
      <w:bookmarkStart w:id="19" w:name="_Toc173"/>
      <w:bookmarkStart w:id="20" w:name="_Toc35393792"/>
      <w:bookmarkStart w:id="21" w:name="_Toc35393623"/>
      <w:r>
        <w:rPr>
          <w:rFonts w:hint="eastAsia" w:ascii="宋体" w:hAnsi="宋体" w:cs="宋体"/>
          <w:bCs/>
          <w:color w:val="auto"/>
          <w:sz w:val="21"/>
          <w:szCs w:val="21"/>
          <w:highlight w:val="none"/>
        </w:rPr>
        <w:t>三、获取招标文件</w:t>
      </w:r>
      <w:bookmarkEnd w:id="16"/>
      <w:bookmarkEnd w:id="17"/>
      <w:bookmarkEnd w:id="19"/>
      <w:bookmarkEnd w:id="20"/>
      <w:bookmarkEnd w:id="21"/>
    </w:p>
    <w:p>
      <w:pPr>
        <w:pStyle w:val="23"/>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1、项目公示时间：2023年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日</w:t>
      </w:r>
    </w:p>
    <w:p>
      <w:pPr>
        <w:pStyle w:val="23"/>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2、获取招标文件时间：2023年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 xml:space="preserve">日（节假日除外），上午9：00～12：00，下午14：30～17：30（北京时间）； </w:t>
      </w:r>
    </w:p>
    <w:p>
      <w:pPr>
        <w:pStyle w:val="23"/>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注：（1）现场支持现金支付、微信支付、支付宝支付等支付方式，现场填写“获取招标文件登记表”并将相应表格交予我司简小姐。</w:t>
      </w:r>
    </w:p>
    <w:p>
      <w:pPr>
        <w:pStyle w:val="23"/>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（2）招标文件电子版可在中国政府采购网以及国顺招标网相关招标信息公告下自行下载。</w:t>
      </w:r>
    </w:p>
    <w:p>
      <w:pPr>
        <w:pStyle w:val="23"/>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3、获取招标文件地点：东莞市南城街道鸿福西路81号国际商会大厦13A层01室；</w:t>
      </w:r>
    </w:p>
    <w:p>
      <w:pPr>
        <w:pStyle w:val="23"/>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pPr>
        <w:pStyle w:val="23"/>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pPr>
        <w:pStyle w:val="23"/>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售价：300.00元</w:t>
      </w:r>
    </w:p>
    <w:p>
      <w:pPr>
        <w:pStyle w:val="4"/>
        <w:spacing w:line="360" w:lineRule="auto"/>
        <w:jc w:val="left"/>
        <w:rPr>
          <w:rFonts w:ascii="宋体" w:hAnsi="宋体" w:cs="宋体"/>
          <w:bCs/>
          <w:color w:val="auto"/>
          <w:sz w:val="21"/>
          <w:szCs w:val="21"/>
          <w:highlight w:val="none"/>
        </w:rPr>
      </w:pPr>
      <w:bookmarkStart w:id="22" w:name="_Toc28359005"/>
      <w:bookmarkStart w:id="23" w:name="_Toc28359082"/>
      <w:bookmarkStart w:id="24" w:name="_Toc35393793"/>
      <w:bookmarkStart w:id="25" w:name="_Toc28585"/>
      <w:bookmarkStart w:id="26" w:name="_Toc35393624"/>
      <w:r>
        <w:rPr>
          <w:rFonts w:hint="eastAsia" w:ascii="宋体" w:hAnsi="宋体" w:cs="宋体"/>
          <w:bCs/>
          <w:color w:val="auto"/>
          <w:sz w:val="21"/>
          <w:szCs w:val="21"/>
          <w:highlight w:val="none"/>
        </w:rPr>
        <w:t>四、提交投标文件</w:t>
      </w:r>
      <w:bookmarkEnd w:id="22"/>
      <w:bookmarkEnd w:id="23"/>
      <w:r>
        <w:rPr>
          <w:rFonts w:hint="eastAsia" w:ascii="宋体" w:hAnsi="宋体" w:cs="宋体"/>
          <w:bCs/>
          <w:color w:val="auto"/>
          <w:sz w:val="21"/>
          <w:szCs w:val="21"/>
          <w:highlight w:val="none"/>
        </w:rPr>
        <w:t>截止时间、开标时间和地点</w:t>
      </w:r>
      <w:bookmarkEnd w:id="24"/>
      <w:bookmarkEnd w:id="25"/>
      <w:bookmarkEnd w:id="26"/>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2024年</w:t>
      </w:r>
      <w:r>
        <w:rPr>
          <w:rFonts w:hint="eastAsia" w:ascii="宋体" w:hAnsi="宋体" w:cs="宋体"/>
          <w:bCs/>
          <w:color w:val="auto"/>
          <w:szCs w:val="21"/>
          <w:highlight w:val="none"/>
          <w:u w:val="single"/>
          <w:lang w:val="en-US" w:eastAsia="zh-CN"/>
        </w:rPr>
        <w:t>1</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19</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14</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w:t>
      </w:r>
      <w:r>
        <w:rPr>
          <w:rFonts w:hint="eastAsia" w:ascii="宋体" w:hAnsi="宋体"/>
          <w:bCs/>
          <w:color w:val="auto"/>
          <w:szCs w:val="21"/>
          <w:highlight w:val="none"/>
        </w:rPr>
        <w:t>东莞市长安镇体育路18号智慧大厦四楼一单元401室</w:t>
      </w:r>
      <w:bookmarkStart w:id="174" w:name="_GoBack"/>
      <w:bookmarkEnd w:id="174"/>
    </w:p>
    <w:p>
      <w:pPr>
        <w:pStyle w:val="4"/>
        <w:spacing w:line="360" w:lineRule="auto"/>
        <w:jc w:val="left"/>
        <w:rPr>
          <w:rFonts w:ascii="宋体" w:hAnsi="宋体" w:cs="宋体"/>
          <w:bCs/>
          <w:color w:val="auto"/>
          <w:sz w:val="21"/>
          <w:szCs w:val="21"/>
          <w:highlight w:val="none"/>
        </w:rPr>
      </w:pPr>
      <w:bookmarkStart w:id="27" w:name="_Toc35393794"/>
      <w:bookmarkStart w:id="28" w:name="_Toc35393625"/>
      <w:bookmarkStart w:id="29" w:name="_Toc28359084"/>
      <w:bookmarkStart w:id="30" w:name="_Toc25695"/>
      <w:bookmarkStart w:id="31" w:name="_Toc28359007"/>
      <w:r>
        <w:rPr>
          <w:rFonts w:hint="eastAsia" w:ascii="宋体" w:hAnsi="宋体" w:cs="宋体"/>
          <w:bCs/>
          <w:color w:val="auto"/>
          <w:sz w:val="21"/>
          <w:szCs w:val="21"/>
          <w:highlight w:val="none"/>
        </w:rPr>
        <w:t>五、公告期限</w:t>
      </w:r>
      <w:bookmarkEnd w:id="27"/>
      <w:bookmarkEnd w:id="28"/>
      <w:bookmarkEnd w:id="29"/>
      <w:bookmarkEnd w:id="30"/>
      <w:bookmarkEnd w:id="3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4"/>
        <w:spacing w:line="360" w:lineRule="auto"/>
        <w:jc w:val="left"/>
        <w:rPr>
          <w:rFonts w:ascii="宋体" w:hAnsi="宋体" w:cs="宋体"/>
          <w:bCs/>
          <w:color w:val="auto"/>
          <w:sz w:val="21"/>
          <w:szCs w:val="21"/>
          <w:highlight w:val="none"/>
        </w:rPr>
      </w:pPr>
      <w:bookmarkStart w:id="32" w:name="_Toc1519"/>
      <w:bookmarkStart w:id="33" w:name="_Toc35393795"/>
      <w:bookmarkStart w:id="34" w:name="_Toc35393626"/>
      <w:r>
        <w:rPr>
          <w:rFonts w:hint="eastAsia" w:ascii="宋体" w:hAnsi="宋体" w:cs="宋体"/>
          <w:bCs/>
          <w:color w:val="auto"/>
          <w:sz w:val="21"/>
          <w:szCs w:val="21"/>
          <w:highlight w:val="none"/>
        </w:rPr>
        <w:t>六、其他补充事宜</w:t>
      </w:r>
      <w:bookmarkEnd w:id="32"/>
      <w:bookmarkEnd w:id="33"/>
      <w:bookmarkEnd w:id="34"/>
    </w:p>
    <w:p>
      <w:pPr>
        <w:widowControl/>
        <w:spacing w:line="360" w:lineRule="auto"/>
        <w:ind w:firstLine="420" w:firstLineChars="200"/>
        <w:rPr>
          <w:rFonts w:ascii="宋体" w:hAnsi="宋体"/>
          <w:color w:val="auto"/>
          <w:szCs w:val="21"/>
          <w:highlight w:val="none"/>
        </w:rPr>
      </w:pPr>
      <w:bookmarkStart w:id="35" w:name="_Toc35393796"/>
      <w:bookmarkStart w:id="36" w:name="_Toc28359008"/>
      <w:bookmarkStart w:id="37" w:name="_Toc28359085"/>
      <w:bookmarkStart w:id="38" w:name="_Toc35393627"/>
      <w:r>
        <w:rPr>
          <w:rFonts w:hint="eastAsia" w:ascii="宋体" w:hAnsi="宋体"/>
          <w:color w:val="auto"/>
          <w:szCs w:val="21"/>
          <w:highlight w:val="none"/>
        </w:rPr>
        <w:t>1、招标文件公示/下载媒体</w:t>
      </w:r>
    </w:p>
    <w:p>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中国政府采购网（http://www.ccgp.gov.cn/)以及国顺招标网（http://www.guoshunzb.com/）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pPr>
        <w:pStyle w:val="4"/>
        <w:spacing w:line="360" w:lineRule="auto"/>
        <w:jc w:val="left"/>
        <w:rPr>
          <w:rFonts w:ascii="宋体" w:hAnsi="宋体" w:cs="宋体"/>
          <w:bCs/>
          <w:color w:val="auto"/>
          <w:sz w:val="21"/>
          <w:szCs w:val="21"/>
          <w:highlight w:val="none"/>
        </w:rPr>
      </w:pPr>
      <w:bookmarkStart w:id="39" w:name="_Toc5139"/>
      <w:r>
        <w:rPr>
          <w:rFonts w:hint="eastAsia" w:ascii="宋体" w:hAnsi="宋体" w:cs="宋体"/>
          <w:bCs/>
          <w:color w:val="auto"/>
          <w:sz w:val="21"/>
          <w:szCs w:val="21"/>
          <w:highlight w:val="none"/>
        </w:rPr>
        <w:t>七、对本次招标提出询问，请按以下方式联系。</w:t>
      </w:r>
      <w:bookmarkEnd w:id="35"/>
      <w:bookmarkEnd w:id="36"/>
      <w:bookmarkEnd w:id="37"/>
      <w:bookmarkEnd w:id="38"/>
      <w:bookmarkEnd w:id="39"/>
    </w:p>
    <w:p>
      <w:pPr>
        <w:widowControl/>
        <w:spacing w:line="360" w:lineRule="auto"/>
        <w:outlineLvl w:val="2"/>
        <w:rPr>
          <w:rFonts w:ascii="宋体" w:hAnsi="宋体" w:cs="宋体"/>
          <w:b/>
          <w:bCs/>
          <w:color w:val="auto"/>
          <w:szCs w:val="21"/>
          <w:highlight w:val="none"/>
        </w:rPr>
      </w:pPr>
      <w:bookmarkStart w:id="40" w:name="_Toc31577"/>
      <w:r>
        <w:rPr>
          <w:rFonts w:hint="eastAsia" w:ascii="宋体" w:hAnsi="宋体" w:cs="宋体"/>
          <w:b/>
          <w:bCs/>
          <w:color w:val="auto"/>
          <w:szCs w:val="21"/>
          <w:highlight w:val="none"/>
        </w:rPr>
        <w:t>1.招标人信息</w:t>
      </w:r>
      <w:bookmarkEnd w:id="40"/>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名  称：</w:t>
      </w:r>
      <w:r>
        <w:rPr>
          <w:rFonts w:ascii="宋体" w:hAnsi="宋体" w:cs="宋体"/>
          <w:color w:val="auto"/>
          <w:szCs w:val="21"/>
          <w:highlight w:val="none"/>
        </w:rPr>
        <w:t>东莞市长安镇</w:t>
      </w:r>
      <w:r>
        <w:rPr>
          <w:rFonts w:hint="eastAsia" w:ascii="宋体" w:hAnsi="宋体" w:cs="宋体"/>
          <w:color w:val="auto"/>
          <w:szCs w:val="21"/>
          <w:highlight w:val="none"/>
          <w:lang w:eastAsia="zh-CN"/>
        </w:rPr>
        <w:t>新民</w:t>
      </w:r>
      <w:r>
        <w:rPr>
          <w:rFonts w:ascii="宋体" w:hAnsi="宋体" w:cs="宋体"/>
          <w:color w:val="auto"/>
          <w:szCs w:val="21"/>
          <w:highlight w:val="none"/>
        </w:rPr>
        <w:t>社区居民委员会</w:t>
      </w:r>
      <w:r>
        <w:rPr>
          <w:rFonts w:hint="eastAsia" w:ascii="宋体" w:hAnsi="宋体" w:cs="宋体"/>
          <w:color w:val="auto"/>
          <w:szCs w:val="21"/>
          <w:highlight w:val="none"/>
        </w:rPr>
        <w:t xml:space="preserve">  </w:t>
      </w:r>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地  址：东莞市</w:t>
      </w:r>
      <w:r>
        <w:rPr>
          <w:rFonts w:ascii="宋体" w:hAnsi="宋体" w:cs="宋体"/>
          <w:color w:val="auto"/>
          <w:szCs w:val="21"/>
          <w:highlight w:val="none"/>
        </w:rPr>
        <w:t>长安镇</w:t>
      </w:r>
      <w:r>
        <w:rPr>
          <w:rFonts w:hint="eastAsia" w:ascii="宋体" w:hAnsi="宋体" w:cs="宋体"/>
          <w:color w:val="auto"/>
          <w:szCs w:val="21"/>
          <w:highlight w:val="none"/>
          <w:lang w:eastAsia="zh-CN"/>
        </w:rPr>
        <w:t>新民</w:t>
      </w:r>
      <w:r>
        <w:rPr>
          <w:rFonts w:ascii="宋体" w:hAnsi="宋体" w:cs="宋体"/>
          <w:color w:val="auto"/>
          <w:szCs w:val="21"/>
          <w:highlight w:val="none"/>
        </w:rPr>
        <w:t>社区</w:t>
      </w:r>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陈</w:t>
      </w:r>
      <w:r>
        <w:rPr>
          <w:rFonts w:hint="eastAsia" w:ascii="宋体" w:hAnsi="宋体" w:cs="宋体"/>
          <w:color w:val="auto"/>
          <w:szCs w:val="21"/>
          <w:highlight w:val="none"/>
        </w:rPr>
        <w:t>先生</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0769-81553838</w:t>
      </w:r>
    </w:p>
    <w:p>
      <w:pPr>
        <w:spacing w:line="360" w:lineRule="auto"/>
        <w:ind w:left="264" w:hanging="264" w:hangingChars="125"/>
        <w:outlineLvl w:val="2"/>
        <w:rPr>
          <w:rFonts w:ascii="宋体" w:hAnsi="宋体" w:cs="宋体"/>
          <w:b/>
          <w:bCs/>
          <w:color w:val="auto"/>
          <w:szCs w:val="21"/>
          <w:highlight w:val="none"/>
        </w:rPr>
      </w:pPr>
      <w:bookmarkStart w:id="41" w:name="_Toc28359086"/>
      <w:bookmarkStart w:id="42" w:name="_Toc28359009"/>
      <w:bookmarkStart w:id="43" w:name="_Toc4580"/>
      <w:r>
        <w:rPr>
          <w:rFonts w:hint="eastAsia" w:ascii="宋体" w:hAnsi="宋体" w:cs="宋体"/>
          <w:b/>
          <w:bCs/>
          <w:color w:val="auto"/>
          <w:szCs w:val="21"/>
          <w:highlight w:val="none"/>
        </w:rPr>
        <w:t>2.招标代理机构信息</w:t>
      </w:r>
      <w:bookmarkEnd w:id="41"/>
      <w:bookmarkEnd w:id="42"/>
      <w:bookmarkEnd w:id="43"/>
    </w:p>
    <w:p>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址：东莞市南城街道鸿福西路81号国际商会大厦13A层01室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4" w:name="_Toc28359010"/>
      <w:bookmarkStart w:id="45" w:name="_Toc28359087"/>
      <w:r>
        <w:rPr>
          <w:rFonts w:hint="eastAsia" w:ascii="宋体" w:hAnsi="宋体" w:cs="宋体"/>
          <w:color w:val="auto"/>
          <w:szCs w:val="21"/>
          <w:highlight w:val="none"/>
        </w:rPr>
        <w:t>0769-22980090　　　　　　　　　　　　</w:t>
      </w:r>
    </w:p>
    <w:p>
      <w:pPr>
        <w:spacing w:line="360" w:lineRule="auto"/>
        <w:outlineLvl w:val="2"/>
        <w:rPr>
          <w:rFonts w:ascii="宋体" w:hAnsi="宋体" w:cs="宋体"/>
          <w:b/>
          <w:bCs/>
          <w:color w:val="auto"/>
          <w:szCs w:val="21"/>
          <w:highlight w:val="none"/>
        </w:rPr>
      </w:pPr>
      <w:bookmarkStart w:id="46" w:name="_Toc9440"/>
      <w:r>
        <w:rPr>
          <w:rFonts w:hint="eastAsia" w:ascii="宋体" w:hAnsi="宋体" w:cs="宋体"/>
          <w:b/>
          <w:bCs/>
          <w:color w:val="auto"/>
          <w:szCs w:val="21"/>
          <w:highlight w:val="none"/>
        </w:rPr>
        <w:t>3.项目联系方式</w:t>
      </w:r>
      <w:bookmarkEnd w:id="44"/>
      <w:bookmarkEnd w:id="45"/>
      <w:bookmarkEnd w:id="46"/>
    </w:p>
    <w:p>
      <w:pPr>
        <w:pStyle w:val="11"/>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pPr>
        <w:pStyle w:val="11"/>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spacing w:line="360" w:lineRule="auto"/>
        <w:rPr>
          <w:color w:val="auto"/>
          <w:highlight w:val="none"/>
        </w:rPr>
      </w:pPr>
      <w:bookmarkStart w:id="47" w:name="_Toc29954"/>
      <w:r>
        <w:rPr>
          <w:rFonts w:hint="eastAsia"/>
          <w:color w:val="auto"/>
          <w:highlight w:val="none"/>
        </w:rPr>
        <w:t>投标人须知</w:t>
      </w:r>
      <w:bookmarkEnd w:id="47"/>
    </w:p>
    <w:p>
      <w:pPr>
        <w:pStyle w:val="4"/>
        <w:spacing w:line="360" w:lineRule="auto"/>
        <w:rPr>
          <w:color w:val="auto"/>
          <w:highlight w:val="none"/>
          <w:lang w:val="zh-CN"/>
        </w:rPr>
      </w:pPr>
      <w:bookmarkStart w:id="48" w:name="_Toc497983494"/>
      <w:bookmarkStart w:id="49" w:name="_Toc652"/>
      <w:bookmarkStart w:id="50" w:name="_Toc396137231"/>
      <w:bookmarkStart w:id="51" w:name="_Toc413402429"/>
      <w:r>
        <w:rPr>
          <w:rFonts w:hint="eastAsia"/>
          <w:color w:val="auto"/>
          <w:highlight w:val="none"/>
          <w:lang w:val="zh-CN"/>
        </w:rPr>
        <w:t>一、投标须知前附表</w:t>
      </w:r>
      <w:bookmarkEnd w:id="48"/>
      <w:bookmarkEnd w:id="49"/>
      <w:bookmarkEnd w:id="50"/>
      <w:bookmarkEnd w:id="51"/>
    </w:p>
    <w:tbl>
      <w:tblPr>
        <w:tblStyle w:val="18"/>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社区集体资金。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color w:val="auto"/>
                <w:szCs w:val="28"/>
                <w:highlight w:val="none"/>
              </w:rPr>
              <w:t>投标人应准备一份“开标文件”、一份“投标文件电子文件”、一份正本和七份副本“投标文件”。在每一份投标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投标报价超出本项目采购预算金额/最高限价的为无效标。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投标保证金（本项目不收取）</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3"/>
              </w:numPr>
              <w:spacing w:line="360" w:lineRule="auto"/>
              <w:jc w:val="both"/>
              <w:rPr>
                <w:b/>
                <w:bCs/>
                <w:color w:val="auto"/>
                <w:highlight w:val="none"/>
              </w:rPr>
            </w:pPr>
            <w:r>
              <w:rPr>
                <w:rFonts w:hint="eastAsia"/>
                <w:color w:val="auto"/>
                <w:highlight w:val="none"/>
              </w:rPr>
              <w:t>投标保证金金额：/</w:t>
            </w:r>
          </w:p>
          <w:p>
            <w:pPr>
              <w:spacing w:line="300" w:lineRule="exact"/>
              <w:jc w:val="both"/>
              <w:rPr>
                <w:rFonts w:ascii="宋体" w:hAnsi="宋体"/>
                <w:color w:val="auto"/>
                <w:szCs w:val="21"/>
                <w:highlight w:val="none"/>
                <w:lang w:val="zh-CN"/>
              </w:rPr>
            </w:pPr>
            <w:r>
              <w:rPr>
                <w:rFonts w:hint="eastAsia"/>
                <w:color w:val="auto"/>
                <w:highlight w:val="none"/>
              </w:rPr>
              <w:t>2、</w:t>
            </w:r>
            <w:r>
              <w:rPr>
                <w:rFonts w:hint="eastAsia" w:ascii="宋体" w:hAnsi="宋体"/>
                <w:color w:val="auto"/>
                <w:szCs w:val="21"/>
                <w:highlight w:val="none"/>
                <w:lang w:val="zh-CN"/>
              </w:rPr>
              <w:t>保证金递交账户：</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收款人：国顺招标有限公司</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开户行：广发银行股份有限公司东莞城区支行</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账  号：9550880226934600216</w:t>
            </w:r>
          </w:p>
          <w:p>
            <w:pPr>
              <w:pStyle w:val="5"/>
              <w:rPr>
                <w:color w:val="auto"/>
                <w:highlight w:val="none"/>
              </w:rPr>
            </w:pPr>
            <w:r>
              <w:rPr>
                <w:rFonts w:hint="eastAsia" w:ascii="宋体" w:hAnsi="宋体"/>
                <w:color w:val="auto"/>
                <w:szCs w:val="21"/>
                <w:highlight w:val="none"/>
                <w:lang w:val="zh-CN"/>
              </w:rPr>
              <w:t>（各投标人在转账或电汇时须在用途栏上写明项目编号）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7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rPr>
              <w:t>6</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及国顺招标网</w:t>
            </w:r>
            <w:r>
              <w:rPr>
                <w:rFonts w:hint="eastAsia" w:ascii="宋体" w:hAnsi="宋体" w:cs="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履约保证金</w:t>
            </w:r>
          </w:p>
          <w:p>
            <w:pPr>
              <w:spacing w:line="360" w:lineRule="auto"/>
              <w:ind w:right="-38" w:rightChars="-18"/>
              <w:jc w:val="center"/>
              <w:rPr>
                <w:color w:val="auto"/>
                <w:highlight w:val="none"/>
              </w:rPr>
            </w:pPr>
            <w:r>
              <w:rPr>
                <w:rFonts w:hint="eastAsia" w:ascii="宋体" w:hAnsi="宋体" w:cs="宋体"/>
                <w:bCs/>
                <w:color w:val="auto"/>
                <w:szCs w:val="21"/>
                <w:highlight w:val="none"/>
              </w:rPr>
              <w:t>（如有需要）</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Cs/>
                <w:color w:val="auto"/>
                <w:szCs w:val="21"/>
                <w:highlight w:val="none"/>
              </w:rPr>
              <w:t>合同金额的5%。</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说明：中标人应在签订合同前递交履约保证金，履约保证金可采用保证金（银行转账、电汇）方式，或采用履约保函方式。</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函为担保机构、国有或股份制商业银行支行以上级别银行开具的保函，保函金额为合同价的5%。如须合同生效后才可办理保函的，提交保函时间不得超过合同签订日（含）起15个工作日。保函有效期间截止时间为本合同期满后且经采购人验收合格后的30日。</w:t>
            </w:r>
          </w:p>
          <w:p>
            <w:pPr>
              <w:spacing w:line="360" w:lineRule="auto"/>
              <w:rPr>
                <w:rFonts w:ascii="宋体" w:hAnsi="宋体" w:cs="宋体"/>
                <w:b/>
                <w:bCs/>
                <w:color w:val="auto"/>
                <w:szCs w:val="21"/>
                <w:highlight w:val="none"/>
              </w:rPr>
            </w:pPr>
            <w:r>
              <w:rPr>
                <w:rFonts w:hint="eastAsia" w:ascii="宋体" w:hAnsi="宋体" w:cs="宋体"/>
                <w:bCs/>
                <w:color w:val="auto"/>
                <w:szCs w:val="21"/>
                <w:highlight w:val="none"/>
              </w:rPr>
              <w:t>履约保证金在合同期满后或产品验收合格后，中标人向采购人提交退回履约保证金的申请、履约保证金汇款凭证复印件、采购合同、采购项目验收报告原件、中标通知书复印件，前往采购人办理履约保证金退还手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4"/>
              </w:numPr>
              <w:spacing w:line="360" w:lineRule="auto"/>
              <w:rPr>
                <w:rFonts w:ascii="宋体" w:hAnsi="宋体" w:cs="宋体"/>
                <w:color w:val="auto"/>
                <w:highlight w:val="none"/>
              </w:rPr>
            </w:pPr>
            <w:r>
              <w:rPr>
                <w:rFonts w:hint="eastAsia" w:ascii="宋体" w:hAnsi="宋体"/>
                <w:color w:val="auto"/>
                <w:szCs w:val="21"/>
                <w:highlight w:val="none"/>
              </w:rPr>
              <w:t>中标服务费参照国家计委[计价格[2002]1980号]文和国家发改委[发改价格[2011]534号]文及相关规定向中标单位收取，按差额定率累进法计算，以中标通知书中确定的中标总金额作为收费的计算参照；中标服务费最低收费标准为陆仟元整。</w:t>
            </w:r>
          </w:p>
          <w:p>
            <w:pPr>
              <w:spacing w:line="360" w:lineRule="auto"/>
              <w:rPr>
                <w:color w:val="auto"/>
                <w:highlight w:val="none"/>
              </w:rPr>
            </w:pPr>
            <w:r>
              <w:rPr>
                <w:rFonts w:hint="eastAsia"/>
                <w:color w:val="auto"/>
                <w:highlight w:val="none"/>
              </w:rPr>
              <w:t>（2）中标服务费以转账或现金的形式支付。招标代理机构服务费汇入账号：</w:t>
            </w:r>
          </w:p>
          <w:p>
            <w:pPr>
              <w:spacing w:line="360" w:lineRule="auto"/>
              <w:rPr>
                <w:color w:val="auto"/>
                <w:highlight w:val="none"/>
              </w:rPr>
            </w:pPr>
            <w:r>
              <w:rPr>
                <w:rFonts w:hint="eastAsia"/>
                <w:color w:val="auto"/>
                <w:highlight w:val="none"/>
              </w:rPr>
              <w:t>收 款 人：国顺招标有限公司</w:t>
            </w:r>
          </w:p>
          <w:p>
            <w:pPr>
              <w:spacing w:line="360" w:lineRule="auto"/>
              <w:rPr>
                <w:color w:val="auto"/>
                <w:highlight w:val="none"/>
              </w:rPr>
            </w:pPr>
            <w:r>
              <w:rPr>
                <w:rFonts w:hint="eastAsia"/>
                <w:color w:val="auto"/>
                <w:highlight w:val="none"/>
              </w:rPr>
              <w:t>开户银行：广发银行股份有限公司东莞南城支行</w:t>
            </w:r>
          </w:p>
          <w:p>
            <w:pPr>
              <w:spacing w:line="360" w:lineRule="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pPr>
        <w:rPr>
          <w:color w:val="auto"/>
          <w:highlight w:val="none"/>
        </w:rPr>
      </w:pPr>
      <w:r>
        <w:rPr>
          <w:color w:val="auto"/>
          <w:highlight w:val="none"/>
        </w:rPr>
        <w:br w:type="page"/>
      </w:r>
    </w:p>
    <w:p>
      <w:pPr>
        <w:pStyle w:val="4"/>
        <w:numPr>
          <w:ilvl w:val="0"/>
          <w:numId w:val="5"/>
        </w:numPr>
        <w:rPr>
          <w:color w:val="auto"/>
          <w:highlight w:val="none"/>
        </w:rPr>
      </w:pPr>
      <w:bookmarkStart w:id="52" w:name="_Toc21639"/>
      <w:r>
        <w:rPr>
          <w:rFonts w:hint="eastAsia"/>
          <w:color w:val="auto"/>
          <w:highlight w:val="none"/>
        </w:rPr>
        <w:t>投标须知</w:t>
      </w:r>
      <w:bookmarkEnd w:id="52"/>
    </w:p>
    <w:p>
      <w:pPr>
        <w:pStyle w:val="5"/>
        <w:rPr>
          <w:color w:val="auto"/>
          <w:highlight w:val="none"/>
        </w:rPr>
      </w:pPr>
      <w:bookmarkStart w:id="53" w:name="_Toc20860"/>
      <w:bookmarkStart w:id="54" w:name="_Toc2381"/>
      <w:r>
        <w:rPr>
          <w:rFonts w:hint="eastAsia"/>
          <w:color w:val="auto"/>
          <w:highlight w:val="none"/>
        </w:rPr>
        <w:t>1.适用范围</w:t>
      </w:r>
      <w:bookmarkEnd w:id="53"/>
      <w:bookmarkEnd w:id="54"/>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pPr>
        <w:spacing w:line="400" w:lineRule="exact"/>
        <w:rPr>
          <w:rFonts w:ascii="宋体" w:hAnsi="宋体" w:cs="宋体"/>
          <w:color w:val="auto"/>
          <w:szCs w:val="21"/>
          <w:highlight w:val="none"/>
        </w:rPr>
      </w:pPr>
    </w:p>
    <w:p>
      <w:pPr>
        <w:pStyle w:val="5"/>
        <w:rPr>
          <w:color w:val="auto"/>
          <w:highlight w:val="none"/>
        </w:rPr>
      </w:pPr>
      <w:bookmarkStart w:id="55" w:name="_Toc15203"/>
      <w:bookmarkStart w:id="56" w:name="_Toc6621"/>
      <w:r>
        <w:rPr>
          <w:rFonts w:hint="eastAsia"/>
          <w:color w:val="auto"/>
          <w:highlight w:val="none"/>
        </w:rPr>
        <w:t>2.</w:t>
      </w:r>
      <w:bookmarkStart w:id="57" w:name="_Toc1530"/>
      <w:bookmarkStart w:id="58" w:name="_Toc303084246"/>
      <w:bookmarkStart w:id="59" w:name="_Toc298847174"/>
      <w:bookmarkStart w:id="60" w:name="_Toc382049092"/>
      <w:r>
        <w:rPr>
          <w:rFonts w:hint="eastAsia"/>
          <w:color w:val="auto"/>
          <w:highlight w:val="none"/>
        </w:rPr>
        <w:t>定义</w:t>
      </w:r>
      <w:bookmarkEnd w:id="55"/>
      <w:bookmarkEnd w:id="56"/>
      <w:bookmarkEnd w:id="57"/>
      <w:bookmarkEnd w:id="58"/>
      <w:bookmarkEnd w:id="59"/>
      <w:bookmarkEnd w:id="60"/>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招标人：是指依法进行政府采购的国家机关、事业单位等团体组织。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评标委员会：评标委员会是依据《中华人民共和国政府采购法》及其实施条例、《政府采购货物和服务招标投标管理办法》等组建的专门负责本次招标其评标工作的临时性机构。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pPr>
        <w:spacing w:line="400" w:lineRule="exact"/>
        <w:rPr>
          <w:rFonts w:ascii="宋体" w:hAnsi="宋体" w:cs="宋体"/>
          <w:color w:val="auto"/>
          <w:szCs w:val="21"/>
          <w:highlight w:val="none"/>
        </w:rPr>
      </w:pPr>
    </w:p>
    <w:p>
      <w:pPr>
        <w:pStyle w:val="5"/>
        <w:rPr>
          <w:color w:val="auto"/>
          <w:highlight w:val="none"/>
        </w:rPr>
      </w:pPr>
      <w:bookmarkStart w:id="61" w:name="_Toc31531"/>
      <w:bookmarkStart w:id="62" w:name="_Toc1072"/>
      <w:r>
        <w:rPr>
          <w:rFonts w:hint="eastAsia"/>
          <w:color w:val="auto"/>
          <w:highlight w:val="none"/>
        </w:rPr>
        <w:t>3.货物和服务</w:t>
      </w:r>
      <w:bookmarkEnd w:id="61"/>
      <w:bookmarkEnd w:id="62"/>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服务是指除货物和工程以外的其他政府采购对象，且满足实质性采购需求。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政府采购应当采购本国产品，确需采购进口产品（是指通过中国海关报关验放进入中国境内且产自关境外的产品）的，</w:t>
      </w:r>
      <w:bookmarkStart w:id="63" w:name="_Toc211763038"/>
      <w:r>
        <w:rPr>
          <w:rFonts w:hint="eastAsia" w:ascii="宋体" w:hAnsi="宋体" w:cs="宋体"/>
          <w:iCs/>
          <w:color w:val="auto"/>
          <w:szCs w:val="21"/>
          <w:highlight w:val="none"/>
        </w:rPr>
        <w:t>应当获得财政部门核准。依据《政府采购进口产品管理办法</w:t>
      </w:r>
      <w:bookmarkEnd w:id="63"/>
      <w:r>
        <w:rPr>
          <w:rFonts w:hint="eastAsia" w:ascii="宋体" w:hAnsi="宋体" w:cs="宋体"/>
          <w:iCs/>
          <w:color w:val="auto"/>
          <w:szCs w:val="21"/>
          <w:highlight w:val="none"/>
        </w:rPr>
        <w:t>》优先采购向我国企业转让技术、与我国企业签订消化吸收再创新方案的供应商的进口产品。</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若所投产品属于政府强制采购节能产品的，则投标人必须提供该产品国家强制性节能产品进行响应，并提供有效的中国节能产品认证证书，否则视为无效投标。</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投标人提供的所有服务，其质量、技术等特征必须符合国家、行业现行法律、法规的相关标准和《中华人民共和国政府采购法》的有关规定及用户需求。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spacing w:line="400" w:lineRule="exact"/>
        <w:rPr>
          <w:rFonts w:ascii="宋体" w:hAnsi="宋体" w:cs="宋体"/>
          <w:color w:val="auto"/>
          <w:szCs w:val="21"/>
          <w:highlight w:val="none"/>
        </w:rPr>
      </w:pPr>
    </w:p>
    <w:p>
      <w:pPr>
        <w:pStyle w:val="5"/>
        <w:rPr>
          <w:color w:val="auto"/>
          <w:highlight w:val="none"/>
        </w:rPr>
      </w:pPr>
      <w:bookmarkStart w:id="64" w:name="_Toc32610"/>
      <w:bookmarkStart w:id="65" w:name="_Toc16909"/>
      <w:r>
        <w:rPr>
          <w:rFonts w:hint="eastAsia"/>
          <w:color w:val="auto"/>
          <w:highlight w:val="none"/>
        </w:rPr>
        <w:t>4.投标费用</w:t>
      </w:r>
      <w:bookmarkEnd w:id="64"/>
      <w:bookmarkEnd w:id="65"/>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pPr>
        <w:spacing w:line="400" w:lineRule="exact"/>
        <w:jc w:val="both"/>
        <w:rPr>
          <w:rFonts w:ascii="宋体" w:hAnsi="宋体" w:cs="宋体"/>
          <w:color w:val="auto"/>
          <w:szCs w:val="21"/>
          <w:highlight w:val="none"/>
        </w:rPr>
      </w:pPr>
    </w:p>
    <w:p>
      <w:pPr>
        <w:pStyle w:val="5"/>
        <w:rPr>
          <w:color w:val="auto"/>
          <w:highlight w:val="none"/>
        </w:rPr>
      </w:pPr>
      <w:bookmarkStart w:id="66" w:name="_Toc24409"/>
      <w:bookmarkStart w:id="67" w:name="_Toc13316"/>
      <w:r>
        <w:rPr>
          <w:rFonts w:hint="eastAsia"/>
          <w:color w:val="auto"/>
          <w:highlight w:val="none"/>
        </w:rPr>
        <w:t>5.知识产权</w:t>
      </w:r>
      <w:bookmarkEnd w:id="66"/>
      <w:bookmarkEnd w:id="67"/>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pPr>
        <w:spacing w:line="400" w:lineRule="exact"/>
        <w:ind w:left="567"/>
        <w:jc w:val="both"/>
        <w:rPr>
          <w:rFonts w:ascii="宋体" w:hAnsi="宋体" w:cs="宋体"/>
          <w:color w:val="auto"/>
          <w:szCs w:val="21"/>
          <w:highlight w:val="none"/>
        </w:rPr>
      </w:pPr>
    </w:p>
    <w:p>
      <w:pPr>
        <w:pStyle w:val="5"/>
        <w:rPr>
          <w:color w:val="auto"/>
          <w:highlight w:val="none"/>
        </w:rPr>
      </w:pPr>
      <w:bookmarkStart w:id="68" w:name="_Toc25530"/>
      <w:bookmarkStart w:id="69" w:name="_Toc25911"/>
      <w:r>
        <w:rPr>
          <w:rFonts w:hint="eastAsia"/>
          <w:color w:val="auto"/>
          <w:highlight w:val="none"/>
        </w:rPr>
        <w:t>6.关于联合体投标</w:t>
      </w:r>
      <w:bookmarkEnd w:id="68"/>
      <w:bookmarkEnd w:id="69"/>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对接受联合体投标的项目：两个以上的自然人、法人或者其他组织可以组成一个联合体，以一个投标人的身份共同参加政府采购。</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联合体各方均应当符合《政府采购法》第二十二条规定的条件。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pPr>
        <w:spacing w:line="400" w:lineRule="exact"/>
        <w:ind w:left="567"/>
        <w:jc w:val="both"/>
        <w:rPr>
          <w:rFonts w:ascii="宋体" w:hAnsi="宋体" w:cs="宋体"/>
          <w:color w:val="auto"/>
          <w:szCs w:val="21"/>
          <w:highlight w:val="none"/>
        </w:rPr>
      </w:pPr>
    </w:p>
    <w:p>
      <w:pPr>
        <w:pStyle w:val="5"/>
        <w:rPr>
          <w:color w:val="auto"/>
          <w:highlight w:val="none"/>
        </w:rPr>
      </w:pPr>
      <w:bookmarkStart w:id="70" w:name="_Toc27528"/>
      <w:bookmarkStart w:id="71" w:name="_Toc24312"/>
      <w:r>
        <w:rPr>
          <w:rFonts w:hint="eastAsia"/>
          <w:color w:val="auto"/>
          <w:highlight w:val="none"/>
        </w:rPr>
        <w:t>7.关于分支机构投标</w:t>
      </w:r>
      <w:bookmarkEnd w:id="70"/>
      <w:bookmarkEnd w:id="71"/>
    </w:p>
    <w:p>
      <w:pPr>
        <w:pStyle w:val="23"/>
        <w:numPr>
          <w:ilvl w:val="0"/>
          <w:numId w:val="6"/>
        </w:numPr>
        <w:spacing w:line="400" w:lineRule="exact"/>
        <w:ind w:firstLineChars="0"/>
        <w:jc w:val="both"/>
        <w:rPr>
          <w:rFonts w:ascii="宋体" w:hAnsi="宋体" w:cs="宋体"/>
          <w:vanish/>
          <w:color w:val="auto"/>
          <w:szCs w:val="21"/>
          <w:highlight w:val="none"/>
        </w:rPr>
      </w:pPr>
      <w:bookmarkStart w:id="72" w:name="EB389f116341dd4693875bc7987e7327f3"/>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2"/>
    </w:p>
    <w:p>
      <w:pPr>
        <w:spacing w:line="360" w:lineRule="auto"/>
        <w:rPr>
          <w:rFonts w:ascii="宋体" w:hAnsi="宋体" w:cs="宋体"/>
          <w:color w:val="auto"/>
          <w:szCs w:val="21"/>
          <w:highlight w:val="none"/>
        </w:rPr>
      </w:pPr>
    </w:p>
    <w:p>
      <w:pPr>
        <w:pStyle w:val="5"/>
        <w:rPr>
          <w:color w:val="auto"/>
          <w:highlight w:val="none"/>
        </w:rPr>
      </w:pPr>
      <w:bookmarkStart w:id="73" w:name="_Toc13645"/>
      <w:bookmarkStart w:id="74" w:name="_Toc15490"/>
      <w:r>
        <w:rPr>
          <w:rFonts w:hint="eastAsia"/>
          <w:color w:val="auto"/>
          <w:highlight w:val="none"/>
        </w:rPr>
        <w:t>8.招标文件的组成</w:t>
      </w:r>
      <w:bookmarkEnd w:id="73"/>
      <w:bookmarkEnd w:id="74"/>
    </w:p>
    <w:p>
      <w:pPr>
        <w:pStyle w:val="23"/>
        <w:numPr>
          <w:ilvl w:val="0"/>
          <w:numId w:val="6"/>
        </w:numPr>
        <w:spacing w:line="400" w:lineRule="exact"/>
        <w:ind w:firstLineChars="0"/>
        <w:jc w:val="both"/>
        <w:rPr>
          <w:rFonts w:ascii="宋体" w:hAnsi="宋体" w:cs="宋体"/>
          <w:vanish/>
          <w:color w:val="auto"/>
          <w:szCs w:val="21"/>
          <w:highlight w:val="none"/>
        </w:rPr>
      </w:pP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75" w:name="_Toc7789"/>
      <w:bookmarkStart w:id="76" w:name="_Toc644"/>
      <w:r>
        <w:rPr>
          <w:rFonts w:hint="eastAsia"/>
          <w:color w:val="auto"/>
          <w:highlight w:val="none"/>
        </w:rPr>
        <w:t>9.招标文件的澄清或修改</w:t>
      </w:r>
      <w:bookmarkEnd w:id="75"/>
      <w:bookmarkEnd w:id="76"/>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pStyle w:val="2"/>
        <w:ind w:left="0"/>
        <w:rPr>
          <w:color w:val="auto"/>
          <w:sz w:val="21"/>
          <w:szCs w:val="21"/>
          <w:highlight w:val="none"/>
        </w:rPr>
      </w:pPr>
    </w:p>
    <w:p>
      <w:pPr>
        <w:pStyle w:val="5"/>
        <w:rPr>
          <w:color w:val="auto"/>
          <w:highlight w:val="none"/>
        </w:rPr>
      </w:pPr>
      <w:bookmarkStart w:id="77" w:name="_Toc708"/>
      <w:bookmarkStart w:id="78" w:name="_Toc6458"/>
      <w:r>
        <w:rPr>
          <w:rFonts w:hint="eastAsia"/>
          <w:color w:val="auto"/>
          <w:highlight w:val="none"/>
        </w:rPr>
        <w:t>10.投标文件的语言及度量衡单位</w:t>
      </w:r>
      <w:bookmarkEnd w:id="77"/>
      <w:bookmarkEnd w:id="78"/>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pPr>
        <w:spacing w:line="400" w:lineRule="exact"/>
        <w:ind w:left="567"/>
        <w:jc w:val="both"/>
        <w:rPr>
          <w:rFonts w:ascii="宋体" w:hAnsi="宋体" w:cs="宋体"/>
          <w:color w:val="auto"/>
          <w:szCs w:val="21"/>
          <w:highlight w:val="none"/>
        </w:rPr>
      </w:pPr>
    </w:p>
    <w:p>
      <w:pPr>
        <w:pStyle w:val="5"/>
        <w:rPr>
          <w:color w:val="auto"/>
          <w:highlight w:val="none"/>
        </w:rPr>
      </w:pPr>
      <w:bookmarkStart w:id="79" w:name="_Toc8246"/>
      <w:bookmarkStart w:id="80" w:name="_Toc307934854"/>
      <w:bookmarkStart w:id="81" w:name="_Toc29420"/>
      <w:bookmarkStart w:id="82" w:name="_Toc28866"/>
      <w:bookmarkStart w:id="83" w:name="_Toc382049103"/>
      <w:bookmarkStart w:id="84" w:name="_Toc303084256"/>
      <w:r>
        <w:rPr>
          <w:rFonts w:hint="eastAsia"/>
          <w:color w:val="auto"/>
          <w:highlight w:val="none"/>
        </w:rPr>
        <w:t>11.投标文件的组成</w:t>
      </w:r>
      <w:bookmarkEnd w:id="79"/>
      <w:bookmarkEnd w:id="80"/>
      <w:bookmarkEnd w:id="81"/>
      <w:bookmarkEnd w:id="82"/>
      <w:bookmarkEnd w:id="83"/>
      <w:bookmarkEnd w:id="84"/>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85" w:name="_Toc5980"/>
      <w:bookmarkStart w:id="86" w:name="_Toc11356"/>
      <w:r>
        <w:rPr>
          <w:rFonts w:hint="eastAsia"/>
          <w:color w:val="auto"/>
          <w:highlight w:val="none"/>
        </w:rPr>
        <w:t>12.投标文件编制</w:t>
      </w:r>
      <w:bookmarkEnd w:id="85"/>
      <w:bookmarkEnd w:id="86"/>
    </w:p>
    <w:p>
      <w:pPr>
        <w:pStyle w:val="23"/>
        <w:numPr>
          <w:ilvl w:val="0"/>
          <w:numId w:val="6"/>
        </w:numPr>
        <w:spacing w:line="400" w:lineRule="exact"/>
        <w:ind w:firstLineChars="0"/>
        <w:jc w:val="both"/>
        <w:rPr>
          <w:rFonts w:ascii="宋体" w:hAnsi="宋体" w:cs="宋体"/>
          <w:vanish/>
          <w:color w:val="auto"/>
          <w:szCs w:val="21"/>
          <w:highlight w:val="none"/>
        </w:rPr>
      </w:pPr>
      <w:bookmarkStart w:id="87" w:name="_Toc30308425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政府采购监督管理部门等对其中任何资料进行核实的要求。</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7"/>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pPr>
        <w:pStyle w:val="5"/>
        <w:rPr>
          <w:color w:val="auto"/>
          <w:highlight w:val="none"/>
        </w:rPr>
      </w:pPr>
      <w:bookmarkStart w:id="88" w:name="_Toc1355"/>
      <w:bookmarkStart w:id="89" w:name="_Toc28034"/>
      <w:r>
        <w:rPr>
          <w:rFonts w:hint="eastAsia"/>
          <w:color w:val="auto"/>
          <w:highlight w:val="none"/>
        </w:rPr>
        <w:t>13.投标报价说明</w:t>
      </w:r>
      <w:bookmarkEnd w:id="88"/>
      <w:bookmarkEnd w:id="89"/>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pPr>
        <w:spacing w:line="400" w:lineRule="exact"/>
        <w:rPr>
          <w:rFonts w:ascii="宋体" w:hAnsi="宋体" w:cs="宋体"/>
          <w:color w:val="auto"/>
          <w:szCs w:val="21"/>
          <w:highlight w:val="none"/>
        </w:rPr>
      </w:pPr>
    </w:p>
    <w:p>
      <w:pPr>
        <w:pStyle w:val="5"/>
        <w:rPr>
          <w:color w:val="auto"/>
          <w:highlight w:val="none"/>
        </w:rPr>
      </w:pPr>
      <w:bookmarkStart w:id="90" w:name="_Toc6729"/>
      <w:bookmarkStart w:id="91" w:name="_Toc34"/>
      <w:r>
        <w:rPr>
          <w:rFonts w:hint="eastAsia"/>
          <w:color w:val="auto"/>
          <w:highlight w:val="none"/>
        </w:rPr>
        <w:t>14.投标人所提供的服务或货物的证明文件</w:t>
      </w:r>
      <w:bookmarkEnd w:id="90"/>
      <w:bookmarkEnd w:id="91"/>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bookmarkStart w:id="92" w:name="_Hlt107925668"/>
      <w:bookmarkEnd w:id="92"/>
      <w:bookmarkStart w:id="93" w:name="_Hlt107925638"/>
      <w:bookmarkEnd w:id="93"/>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pPr>
        <w:pStyle w:val="23"/>
        <w:spacing w:line="400" w:lineRule="exact"/>
        <w:ind w:left="425" w:firstLine="0" w:firstLineChars="0"/>
        <w:jc w:val="both"/>
        <w:rPr>
          <w:rFonts w:ascii="宋体" w:hAnsi="宋体" w:cs="宋体"/>
          <w:color w:val="auto"/>
          <w:szCs w:val="21"/>
          <w:highlight w:val="none"/>
        </w:rPr>
      </w:pPr>
    </w:p>
    <w:p>
      <w:pPr>
        <w:pStyle w:val="5"/>
        <w:rPr>
          <w:color w:val="auto"/>
          <w:highlight w:val="none"/>
        </w:rPr>
      </w:pPr>
      <w:bookmarkStart w:id="94" w:name="_Toc10940"/>
      <w:bookmarkStart w:id="95" w:name="_Toc29725"/>
      <w:r>
        <w:rPr>
          <w:rFonts w:hint="eastAsia"/>
          <w:color w:val="auto"/>
          <w:highlight w:val="none"/>
        </w:rPr>
        <w:t>15.★投标有效期</w:t>
      </w:r>
      <w:bookmarkEnd w:id="94"/>
      <w:bookmarkEnd w:id="95"/>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pPr>
        <w:spacing w:line="400" w:lineRule="exact"/>
        <w:ind w:left="567"/>
        <w:jc w:val="both"/>
        <w:rPr>
          <w:rFonts w:ascii="宋体" w:hAnsi="宋体" w:cs="宋体"/>
          <w:color w:val="auto"/>
          <w:szCs w:val="21"/>
          <w:highlight w:val="none"/>
        </w:rPr>
      </w:pPr>
    </w:p>
    <w:p>
      <w:pPr>
        <w:pStyle w:val="5"/>
        <w:rPr>
          <w:color w:val="auto"/>
          <w:highlight w:val="none"/>
        </w:rPr>
      </w:pPr>
      <w:bookmarkStart w:id="96" w:name="_Toc15529"/>
      <w:bookmarkStart w:id="97" w:name="_Toc5483"/>
      <w:r>
        <w:rPr>
          <w:rFonts w:hint="eastAsia"/>
          <w:color w:val="auto"/>
          <w:highlight w:val="none"/>
        </w:rPr>
        <w:t>16.★投标保证金</w:t>
      </w:r>
      <w:bookmarkEnd w:id="96"/>
      <w:bookmarkEnd w:id="97"/>
      <w:r>
        <w:rPr>
          <w:rFonts w:hint="eastAsia"/>
          <w:color w:val="auto"/>
          <w:highlight w:val="none"/>
        </w:rPr>
        <w:t>（本项目不收取）</w:t>
      </w:r>
    </w:p>
    <w:p>
      <w:pPr>
        <w:pStyle w:val="23"/>
        <w:numPr>
          <w:ilvl w:val="0"/>
          <w:numId w:val="6"/>
        </w:numPr>
        <w:spacing w:line="400" w:lineRule="exact"/>
        <w:ind w:firstLineChars="0"/>
        <w:jc w:val="both"/>
        <w:rPr>
          <w:rFonts w:ascii="宋体" w:hAnsi="宋体" w:cs="宋体"/>
          <w:vanish/>
          <w:color w:val="auto"/>
          <w:szCs w:val="21"/>
          <w:highlight w:val="none"/>
        </w:rPr>
      </w:pPr>
      <w:bookmarkStart w:id="98" w:name="_Ref179619405"/>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采用银行转账、电汇方式提交的,付至招标代理机构指定账户上。 （详见投标人资料表)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招标人或者招标代理机构提供的保证担保。供应商在投标有效期内撤回投标文件或中标后不签订政府采购合同的，由担保机构按照担保函的约定履行支付投标保证金的责任。（投标担保格式详见附件《政府采购投标担保函》）</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采用《政府采购投标担保函》提交的，应符合下列规定：</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pPr>
        <w:numPr>
          <w:ilvl w:val="1"/>
          <w:numId w:val="6"/>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pPr>
        <w:pStyle w:val="2"/>
        <w:rPr>
          <w:color w:val="auto"/>
          <w:sz w:val="21"/>
          <w:szCs w:val="21"/>
          <w:highlight w:val="none"/>
        </w:rPr>
      </w:pPr>
    </w:p>
    <w:p>
      <w:pPr>
        <w:pStyle w:val="5"/>
        <w:rPr>
          <w:color w:val="auto"/>
          <w:highlight w:val="none"/>
        </w:rPr>
      </w:pPr>
      <w:bookmarkStart w:id="99" w:name="_Toc16724"/>
      <w:bookmarkStart w:id="100" w:name="_Toc24997"/>
      <w:bookmarkStart w:id="101" w:name="_Toc382049111"/>
      <w:bookmarkStart w:id="102" w:name="_Toc16286"/>
      <w:bookmarkStart w:id="103" w:name="_Toc303084264"/>
      <w:r>
        <w:rPr>
          <w:rFonts w:hint="eastAsia"/>
          <w:color w:val="auto"/>
          <w:highlight w:val="none"/>
        </w:rPr>
        <w:t>17.投标文件的装订，签署，密封和标记</w:t>
      </w:r>
      <w:bookmarkEnd w:id="99"/>
      <w:bookmarkEnd w:id="100"/>
      <w:bookmarkEnd w:id="101"/>
      <w:bookmarkEnd w:id="102"/>
      <w:bookmarkEnd w:id="103"/>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04" w:name="_Toc17636"/>
      <w:bookmarkStart w:id="105" w:name="_Toc30088"/>
      <w:r>
        <w:rPr>
          <w:rFonts w:hint="eastAsia"/>
          <w:color w:val="auto"/>
          <w:highlight w:val="none"/>
        </w:rPr>
        <w:t>18.迟交的投标文件</w:t>
      </w:r>
      <w:bookmarkEnd w:id="104"/>
      <w:bookmarkEnd w:id="105"/>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pPr>
        <w:spacing w:line="400" w:lineRule="exact"/>
        <w:rPr>
          <w:rFonts w:ascii="宋体" w:hAnsi="宋体" w:cs="宋体"/>
          <w:color w:val="auto"/>
          <w:szCs w:val="21"/>
          <w:highlight w:val="none"/>
        </w:rPr>
      </w:pPr>
    </w:p>
    <w:p>
      <w:pPr>
        <w:pStyle w:val="5"/>
        <w:rPr>
          <w:color w:val="auto"/>
          <w:highlight w:val="none"/>
        </w:rPr>
      </w:pPr>
      <w:bookmarkStart w:id="106" w:name="_Toc15912"/>
      <w:bookmarkStart w:id="107" w:name="_Toc24269"/>
      <w:r>
        <w:rPr>
          <w:rFonts w:hint="eastAsia"/>
          <w:color w:val="auto"/>
          <w:highlight w:val="none"/>
        </w:rPr>
        <w:t>19.投标样品、投标演示（如有要求）</w:t>
      </w:r>
      <w:bookmarkEnd w:id="106"/>
      <w:bookmarkEnd w:id="107"/>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pPr>
        <w:spacing w:line="360" w:lineRule="auto"/>
        <w:rPr>
          <w:rFonts w:ascii="宋体" w:hAnsi="宋体" w:cs="宋体"/>
          <w:color w:val="auto"/>
          <w:szCs w:val="21"/>
          <w:highlight w:val="none"/>
        </w:rPr>
      </w:pPr>
    </w:p>
    <w:p>
      <w:pPr>
        <w:pStyle w:val="5"/>
        <w:rPr>
          <w:color w:val="auto"/>
          <w:highlight w:val="none"/>
        </w:rPr>
      </w:pPr>
      <w:bookmarkStart w:id="108" w:name="_Toc303084265"/>
      <w:bookmarkStart w:id="109" w:name="_Toc22355"/>
      <w:bookmarkStart w:id="110" w:name="_Toc382049112"/>
      <w:bookmarkStart w:id="111" w:name="_Toc28098"/>
      <w:bookmarkStart w:id="112" w:name="_Toc9777"/>
      <w:r>
        <w:rPr>
          <w:rFonts w:hint="eastAsia"/>
          <w:color w:val="auto"/>
          <w:highlight w:val="none"/>
        </w:rPr>
        <w:t>20.投标截止期</w:t>
      </w:r>
      <w:bookmarkEnd w:id="108"/>
      <w:bookmarkEnd w:id="109"/>
      <w:bookmarkEnd w:id="110"/>
      <w:bookmarkEnd w:id="111"/>
      <w:bookmarkEnd w:id="112"/>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pPr>
        <w:spacing w:line="400" w:lineRule="exact"/>
        <w:rPr>
          <w:rFonts w:ascii="宋体" w:hAnsi="宋体" w:cs="宋体"/>
          <w:color w:val="auto"/>
          <w:szCs w:val="21"/>
          <w:highlight w:val="none"/>
        </w:rPr>
      </w:pPr>
    </w:p>
    <w:p>
      <w:pPr>
        <w:pStyle w:val="5"/>
        <w:rPr>
          <w:color w:val="auto"/>
          <w:highlight w:val="none"/>
        </w:rPr>
      </w:pPr>
      <w:bookmarkStart w:id="113" w:name="_Toc22260"/>
      <w:bookmarkStart w:id="114" w:name="_Toc4270"/>
      <w:r>
        <w:rPr>
          <w:rFonts w:hint="eastAsia"/>
          <w:color w:val="auto"/>
          <w:highlight w:val="none"/>
        </w:rPr>
        <w:t>21.投标文件的补充、修改与撤回</w:t>
      </w:r>
      <w:bookmarkEnd w:id="113"/>
      <w:bookmarkEnd w:id="114"/>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pPr>
        <w:pStyle w:val="2"/>
        <w:spacing w:line="360" w:lineRule="auto"/>
        <w:rPr>
          <w:color w:val="auto"/>
          <w:sz w:val="21"/>
          <w:szCs w:val="21"/>
          <w:highlight w:val="none"/>
        </w:rPr>
      </w:pPr>
    </w:p>
    <w:p>
      <w:pPr>
        <w:pStyle w:val="6"/>
        <w:overflowPunct w:val="0"/>
        <w:spacing w:before="0" w:after="0" w:line="400" w:lineRule="exact"/>
        <w:rPr>
          <w:rFonts w:ascii="宋体" w:hAnsi="宋体" w:cs="宋体"/>
          <w:color w:val="auto"/>
          <w:sz w:val="21"/>
          <w:szCs w:val="21"/>
          <w:highlight w:val="none"/>
        </w:rPr>
      </w:pPr>
      <w:bookmarkStart w:id="115" w:name="_Toc174"/>
      <w:r>
        <w:rPr>
          <w:rFonts w:hint="eastAsia" w:ascii="宋体" w:hAnsi="宋体" w:cs="宋体"/>
          <w:color w:val="auto"/>
          <w:sz w:val="21"/>
          <w:szCs w:val="21"/>
          <w:highlight w:val="none"/>
        </w:rPr>
        <w:t>22.开标</w:t>
      </w:r>
      <w:bookmarkEnd w:id="115"/>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pPr>
        <w:spacing w:line="400" w:lineRule="exact"/>
        <w:ind w:left="567"/>
        <w:jc w:val="both"/>
        <w:rPr>
          <w:rFonts w:ascii="宋体" w:hAnsi="宋体" w:cs="宋体"/>
          <w:color w:val="auto"/>
          <w:szCs w:val="21"/>
          <w:highlight w:val="none"/>
        </w:rPr>
      </w:pPr>
    </w:p>
    <w:p>
      <w:pPr>
        <w:pStyle w:val="5"/>
        <w:rPr>
          <w:color w:val="auto"/>
          <w:highlight w:val="none"/>
        </w:rPr>
      </w:pPr>
      <w:bookmarkStart w:id="116" w:name="_Toc23244"/>
      <w:bookmarkStart w:id="117" w:name="_Toc318"/>
      <w:r>
        <w:rPr>
          <w:rFonts w:hint="eastAsia"/>
          <w:color w:val="auto"/>
          <w:highlight w:val="none"/>
        </w:rPr>
        <w:t>23.评标委员会及评标方法</w:t>
      </w:r>
      <w:bookmarkEnd w:id="116"/>
      <w:bookmarkEnd w:id="117"/>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18" w:name="_Toc21911"/>
      <w:bookmarkStart w:id="119" w:name="_Toc15635"/>
      <w:r>
        <w:rPr>
          <w:rFonts w:hint="eastAsia"/>
          <w:color w:val="auto"/>
          <w:highlight w:val="none"/>
        </w:rPr>
        <w:t>24.评审原则及评标过程的保密</w:t>
      </w:r>
      <w:bookmarkEnd w:id="118"/>
      <w:bookmarkEnd w:id="119"/>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评审的基本原则：评标委员会将依据《中华人民共和国政府采购法》及国家和地方政府有关法规的规定，遵循“客观、公正、审慎”的原则进行评审工作。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pPr>
        <w:spacing w:line="400" w:lineRule="exact"/>
        <w:rPr>
          <w:rFonts w:ascii="宋体" w:hAnsi="宋体" w:cs="宋体"/>
          <w:color w:val="auto"/>
          <w:szCs w:val="21"/>
          <w:highlight w:val="none"/>
        </w:rPr>
      </w:pPr>
    </w:p>
    <w:p>
      <w:pPr>
        <w:pStyle w:val="5"/>
        <w:rPr>
          <w:color w:val="auto"/>
          <w:highlight w:val="none"/>
        </w:rPr>
      </w:pPr>
      <w:bookmarkStart w:id="120" w:name="_Toc10950"/>
      <w:bookmarkStart w:id="121" w:name="_Toc12318"/>
      <w:r>
        <w:rPr>
          <w:rFonts w:hint="eastAsia"/>
          <w:color w:val="auto"/>
          <w:highlight w:val="none"/>
        </w:rPr>
        <w:t>25.投标文件的初审</w:t>
      </w:r>
      <w:bookmarkEnd w:id="120"/>
      <w:bookmarkEnd w:id="121"/>
    </w:p>
    <w:p>
      <w:pPr>
        <w:pStyle w:val="23"/>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spacing w:line="400" w:lineRule="exact"/>
        <w:rPr>
          <w:rFonts w:ascii="宋体" w:hAnsi="宋体" w:cs="宋体"/>
          <w:color w:val="auto"/>
          <w:szCs w:val="21"/>
          <w:highlight w:val="none"/>
        </w:rPr>
      </w:pPr>
    </w:p>
    <w:p>
      <w:pPr>
        <w:pStyle w:val="5"/>
        <w:rPr>
          <w:color w:val="auto"/>
          <w:highlight w:val="none"/>
        </w:rPr>
      </w:pPr>
      <w:bookmarkStart w:id="122" w:name="_Toc19657"/>
      <w:bookmarkStart w:id="123" w:name="_Toc24775"/>
      <w:r>
        <w:rPr>
          <w:rFonts w:hint="eastAsia"/>
          <w:color w:val="auto"/>
          <w:highlight w:val="none"/>
        </w:rPr>
        <w:t>26.商务、技术、价格评审</w:t>
      </w:r>
      <w:bookmarkEnd w:id="122"/>
      <w:bookmarkEnd w:id="123"/>
    </w:p>
    <w:p>
      <w:pPr>
        <w:pStyle w:val="23"/>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pPr>
        <w:tabs>
          <w:tab w:val="left" w:pos="907"/>
        </w:tabs>
        <w:spacing w:line="400" w:lineRule="exact"/>
        <w:ind w:left="567"/>
        <w:jc w:val="both"/>
        <w:rPr>
          <w:rFonts w:ascii="宋体" w:hAnsi="宋体" w:cs="宋体"/>
          <w:color w:val="auto"/>
          <w:szCs w:val="21"/>
          <w:highlight w:val="none"/>
        </w:rPr>
      </w:pPr>
    </w:p>
    <w:p>
      <w:pPr>
        <w:pStyle w:val="5"/>
        <w:rPr>
          <w:color w:val="auto"/>
          <w:highlight w:val="none"/>
        </w:rPr>
      </w:pPr>
      <w:bookmarkStart w:id="124" w:name="_Toc316375620"/>
      <w:bookmarkStart w:id="125" w:name="_Toc20328"/>
      <w:bookmarkStart w:id="126" w:name="_Toc5898"/>
      <w:bookmarkStart w:id="127" w:name="_Toc19304"/>
      <w:bookmarkStart w:id="128" w:name="_Toc382049120"/>
      <w:r>
        <w:rPr>
          <w:rFonts w:hint="eastAsia"/>
          <w:color w:val="auto"/>
          <w:highlight w:val="none"/>
        </w:rPr>
        <w:t>27.纪律和保密</w:t>
      </w:r>
      <w:bookmarkEnd w:id="124"/>
      <w:r>
        <w:rPr>
          <w:rFonts w:hint="eastAsia"/>
          <w:color w:val="auto"/>
          <w:highlight w:val="none"/>
        </w:rPr>
        <w:t>事项</w:t>
      </w:r>
      <w:bookmarkEnd w:id="125"/>
      <w:bookmarkEnd w:id="126"/>
      <w:bookmarkEnd w:id="127"/>
      <w:bookmarkEnd w:id="128"/>
    </w:p>
    <w:p>
      <w:pPr>
        <w:pStyle w:val="23"/>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5"/>
        <w:rPr>
          <w:color w:val="auto"/>
          <w:highlight w:val="none"/>
        </w:rPr>
      </w:pPr>
      <w:bookmarkStart w:id="129" w:name="_Toc508284011"/>
      <w:bookmarkStart w:id="130" w:name="_Toc4954"/>
      <w:bookmarkStart w:id="131" w:name="_Toc1994"/>
      <w:r>
        <w:rPr>
          <w:rFonts w:hint="eastAsia"/>
          <w:color w:val="auto"/>
          <w:highlight w:val="none"/>
        </w:rPr>
        <w:t>28.合同授予标准</w:t>
      </w:r>
      <w:bookmarkEnd w:id="129"/>
      <w:bookmarkEnd w:id="130"/>
      <w:bookmarkEnd w:id="131"/>
    </w:p>
    <w:p>
      <w:pPr>
        <w:pStyle w:val="23"/>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pPr>
        <w:spacing w:line="400" w:lineRule="exact"/>
        <w:rPr>
          <w:rFonts w:ascii="宋体" w:hAnsi="宋体" w:cs="宋体"/>
          <w:color w:val="auto"/>
          <w:szCs w:val="21"/>
          <w:highlight w:val="none"/>
        </w:rPr>
      </w:pPr>
    </w:p>
    <w:p>
      <w:pPr>
        <w:pStyle w:val="5"/>
        <w:rPr>
          <w:color w:val="auto"/>
          <w:highlight w:val="none"/>
        </w:rPr>
      </w:pPr>
      <w:bookmarkStart w:id="132" w:name="_Toc508284013"/>
      <w:bookmarkStart w:id="133" w:name="_Toc14141"/>
      <w:bookmarkStart w:id="134" w:name="_Toc22043"/>
      <w:r>
        <w:rPr>
          <w:rFonts w:hint="eastAsia"/>
          <w:color w:val="auto"/>
          <w:highlight w:val="none"/>
        </w:rPr>
        <w:t>29.发布采购结果</w:t>
      </w:r>
      <w:bookmarkEnd w:id="132"/>
      <w:bookmarkEnd w:id="133"/>
      <w:bookmarkEnd w:id="134"/>
    </w:p>
    <w:p>
      <w:pPr>
        <w:pStyle w:val="23"/>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pPr>
        <w:spacing w:line="400" w:lineRule="exact"/>
        <w:rPr>
          <w:rFonts w:ascii="宋体" w:hAnsi="宋体" w:cs="宋体"/>
          <w:color w:val="auto"/>
          <w:szCs w:val="21"/>
          <w:highlight w:val="none"/>
        </w:rPr>
      </w:pPr>
    </w:p>
    <w:p>
      <w:pPr>
        <w:pStyle w:val="5"/>
        <w:rPr>
          <w:color w:val="auto"/>
          <w:highlight w:val="none"/>
        </w:rPr>
      </w:pPr>
      <w:bookmarkStart w:id="135" w:name="_Toc8411"/>
      <w:bookmarkStart w:id="136" w:name="_Toc11977"/>
      <w:r>
        <w:rPr>
          <w:rFonts w:hint="eastAsia"/>
          <w:color w:val="auto"/>
          <w:highlight w:val="none"/>
        </w:rPr>
        <w:t>30.合同的签订与履行</w:t>
      </w:r>
      <w:bookmarkEnd w:id="135"/>
      <w:bookmarkEnd w:id="136"/>
    </w:p>
    <w:p>
      <w:pPr>
        <w:pStyle w:val="23"/>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政府采购合同的履行、违约责任和解决争议的方法等适用《中华人民共和国民法典》。</w:t>
      </w: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中标人拒绝与招标人签订合同的，招标人可以按照评审报告推荐的中标候选人名单排序，确定下一候选人为中标人，也可以重新开展政府采购活动。</w:t>
      </w:r>
    </w:p>
    <w:p>
      <w:pPr>
        <w:pStyle w:val="2"/>
        <w:rPr>
          <w:color w:val="auto"/>
          <w:sz w:val="21"/>
          <w:szCs w:val="21"/>
          <w:highlight w:val="none"/>
        </w:rPr>
      </w:pPr>
    </w:p>
    <w:p>
      <w:pPr>
        <w:pStyle w:val="5"/>
        <w:rPr>
          <w:color w:val="auto"/>
          <w:highlight w:val="none"/>
        </w:rPr>
      </w:pPr>
      <w:bookmarkStart w:id="137" w:name="_Toc19434"/>
      <w:bookmarkStart w:id="138" w:name="_Toc23400"/>
      <w:r>
        <w:rPr>
          <w:rFonts w:hint="eastAsia"/>
          <w:color w:val="auto"/>
          <w:highlight w:val="none"/>
        </w:rPr>
        <w:t>31.招标文件的解释权</w:t>
      </w:r>
      <w:bookmarkEnd w:id="137"/>
      <w:bookmarkEnd w:id="138"/>
    </w:p>
    <w:p>
      <w:pPr>
        <w:pStyle w:val="23"/>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rPr>
          <w:color w:val="auto"/>
          <w:highlight w:val="none"/>
        </w:rPr>
      </w:pPr>
      <w:bookmarkStart w:id="139" w:name="_Toc27892"/>
      <w:r>
        <w:rPr>
          <w:rFonts w:hint="eastAsia"/>
          <w:color w:val="auto"/>
          <w:highlight w:val="none"/>
        </w:rPr>
        <w:t>用户需求书</w:t>
      </w:r>
      <w:bookmarkEnd w:id="139"/>
    </w:p>
    <w:p>
      <w:pPr>
        <w:jc w:val="center"/>
        <w:outlineLvl w:val="1"/>
        <w:rPr>
          <w:b/>
          <w:bCs/>
          <w:color w:val="auto"/>
          <w:sz w:val="28"/>
          <w:szCs w:val="36"/>
          <w:highlight w:val="none"/>
        </w:rPr>
      </w:pPr>
      <w:bookmarkStart w:id="140" w:name="_Toc16006"/>
      <w:r>
        <w:rPr>
          <w:rFonts w:hint="eastAsia"/>
          <w:b/>
          <w:bCs/>
          <w:color w:val="auto"/>
          <w:sz w:val="28"/>
          <w:szCs w:val="36"/>
          <w:highlight w:val="none"/>
        </w:rPr>
        <w:t>商务要求</w:t>
      </w:r>
      <w:bookmarkEnd w:id="140"/>
    </w:p>
    <w:tbl>
      <w:tblPr>
        <w:tblStyle w:val="18"/>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55"/>
        <w:gridCol w:w="1205"/>
        <w:gridCol w:w="65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43" w:type="pct"/>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707" w:type="pct"/>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条款名称</w:t>
            </w:r>
          </w:p>
        </w:tc>
        <w:tc>
          <w:tcPr>
            <w:tcW w:w="3849" w:type="pct"/>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443" w:type="pct"/>
            <w:vAlign w:val="center"/>
          </w:tcPr>
          <w:p>
            <w:pPr>
              <w:widowControl/>
              <w:jc w:val="center"/>
              <w:rPr>
                <w:rFonts w:ascii="宋体" w:hAnsi="宋体"/>
                <w:color w:val="auto"/>
                <w:szCs w:val="21"/>
                <w:highlight w:val="none"/>
              </w:rPr>
            </w:pPr>
            <w:r>
              <w:rPr>
                <w:rFonts w:hint="eastAsia" w:ascii="宋体" w:hAnsi="宋体"/>
                <w:color w:val="auto"/>
                <w:szCs w:val="21"/>
                <w:highlight w:val="none"/>
              </w:rPr>
              <w:t>1</w:t>
            </w:r>
          </w:p>
        </w:tc>
        <w:tc>
          <w:tcPr>
            <w:tcW w:w="707" w:type="pct"/>
            <w:vAlign w:val="center"/>
          </w:tcPr>
          <w:p>
            <w:pPr>
              <w:autoSpaceDE w:val="0"/>
              <w:autoSpaceDN w:val="0"/>
              <w:spacing w:line="288" w:lineRule="auto"/>
              <w:jc w:val="center"/>
              <w:rPr>
                <w:rFonts w:ascii="宋体" w:hAnsi="宋体"/>
                <w:color w:val="auto"/>
                <w:szCs w:val="21"/>
                <w:highlight w:val="none"/>
              </w:rPr>
            </w:pPr>
            <w:r>
              <w:rPr>
                <w:rFonts w:hint="eastAsia" w:ascii="宋体" w:hAnsi="宋体"/>
                <w:color w:val="auto"/>
                <w:szCs w:val="21"/>
                <w:highlight w:val="none"/>
              </w:rPr>
              <w:t>服务期</w:t>
            </w:r>
          </w:p>
        </w:tc>
        <w:tc>
          <w:tcPr>
            <w:tcW w:w="3849" w:type="pct"/>
            <w:vAlign w:val="center"/>
          </w:tcPr>
          <w:p>
            <w:pPr>
              <w:autoSpaceDE w:val="0"/>
              <w:autoSpaceDN w:val="0"/>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服务期为3年。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443" w:type="pct"/>
            <w:vAlign w:val="center"/>
          </w:tcPr>
          <w:p>
            <w:pPr>
              <w:widowControl/>
              <w:jc w:val="center"/>
              <w:rPr>
                <w:rFonts w:ascii="宋体" w:hAnsi="宋体"/>
                <w:color w:val="auto"/>
                <w:szCs w:val="21"/>
                <w:highlight w:val="none"/>
              </w:rPr>
            </w:pPr>
            <w:r>
              <w:rPr>
                <w:rFonts w:hint="eastAsia" w:ascii="宋体" w:hAnsi="宋体"/>
                <w:color w:val="auto"/>
                <w:szCs w:val="21"/>
                <w:highlight w:val="none"/>
              </w:rPr>
              <w:t>2</w:t>
            </w:r>
          </w:p>
        </w:tc>
        <w:tc>
          <w:tcPr>
            <w:tcW w:w="707" w:type="pct"/>
            <w:vAlign w:val="center"/>
          </w:tcPr>
          <w:p>
            <w:pPr>
              <w:widowControl/>
              <w:jc w:val="center"/>
              <w:rPr>
                <w:rFonts w:ascii="宋体" w:hAnsi="宋体"/>
                <w:color w:val="auto"/>
                <w:szCs w:val="21"/>
                <w:highlight w:val="none"/>
              </w:rPr>
            </w:pPr>
            <w:r>
              <w:rPr>
                <w:rFonts w:hint="eastAsia" w:ascii="宋体" w:hAnsi="宋体"/>
                <w:b/>
                <w:bCs/>
                <w:color w:val="auto"/>
                <w:szCs w:val="21"/>
                <w:highlight w:val="none"/>
              </w:rPr>
              <w:t>合同签订</w:t>
            </w:r>
          </w:p>
        </w:tc>
        <w:tc>
          <w:tcPr>
            <w:tcW w:w="3849" w:type="pct"/>
            <w:vAlign w:val="center"/>
          </w:tcPr>
          <w:p>
            <w:pPr>
              <w:widowControl/>
              <w:ind w:firstLine="422" w:firstLineChars="200"/>
              <w:jc w:val="both"/>
              <w:rPr>
                <w:rFonts w:ascii="宋体" w:hAnsi="宋体"/>
                <w:color w:val="auto"/>
                <w:szCs w:val="21"/>
                <w:highlight w:val="none"/>
              </w:rPr>
            </w:pPr>
            <w:r>
              <w:rPr>
                <w:rFonts w:hint="eastAsia" w:ascii="宋体" w:hAnsi="宋体"/>
                <w:b/>
                <w:bCs/>
                <w:color w:val="auto"/>
                <w:szCs w:val="21"/>
                <w:highlight w:val="none"/>
              </w:rPr>
              <w:t>采用一年一签模式，即只有每年考核达标，才能自动续约下一年合同。如考核未达标的承包单位将自动淘汰出局，由采购单位重新组织项目招标。合同期满前50日内，采购人根据考核办法评定是否达标，具体为：该年度没有出现连续两个月综合考核得分80以下或同一年度内累计三个月综合考核得分80以下或被市同一年度内两次评为黑榜的，视为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443" w:type="pct"/>
            <w:vAlign w:val="center"/>
          </w:tcPr>
          <w:p>
            <w:pPr>
              <w:widowControl/>
              <w:jc w:val="center"/>
              <w:rPr>
                <w:rFonts w:ascii="宋体" w:hAnsi="宋体"/>
                <w:color w:val="auto"/>
                <w:szCs w:val="21"/>
                <w:highlight w:val="none"/>
              </w:rPr>
            </w:pPr>
            <w:r>
              <w:rPr>
                <w:rFonts w:hint="eastAsia" w:ascii="宋体" w:hAnsi="宋体"/>
                <w:color w:val="auto"/>
                <w:szCs w:val="21"/>
                <w:highlight w:val="none"/>
              </w:rPr>
              <w:t>3</w:t>
            </w:r>
          </w:p>
        </w:tc>
        <w:tc>
          <w:tcPr>
            <w:tcW w:w="707" w:type="pct"/>
            <w:vAlign w:val="center"/>
          </w:tcPr>
          <w:p>
            <w:pPr>
              <w:widowControl/>
              <w:jc w:val="center"/>
              <w:rPr>
                <w:rFonts w:ascii="宋体" w:hAnsi="宋体"/>
                <w:color w:val="auto"/>
                <w:szCs w:val="21"/>
                <w:highlight w:val="none"/>
              </w:rPr>
            </w:pPr>
            <w:r>
              <w:rPr>
                <w:rFonts w:hint="eastAsia" w:ascii="宋体" w:hAnsi="宋体"/>
                <w:color w:val="auto"/>
                <w:szCs w:val="21"/>
                <w:highlight w:val="none"/>
              </w:rPr>
              <w:t>付款方式</w:t>
            </w:r>
          </w:p>
        </w:tc>
        <w:tc>
          <w:tcPr>
            <w:tcW w:w="3849" w:type="pct"/>
            <w:vAlign w:val="center"/>
          </w:tcPr>
          <w:p>
            <w:pPr>
              <w:widowControl/>
              <w:ind w:firstLine="420" w:firstLineChars="200"/>
              <w:jc w:val="both"/>
              <w:rPr>
                <w:rFonts w:hint="eastAsia"/>
                <w:color w:val="auto"/>
                <w:highlight w:val="none"/>
              </w:rPr>
            </w:pPr>
            <w:r>
              <w:rPr>
                <w:rFonts w:hint="eastAsia"/>
                <w:color w:val="auto"/>
                <w:highlight w:val="none"/>
              </w:rPr>
              <w:t>1、按月支付承包款，每月结合考核标准进行结算。合同生效后第二个月起每月20日前向乙方支付上月的承包款。</w:t>
            </w:r>
          </w:p>
          <w:p>
            <w:pPr>
              <w:widowControl/>
              <w:ind w:firstLine="420" w:firstLineChars="200"/>
              <w:jc w:val="both"/>
              <w:rPr>
                <w:rFonts w:hint="eastAsia"/>
                <w:color w:val="auto"/>
                <w:highlight w:val="none"/>
              </w:rPr>
            </w:pPr>
            <w:r>
              <w:rPr>
                <w:rFonts w:hint="eastAsia"/>
                <w:color w:val="auto"/>
                <w:highlight w:val="none"/>
              </w:rPr>
              <w:t>2、每期款项支付时，乙方应在接到甲方开票通知后10天内，提交相应金额的正式发票；如乙方未能按照约定提供相应金额的正式发票，由此产生的责任和损失由乙方自行承担。</w:t>
            </w:r>
          </w:p>
          <w:p>
            <w:pPr>
              <w:widowControl/>
              <w:ind w:firstLine="420" w:firstLineChars="200"/>
              <w:jc w:val="both"/>
              <w:rPr>
                <w:color w:val="auto"/>
                <w:highlight w:val="none"/>
              </w:rPr>
            </w:pPr>
            <w:r>
              <w:rPr>
                <w:rFonts w:hint="eastAsia"/>
                <w:color w:val="auto"/>
                <w:highlight w:val="none"/>
              </w:rPr>
              <w:t>3、乙方确认本合同项下款项均支付至本合同签署页列明的银行账户，甲方将合同款项支付至乙方指定的银行账户即完成合同款项的支付义务。如本合同尾部列明的收款账户发生任何变更，乙方应自变更之日起立即书面通知甲方；否则，由此引起的相关后果均由乙方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443" w:type="pct"/>
            <w:vAlign w:val="center"/>
          </w:tcPr>
          <w:p>
            <w:pPr>
              <w:widowControl/>
              <w:jc w:val="center"/>
              <w:rPr>
                <w:rFonts w:ascii="宋体" w:hAnsi="宋体"/>
                <w:color w:val="auto"/>
                <w:szCs w:val="21"/>
                <w:highlight w:val="none"/>
              </w:rPr>
            </w:pPr>
            <w:r>
              <w:rPr>
                <w:rFonts w:hint="eastAsia" w:ascii="宋体" w:hAnsi="宋体"/>
                <w:color w:val="auto"/>
                <w:szCs w:val="21"/>
                <w:highlight w:val="none"/>
              </w:rPr>
              <w:t>4</w:t>
            </w:r>
          </w:p>
        </w:tc>
        <w:tc>
          <w:tcPr>
            <w:tcW w:w="707" w:type="pct"/>
            <w:vAlign w:val="center"/>
          </w:tcPr>
          <w:p>
            <w:pPr>
              <w:widowControl/>
              <w:jc w:val="center"/>
              <w:rPr>
                <w:rFonts w:ascii="宋体" w:hAnsi="宋体"/>
                <w:color w:val="auto"/>
                <w:szCs w:val="21"/>
                <w:highlight w:val="none"/>
              </w:rPr>
            </w:pPr>
            <w:r>
              <w:rPr>
                <w:rFonts w:hint="eastAsia" w:ascii="宋体" w:hAnsi="宋体"/>
                <w:color w:val="auto"/>
                <w:szCs w:val="21"/>
                <w:highlight w:val="none"/>
              </w:rPr>
              <w:t>项目地点</w:t>
            </w:r>
          </w:p>
        </w:tc>
        <w:tc>
          <w:tcPr>
            <w:tcW w:w="3849" w:type="pct"/>
            <w:vAlign w:val="center"/>
          </w:tcPr>
          <w:p>
            <w:pPr>
              <w:widowControl/>
              <w:ind w:firstLine="420" w:firstLineChars="200"/>
              <w:jc w:val="both"/>
              <w:rPr>
                <w:rFonts w:ascii="宋体" w:hAnsi="宋体"/>
                <w:color w:val="auto"/>
                <w:szCs w:val="21"/>
                <w:highlight w:val="none"/>
              </w:rPr>
            </w:pPr>
            <w:r>
              <w:rPr>
                <w:rFonts w:hint="eastAsia" w:ascii="宋体" w:hAnsi="宋体"/>
                <w:color w:val="auto"/>
                <w:szCs w:val="21"/>
                <w:highlight w:val="none"/>
              </w:rPr>
              <w:t>东莞市长安镇</w:t>
            </w:r>
            <w:r>
              <w:rPr>
                <w:rFonts w:hint="eastAsia" w:ascii="宋体" w:hAnsi="宋体"/>
                <w:color w:val="auto"/>
                <w:szCs w:val="21"/>
                <w:highlight w:val="none"/>
                <w:lang w:eastAsia="zh-CN"/>
              </w:rPr>
              <w:t>新民</w:t>
            </w:r>
            <w:r>
              <w:rPr>
                <w:rFonts w:hint="eastAsia" w:ascii="宋体" w:hAnsi="宋体"/>
                <w:color w:val="auto"/>
                <w:szCs w:val="21"/>
                <w:highlight w:val="none"/>
              </w:rPr>
              <w:t>社区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1" w:hRule="atLeast"/>
          <w:jc w:val="center"/>
        </w:trPr>
        <w:tc>
          <w:tcPr>
            <w:tcW w:w="443" w:type="pct"/>
            <w:vAlign w:val="center"/>
          </w:tcPr>
          <w:p>
            <w:pPr>
              <w:widowControl/>
              <w:jc w:val="center"/>
              <w:rPr>
                <w:rFonts w:ascii="宋体" w:hAnsi="宋体"/>
                <w:color w:val="auto"/>
                <w:szCs w:val="21"/>
                <w:highlight w:val="none"/>
              </w:rPr>
            </w:pPr>
            <w:r>
              <w:rPr>
                <w:rFonts w:hint="eastAsia" w:ascii="宋体" w:hAnsi="宋体"/>
                <w:color w:val="auto"/>
                <w:szCs w:val="21"/>
                <w:highlight w:val="none"/>
              </w:rPr>
              <w:t>5</w:t>
            </w:r>
          </w:p>
        </w:tc>
        <w:tc>
          <w:tcPr>
            <w:tcW w:w="707" w:type="pct"/>
            <w:vAlign w:val="center"/>
          </w:tcPr>
          <w:p>
            <w:pPr>
              <w:widowControl/>
              <w:jc w:val="center"/>
              <w:rPr>
                <w:rFonts w:ascii="宋体" w:hAnsi="宋体"/>
                <w:color w:val="auto"/>
                <w:szCs w:val="21"/>
                <w:highlight w:val="none"/>
              </w:rPr>
            </w:pPr>
            <w:r>
              <w:rPr>
                <w:rFonts w:hint="eastAsia" w:ascii="宋体" w:hAnsi="宋体"/>
                <w:color w:val="auto"/>
                <w:szCs w:val="21"/>
                <w:highlight w:val="none"/>
              </w:rPr>
              <w:t>报价要求</w:t>
            </w:r>
          </w:p>
        </w:tc>
        <w:tc>
          <w:tcPr>
            <w:tcW w:w="3849" w:type="pct"/>
            <w:vAlign w:val="center"/>
          </w:tcPr>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报价包含垃圾清运费用、管理费用、人员费用（含员工正常工作时间工资、加班工资、奖金、津贴、食宿费、住房补助、劳动保障、福利、医疗保险与费用、工伤保险与费用、失业保险、社会保障、教育培训费用、暂住费用、伤亡事故处理费用等费用）、税费、生产资料费用（含作业用水、用电的费用，含各种环卫工具、环卫车辆、环卫机械设备的投入和耗损，不含果皮箱、环卫工具房购置及维修费）、市政设施防张贴防涂写防刻画涂料的购买与喷涂费用等与环卫保洁有关的一切费用。</w:t>
            </w:r>
          </w:p>
          <w:p>
            <w:pPr>
              <w:widowControl/>
              <w:ind w:firstLine="422" w:firstLineChars="200"/>
              <w:jc w:val="both"/>
              <w:rPr>
                <w:rFonts w:ascii="宋体" w:hAnsi="宋体" w:cs="宋体"/>
                <w:b/>
                <w:color w:val="auto"/>
                <w:szCs w:val="21"/>
                <w:highlight w:val="none"/>
              </w:rPr>
            </w:pPr>
            <w:r>
              <w:rPr>
                <w:rFonts w:hint="eastAsia" w:ascii="宋体" w:hAnsi="宋体" w:cs="宋体"/>
                <w:b/>
                <w:color w:val="auto"/>
                <w:szCs w:val="21"/>
                <w:highlight w:val="none"/>
              </w:rPr>
              <w:t>2、★本项目预算金额为人民币19</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007</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297.58元。【</w:t>
            </w:r>
            <w:r>
              <w:rPr>
                <w:rFonts w:hint="eastAsia" w:ascii="宋体" w:hAnsi="宋体" w:cs="宋体"/>
                <w:b/>
                <w:bCs/>
                <w:color w:val="auto"/>
                <w:highlight w:val="none"/>
              </w:rPr>
              <w:t>其中环卫保洁综合单价最高限价为人民币12</w:t>
            </w:r>
            <w:r>
              <w:rPr>
                <w:rFonts w:hint="eastAsia" w:ascii="宋体" w:hAnsi="宋体" w:cs="宋体"/>
                <w:b/>
                <w:bCs/>
                <w:color w:val="auto"/>
                <w:highlight w:val="none"/>
                <w:lang w:val="en-US" w:eastAsia="zh-CN"/>
              </w:rPr>
              <w:t>.9</w:t>
            </w:r>
            <w:r>
              <w:rPr>
                <w:rFonts w:hint="eastAsia" w:ascii="宋体" w:hAnsi="宋体" w:cs="宋体"/>
                <w:b/>
                <w:bCs/>
                <w:color w:val="auto"/>
                <w:highlight w:val="none"/>
              </w:rPr>
              <w:t>元/㎡/年</w:t>
            </w:r>
            <w:r>
              <w:rPr>
                <w:rFonts w:hint="eastAsia" w:ascii="宋体" w:hAnsi="宋体" w:cs="宋体"/>
                <w:b/>
                <w:bCs/>
                <w:color w:val="auto"/>
                <w:highlight w:val="none"/>
                <w:lang w:eastAsia="zh-CN"/>
              </w:rPr>
              <w:t>；每年环卫保洁预算金额为人民币6</w:t>
            </w:r>
            <w:r>
              <w:rPr>
                <w:rFonts w:hint="eastAsia" w:ascii="宋体" w:hAnsi="宋体" w:cs="宋体"/>
                <w:b/>
                <w:bCs/>
                <w:color w:val="auto"/>
                <w:highlight w:val="none"/>
                <w:lang w:val="en-US" w:eastAsia="zh-CN"/>
              </w:rPr>
              <w:t>,</w:t>
            </w:r>
            <w:r>
              <w:rPr>
                <w:rFonts w:hint="eastAsia" w:ascii="宋体" w:hAnsi="宋体" w:cs="宋体"/>
                <w:b/>
                <w:bCs/>
                <w:color w:val="auto"/>
                <w:highlight w:val="none"/>
                <w:lang w:eastAsia="zh-CN"/>
              </w:rPr>
              <w:t>335</w:t>
            </w:r>
            <w:r>
              <w:rPr>
                <w:rFonts w:hint="eastAsia" w:ascii="宋体" w:hAnsi="宋体" w:cs="宋体"/>
                <w:b/>
                <w:bCs/>
                <w:color w:val="auto"/>
                <w:highlight w:val="none"/>
                <w:lang w:val="en-US" w:eastAsia="zh-CN"/>
              </w:rPr>
              <w:t>,</w:t>
            </w:r>
            <w:r>
              <w:rPr>
                <w:rFonts w:hint="eastAsia" w:ascii="宋体" w:hAnsi="宋体" w:cs="宋体"/>
                <w:b/>
                <w:bCs/>
                <w:color w:val="auto"/>
                <w:highlight w:val="none"/>
                <w:lang w:eastAsia="zh-CN"/>
              </w:rPr>
              <w:t>765.86元</w:t>
            </w:r>
            <w:r>
              <w:rPr>
                <w:rFonts w:hint="eastAsia" w:ascii="宋体" w:hAnsi="宋体" w:cs="宋体"/>
                <w:b/>
                <w:bCs/>
                <w:color w:val="auto"/>
                <w:highlight w:val="none"/>
                <w:lang w:val="en-US" w:eastAsia="zh-CN"/>
              </w:rPr>
              <w:t>/年</w:t>
            </w:r>
            <w:r>
              <w:rPr>
                <w:rFonts w:hint="eastAsia" w:ascii="宋体" w:hAnsi="宋体" w:cs="宋体"/>
                <w:b/>
                <w:bCs/>
                <w:color w:val="auto"/>
                <w:highlight w:val="none"/>
              </w:rPr>
              <w:t>。投标供应商投标时须在投标文件报价表中对环卫保洁综合单价进行报价，</w:t>
            </w:r>
            <w:r>
              <w:rPr>
                <w:rFonts w:hint="eastAsia" w:ascii="宋体" w:hAnsi="宋体" w:cs="宋体"/>
                <w:b/>
                <w:color w:val="auto"/>
                <w:szCs w:val="21"/>
                <w:highlight w:val="none"/>
              </w:rPr>
              <w:t>供应商填写的</w:t>
            </w:r>
            <w:r>
              <w:rPr>
                <w:rFonts w:hint="eastAsia" w:ascii="宋体" w:hAnsi="宋体" w:cs="宋体"/>
                <w:b/>
                <w:bCs/>
                <w:color w:val="auto"/>
                <w:highlight w:val="none"/>
              </w:rPr>
              <w:t>综合</w:t>
            </w:r>
            <w:r>
              <w:rPr>
                <w:rFonts w:hint="eastAsia" w:ascii="宋体" w:hAnsi="宋体" w:cs="宋体"/>
                <w:b/>
                <w:color w:val="auto"/>
                <w:szCs w:val="21"/>
                <w:highlight w:val="none"/>
              </w:rPr>
              <w:t>单价最多只允许精确到小数点后两位】，如供应商的投标报价超过预算金额或综合单价报价超出</w:t>
            </w:r>
            <w:r>
              <w:rPr>
                <w:rFonts w:hint="eastAsia" w:ascii="宋体" w:hAnsi="宋体" w:cs="宋体"/>
                <w:b/>
                <w:color w:val="auto"/>
                <w:highlight w:val="none"/>
                <w:shd w:val="clear" w:color="auto" w:fill="FFFFFF"/>
              </w:rPr>
              <w:t>综合</w:t>
            </w:r>
            <w:r>
              <w:rPr>
                <w:rFonts w:hint="eastAsia" w:ascii="宋体" w:hAnsi="宋体" w:cs="宋体"/>
                <w:b/>
                <w:color w:val="auto"/>
                <w:szCs w:val="21"/>
                <w:highlight w:val="none"/>
              </w:rPr>
              <w:t>单价最高限价，则视为非实质性响应，作无效投标处理。</w:t>
            </w:r>
          </w:p>
          <w:p>
            <w:pPr>
              <w:pStyle w:val="2"/>
              <w:spacing w:before="0"/>
              <w:ind w:left="0" w:firstLine="420" w:firstLineChars="200"/>
              <w:rPr>
                <w:color w:val="auto"/>
                <w:highlight w:val="none"/>
                <w:lang w:val="en-US"/>
              </w:rPr>
            </w:pPr>
            <w:r>
              <w:rPr>
                <w:rFonts w:hint="eastAsia"/>
                <w:color w:val="auto"/>
                <w:sz w:val="21"/>
                <w:szCs w:val="21"/>
                <w:highlight w:val="none"/>
                <w:lang w:val="en-US" w:bidi="ar-SA"/>
              </w:rPr>
              <w:t>3、本项目环卫总面积为491144.64㎡，其中水域保洁面积和绿化保洁面积（64732.52㎡和21387.31㎡）的单价最高限价按30%计算（即水域保洁及绿化保洁按实际测量面积的30%计取环卫保洁服务费）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1" w:hRule="atLeast"/>
          <w:jc w:val="center"/>
        </w:trPr>
        <w:tc>
          <w:tcPr>
            <w:tcW w:w="443" w:type="pct"/>
            <w:vAlign w:val="center"/>
          </w:tcPr>
          <w:p>
            <w:pPr>
              <w:widowControl/>
              <w:jc w:val="center"/>
              <w:rPr>
                <w:rFonts w:ascii="宋体" w:hAnsi="宋体"/>
                <w:color w:val="auto"/>
                <w:szCs w:val="21"/>
                <w:highlight w:val="none"/>
              </w:rPr>
            </w:pPr>
            <w:r>
              <w:rPr>
                <w:rFonts w:hint="eastAsia" w:ascii="宋体" w:hAnsi="宋体"/>
                <w:color w:val="auto"/>
                <w:szCs w:val="21"/>
                <w:highlight w:val="none"/>
              </w:rPr>
              <w:t>6</w:t>
            </w:r>
          </w:p>
        </w:tc>
        <w:tc>
          <w:tcPr>
            <w:tcW w:w="707" w:type="pct"/>
            <w:vAlign w:val="center"/>
          </w:tcPr>
          <w:p>
            <w:pPr>
              <w:widowControl/>
              <w:jc w:val="center"/>
              <w:rPr>
                <w:rFonts w:ascii="宋体" w:hAnsi="宋体"/>
                <w:color w:val="auto"/>
                <w:szCs w:val="21"/>
                <w:highlight w:val="none"/>
              </w:rPr>
            </w:pPr>
            <w:r>
              <w:rPr>
                <w:rFonts w:hint="eastAsia" w:ascii="宋体" w:hAnsi="宋体"/>
                <w:color w:val="auto"/>
                <w:szCs w:val="21"/>
                <w:highlight w:val="none"/>
              </w:rPr>
              <w:t>合同条款</w:t>
            </w:r>
          </w:p>
        </w:tc>
        <w:tc>
          <w:tcPr>
            <w:tcW w:w="3849" w:type="pct"/>
            <w:vAlign w:val="center"/>
          </w:tcPr>
          <w:p>
            <w:pPr>
              <w:widowControl/>
              <w:ind w:firstLine="420" w:firstLineChars="200"/>
              <w:jc w:val="both"/>
              <w:rPr>
                <w:rFonts w:ascii="宋体" w:hAnsi="宋体"/>
                <w:b/>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实质响应合同各</w:t>
            </w:r>
            <w:r>
              <w:rPr>
                <w:rFonts w:hint="eastAsia" w:ascii="宋体" w:hAnsi="宋体"/>
                <w:color w:val="auto"/>
                <w:szCs w:val="21"/>
                <w:highlight w:val="none"/>
              </w:rPr>
              <w:t>项</w:t>
            </w:r>
            <w:r>
              <w:rPr>
                <w:rFonts w:ascii="宋体" w:hAnsi="宋体"/>
                <w:color w:val="auto"/>
                <w:szCs w:val="21"/>
                <w:highlight w:val="none"/>
              </w:rPr>
              <w:t>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1" w:hRule="atLeast"/>
          <w:jc w:val="center"/>
        </w:trPr>
        <w:tc>
          <w:tcPr>
            <w:tcW w:w="443" w:type="pct"/>
            <w:vAlign w:val="center"/>
          </w:tcPr>
          <w:p>
            <w:pPr>
              <w:widowControl/>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7</w:t>
            </w:r>
          </w:p>
        </w:tc>
        <w:tc>
          <w:tcPr>
            <w:tcW w:w="707" w:type="pct"/>
            <w:vAlign w:val="center"/>
          </w:tcPr>
          <w:p>
            <w:pPr>
              <w:widowControl/>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其它要求</w:t>
            </w:r>
          </w:p>
        </w:tc>
        <w:tc>
          <w:tcPr>
            <w:tcW w:w="3849" w:type="pct"/>
            <w:vAlign w:val="center"/>
          </w:tcPr>
          <w:p>
            <w:pPr>
              <w:widowControl/>
              <w:ind w:firstLine="420" w:firstLineChars="200"/>
              <w:jc w:val="both"/>
              <w:rPr>
                <w:rFonts w:ascii="宋体" w:hAnsi="宋体"/>
                <w:color w:val="auto"/>
                <w:szCs w:val="21"/>
                <w:highlight w:val="none"/>
              </w:rPr>
            </w:pPr>
            <w:r>
              <w:rPr>
                <w:rFonts w:hint="eastAsia" w:ascii="宋体" w:hAnsi="宋体"/>
                <w:color w:val="auto"/>
                <w:szCs w:val="21"/>
                <w:highlight w:val="none"/>
              </w:rPr>
              <w:t>3、投标人应充分结合本招标文件上下文了解项目招标需求、采购文件未尽事宜，将在合同签订或项目执行过程中双方协商确定，供应商须无条件满足采购单位的合理要求。</w:t>
            </w:r>
          </w:p>
        </w:tc>
      </w:tr>
    </w:tbl>
    <w:p>
      <w:pPr>
        <w:rPr>
          <w:color w:val="auto"/>
          <w:highlight w:val="none"/>
        </w:rPr>
        <w:sectPr>
          <w:footerReference r:id="rId4" w:type="default"/>
          <w:pgSz w:w="11906" w:h="16838"/>
          <w:pgMar w:top="1440" w:right="1800" w:bottom="1440" w:left="1800" w:header="851" w:footer="992" w:gutter="0"/>
          <w:pgNumType w:start="1"/>
          <w:cols w:space="425" w:num="1"/>
          <w:docGrid w:type="lines" w:linePitch="312" w:charSpace="0"/>
        </w:sectPr>
      </w:pPr>
    </w:p>
    <w:p>
      <w:pPr>
        <w:pStyle w:val="2"/>
        <w:jc w:val="center"/>
        <w:rPr>
          <w:b/>
          <w:bCs/>
          <w:color w:val="auto"/>
          <w:sz w:val="28"/>
          <w:szCs w:val="36"/>
          <w:highlight w:val="none"/>
        </w:rPr>
      </w:pPr>
      <w:bookmarkStart w:id="141" w:name="_Toc4572"/>
      <w:r>
        <w:rPr>
          <w:rFonts w:hint="eastAsia"/>
          <w:b/>
          <w:bCs/>
          <w:color w:val="auto"/>
          <w:sz w:val="28"/>
          <w:szCs w:val="36"/>
          <w:highlight w:val="none"/>
        </w:rPr>
        <w:t>技术要求</w:t>
      </w:r>
      <w:bookmarkEnd w:id="141"/>
    </w:p>
    <w:p>
      <w:pPr>
        <w:overflowPunct w:val="0"/>
        <w:autoSpaceDE w:val="0"/>
        <w:autoSpaceDN w:val="0"/>
        <w:spacing w:before="156" w:beforeLines="50" w:after="156" w:afterLines="50" w:line="360" w:lineRule="auto"/>
        <w:textAlignment w:val="baseline"/>
        <w:rPr>
          <w:rFonts w:ascii="宋体" w:hAnsi="宋体" w:cs="宋体"/>
          <w:b/>
          <w:color w:val="auto"/>
          <w:sz w:val="24"/>
          <w:highlight w:val="none"/>
        </w:rPr>
      </w:pPr>
      <w:r>
        <w:rPr>
          <w:rFonts w:hint="eastAsia" w:ascii="宋体" w:hAnsi="宋体" w:cs="宋体"/>
          <w:b/>
          <w:color w:val="auto"/>
          <w:sz w:val="24"/>
          <w:highlight w:val="none"/>
        </w:rPr>
        <w:t>一、服务范围及内容</w:t>
      </w:r>
    </w:p>
    <w:p>
      <w:pPr>
        <w:widowControl/>
        <w:adjustRightInd w:val="0"/>
        <w:snapToGrid w:val="0"/>
        <w:spacing w:line="360" w:lineRule="auto"/>
        <w:ind w:firstLine="420" w:firstLineChars="200"/>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主要包含新民社区区域范围面积内的清扫保洁、绿化保洁、冲洗降尘、“牛皮癣”清理（3米以下）、雨水井清理、生活垃圾收集至转运站（收集点）、环卫器具清洗管理等环卫保洁作业内容，以及</w:t>
      </w:r>
      <w:r>
        <w:rPr>
          <w:rFonts w:hint="eastAsia" w:ascii="宋体" w:hAnsi="宋体" w:cs="宋体"/>
          <w:color w:val="auto"/>
          <w:szCs w:val="21"/>
          <w:highlight w:val="none"/>
          <w:lang w:bidi="zh-CN"/>
        </w:rPr>
        <w:t>绿化养护、</w:t>
      </w:r>
      <w:r>
        <w:rPr>
          <w:rFonts w:hint="eastAsia" w:ascii="宋体" w:hAnsi="宋体" w:cs="宋体"/>
          <w:color w:val="auto"/>
          <w:szCs w:val="21"/>
          <w:highlight w:val="none"/>
          <w:lang w:val="zh-CN" w:bidi="zh-CN"/>
        </w:rPr>
        <w:t>中转站管养、公厕管养、水面保洁等内容。保洁面积约551428.52平方米。共计</w:t>
      </w:r>
      <w:r>
        <w:rPr>
          <w:rFonts w:hint="eastAsia" w:ascii="宋体" w:hAnsi="宋体" w:cs="宋体"/>
          <w:color w:val="auto"/>
          <w:szCs w:val="21"/>
          <w:highlight w:val="none"/>
          <w:lang w:val="en-US" w:bidi="zh-CN"/>
        </w:rPr>
        <w:t>2</w:t>
      </w:r>
      <w:r>
        <w:rPr>
          <w:rFonts w:hint="eastAsia" w:ascii="宋体" w:hAnsi="宋体" w:cs="宋体"/>
          <w:color w:val="auto"/>
          <w:szCs w:val="21"/>
          <w:highlight w:val="none"/>
          <w:lang w:val="zh-CN" w:bidi="zh-CN"/>
        </w:rPr>
        <w:t>个公厕，</w:t>
      </w:r>
      <w:r>
        <w:rPr>
          <w:rFonts w:hint="eastAsia" w:ascii="宋体" w:hAnsi="宋体" w:cs="宋体"/>
          <w:color w:val="auto"/>
          <w:szCs w:val="21"/>
          <w:highlight w:val="none"/>
          <w:lang w:val="en-US" w:bidi="zh-CN"/>
        </w:rPr>
        <w:t>1</w:t>
      </w:r>
      <w:r>
        <w:rPr>
          <w:rFonts w:hint="eastAsia" w:ascii="宋体" w:hAnsi="宋体" w:cs="宋体"/>
          <w:color w:val="auto"/>
          <w:szCs w:val="21"/>
          <w:highlight w:val="none"/>
          <w:lang w:val="zh-CN" w:bidi="zh-CN"/>
        </w:rPr>
        <w:t>个中转站。河涌</w:t>
      </w:r>
      <w:r>
        <w:rPr>
          <w:rFonts w:hint="eastAsia" w:ascii="宋体" w:hAnsi="宋体" w:cs="宋体"/>
          <w:color w:val="auto"/>
          <w:szCs w:val="21"/>
          <w:highlight w:val="none"/>
          <w:lang w:val="en-US" w:bidi="zh-CN"/>
        </w:rPr>
        <w:t>5</w:t>
      </w:r>
      <w:r>
        <w:rPr>
          <w:rFonts w:hint="eastAsia" w:ascii="宋体" w:hAnsi="宋体" w:cs="宋体"/>
          <w:color w:val="auto"/>
          <w:szCs w:val="21"/>
          <w:highlight w:val="none"/>
          <w:lang w:val="zh-CN" w:bidi="zh-CN"/>
        </w:rPr>
        <w:t>段。</w:t>
      </w:r>
    </w:p>
    <w:p>
      <w:pPr>
        <w:widowControl/>
        <w:adjustRightInd w:val="0"/>
        <w:snapToGrid w:val="0"/>
        <w:spacing w:line="360" w:lineRule="auto"/>
        <w:ind w:firstLine="420" w:firstLineChars="200"/>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具体工作内容包括：</w:t>
      </w:r>
    </w:p>
    <w:p>
      <w:pPr>
        <w:widowControl/>
        <w:adjustRightInd w:val="0"/>
        <w:snapToGrid w:val="0"/>
        <w:spacing w:line="360" w:lineRule="auto"/>
        <w:ind w:firstLine="420" w:firstLineChars="200"/>
        <w:rPr>
          <w:color w:val="auto"/>
          <w:highlight w:val="none"/>
          <w:lang w:val="zh-CN"/>
        </w:rPr>
      </w:pPr>
      <w:r>
        <w:rPr>
          <w:rFonts w:hint="eastAsia"/>
          <w:color w:val="auto"/>
          <w:highlight w:val="none"/>
          <w:lang w:val="zh-CN"/>
        </w:rPr>
        <w:t>1、道路保洁。社区公共区域内的道路（含地面和地下人行道、人行天桥、车行隧道等）和公共场所（含公园广场、步行街、过往车辆洒落物等）清扫保洁，以及冲洗、清洗、洒水降尘作业。</w:t>
      </w:r>
    </w:p>
    <w:p>
      <w:pPr>
        <w:widowControl/>
        <w:adjustRightInd w:val="0"/>
        <w:snapToGrid w:val="0"/>
        <w:spacing w:line="360" w:lineRule="auto"/>
        <w:ind w:firstLine="420" w:firstLineChars="200"/>
        <w:rPr>
          <w:color w:val="auto"/>
          <w:highlight w:val="none"/>
          <w:lang w:val="zh-CN"/>
        </w:rPr>
      </w:pPr>
      <w:r>
        <w:rPr>
          <w:rFonts w:hint="eastAsia"/>
          <w:color w:val="auto"/>
          <w:highlight w:val="none"/>
          <w:lang w:val="zh-CN"/>
        </w:rPr>
        <w:t>2、水面保洁。含社区地域范围内所有池塘等水面区域保洁，包括水面区域内水草的清理和垃圾、水面漂浮物的打捞和清理等相关水面保洁工作内容。</w:t>
      </w:r>
    </w:p>
    <w:p>
      <w:pPr>
        <w:widowControl/>
        <w:adjustRightInd w:val="0"/>
        <w:snapToGrid w:val="0"/>
        <w:spacing w:line="360" w:lineRule="auto"/>
        <w:ind w:firstLine="420" w:firstLineChars="200"/>
        <w:rPr>
          <w:color w:val="auto"/>
          <w:highlight w:val="none"/>
          <w:lang w:val="zh-CN"/>
        </w:rPr>
      </w:pPr>
      <w:r>
        <w:rPr>
          <w:rFonts w:hint="eastAsia"/>
          <w:color w:val="auto"/>
          <w:highlight w:val="none"/>
          <w:lang w:val="zh-CN"/>
        </w:rPr>
        <w:t>3、河道保洁。社区范围内的河道清扫保洁（含河道左右两岸各往外延伸6米范围内的区域保洁）。</w:t>
      </w:r>
    </w:p>
    <w:p>
      <w:pPr>
        <w:widowControl/>
        <w:adjustRightInd w:val="0"/>
        <w:snapToGrid w:val="0"/>
        <w:spacing w:line="360" w:lineRule="auto"/>
        <w:ind w:firstLine="420" w:firstLineChars="200"/>
        <w:rPr>
          <w:color w:val="auto"/>
          <w:highlight w:val="none"/>
          <w:lang w:val="zh-CN"/>
        </w:rPr>
      </w:pPr>
      <w:r>
        <w:rPr>
          <w:rFonts w:hint="eastAsia"/>
          <w:color w:val="auto"/>
          <w:highlight w:val="none"/>
          <w:lang w:val="zh-CN"/>
        </w:rPr>
        <w:t>4、绿化保洁（含绿地）。各社区范围内的所有绿化（含绿地保洁）作业保洁内容，绿化带垃圾清理，保持绿化地无枯枝、干叶、杂物、无烟蒂、无其他非绿地装饰品的放置，确保绿化地美观整洁。</w:t>
      </w:r>
    </w:p>
    <w:p>
      <w:pPr>
        <w:widowControl/>
        <w:adjustRightInd w:val="0"/>
        <w:snapToGrid w:val="0"/>
        <w:spacing w:line="360" w:lineRule="auto"/>
        <w:ind w:firstLine="420" w:firstLineChars="200"/>
        <w:rPr>
          <w:color w:val="auto"/>
          <w:highlight w:val="none"/>
          <w:lang w:val="zh-CN"/>
        </w:rPr>
      </w:pPr>
      <w:r>
        <w:rPr>
          <w:rFonts w:hint="eastAsia"/>
          <w:color w:val="auto"/>
          <w:highlight w:val="none"/>
          <w:lang w:val="zh-CN"/>
        </w:rPr>
        <w:t>5、绿化养护。人民涌两岸绿道范围内行道树和绿化带植物施肥、病害处理、淋水、苗木修剪等工作内容。该部分工作涉及的费用已包含在环卫保洁总费用中，采购人不在另行支付费用。</w:t>
      </w:r>
    </w:p>
    <w:p>
      <w:pPr>
        <w:widowControl/>
        <w:adjustRightInd w:val="0"/>
        <w:snapToGrid w:val="0"/>
        <w:spacing w:line="360" w:lineRule="auto"/>
        <w:ind w:firstLine="420" w:firstLineChars="200"/>
        <w:rPr>
          <w:rFonts w:hint="default"/>
          <w:color w:val="auto"/>
          <w:highlight w:val="none"/>
          <w:lang w:val="en-US"/>
        </w:rPr>
      </w:pPr>
      <w:r>
        <w:rPr>
          <w:rFonts w:hint="eastAsia"/>
          <w:color w:val="auto"/>
          <w:highlight w:val="none"/>
        </w:rPr>
        <w:t>6、</w:t>
      </w:r>
      <w:r>
        <w:rPr>
          <w:rFonts w:hint="eastAsia"/>
          <w:color w:val="auto"/>
          <w:highlight w:val="none"/>
          <w:lang w:val="zh-CN"/>
        </w:rPr>
        <w:t>立面保洁。外立面3米范围内的“牛皮癣”清理（含3米）。</w:t>
      </w:r>
    </w:p>
    <w:p>
      <w:pPr>
        <w:widowControl/>
        <w:adjustRightInd w:val="0"/>
        <w:snapToGrid w:val="0"/>
        <w:spacing w:line="360" w:lineRule="auto"/>
        <w:ind w:firstLine="420" w:firstLineChars="200"/>
        <w:rPr>
          <w:color w:val="auto"/>
          <w:highlight w:val="none"/>
          <w:lang w:val="zh-CN"/>
        </w:rPr>
      </w:pPr>
      <w:r>
        <w:rPr>
          <w:rFonts w:hint="eastAsia"/>
          <w:color w:val="auto"/>
          <w:highlight w:val="none"/>
        </w:rPr>
        <w:t>7</w:t>
      </w:r>
      <w:r>
        <w:rPr>
          <w:rFonts w:hint="eastAsia"/>
          <w:color w:val="auto"/>
          <w:highlight w:val="none"/>
          <w:lang w:val="zh-CN"/>
        </w:rPr>
        <w:t>、社区公厕管养与保洁；包括公厕的管养维护，每座公共厕所要实施专人管理，专职保洁管理人员不少于2人，实行轮班制，保洁管理时间不少于16小时，巡回对厕所及其5米范围内周边环境进行清扫、冲洗、消毒，管养及维护，并定期清理化粪池。公共厕所免费开放、公共厕所内设施完好无损，免费提供卫生纸、洗手液，“星级公厕”提供便民服务。</w:t>
      </w:r>
    </w:p>
    <w:p>
      <w:pPr>
        <w:widowControl/>
        <w:adjustRightInd w:val="0"/>
        <w:snapToGrid w:val="0"/>
        <w:spacing w:line="360" w:lineRule="auto"/>
        <w:ind w:firstLine="420" w:firstLineChars="200"/>
        <w:rPr>
          <w:color w:val="auto"/>
          <w:highlight w:val="none"/>
          <w:lang w:val="zh-CN"/>
        </w:rPr>
      </w:pPr>
      <w:r>
        <w:rPr>
          <w:rFonts w:hint="eastAsia"/>
          <w:color w:val="auto"/>
          <w:highlight w:val="none"/>
        </w:rPr>
        <w:t>8</w:t>
      </w:r>
      <w:r>
        <w:rPr>
          <w:rFonts w:hint="eastAsia"/>
          <w:color w:val="auto"/>
          <w:highlight w:val="none"/>
          <w:lang w:val="zh-CN"/>
        </w:rPr>
        <w:t>、社区中转站管养与保洁。包括中转站的运营维护，每座中转站要实施专人管理，专职保洁管理人员不少于2人，实行轮班制，保洁管理时间不少于16小时；中转站运行期间必须开启除臭设施；垃圾转运站内生活垃圾必须日产日清，因特殊情况不能日清必须落实除臭措施，严禁在站外堆积。优化设置垃圾收集点。</w:t>
      </w:r>
    </w:p>
    <w:p>
      <w:pPr>
        <w:widowControl/>
        <w:adjustRightInd w:val="0"/>
        <w:snapToGrid w:val="0"/>
        <w:spacing w:line="360" w:lineRule="auto"/>
        <w:ind w:firstLine="420" w:firstLineChars="200"/>
        <w:rPr>
          <w:color w:val="auto"/>
          <w:highlight w:val="none"/>
          <w:lang w:val="zh-CN"/>
        </w:rPr>
      </w:pPr>
      <w:r>
        <w:rPr>
          <w:rFonts w:hint="eastAsia"/>
          <w:color w:val="auto"/>
          <w:highlight w:val="none"/>
        </w:rPr>
        <w:t>9</w:t>
      </w:r>
      <w:r>
        <w:rPr>
          <w:rFonts w:hint="eastAsia"/>
          <w:color w:val="auto"/>
          <w:highlight w:val="none"/>
          <w:lang w:val="zh-CN"/>
        </w:rPr>
        <w:t>、社区清扫保洁范围内所有果皮箱、垃圾桶、垃圾收集点的清掏、保洁、维护、维修、丢失（损坏）补齐等，确保果皮箱（桶）、垃圾收集点内垃圾日产日清无积压，外壳清洁，摆放整齐。路面垃圾、果皮箱垃圾、660L以下垃圾桶垃圾由环卫工人使用手推车或三轮车收集运至社区中转站。</w:t>
      </w:r>
    </w:p>
    <w:p>
      <w:pPr>
        <w:widowControl/>
        <w:adjustRightInd w:val="0"/>
        <w:snapToGrid w:val="0"/>
        <w:spacing w:line="360" w:lineRule="auto"/>
        <w:ind w:firstLine="420" w:firstLineChars="200"/>
        <w:rPr>
          <w:color w:val="auto"/>
          <w:highlight w:val="none"/>
          <w:lang w:val="zh-CN"/>
        </w:rPr>
      </w:pPr>
      <w:r>
        <w:rPr>
          <w:rFonts w:hint="eastAsia"/>
          <w:color w:val="auto"/>
          <w:highlight w:val="none"/>
        </w:rPr>
        <w:t>10</w:t>
      </w:r>
      <w:r>
        <w:rPr>
          <w:rFonts w:hint="eastAsia"/>
          <w:color w:val="auto"/>
          <w:highlight w:val="none"/>
          <w:lang w:val="zh-CN"/>
        </w:rPr>
        <w:t>、社区清扫保洁范围内所有环卫作业设施设备、市政设施、公共设施、收集容器、沙井、交通护栏、道路两侧休闲椅、康体娱乐设施、雕塑、灯杆、道路两侧路牌、邮筒、读报栏、站亭、广告牌等设备的清理冲洗保洁。</w:t>
      </w:r>
    </w:p>
    <w:p>
      <w:pPr>
        <w:widowControl/>
        <w:adjustRightInd w:val="0"/>
        <w:snapToGrid w:val="0"/>
        <w:spacing w:line="360" w:lineRule="auto"/>
        <w:ind w:firstLine="420" w:firstLineChars="200"/>
        <w:rPr>
          <w:color w:val="auto"/>
          <w:highlight w:val="none"/>
          <w:lang w:val="zh-CN"/>
        </w:rPr>
      </w:pPr>
      <w:r>
        <w:rPr>
          <w:rFonts w:hint="eastAsia"/>
          <w:color w:val="auto"/>
          <w:highlight w:val="none"/>
          <w:lang w:val="zh-CN"/>
        </w:rPr>
        <w:t>1</w:t>
      </w:r>
      <w:r>
        <w:rPr>
          <w:rFonts w:hint="eastAsia"/>
          <w:color w:val="auto"/>
          <w:highlight w:val="none"/>
        </w:rPr>
        <w:t>1</w:t>
      </w:r>
      <w:r>
        <w:rPr>
          <w:rFonts w:hint="eastAsia"/>
          <w:color w:val="auto"/>
          <w:highlight w:val="none"/>
          <w:lang w:val="zh-CN"/>
        </w:rPr>
        <w:t>、各社区区域内规定的其他环卫保洁内容。包括但不限于大件垃圾、园林废弃物等垃圾的收运清理。</w:t>
      </w:r>
    </w:p>
    <w:p>
      <w:pPr>
        <w:widowControl/>
        <w:adjustRightInd w:val="0"/>
        <w:snapToGrid w:val="0"/>
        <w:spacing w:line="360" w:lineRule="auto"/>
        <w:ind w:firstLine="420" w:firstLineChars="200"/>
        <w:rPr>
          <w:color w:val="auto"/>
          <w:highlight w:val="none"/>
          <w:lang w:val="zh-CN"/>
        </w:rPr>
      </w:pPr>
      <w:r>
        <w:rPr>
          <w:rFonts w:hint="eastAsia"/>
          <w:color w:val="auto"/>
          <w:highlight w:val="none"/>
          <w:lang w:val="zh-CN"/>
        </w:rPr>
        <w:t>1</w:t>
      </w:r>
      <w:r>
        <w:rPr>
          <w:rFonts w:hint="eastAsia"/>
          <w:color w:val="auto"/>
          <w:highlight w:val="none"/>
        </w:rPr>
        <w:t>2</w:t>
      </w:r>
      <w:r>
        <w:rPr>
          <w:rFonts w:hint="eastAsia"/>
          <w:color w:val="auto"/>
          <w:highlight w:val="none"/>
          <w:lang w:val="zh-CN"/>
        </w:rPr>
        <w:t>、生活垃圾收运。包括两条线的收运：生活垃圾的直接收运和中转收运。直接收运指将社区范围内的工厂企业、物业小区、路面660L垃圾桶垃圾及公共场所等场所垃圾由后置压缩车直接收集运至红花坑中转站；中转收运指将社区垃圾中转站垃圾由勾臂车压缩运至红花坑转运站。</w:t>
      </w:r>
    </w:p>
    <w:p>
      <w:pPr>
        <w:widowControl/>
        <w:adjustRightInd w:val="0"/>
        <w:snapToGrid w:val="0"/>
        <w:spacing w:line="360" w:lineRule="auto"/>
        <w:ind w:firstLine="420" w:firstLineChars="200"/>
        <w:rPr>
          <w:color w:val="auto"/>
          <w:highlight w:val="none"/>
          <w:lang w:val="zh-CN"/>
        </w:rPr>
      </w:pPr>
      <w:r>
        <w:rPr>
          <w:rFonts w:hint="eastAsia"/>
          <w:color w:val="auto"/>
          <w:highlight w:val="none"/>
          <w:lang w:val="zh-CN"/>
        </w:rPr>
        <w:t>1</w:t>
      </w:r>
      <w:r>
        <w:rPr>
          <w:rFonts w:hint="eastAsia"/>
          <w:color w:val="auto"/>
          <w:highlight w:val="none"/>
        </w:rPr>
        <w:t>3</w:t>
      </w:r>
      <w:r>
        <w:rPr>
          <w:rFonts w:hint="eastAsia"/>
          <w:color w:val="auto"/>
          <w:highlight w:val="none"/>
          <w:lang w:val="zh-CN"/>
        </w:rPr>
        <w:t>、有害垃圾收运。包括社区有害垃圾收集站的管养和维护，以及在社区范围内的有害垃圾存放点收取有害垃圾。负责每天有害垃圾的清点，统计，登记造册，做好有害垃圾的清运台账，每月提交至城管部门。每天工作结束后清理消毒有害垃圾回收车。具体根据实际情况进行合理调配。有害垃圾及时运输至指定终端处置点，由处置单位接收，中途不混入其它垃圾或水等非有害垃圾。</w:t>
      </w:r>
    </w:p>
    <w:p>
      <w:pPr>
        <w:widowControl/>
        <w:adjustRightInd w:val="0"/>
        <w:snapToGrid w:val="0"/>
        <w:spacing w:line="360" w:lineRule="auto"/>
        <w:ind w:firstLine="420" w:firstLineChars="200"/>
        <w:rPr>
          <w:color w:val="auto"/>
          <w:highlight w:val="none"/>
          <w:lang w:val="zh-CN"/>
        </w:rPr>
      </w:pPr>
      <w:r>
        <w:rPr>
          <w:rFonts w:hint="eastAsia"/>
          <w:color w:val="auto"/>
          <w:highlight w:val="none"/>
          <w:lang w:val="zh-CN"/>
        </w:rPr>
        <w:t>（一）长安镇</w:t>
      </w:r>
      <w:r>
        <w:rPr>
          <w:rFonts w:hint="eastAsia"/>
          <w:color w:val="auto"/>
          <w:highlight w:val="none"/>
          <w:lang w:val="en-US" w:eastAsia="zh-CN"/>
        </w:rPr>
        <w:t>新民</w:t>
      </w:r>
      <w:r>
        <w:rPr>
          <w:rFonts w:hint="eastAsia"/>
          <w:color w:val="auto"/>
          <w:highlight w:val="none"/>
          <w:lang w:val="zh-CN"/>
        </w:rPr>
        <w:t>社区道路环卫保洁测量面积统计表。具体如下：</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316"/>
        <w:gridCol w:w="951"/>
        <w:gridCol w:w="784"/>
        <w:gridCol w:w="1275"/>
        <w:gridCol w:w="1169"/>
        <w:gridCol w:w="1169"/>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000" w:type="pct"/>
            <w:gridSpan w:val="8"/>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长安镇新民社区道路环卫保洁测量面积统计表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0" w:type="pct"/>
            <w:gridSpan w:val="8"/>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(五条主干道除外)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6" w:type="pct"/>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35" w:type="pct"/>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路段名称</w:t>
            </w:r>
          </w:p>
        </w:tc>
        <w:tc>
          <w:tcPr>
            <w:tcW w:w="651" w:type="pct"/>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道路长度(m)</w:t>
            </w:r>
          </w:p>
        </w:tc>
        <w:tc>
          <w:tcPr>
            <w:tcW w:w="573" w:type="pct"/>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道路宽度(m)</w:t>
            </w:r>
          </w:p>
        </w:tc>
        <w:tc>
          <w:tcPr>
            <w:tcW w:w="719" w:type="pct"/>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机动车道面积(㎡)</w:t>
            </w:r>
          </w:p>
        </w:tc>
        <w:tc>
          <w:tcPr>
            <w:tcW w:w="659" w:type="pct"/>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人行道面积(㎡)</w:t>
            </w:r>
          </w:p>
        </w:tc>
        <w:tc>
          <w:tcPr>
            <w:tcW w:w="660" w:type="pct"/>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清扫总面积(㎡)</w:t>
            </w:r>
          </w:p>
        </w:tc>
        <w:tc>
          <w:tcPr>
            <w:tcW w:w="244" w:type="pct"/>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(1-1)新民路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2061.17</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33.68</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31287.18</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30947.9</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65776.39</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(1-2)艾特诺厂前路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153</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15.48</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1095.2</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1209.13</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2304.33</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(1-3)兴隆路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950.34</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16.38</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9640.22</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6452.44</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16863.77</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(1-4)初馨香氛厂前路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3651.35</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3651.35</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(1-5)祥兴街</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435.65</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14.81</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3864.14</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2721.91</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6586.05</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(1-6)兴隆路东侧巷道</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1343.58</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1343.58</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(1-8)兴盛路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659</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31.26</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9407.01</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18144.14</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29244.93</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(1-9)新源巷</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1594.94</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1692.9</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(1-11)兴民路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277.44</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19.09</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3241.63</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1667.37</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5324.28</w:t>
            </w:r>
          </w:p>
        </w:tc>
        <w:tc>
          <w:tcPr>
            <w:tcW w:w="244" w:type="pct"/>
            <w:noWrap/>
            <w:vAlign w:val="center"/>
          </w:tcPr>
          <w:p>
            <w:pPr>
              <w:widowControl/>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(1-12)祥和街</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611.57</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20.12</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5204.11</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4900.22</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11137.22</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(1-13)美高厂南侧巷道</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936.17</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936.17</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(1-14)祥和街北侧巷道</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156.43</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20</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3132.01</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3132.01</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(1-20)睦邻路口</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610.77</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610.77</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(1-24)新民路东巷</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172.83</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1952.01</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1952.01</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(2-3)顺和路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1073.92</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24.65</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14066.4</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10744.98</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24811.38</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(2-4)新星路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393.6</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21.79</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5473.23</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2552.96</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9171.3</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(2-5)祥盛街</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353.16</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20.59</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1566.71</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2342.03</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9107.31</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(2-6)福荣街</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4887.23</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8731.82</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(2-7)明和纸厂前路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85.12</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19.74</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1214.71</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1646.97</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(2-8)冠钧厂前路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78.51</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11.1</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649.63</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649.63</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880.92</w:t>
            </w:r>
          </w:p>
        </w:tc>
        <w:tc>
          <w:tcPr>
            <w:tcW w:w="244" w:type="pct"/>
            <w:noWrap/>
            <w:vAlign w:val="center"/>
          </w:tcPr>
          <w:p>
            <w:pPr>
              <w:widowControl/>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(2-11)裕民街</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1110.15</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13.8</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7624.5</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9796.53</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17421.03</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(3-1)陆丰东街</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625.81</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11.09</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4048.75</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2708.02</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6756.77</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(3-3)陆丰西街</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648.11</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10.43</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4302.56</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2993.62</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7296.18</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(3-6)新丰路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568.81</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22.43</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9151.99</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5995.43</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14932.49</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(3-11)同荣路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1160.44</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35.51</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28762.576</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28762.58</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(3-12)南水景路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4070.89</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4070.89</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(3-13)北水景路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1680.88</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1680.88</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(3-15)堤围路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187.67</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14.5</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1645.2</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837.33</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2482.53</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(3-16)新民排渠绿道</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344.13</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9.93</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3361.26</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3361.26</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(4-1)兴发路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641.44</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39.66</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19090.25</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13543.39</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37940.35</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(4-2)新丰路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293.57</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23.77</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3678.88</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2456.27</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6135.15</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91" w:type="pct"/>
            <w:gridSpan w:val="2"/>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 计</w:t>
            </w:r>
          </w:p>
        </w:tc>
        <w:tc>
          <w:tcPr>
            <w:tcW w:w="651"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573"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9" w:type="pct"/>
            <w:noWrap/>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164410.936</w:t>
            </w:r>
          </w:p>
        </w:tc>
        <w:tc>
          <w:tcPr>
            <w:tcW w:w="659" w:type="pct"/>
            <w:noWrap/>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148488.33</w:t>
            </w:r>
          </w:p>
        </w:tc>
        <w:tc>
          <w:tcPr>
            <w:tcW w:w="660" w:type="pct"/>
            <w:noWrap/>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335745.57</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bl>
    <w:p>
      <w:pPr>
        <w:bidi w:val="0"/>
        <w:rPr>
          <w:color w:val="auto"/>
          <w:highlight w:val="none"/>
        </w:r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812"/>
        <w:gridCol w:w="1009"/>
        <w:gridCol w:w="1025"/>
        <w:gridCol w:w="1302"/>
        <w:gridCol w:w="962"/>
        <w:gridCol w:w="120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000" w:type="pct"/>
            <w:gridSpan w:val="8"/>
            <w:noWrap/>
            <w:vAlign w:val="center"/>
          </w:tcPr>
          <w:p>
            <w:pPr>
              <w:widowControl/>
              <w:jc w:val="center"/>
              <w:rPr>
                <w:rFonts w:ascii="华康简标题宋" w:hAnsi="华康简标题宋" w:cs="宋体"/>
                <w:b/>
                <w:bCs/>
                <w:color w:val="auto"/>
                <w:sz w:val="21"/>
                <w:szCs w:val="21"/>
                <w:highlight w:val="none"/>
              </w:rPr>
            </w:pPr>
            <w:r>
              <w:rPr>
                <w:rFonts w:hAnsi="宋体" w:cs="宋体"/>
                <w:b/>
                <w:bCs/>
                <w:color w:val="auto"/>
                <w:sz w:val="21"/>
                <w:szCs w:val="21"/>
                <w:highlight w:val="none"/>
              </w:rPr>
              <w:t>长安镇</w:t>
            </w:r>
            <w:r>
              <w:rPr>
                <w:rFonts w:hint="eastAsia" w:hAnsi="宋体" w:cs="宋体"/>
                <w:b/>
                <w:bCs/>
                <w:color w:val="auto"/>
                <w:sz w:val="21"/>
                <w:szCs w:val="21"/>
                <w:highlight w:val="none"/>
              </w:rPr>
              <w:t>新民</w:t>
            </w:r>
            <w:r>
              <w:rPr>
                <w:rFonts w:hAnsi="宋体" w:cs="宋体"/>
                <w:b/>
                <w:bCs/>
                <w:color w:val="auto"/>
                <w:sz w:val="21"/>
                <w:szCs w:val="21"/>
                <w:highlight w:val="none"/>
              </w:rPr>
              <w:t>社区工业园区环卫保洁测量面积统计表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0" w:type="pct"/>
            <w:gridSpan w:val="8"/>
            <w:noWrap/>
            <w:vAlign w:val="center"/>
          </w:tcPr>
          <w:p>
            <w:pPr>
              <w:widowControl/>
              <w:jc w:val="center"/>
              <w:rPr>
                <w:rFonts w:ascii="华康简标题宋" w:hAnsi="华康简标题宋" w:cs="宋体"/>
                <w:b/>
                <w:bCs/>
                <w:color w:val="auto"/>
                <w:sz w:val="21"/>
                <w:szCs w:val="21"/>
                <w:highlight w:val="none"/>
              </w:rPr>
            </w:pPr>
            <w:r>
              <w:rPr>
                <w:rFonts w:ascii="华康简标题宋" w:hAnsi="华康简标题宋" w:cs="宋体"/>
                <w:b/>
                <w:bCs/>
                <w:color w:val="auto"/>
                <w:sz w:val="21"/>
                <w:szCs w:val="21"/>
                <w:highlight w:val="none"/>
              </w:rPr>
              <w:t>(围闭式工业园除外)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序号</w:t>
            </w:r>
          </w:p>
        </w:tc>
        <w:tc>
          <w:tcPr>
            <w:tcW w:w="1066"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工业园区路段名称</w:t>
            </w:r>
          </w:p>
        </w:tc>
        <w:tc>
          <w:tcPr>
            <w:tcW w:w="59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道路长度(m)</w:t>
            </w:r>
          </w:p>
        </w:tc>
        <w:tc>
          <w:tcPr>
            <w:tcW w:w="604"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道路宽度(m)</w:t>
            </w:r>
          </w:p>
        </w:tc>
        <w:tc>
          <w:tcPr>
            <w:tcW w:w="767"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机动车道面积(㎡)</w:t>
            </w:r>
          </w:p>
        </w:tc>
        <w:tc>
          <w:tcPr>
            <w:tcW w:w="567"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人行道面积(㎡)</w:t>
            </w:r>
          </w:p>
        </w:tc>
        <w:tc>
          <w:tcPr>
            <w:tcW w:w="709"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清扫总面积(㎡)</w:t>
            </w:r>
          </w:p>
        </w:tc>
        <w:tc>
          <w:tcPr>
            <w:tcW w:w="457"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35"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w:t>
            </w:r>
          </w:p>
        </w:tc>
        <w:tc>
          <w:tcPr>
            <w:tcW w:w="1066" w:type="pct"/>
            <w:noWrap/>
            <w:vAlign w:val="center"/>
          </w:tcPr>
          <w:p>
            <w:pPr>
              <w:jc w:val="center"/>
              <w:rPr>
                <w:rFonts w:hAnsi="宋体" w:cs="宋体"/>
                <w:color w:val="auto"/>
                <w:sz w:val="21"/>
                <w:szCs w:val="21"/>
                <w:highlight w:val="none"/>
              </w:rPr>
            </w:pPr>
          </w:p>
        </w:tc>
        <w:tc>
          <w:tcPr>
            <w:tcW w:w="595" w:type="pct"/>
            <w:noWrap/>
            <w:vAlign w:val="center"/>
          </w:tcPr>
          <w:p>
            <w:pPr>
              <w:jc w:val="center"/>
              <w:rPr>
                <w:rFonts w:hAnsi="宋体" w:cs="宋体"/>
                <w:color w:val="auto"/>
                <w:sz w:val="21"/>
                <w:szCs w:val="21"/>
                <w:highlight w:val="none"/>
              </w:rPr>
            </w:pPr>
          </w:p>
        </w:tc>
        <w:tc>
          <w:tcPr>
            <w:tcW w:w="604" w:type="pct"/>
            <w:noWrap/>
            <w:vAlign w:val="center"/>
          </w:tcPr>
          <w:p>
            <w:pPr>
              <w:jc w:val="center"/>
              <w:rPr>
                <w:rFonts w:hAnsi="宋体" w:cs="宋体"/>
                <w:color w:val="auto"/>
                <w:sz w:val="21"/>
                <w:szCs w:val="21"/>
                <w:highlight w:val="none"/>
              </w:rPr>
            </w:pPr>
          </w:p>
        </w:tc>
        <w:tc>
          <w:tcPr>
            <w:tcW w:w="767" w:type="pct"/>
            <w:noWrap/>
            <w:vAlign w:val="center"/>
          </w:tcPr>
          <w:p>
            <w:pPr>
              <w:jc w:val="center"/>
              <w:rPr>
                <w:rFonts w:hAnsi="宋体" w:cs="宋体"/>
                <w:color w:val="auto"/>
                <w:sz w:val="21"/>
                <w:szCs w:val="21"/>
                <w:highlight w:val="none"/>
              </w:rPr>
            </w:pPr>
          </w:p>
        </w:tc>
        <w:tc>
          <w:tcPr>
            <w:tcW w:w="567" w:type="pct"/>
            <w:noWrap/>
            <w:vAlign w:val="center"/>
          </w:tcPr>
          <w:p>
            <w:pPr>
              <w:jc w:val="center"/>
              <w:rPr>
                <w:rFonts w:hAnsi="宋体" w:cs="宋体"/>
                <w:color w:val="auto"/>
                <w:sz w:val="21"/>
                <w:szCs w:val="21"/>
                <w:highlight w:val="none"/>
              </w:rPr>
            </w:pPr>
          </w:p>
        </w:tc>
        <w:tc>
          <w:tcPr>
            <w:tcW w:w="709" w:type="pct"/>
            <w:noWrap/>
            <w:vAlign w:val="center"/>
          </w:tcPr>
          <w:p>
            <w:pPr>
              <w:jc w:val="center"/>
              <w:rPr>
                <w:rFonts w:hAnsi="宋体" w:cs="宋体"/>
                <w:color w:val="auto"/>
                <w:sz w:val="21"/>
                <w:szCs w:val="21"/>
                <w:highlight w:val="none"/>
              </w:rPr>
            </w:pPr>
          </w:p>
        </w:tc>
        <w:tc>
          <w:tcPr>
            <w:tcW w:w="4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5"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　</w:t>
            </w:r>
          </w:p>
        </w:tc>
        <w:tc>
          <w:tcPr>
            <w:tcW w:w="1066"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合 计</w:t>
            </w:r>
          </w:p>
        </w:tc>
        <w:tc>
          <w:tcPr>
            <w:tcW w:w="595"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0</w:t>
            </w:r>
          </w:p>
        </w:tc>
        <w:tc>
          <w:tcPr>
            <w:tcW w:w="604"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0</w:t>
            </w:r>
          </w:p>
        </w:tc>
        <w:tc>
          <w:tcPr>
            <w:tcW w:w="767"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0</w:t>
            </w:r>
          </w:p>
        </w:tc>
        <w:tc>
          <w:tcPr>
            <w:tcW w:w="567"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0</w:t>
            </w:r>
          </w:p>
        </w:tc>
        <w:tc>
          <w:tcPr>
            <w:tcW w:w="709"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0</w:t>
            </w:r>
          </w:p>
        </w:tc>
        <w:tc>
          <w:tcPr>
            <w:tcW w:w="4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0</w:t>
            </w:r>
          </w:p>
        </w:tc>
      </w:tr>
    </w:tbl>
    <w:p>
      <w:pPr>
        <w:bidi w:val="0"/>
        <w:rPr>
          <w:color w:val="auto"/>
          <w:highlight w:val="none"/>
        </w:r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3173"/>
        <w:gridCol w:w="1814"/>
        <w:gridCol w:w="1394"/>
        <w:gridCol w:w="974"/>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000" w:type="pct"/>
            <w:gridSpan w:val="6"/>
            <w:noWrap/>
            <w:vAlign w:val="center"/>
          </w:tcPr>
          <w:p>
            <w:pPr>
              <w:widowControl/>
              <w:jc w:val="center"/>
              <w:textAlignment w:val="center"/>
              <w:rPr>
                <w:rFonts w:hAnsi="宋体" w:cs="宋体"/>
                <w:b/>
                <w:bCs/>
                <w:color w:val="auto"/>
                <w:sz w:val="21"/>
                <w:szCs w:val="21"/>
                <w:highlight w:val="none"/>
              </w:rPr>
            </w:pPr>
            <w:r>
              <w:rPr>
                <w:rFonts w:hint="eastAsia" w:hAnsi="宋体" w:cs="宋体"/>
                <w:b/>
                <w:bCs/>
                <w:color w:val="auto"/>
                <w:sz w:val="21"/>
                <w:szCs w:val="21"/>
                <w:highlight w:val="none"/>
              </w:rPr>
              <w:t>长安镇新民社区公园、广场环卫保洁测量面积统计表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1" w:type="pct"/>
            <w:noWrap w:val="0"/>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rPr>
              <w:t>序号</w:t>
            </w:r>
          </w:p>
        </w:tc>
        <w:tc>
          <w:tcPr>
            <w:tcW w:w="1887" w:type="pct"/>
            <w:noWrap w:val="0"/>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rPr>
              <w:t>公园、广场名称</w:t>
            </w:r>
          </w:p>
        </w:tc>
        <w:tc>
          <w:tcPr>
            <w:tcW w:w="1030"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rPr>
              <w:t>清扫保洁面积(㎡)</w:t>
            </w:r>
          </w:p>
        </w:tc>
        <w:tc>
          <w:tcPr>
            <w:tcW w:w="801"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rPr>
              <w:t>绿化面积(㎡)</w:t>
            </w:r>
          </w:p>
        </w:tc>
        <w:tc>
          <w:tcPr>
            <w:tcW w:w="577"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rPr>
              <w:t>合计(㎡)</w:t>
            </w:r>
          </w:p>
        </w:tc>
        <w:tc>
          <w:tcPr>
            <w:tcW w:w="474" w:type="pct"/>
            <w:noWrap w:val="0"/>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31" w:type="pct"/>
            <w:shd w:val="clear" w:color="auto" w:fill="auto"/>
            <w:noWrap w:val="0"/>
            <w:vAlign w:val="top"/>
          </w:tcPr>
          <w:p>
            <w:pPr>
              <w:rPr>
                <w:color w:val="auto"/>
                <w:sz w:val="21"/>
                <w:szCs w:val="21"/>
                <w:highlight w:val="none"/>
              </w:rPr>
            </w:pPr>
            <w:r>
              <w:rPr>
                <w:rFonts w:hint="eastAsia"/>
                <w:color w:val="auto"/>
                <w:sz w:val="21"/>
                <w:szCs w:val="21"/>
                <w:highlight w:val="none"/>
              </w:rPr>
              <w:t>1</w:t>
            </w:r>
          </w:p>
        </w:tc>
        <w:tc>
          <w:tcPr>
            <w:tcW w:w="1887" w:type="pct"/>
            <w:shd w:val="clear" w:color="auto" w:fill="auto"/>
            <w:noWrap/>
            <w:vAlign w:val="center"/>
          </w:tcPr>
          <w:p>
            <w:pPr>
              <w:widowControl/>
              <w:textAlignment w:val="center"/>
              <w:rPr>
                <w:color w:val="auto"/>
                <w:sz w:val="21"/>
                <w:szCs w:val="21"/>
                <w:highlight w:val="none"/>
              </w:rPr>
            </w:pPr>
            <w:r>
              <w:rPr>
                <w:rFonts w:hint="eastAsia" w:hAnsi="宋体" w:cs="宋体"/>
                <w:color w:val="auto"/>
                <w:sz w:val="21"/>
                <w:szCs w:val="21"/>
                <w:highlight w:val="none"/>
                <w:lang w:bidi="ar"/>
              </w:rPr>
              <w:t>(1-21)兴盛路公园</w:t>
            </w:r>
          </w:p>
        </w:tc>
        <w:tc>
          <w:tcPr>
            <w:tcW w:w="1030" w:type="pct"/>
            <w:shd w:val="clear" w:color="auto" w:fill="auto"/>
            <w:noWrap/>
            <w:vAlign w:val="center"/>
          </w:tcPr>
          <w:p>
            <w:pPr>
              <w:widowControl/>
              <w:jc w:val="center"/>
              <w:textAlignment w:val="center"/>
              <w:rPr>
                <w:color w:val="auto"/>
                <w:sz w:val="21"/>
                <w:szCs w:val="21"/>
                <w:highlight w:val="none"/>
              </w:rPr>
            </w:pPr>
            <w:r>
              <w:rPr>
                <w:rFonts w:hint="eastAsia" w:hAnsi="宋体" w:cs="宋体"/>
                <w:color w:val="auto"/>
                <w:sz w:val="21"/>
                <w:szCs w:val="21"/>
                <w:highlight w:val="none"/>
                <w:lang w:bidi="ar"/>
              </w:rPr>
              <w:t>1261.67</w:t>
            </w:r>
          </w:p>
        </w:tc>
        <w:tc>
          <w:tcPr>
            <w:tcW w:w="801" w:type="pct"/>
            <w:shd w:val="clear" w:color="auto" w:fill="auto"/>
            <w:noWrap/>
            <w:vAlign w:val="center"/>
          </w:tcPr>
          <w:p>
            <w:pPr>
              <w:widowControl/>
              <w:jc w:val="center"/>
              <w:textAlignment w:val="center"/>
              <w:rPr>
                <w:color w:val="auto"/>
                <w:sz w:val="21"/>
                <w:szCs w:val="21"/>
                <w:highlight w:val="none"/>
              </w:rPr>
            </w:pPr>
            <w:r>
              <w:rPr>
                <w:rFonts w:hint="eastAsia" w:hAnsi="宋体" w:cs="宋体"/>
                <w:color w:val="auto"/>
                <w:sz w:val="21"/>
                <w:szCs w:val="21"/>
                <w:highlight w:val="none"/>
                <w:lang w:bidi="ar"/>
              </w:rPr>
              <w:t>511.69</w:t>
            </w:r>
          </w:p>
        </w:tc>
        <w:tc>
          <w:tcPr>
            <w:tcW w:w="577" w:type="pct"/>
            <w:shd w:val="clear" w:color="auto" w:fill="auto"/>
            <w:noWrap/>
            <w:vAlign w:val="center"/>
          </w:tcPr>
          <w:p>
            <w:pPr>
              <w:widowControl/>
              <w:jc w:val="center"/>
              <w:textAlignment w:val="center"/>
              <w:rPr>
                <w:color w:val="auto"/>
                <w:sz w:val="21"/>
                <w:szCs w:val="21"/>
                <w:highlight w:val="none"/>
              </w:rPr>
            </w:pPr>
            <w:r>
              <w:rPr>
                <w:rFonts w:hint="eastAsia" w:hAnsi="宋体" w:cs="宋体"/>
                <w:color w:val="auto"/>
                <w:sz w:val="21"/>
                <w:szCs w:val="21"/>
                <w:highlight w:val="none"/>
                <w:lang w:bidi="ar"/>
              </w:rPr>
              <w:t>1773.36</w:t>
            </w:r>
          </w:p>
        </w:tc>
        <w:tc>
          <w:tcPr>
            <w:tcW w:w="474" w:type="pct"/>
            <w:shd w:val="clear" w:color="auto" w:fill="FFFFFF"/>
            <w:noWrap w:val="0"/>
            <w:vAlign w:val="center"/>
          </w:tcPr>
          <w:p>
            <w:pPr>
              <w:widowControl/>
              <w:jc w:val="center"/>
              <w:textAlignment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31" w:type="pct"/>
            <w:noWrap w:val="0"/>
            <w:vAlign w:val="top"/>
          </w:tcPr>
          <w:p>
            <w:pPr>
              <w:rPr>
                <w:color w:val="auto"/>
                <w:sz w:val="21"/>
                <w:szCs w:val="21"/>
                <w:highlight w:val="none"/>
              </w:rPr>
            </w:pPr>
            <w:r>
              <w:rPr>
                <w:rFonts w:hint="eastAsia"/>
                <w:color w:val="auto"/>
                <w:sz w:val="21"/>
                <w:szCs w:val="21"/>
                <w:highlight w:val="none"/>
              </w:rPr>
              <w:t>2</w:t>
            </w:r>
          </w:p>
        </w:tc>
        <w:tc>
          <w:tcPr>
            <w:tcW w:w="1887" w:type="pct"/>
            <w:noWrap w:val="0"/>
            <w:vAlign w:val="center"/>
          </w:tcPr>
          <w:p>
            <w:pPr>
              <w:widowControl/>
              <w:textAlignment w:val="center"/>
              <w:rPr>
                <w:color w:val="auto"/>
                <w:sz w:val="21"/>
                <w:szCs w:val="21"/>
                <w:highlight w:val="none"/>
              </w:rPr>
            </w:pPr>
            <w:r>
              <w:rPr>
                <w:rFonts w:hint="eastAsia" w:hAnsi="宋体" w:cs="宋体"/>
                <w:color w:val="auto"/>
                <w:sz w:val="21"/>
                <w:szCs w:val="21"/>
                <w:highlight w:val="none"/>
                <w:lang w:bidi="ar"/>
              </w:rPr>
              <w:t>(1-26)兴民路街心公园</w:t>
            </w:r>
          </w:p>
        </w:tc>
        <w:tc>
          <w:tcPr>
            <w:tcW w:w="1030" w:type="pct"/>
            <w:noWrap/>
            <w:vAlign w:val="center"/>
          </w:tcPr>
          <w:p>
            <w:pPr>
              <w:widowControl/>
              <w:jc w:val="center"/>
              <w:textAlignment w:val="center"/>
              <w:rPr>
                <w:color w:val="auto"/>
                <w:sz w:val="21"/>
                <w:szCs w:val="21"/>
                <w:highlight w:val="none"/>
              </w:rPr>
            </w:pPr>
            <w:r>
              <w:rPr>
                <w:rFonts w:hint="eastAsia" w:hAnsi="宋体" w:cs="宋体"/>
                <w:color w:val="auto"/>
                <w:sz w:val="21"/>
                <w:szCs w:val="21"/>
                <w:highlight w:val="none"/>
                <w:lang w:bidi="ar"/>
              </w:rPr>
              <w:t>1178.63</w:t>
            </w:r>
          </w:p>
        </w:tc>
        <w:tc>
          <w:tcPr>
            <w:tcW w:w="801" w:type="pct"/>
            <w:noWrap/>
            <w:vAlign w:val="center"/>
          </w:tcPr>
          <w:p>
            <w:pPr>
              <w:widowControl/>
              <w:jc w:val="center"/>
              <w:textAlignment w:val="center"/>
              <w:rPr>
                <w:color w:val="auto"/>
                <w:sz w:val="21"/>
                <w:szCs w:val="21"/>
                <w:highlight w:val="none"/>
              </w:rPr>
            </w:pPr>
            <w:r>
              <w:rPr>
                <w:rFonts w:hint="eastAsia" w:hAnsi="宋体" w:cs="宋体"/>
                <w:color w:val="auto"/>
                <w:sz w:val="21"/>
                <w:szCs w:val="21"/>
                <w:highlight w:val="none"/>
                <w:lang w:bidi="ar"/>
              </w:rPr>
              <w:t>1178.63</w:t>
            </w:r>
          </w:p>
        </w:tc>
        <w:tc>
          <w:tcPr>
            <w:tcW w:w="577" w:type="pct"/>
            <w:noWrap/>
            <w:vAlign w:val="center"/>
          </w:tcPr>
          <w:p>
            <w:pPr>
              <w:widowControl/>
              <w:jc w:val="center"/>
              <w:textAlignment w:val="center"/>
              <w:rPr>
                <w:color w:val="auto"/>
                <w:sz w:val="21"/>
                <w:szCs w:val="21"/>
                <w:highlight w:val="none"/>
              </w:rPr>
            </w:pPr>
            <w:r>
              <w:rPr>
                <w:rFonts w:hint="eastAsia" w:hAnsi="宋体" w:cs="宋体"/>
                <w:color w:val="auto"/>
                <w:sz w:val="21"/>
                <w:szCs w:val="21"/>
                <w:highlight w:val="none"/>
                <w:lang w:bidi="ar"/>
              </w:rPr>
              <w:t>1178.63</w:t>
            </w:r>
          </w:p>
        </w:tc>
        <w:tc>
          <w:tcPr>
            <w:tcW w:w="474" w:type="pct"/>
            <w:noWrap w:val="0"/>
            <w:vAlign w:val="center"/>
          </w:tcPr>
          <w:p>
            <w:pPr>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31" w:type="pct"/>
            <w:noWrap w:val="0"/>
            <w:vAlign w:val="top"/>
          </w:tcPr>
          <w:p>
            <w:pPr>
              <w:rPr>
                <w:color w:val="auto"/>
                <w:sz w:val="21"/>
                <w:szCs w:val="21"/>
                <w:highlight w:val="none"/>
              </w:rPr>
            </w:pPr>
            <w:r>
              <w:rPr>
                <w:rFonts w:hint="eastAsia"/>
                <w:color w:val="auto"/>
                <w:sz w:val="21"/>
                <w:szCs w:val="21"/>
                <w:highlight w:val="none"/>
              </w:rPr>
              <w:t>3</w:t>
            </w:r>
          </w:p>
        </w:tc>
        <w:tc>
          <w:tcPr>
            <w:tcW w:w="1887" w:type="pct"/>
            <w:noWrap w:val="0"/>
            <w:vAlign w:val="center"/>
          </w:tcPr>
          <w:p>
            <w:pPr>
              <w:widowControl/>
              <w:textAlignment w:val="center"/>
              <w:rPr>
                <w:color w:val="auto"/>
                <w:sz w:val="21"/>
                <w:szCs w:val="21"/>
                <w:highlight w:val="none"/>
              </w:rPr>
            </w:pPr>
            <w:r>
              <w:rPr>
                <w:rFonts w:hint="eastAsia" w:hAnsi="宋体" w:cs="宋体"/>
                <w:color w:val="auto"/>
                <w:sz w:val="21"/>
                <w:szCs w:val="21"/>
                <w:highlight w:val="none"/>
                <w:lang w:bidi="ar"/>
              </w:rPr>
              <w:t>(2-15)居委会对面公园</w:t>
            </w:r>
          </w:p>
        </w:tc>
        <w:tc>
          <w:tcPr>
            <w:tcW w:w="1030" w:type="pct"/>
            <w:noWrap/>
            <w:vAlign w:val="center"/>
          </w:tcPr>
          <w:p>
            <w:pPr>
              <w:widowControl/>
              <w:jc w:val="center"/>
              <w:textAlignment w:val="center"/>
              <w:rPr>
                <w:color w:val="auto"/>
                <w:sz w:val="21"/>
                <w:szCs w:val="21"/>
                <w:highlight w:val="none"/>
              </w:rPr>
            </w:pPr>
            <w:r>
              <w:rPr>
                <w:rFonts w:hint="eastAsia" w:hAnsi="宋体" w:cs="宋体"/>
                <w:color w:val="auto"/>
                <w:sz w:val="21"/>
                <w:szCs w:val="21"/>
                <w:highlight w:val="none"/>
                <w:lang w:bidi="ar"/>
              </w:rPr>
              <w:t>897.64</w:t>
            </w:r>
          </w:p>
        </w:tc>
        <w:tc>
          <w:tcPr>
            <w:tcW w:w="801" w:type="pct"/>
            <w:noWrap/>
            <w:vAlign w:val="center"/>
          </w:tcPr>
          <w:p>
            <w:pPr>
              <w:widowControl/>
              <w:jc w:val="center"/>
              <w:textAlignment w:val="center"/>
              <w:rPr>
                <w:color w:val="auto"/>
                <w:sz w:val="21"/>
                <w:szCs w:val="21"/>
                <w:highlight w:val="none"/>
              </w:rPr>
            </w:pPr>
            <w:r>
              <w:rPr>
                <w:rFonts w:hint="eastAsia" w:hAnsi="宋体" w:cs="宋体"/>
                <w:color w:val="auto"/>
                <w:sz w:val="21"/>
                <w:szCs w:val="21"/>
                <w:highlight w:val="none"/>
                <w:lang w:bidi="ar"/>
              </w:rPr>
              <w:t>725.4</w:t>
            </w:r>
          </w:p>
        </w:tc>
        <w:tc>
          <w:tcPr>
            <w:tcW w:w="577" w:type="pct"/>
            <w:noWrap/>
            <w:vAlign w:val="center"/>
          </w:tcPr>
          <w:p>
            <w:pPr>
              <w:widowControl/>
              <w:jc w:val="center"/>
              <w:textAlignment w:val="center"/>
              <w:rPr>
                <w:color w:val="auto"/>
                <w:sz w:val="21"/>
                <w:szCs w:val="21"/>
                <w:highlight w:val="none"/>
              </w:rPr>
            </w:pPr>
            <w:r>
              <w:rPr>
                <w:rFonts w:hint="eastAsia" w:hAnsi="宋体" w:cs="宋体"/>
                <w:color w:val="auto"/>
                <w:sz w:val="21"/>
                <w:szCs w:val="21"/>
                <w:highlight w:val="none"/>
                <w:lang w:bidi="ar"/>
              </w:rPr>
              <w:t>1623.04</w:t>
            </w:r>
          </w:p>
        </w:tc>
        <w:tc>
          <w:tcPr>
            <w:tcW w:w="474" w:type="pct"/>
            <w:noWrap w:val="0"/>
            <w:vAlign w:val="center"/>
          </w:tcPr>
          <w:p>
            <w:pPr>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31" w:type="pct"/>
            <w:noWrap w:val="0"/>
            <w:vAlign w:val="top"/>
          </w:tcPr>
          <w:p>
            <w:pPr>
              <w:rPr>
                <w:color w:val="auto"/>
                <w:sz w:val="21"/>
                <w:szCs w:val="21"/>
                <w:highlight w:val="none"/>
              </w:rPr>
            </w:pPr>
            <w:r>
              <w:rPr>
                <w:rFonts w:hint="eastAsia"/>
                <w:color w:val="auto"/>
                <w:sz w:val="21"/>
                <w:szCs w:val="21"/>
                <w:highlight w:val="none"/>
              </w:rPr>
              <w:t>4</w:t>
            </w:r>
          </w:p>
        </w:tc>
        <w:tc>
          <w:tcPr>
            <w:tcW w:w="1887" w:type="pct"/>
            <w:noWrap w:val="0"/>
            <w:vAlign w:val="center"/>
          </w:tcPr>
          <w:p>
            <w:pPr>
              <w:widowControl/>
              <w:textAlignment w:val="center"/>
              <w:rPr>
                <w:color w:val="auto"/>
                <w:sz w:val="21"/>
                <w:szCs w:val="21"/>
                <w:highlight w:val="none"/>
              </w:rPr>
            </w:pPr>
            <w:r>
              <w:rPr>
                <w:rFonts w:hint="eastAsia" w:hAnsi="宋体" w:cs="宋体"/>
                <w:color w:val="auto"/>
                <w:sz w:val="21"/>
                <w:szCs w:val="21"/>
                <w:highlight w:val="none"/>
                <w:lang w:bidi="ar"/>
              </w:rPr>
              <w:t>(3-14)口袋公园</w:t>
            </w:r>
          </w:p>
        </w:tc>
        <w:tc>
          <w:tcPr>
            <w:tcW w:w="1030" w:type="pct"/>
            <w:noWrap/>
            <w:vAlign w:val="center"/>
          </w:tcPr>
          <w:p>
            <w:pPr>
              <w:widowControl/>
              <w:jc w:val="center"/>
              <w:textAlignment w:val="center"/>
              <w:rPr>
                <w:color w:val="auto"/>
                <w:sz w:val="21"/>
                <w:szCs w:val="21"/>
                <w:highlight w:val="none"/>
              </w:rPr>
            </w:pPr>
            <w:r>
              <w:rPr>
                <w:rFonts w:hint="eastAsia" w:hAnsi="宋体" w:cs="宋体"/>
                <w:color w:val="auto"/>
                <w:sz w:val="21"/>
                <w:szCs w:val="21"/>
                <w:highlight w:val="none"/>
                <w:lang w:bidi="ar"/>
              </w:rPr>
              <w:t>318.53</w:t>
            </w:r>
          </w:p>
        </w:tc>
        <w:tc>
          <w:tcPr>
            <w:tcW w:w="801" w:type="pct"/>
            <w:noWrap/>
            <w:vAlign w:val="center"/>
          </w:tcPr>
          <w:p>
            <w:pPr>
              <w:widowControl/>
              <w:jc w:val="center"/>
              <w:textAlignment w:val="center"/>
              <w:rPr>
                <w:color w:val="auto"/>
                <w:sz w:val="21"/>
                <w:szCs w:val="21"/>
                <w:highlight w:val="none"/>
              </w:rPr>
            </w:pPr>
            <w:r>
              <w:rPr>
                <w:rFonts w:hint="eastAsia" w:hAnsi="宋体" w:cs="宋体"/>
                <w:color w:val="auto"/>
                <w:sz w:val="21"/>
                <w:szCs w:val="21"/>
                <w:highlight w:val="none"/>
                <w:lang w:bidi="ar"/>
              </w:rPr>
              <w:t>0</w:t>
            </w:r>
          </w:p>
        </w:tc>
        <w:tc>
          <w:tcPr>
            <w:tcW w:w="577" w:type="pct"/>
            <w:noWrap/>
            <w:vAlign w:val="center"/>
          </w:tcPr>
          <w:p>
            <w:pPr>
              <w:widowControl/>
              <w:jc w:val="center"/>
              <w:textAlignment w:val="center"/>
              <w:rPr>
                <w:color w:val="auto"/>
                <w:sz w:val="21"/>
                <w:szCs w:val="21"/>
                <w:highlight w:val="none"/>
              </w:rPr>
            </w:pPr>
            <w:r>
              <w:rPr>
                <w:rFonts w:hint="eastAsia" w:hAnsi="宋体" w:cs="宋体"/>
                <w:color w:val="auto"/>
                <w:sz w:val="21"/>
                <w:szCs w:val="21"/>
                <w:highlight w:val="none"/>
                <w:lang w:bidi="ar"/>
              </w:rPr>
              <w:t>318.53</w:t>
            </w:r>
          </w:p>
        </w:tc>
        <w:tc>
          <w:tcPr>
            <w:tcW w:w="474" w:type="pct"/>
            <w:noWrap w:val="0"/>
            <w:vAlign w:val="center"/>
          </w:tcPr>
          <w:p>
            <w:pPr>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31" w:type="pct"/>
            <w:noWrap w:val="0"/>
            <w:vAlign w:val="top"/>
          </w:tcPr>
          <w:p>
            <w:pPr>
              <w:rPr>
                <w:color w:val="auto"/>
                <w:sz w:val="21"/>
                <w:szCs w:val="21"/>
                <w:highlight w:val="none"/>
              </w:rPr>
            </w:pPr>
            <w:r>
              <w:rPr>
                <w:rFonts w:hint="eastAsia"/>
                <w:color w:val="auto"/>
                <w:sz w:val="21"/>
                <w:szCs w:val="21"/>
                <w:highlight w:val="none"/>
              </w:rPr>
              <w:t>5</w:t>
            </w:r>
          </w:p>
        </w:tc>
        <w:tc>
          <w:tcPr>
            <w:tcW w:w="1887" w:type="pct"/>
            <w:noWrap w:val="0"/>
            <w:vAlign w:val="center"/>
          </w:tcPr>
          <w:p>
            <w:pPr>
              <w:widowControl/>
              <w:textAlignment w:val="center"/>
              <w:rPr>
                <w:color w:val="auto"/>
                <w:sz w:val="21"/>
                <w:szCs w:val="21"/>
                <w:highlight w:val="none"/>
              </w:rPr>
            </w:pPr>
            <w:r>
              <w:rPr>
                <w:rFonts w:hint="eastAsia" w:hAnsi="宋体" w:cs="宋体"/>
                <w:color w:val="auto"/>
                <w:sz w:val="21"/>
                <w:szCs w:val="21"/>
                <w:highlight w:val="none"/>
                <w:lang w:bidi="ar"/>
              </w:rPr>
              <w:t>(3-10)三村球场</w:t>
            </w:r>
          </w:p>
        </w:tc>
        <w:tc>
          <w:tcPr>
            <w:tcW w:w="1030" w:type="pct"/>
            <w:noWrap/>
            <w:vAlign w:val="center"/>
          </w:tcPr>
          <w:p>
            <w:pPr>
              <w:widowControl/>
              <w:jc w:val="center"/>
              <w:textAlignment w:val="center"/>
              <w:rPr>
                <w:color w:val="auto"/>
                <w:sz w:val="21"/>
                <w:szCs w:val="21"/>
                <w:highlight w:val="none"/>
              </w:rPr>
            </w:pPr>
            <w:r>
              <w:rPr>
                <w:rFonts w:hint="eastAsia" w:hAnsi="宋体" w:cs="宋体"/>
                <w:color w:val="auto"/>
                <w:sz w:val="21"/>
                <w:szCs w:val="21"/>
                <w:highlight w:val="none"/>
                <w:lang w:bidi="ar"/>
              </w:rPr>
              <w:t>2715.24</w:t>
            </w:r>
          </w:p>
        </w:tc>
        <w:tc>
          <w:tcPr>
            <w:tcW w:w="801" w:type="pct"/>
            <w:noWrap/>
            <w:vAlign w:val="center"/>
          </w:tcPr>
          <w:p>
            <w:pPr>
              <w:widowControl/>
              <w:jc w:val="center"/>
              <w:textAlignment w:val="center"/>
              <w:rPr>
                <w:color w:val="auto"/>
                <w:sz w:val="21"/>
                <w:szCs w:val="21"/>
                <w:highlight w:val="none"/>
              </w:rPr>
            </w:pPr>
            <w:r>
              <w:rPr>
                <w:rFonts w:hint="eastAsia" w:hAnsi="宋体" w:cs="宋体"/>
                <w:color w:val="auto"/>
                <w:sz w:val="21"/>
                <w:szCs w:val="21"/>
                <w:highlight w:val="none"/>
                <w:lang w:bidi="ar"/>
              </w:rPr>
              <w:t>0</w:t>
            </w:r>
          </w:p>
        </w:tc>
        <w:tc>
          <w:tcPr>
            <w:tcW w:w="577" w:type="pct"/>
            <w:noWrap/>
            <w:vAlign w:val="center"/>
          </w:tcPr>
          <w:p>
            <w:pPr>
              <w:widowControl/>
              <w:jc w:val="center"/>
              <w:textAlignment w:val="center"/>
              <w:rPr>
                <w:color w:val="auto"/>
                <w:sz w:val="21"/>
                <w:szCs w:val="21"/>
                <w:highlight w:val="none"/>
              </w:rPr>
            </w:pPr>
            <w:r>
              <w:rPr>
                <w:rFonts w:hint="eastAsia" w:hAnsi="宋体" w:cs="宋体"/>
                <w:color w:val="auto"/>
                <w:sz w:val="21"/>
                <w:szCs w:val="21"/>
                <w:highlight w:val="none"/>
                <w:lang w:bidi="ar"/>
              </w:rPr>
              <w:t>2715.24</w:t>
            </w:r>
          </w:p>
        </w:tc>
        <w:tc>
          <w:tcPr>
            <w:tcW w:w="474" w:type="pct"/>
            <w:noWrap w:val="0"/>
            <w:vAlign w:val="center"/>
          </w:tcPr>
          <w:p>
            <w:pPr>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18" w:type="pct"/>
            <w:gridSpan w:val="2"/>
            <w:noWrap/>
            <w:vAlign w:val="center"/>
          </w:tcPr>
          <w:p>
            <w:pPr>
              <w:widowControl/>
              <w:jc w:val="center"/>
              <w:textAlignment w:val="center"/>
              <w:rPr>
                <w:rFonts w:hAnsi="宋体" w:cs="宋体"/>
                <w:b/>
                <w:bCs/>
                <w:color w:val="auto"/>
                <w:sz w:val="21"/>
                <w:szCs w:val="21"/>
                <w:highlight w:val="none"/>
              </w:rPr>
            </w:pPr>
            <w:r>
              <w:rPr>
                <w:rFonts w:hint="eastAsia" w:hAnsi="宋体" w:cs="宋体"/>
                <w:b/>
                <w:bCs/>
                <w:color w:val="auto"/>
                <w:sz w:val="21"/>
                <w:szCs w:val="21"/>
                <w:highlight w:val="none"/>
              </w:rPr>
              <w:t>合 计</w:t>
            </w:r>
          </w:p>
        </w:tc>
        <w:tc>
          <w:tcPr>
            <w:tcW w:w="1030" w:type="pct"/>
            <w:noWrap/>
            <w:vAlign w:val="center"/>
          </w:tcPr>
          <w:p>
            <w:pPr>
              <w:widowControl/>
              <w:jc w:val="center"/>
              <w:textAlignment w:val="center"/>
              <w:rPr>
                <w:b/>
                <w:bCs/>
                <w:color w:val="auto"/>
                <w:sz w:val="21"/>
                <w:szCs w:val="21"/>
                <w:highlight w:val="none"/>
              </w:rPr>
            </w:pPr>
            <w:r>
              <w:rPr>
                <w:rFonts w:hint="eastAsia" w:hAnsi="宋体" w:cs="宋体"/>
                <w:b/>
                <w:bCs/>
                <w:color w:val="auto"/>
                <w:sz w:val="21"/>
                <w:szCs w:val="21"/>
                <w:highlight w:val="none"/>
                <w:lang w:bidi="ar"/>
              </w:rPr>
              <w:t>6371.71</w:t>
            </w:r>
          </w:p>
        </w:tc>
        <w:tc>
          <w:tcPr>
            <w:tcW w:w="801" w:type="pct"/>
            <w:noWrap/>
            <w:vAlign w:val="center"/>
          </w:tcPr>
          <w:p>
            <w:pPr>
              <w:widowControl/>
              <w:jc w:val="center"/>
              <w:textAlignment w:val="center"/>
              <w:rPr>
                <w:b/>
                <w:bCs/>
                <w:color w:val="auto"/>
                <w:sz w:val="21"/>
                <w:szCs w:val="21"/>
                <w:highlight w:val="none"/>
              </w:rPr>
            </w:pPr>
            <w:r>
              <w:rPr>
                <w:rFonts w:hint="eastAsia" w:hAnsi="宋体" w:cs="宋体"/>
                <w:b/>
                <w:bCs/>
                <w:color w:val="auto"/>
                <w:sz w:val="21"/>
                <w:szCs w:val="21"/>
                <w:highlight w:val="none"/>
                <w:lang w:bidi="ar"/>
              </w:rPr>
              <w:t>2415.72</w:t>
            </w:r>
          </w:p>
        </w:tc>
        <w:tc>
          <w:tcPr>
            <w:tcW w:w="577" w:type="pct"/>
            <w:noWrap/>
            <w:vAlign w:val="center"/>
          </w:tcPr>
          <w:p>
            <w:pPr>
              <w:widowControl/>
              <w:jc w:val="center"/>
              <w:textAlignment w:val="center"/>
              <w:rPr>
                <w:b/>
                <w:bCs/>
                <w:color w:val="auto"/>
                <w:sz w:val="21"/>
                <w:szCs w:val="21"/>
                <w:highlight w:val="none"/>
              </w:rPr>
            </w:pPr>
            <w:r>
              <w:rPr>
                <w:rFonts w:hint="eastAsia" w:hAnsi="宋体" w:cs="宋体"/>
                <w:b/>
                <w:bCs/>
                <w:color w:val="auto"/>
                <w:sz w:val="21"/>
                <w:szCs w:val="21"/>
                <w:highlight w:val="none"/>
                <w:lang w:bidi="ar"/>
              </w:rPr>
              <w:t>7608.8</w:t>
            </w:r>
          </w:p>
        </w:tc>
        <w:tc>
          <w:tcPr>
            <w:tcW w:w="474" w:type="pct"/>
            <w:noWrap/>
            <w:vAlign w:val="center"/>
          </w:tcPr>
          <w:p>
            <w:pPr>
              <w:jc w:val="center"/>
              <w:rPr>
                <w:rFonts w:hAnsi="宋体" w:cs="宋体"/>
                <w:b/>
                <w:bCs/>
                <w:color w:val="auto"/>
                <w:sz w:val="21"/>
                <w:szCs w:val="21"/>
                <w:highlight w:val="none"/>
              </w:rPr>
            </w:pPr>
          </w:p>
        </w:tc>
      </w:tr>
    </w:tbl>
    <w:p>
      <w:pPr>
        <w:bidi w:val="0"/>
        <w:rPr>
          <w:color w:val="auto"/>
          <w:highlight w:val="none"/>
        </w:r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987"/>
        <w:gridCol w:w="1874"/>
        <w:gridCol w:w="1441"/>
        <w:gridCol w:w="1018"/>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000" w:type="pct"/>
            <w:gridSpan w:val="6"/>
            <w:noWrap w:val="0"/>
            <w:vAlign w:val="center"/>
          </w:tcPr>
          <w:p>
            <w:pPr>
              <w:widowControl/>
              <w:jc w:val="center"/>
              <w:textAlignment w:val="center"/>
              <w:rPr>
                <w:rFonts w:hAnsi="宋体" w:cs="宋体"/>
                <w:b/>
                <w:bCs/>
                <w:color w:val="auto"/>
                <w:sz w:val="21"/>
                <w:szCs w:val="21"/>
                <w:highlight w:val="none"/>
              </w:rPr>
            </w:pPr>
            <w:r>
              <w:rPr>
                <w:rFonts w:hint="eastAsia" w:hAnsi="宋体" w:cs="宋体"/>
                <w:b/>
                <w:bCs/>
                <w:color w:val="auto"/>
                <w:sz w:val="21"/>
                <w:szCs w:val="21"/>
                <w:highlight w:val="none"/>
              </w:rPr>
              <w:t>长安镇新民社区围闭式无物管住宅区环卫保洁测量面积统计表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0" w:type="pct"/>
            <w:noWrap w:val="0"/>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rPr>
              <w:t>序号</w:t>
            </w:r>
          </w:p>
        </w:tc>
        <w:tc>
          <w:tcPr>
            <w:tcW w:w="1114" w:type="pct"/>
            <w:noWrap w:val="0"/>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rPr>
              <w:t>住宅区名称</w:t>
            </w:r>
          </w:p>
        </w:tc>
        <w:tc>
          <w:tcPr>
            <w:tcW w:w="1119"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rPr>
              <w:t>清扫保洁面积(㎡)</w:t>
            </w:r>
          </w:p>
        </w:tc>
        <w:tc>
          <w:tcPr>
            <w:tcW w:w="864"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rPr>
              <w:t>绿化面积(㎡)</w:t>
            </w:r>
          </w:p>
        </w:tc>
        <w:tc>
          <w:tcPr>
            <w:tcW w:w="614"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rPr>
              <w:t>合计(㎡)</w:t>
            </w:r>
          </w:p>
        </w:tc>
        <w:tc>
          <w:tcPr>
            <w:tcW w:w="1059" w:type="pct"/>
            <w:noWrap w:val="0"/>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30" w:type="pct"/>
            <w:noWrap/>
            <w:vAlign w:val="center"/>
          </w:tcPr>
          <w:p>
            <w:pPr>
              <w:widowControl/>
              <w:jc w:val="center"/>
              <w:textAlignment w:val="center"/>
              <w:rPr>
                <w:rFonts w:hAnsi="宋体"/>
                <w:color w:val="auto"/>
                <w:sz w:val="21"/>
                <w:szCs w:val="21"/>
                <w:highlight w:val="none"/>
              </w:rPr>
            </w:pPr>
            <w:r>
              <w:rPr>
                <w:rFonts w:hint="eastAsia" w:hAnsi="宋体" w:cs="宋体"/>
                <w:color w:val="auto"/>
                <w:sz w:val="21"/>
                <w:szCs w:val="21"/>
                <w:highlight w:val="none"/>
                <w:lang w:bidi="ar"/>
              </w:rPr>
              <w:t>1</w:t>
            </w:r>
          </w:p>
        </w:tc>
        <w:tc>
          <w:tcPr>
            <w:tcW w:w="1114" w:type="pct"/>
            <w:noWrap/>
            <w:vAlign w:val="center"/>
          </w:tcPr>
          <w:p>
            <w:pPr>
              <w:widowControl/>
              <w:textAlignment w:val="center"/>
              <w:rPr>
                <w:rFonts w:hAnsi="宋体"/>
                <w:color w:val="auto"/>
                <w:sz w:val="21"/>
                <w:szCs w:val="21"/>
                <w:highlight w:val="none"/>
              </w:rPr>
            </w:pPr>
            <w:r>
              <w:rPr>
                <w:rFonts w:hint="eastAsia" w:hAnsi="宋体" w:cs="宋体"/>
                <w:color w:val="auto"/>
                <w:sz w:val="21"/>
                <w:szCs w:val="21"/>
                <w:highlight w:val="none"/>
                <w:lang w:bidi="ar"/>
              </w:rPr>
              <w:t>(2-17)新民居委会</w:t>
            </w:r>
          </w:p>
        </w:tc>
        <w:tc>
          <w:tcPr>
            <w:tcW w:w="1119" w:type="pct"/>
            <w:noWrap/>
            <w:vAlign w:val="center"/>
          </w:tcPr>
          <w:p>
            <w:pPr>
              <w:widowControl/>
              <w:jc w:val="center"/>
              <w:textAlignment w:val="center"/>
              <w:rPr>
                <w:rFonts w:hAnsi="宋体"/>
                <w:color w:val="auto"/>
                <w:sz w:val="21"/>
                <w:szCs w:val="21"/>
                <w:highlight w:val="none"/>
              </w:rPr>
            </w:pPr>
            <w:r>
              <w:rPr>
                <w:rFonts w:hint="eastAsia" w:hAnsi="宋体" w:cs="宋体"/>
                <w:color w:val="auto"/>
                <w:sz w:val="21"/>
                <w:szCs w:val="21"/>
                <w:highlight w:val="none"/>
                <w:lang w:bidi="ar"/>
              </w:rPr>
              <w:t>7538.45</w:t>
            </w:r>
          </w:p>
        </w:tc>
        <w:tc>
          <w:tcPr>
            <w:tcW w:w="864" w:type="pct"/>
            <w:noWrap/>
            <w:vAlign w:val="center"/>
          </w:tcPr>
          <w:p>
            <w:pPr>
              <w:widowControl/>
              <w:jc w:val="center"/>
              <w:textAlignment w:val="center"/>
              <w:rPr>
                <w:rFonts w:hAnsi="宋体"/>
                <w:color w:val="auto"/>
                <w:sz w:val="21"/>
                <w:szCs w:val="21"/>
                <w:highlight w:val="none"/>
              </w:rPr>
            </w:pPr>
            <w:r>
              <w:rPr>
                <w:rFonts w:hint="eastAsia" w:hAnsi="宋体" w:cs="宋体"/>
                <w:color w:val="auto"/>
                <w:sz w:val="21"/>
                <w:szCs w:val="21"/>
                <w:highlight w:val="none"/>
                <w:lang w:bidi="ar"/>
              </w:rPr>
              <w:t>1777.31</w:t>
            </w:r>
          </w:p>
        </w:tc>
        <w:tc>
          <w:tcPr>
            <w:tcW w:w="614" w:type="pct"/>
            <w:noWrap/>
            <w:vAlign w:val="center"/>
          </w:tcPr>
          <w:p>
            <w:pPr>
              <w:widowControl/>
              <w:jc w:val="center"/>
              <w:textAlignment w:val="center"/>
              <w:rPr>
                <w:rFonts w:hAnsi="宋体"/>
                <w:color w:val="auto"/>
                <w:sz w:val="21"/>
                <w:szCs w:val="21"/>
                <w:highlight w:val="none"/>
              </w:rPr>
            </w:pPr>
            <w:r>
              <w:rPr>
                <w:rFonts w:hint="eastAsia" w:hAnsi="宋体" w:cs="宋体"/>
                <w:color w:val="auto"/>
                <w:sz w:val="21"/>
                <w:szCs w:val="21"/>
                <w:highlight w:val="none"/>
                <w:lang w:bidi="ar"/>
              </w:rPr>
              <w:t>9315.76</w:t>
            </w:r>
          </w:p>
        </w:tc>
        <w:tc>
          <w:tcPr>
            <w:tcW w:w="1059" w:type="pct"/>
            <w:noWrap/>
            <w:vAlign w:val="center"/>
          </w:tcPr>
          <w:p>
            <w:pPr>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30" w:type="pct"/>
            <w:noWrap/>
            <w:vAlign w:val="center"/>
          </w:tcPr>
          <w:p>
            <w:pPr>
              <w:widowControl/>
              <w:jc w:val="center"/>
              <w:textAlignment w:val="center"/>
              <w:rPr>
                <w:rFonts w:hAnsi="宋体"/>
                <w:color w:val="auto"/>
                <w:sz w:val="21"/>
                <w:szCs w:val="21"/>
                <w:highlight w:val="none"/>
              </w:rPr>
            </w:pPr>
            <w:r>
              <w:rPr>
                <w:rFonts w:hint="eastAsia" w:hAnsi="宋体" w:cs="宋体"/>
                <w:color w:val="auto"/>
                <w:sz w:val="21"/>
                <w:szCs w:val="21"/>
                <w:highlight w:val="none"/>
                <w:lang w:bidi="ar"/>
              </w:rPr>
              <w:t>2</w:t>
            </w:r>
          </w:p>
        </w:tc>
        <w:tc>
          <w:tcPr>
            <w:tcW w:w="1114" w:type="pct"/>
            <w:noWrap/>
            <w:vAlign w:val="center"/>
          </w:tcPr>
          <w:p>
            <w:pPr>
              <w:widowControl/>
              <w:textAlignment w:val="center"/>
              <w:rPr>
                <w:rFonts w:hAnsi="宋体"/>
                <w:color w:val="auto"/>
                <w:sz w:val="21"/>
                <w:szCs w:val="21"/>
                <w:highlight w:val="none"/>
              </w:rPr>
            </w:pPr>
            <w:r>
              <w:rPr>
                <w:rFonts w:hint="eastAsia" w:hAnsi="宋体" w:cs="宋体"/>
                <w:color w:val="auto"/>
                <w:sz w:val="21"/>
                <w:szCs w:val="21"/>
                <w:highlight w:val="none"/>
                <w:lang w:bidi="ar"/>
              </w:rPr>
              <w:t>(2-14)城管办停车场</w:t>
            </w:r>
          </w:p>
        </w:tc>
        <w:tc>
          <w:tcPr>
            <w:tcW w:w="1119" w:type="pct"/>
            <w:noWrap/>
            <w:vAlign w:val="center"/>
          </w:tcPr>
          <w:p>
            <w:pPr>
              <w:widowControl/>
              <w:jc w:val="center"/>
              <w:textAlignment w:val="center"/>
              <w:rPr>
                <w:rFonts w:hAnsi="宋体"/>
                <w:color w:val="auto"/>
                <w:sz w:val="21"/>
                <w:szCs w:val="21"/>
                <w:highlight w:val="none"/>
              </w:rPr>
            </w:pPr>
            <w:r>
              <w:rPr>
                <w:rFonts w:hint="eastAsia" w:hAnsi="宋体" w:cs="宋体"/>
                <w:color w:val="auto"/>
                <w:sz w:val="21"/>
                <w:szCs w:val="21"/>
                <w:highlight w:val="none"/>
                <w:lang w:bidi="ar"/>
              </w:rPr>
              <w:t>0</w:t>
            </w:r>
          </w:p>
        </w:tc>
        <w:tc>
          <w:tcPr>
            <w:tcW w:w="864" w:type="pct"/>
            <w:noWrap/>
            <w:vAlign w:val="center"/>
          </w:tcPr>
          <w:p>
            <w:pPr>
              <w:widowControl/>
              <w:jc w:val="center"/>
              <w:textAlignment w:val="center"/>
              <w:rPr>
                <w:rFonts w:hAnsi="宋体"/>
                <w:color w:val="auto"/>
                <w:sz w:val="21"/>
                <w:szCs w:val="21"/>
                <w:highlight w:val="none"/>
              </w:rPr>
            </w:pPr>
            <w:r>
              <w:rPr>
                <w:rFonts w:hint="eastAsia" w:hAnsi="宋体" w:cs="宋体"/>
                <w:color w:val="auto"/>
                <w:sz w:val="21"/>
                <w:szCs w:val="21"/>
                <w:highlight w:val="none"/>
                <w:lang w:bidi="ar"/>
              </w:rPr>
              <w:t>5820.64</w:t>
            </w:r>
          </w:p>
        </w:tc>
        <w:tc>
          <w:tcPr>
            <w:tcW w:w="614" w:type="pct"/>
            <w:noWrap/>
            <w:vAlign w:val="center"/>
          </w:tcPr>
          <w:p>
            <w:pPr>
              <w:widowControl/>
              <w:jc w:val="center"/>
              <w:textAlignment w:val="center"/>
              <w:rPr>
                <w:rFonts w:hAnsi="宋体"/>
                <w:color w:val="auto"/>
                <w:sz w:val="21"/>
                <w:szCs w:val="21"/>
                <w:highlight w:val="none"/>
              </w:rPr>
            </w:pPr>
            <w:r>
              <w:rPr>
                <w:rFonts w:hint="eastAsia" w:hAnsi="宋体" w:cs="宋体"/>
                <w:color w:val="auto"/>
                <w:sz w:val="21"/>
                <w:szCs w:val="21"/>
                <w:highlight w:val="none"/>
                <w:lang w:bidi="ar"/>
              </w:rPr>
              <w:t>5820.64</w:t>
            </w:r>
          </w:p>
        </w:tc>
        <w:tc>
          <w:tcPr>
            <w:tcW w:w="1059"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已按30%计算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43" w:type="pct"/>
            <w:gridSpan w:val="2"/>
            <w:noWrap/>
            <w:vAlign w:val="center"/>
          </w:tcPr>
          <w:p>
            <w:pPr>
              <w:widowControl/>
              <w:jc w:val="center"/>
              <w:textAlignment w:val="center"/>
              <w:rPr>
                <w:rFonts w:hAnsi="宋体" w:cs="宋体"/>
                <w:b/>
                <w:bCs/>
                <w:color w:val="auto"/>
                <w:sz w:val="21"/>
                <w:szCs w:val="21"/>
                <w:highlight w:val="none"/>
              </w:rPr>
            </w:pPr>
            <w:r>
              <w:rPr>
                <w:rFonts w:hint="eastAsia" w:hAnsi="宋体" w:cs="宋体"/>
                <w:b/>
                <w:bCs/>
                <w:color w:val="auto"/>
                <w:sz w:val="21"/>
                <w:szCs w:val="21"/>
                <w:highlight w:val="none"/>
              </w:rPr>
              <w:t>合 计</w:t>
            </w:r>
          </w:p>
        </w:tc>
        <w:tc>
          <w:tcPr>
            <w:tcW w:w="1119" w:type="pct"/>
            <w:noWrap/>
            <w:vAlign w:val="center"/>
          </w:tcPr>
          <w:p>
            <w:pPr>
              <w:widowControl/>
              <w:jc w:val="center"/>
              <w:textAlignment w:val="center"/>
              <w:rPr>
                <w:rFonts w:hAnsi="宋体"/>
                <w:b/>
                <w:bCs/>
                <w:color w:val="auto"/>
                <w:sz w:val="21"/>
                <w:szCs w:val="21"/>
                <w:highlight w:val="none"/>
              </w:rPr>
            </w:pPr>
            <w:r>
              <w:rPr>
                <w:rFonts w:hint="eastAsia" w:hAnsi="宋体" w:cs="宋体"/>
                <w:b/>
                <w:bCs/>
                <w:color w:val="auto"/>
                <w:sz w:val="21"/>
                <w:szCs w:val="21"/>
                <w:highlight w:val="none"/>
                <w:lang w:bidi="ar"/>
              </w:rPr>
              <w:t>7538.45</w:t>
            </w:r>
          </w:p>
        </w:tc>
        <w:tc>
          <w:tcPr>
            <w:tcW w:w="864" w:type="pct"/>
            <w:noWrap/>
            <w:vAlign w:val="center"/>
          </w:tcPr>
          <w:p>
            <w:pPr>
              <w:widowControl/>
              <w:jc w:val="center"/>
              <w:textAlignment w:val="center"/>
              <w:rPr>
                <w:rFonts w:hAnsi="宋体"/>
                <w:b/>
                <w:bCs/>
                <w:color w:val="auto"/>
                <w:sz w:val="21"/>
                <w:szCs w:val="21"/>
                <w:highlight w:val="none"/>
              </w:rPr>
            </w:pPr>
            <w:r>
              <w:rPr>
                <w:rFonts w:hint="eastAsia" w:hAnsi="宋体" w:cs="宋体"/>
                <w:b/>
                <w:bCs/>
                <w:color w:val="auto"/>
                <w:sz w:val="21"/>
                <w:szCs w:val="21"/>
                <w:highlight w:val="none"/>
                <w:lang w:bidi="ar"/>
              </w:rPr>
              <w:t>7597.95</w:t>
            </w:r>
          </w:p>
        </w:tc>
        <w:tc>
          <w:tcPr>
            <w:tcW w:w="614" w:type="pct"/>
            <w:noWrap/>
            <w:vAlign w:val="center"/>
          </w:tcPr>
          <w:p>
            <w:pPr>
              <w:widowControl/>
              <w:jc w:val="center"/>
              <w:textAlignment w:val="center"/>
              <w:rPr>
                <w:rFonts w:hAnsi="宋体"/>
                <w:b/>
                <w:bCs/>
                <w:color w:val="auto"/>
                <w:sz w:val="21"/>
                <w:szCs w:val="21"/>
                <w:highlight w:val="none"/>
              </w:rPr>
            </w:pPr>
            <w:r>
              <w:rPr>
                <w:rFonts w:hint="eastAsia" w:hAnsi="宋体" w:cs="宋体"/>
                <w:b/>
                <w:bCs/>
                <w:color w:val="auto"/>
                <w:sz w:val="21"/>
                <w:szCs w:val="21"/>
                <w:highlight w:val="none"/>
                <w:lang w:bidi="ar"/>
              </w:rPr>
              <w:t>15136.40</w:t>
            </w:r>
          </w:p>
        </w:tc>
        <w:tc>
          <w:tcPr>
            <w:tcW w:w="1059" w:type="pct"/>
            <w:noWrap/>
            <w:vAlign w:val="center"/>
          </w:tcPr>
          <w:p>
            <w:pPr>
              <w:jc w:val="center"/>
              <w:rPr>
                <w:rFonts w:hAnsi="宋体" w:cs="宋体"/>
                <w:b/>
                <w:bCs/>
                <w:color w:val="auto"/>
                <w:sz w:val="21"/>
                <w:szCs w:val="21"/>
                <w:highlight w:val="none"/>
              </w:rPr>
            </w:pPr>
          </w:p>
        </w:tc>
      </w:tr>
    </w:tbl>
    <w:p>
      <w:pPr>
        <w:bidi w:val="0"/>
        <w:rPr>
          <w:color w:val="auto"/>
          <w:highlight w:val="none"/>
        </w:r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2645"/>
        <w:gridCol w:w="1814"/>
        <w:gridCol w:w="1395"/>
        <w:gridCol w:w="1125"/>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000" w:type="pct"/>
            <w:gridSpan w:val="6"/>
            <w:noWrap w:val="0"/>
            <w:vAlign w:val="center"/>
          </w:tcPr>
          <w:p>
            <w:pPr>
              <w:widowControl/>
              <w:jc w:val="center"/>
              <w:textAlignment w:val="center"/>
              <w:rPr>
                <w:rFonts w:ascii="华康简标题宋" w:hAnsi="华康简标题宋" w:cs="宋体"/>
                <w:b/>
                <w:bCs/>
                <w:color w:val="auto"/>
                <w:sz w:val="21"/>
                <w:szCs w:val="21"/>
                <w:highlight w:val="none"/>
              </w:rPr>
            </w:pPr>
            <w:r>
              <w:rPr>
                <w:rFonts w:hAnsi="宋体" w:cs="宋体"/>
                <w:b/>
                <w:bCs/>
                <w:color w:val="auto"/>
                <w:sz w:val="21"/>
                <w:szCs w:val="21"/>
                <w:highlight w:val="none"/>
              </w:rPr>
              <w:t>长安镇</w:t>
            </w:r>
            <w:r>
              <w:rPr>
                <w:rFonts w:hint="eastAsia" w:hAnsi="宋体" w:cs="宋体"/>
                <w:b/>
                <w:bCs/>
                <w:color w:val="auto"/>
                <w:sz w:val="21"/>
                <w:szCs w:val="21"/>
                <w:highlight w:val="none"/>
              </w:rPr>
              <w:t>新民</w:t>
            </w:r>
            <w:r>
              <w:rPr>
                <w:rFonts w:hAnsi="宋体" w:cs="宋体"/>
                <w:b/>
                <w:bCs/>
                <w:color w:val="auto"/>
                <w:sz w:val="21"/>
                <w:szCs w:val="21"/>
                <w:highlight w:val="none"/>
              </w:rPr>
              <w:t>社区无围闭住宅区环卫保洁测量面积统计表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序号</w:t>
            </w:r>
          </w:p>
        </w:tc>
        <w:tc>
          <w:tcPr>
            <w:tcW w:w="1636"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住宅区名称</w:t>
            </w:r>
          </w:p>
        </w:tc>
        <w:tc>
          <w:tcPr>
            <w:tcW w:w="1003"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清扫保洁面积(㎡)</w:t>
            </w:r>
          </w:p>
        </w:tc>
        <w:tc>
          <w:tcPr>
            <w:tcW w:w="78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绿化面积(㎡)</w:t>
            </w:r>
          </w:p>
        </w:tc>
        <w:tc>
          <w:tcPr>
            <w:tcW w:w="622"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合计(㎡)</w:t>
            </w:r>
          </w:p>
        </w:tc>
        <w:tc>
          <w:tcPr>
            <w:tcW w:w="733"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w:t>
            </w:r>
          </w:p>
        </w:tc>
        <w:tc>
          <w:tcPr>
            <w:tcW w:w="163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(1-7)兴盛路1-12巷</w:t>
            </w:r>
          </w:p>
        </w:tc>
        <w:tc>
          <w:tcPr>
            <w:tcW w:w="1003"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30589.23</w:t>
            </w:r>
          </w:p>
        </w:tc>
        <w:tc>
          <w:tcPr>
            <w:tcW w:w="781"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0</w:t>
            </w:r>
          </w:p>
        </w:tc>
        <w:tc>
          <w:tcPr>
            <w:tcW w:w="622" w:type="pct"/>
            <w:noWrap/>
            <w:vAlign w:val="center"/>
          </w:tcPr>
          <w:p>
            <w:pPr>
              <w:widowControl/>
              <w:jc w:val="center"/>
              <w:textAlignment w:val="center"/>
              <w:rPr>
                <w:rFonts w:hAnsi="宋体" w:cs="宋体"/>
                <w:color w:val="auto"/>
                <w:sz w:val="21"/>
                <w:szCs w:val="21"/>
                <w:highlight w:val="none"/>
              </w:rPr>
            </w:pPr>
            <w:r>
              <w:rPr>
                <w:rFonts w:hint="eastAsia" w:hAnsi="宋体" w:cs="宋体"/>
                <w:b/>
                <w:bCs/>
                <w:color w:val="auto"/>
                <w:sz w:val="21"/>
                <w:szCs w:val="21"/>
                <w:highlight w:val="none"/>
                <w:lang w:bidi="ar"/>
              </w:rPr>
              <w:t>30589.23</w:t>
            </w:r>
          </w:p>
        </w:tc>
        <w:tc>
          <w:tcPr>
            <w:tcW w:w="733"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2</w:t>
            </w:r>
          </w:p>
        </w:tc>
        <w:tc>
          <w:tcPr>
            <w:tcW w:w="163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(1-10)兴民路1-9巷</w:t>
            </w:r>
          </w:p>
        </w:tc>
        <w:tc>
          <w:tcPr>
            <w:tcW w:w="1003"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8846.9</w:t>
            </w:r>
          </w:p>
        </w:tc>
        <w:tc>
          <w:tcPr>
            <w:tcW w:w="781"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0</w:t>
            </w:r>
          </w:p>
        </w:tc>
        <w:tc>
          <w:tcPr>
            <w:tcW w:w="622"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8846.9</w:t>
            </w:r>
          </w:p>
        </w:tc>
        <w:tc>
          <w:tcPr>
            <w:tcW w:w="733"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3</w:t>
            </w:r>
          </w:p>
        </w:tc>
        <w:tc>
          <w:tcPr>
            <w:tcW w:w="163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(1-15)新民市场</w:t>
            </w:r>
          </w:p>
        </w:tc>
        <w:tc>
          <w:tcPr>
            <w:tcW w:w="1003"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11057</w:t>
            </w:r>
          </w:p>
        </w:tc>
        <w:tc>
          <w:tcPr>
            <w:tcW w:w="781"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0</w:t>
            </w:r>
          </w:p>
        </w:tc>
        <w:tc>
          <w:tcPr>
            <w:tcW w:w="622"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11057</w:t>
            </w:r>
          </w:p>
        </w:tc>
        <w:tc>
          <w:tcPr>
            <w:tcW w:w="733"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4</w:t>
            </w:r>
          </w:p>
        </w:tc>
        <w:tc>
          <w:tcPr>
            <w:tcW w:w="163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(1-16)兴民路西侧巷道</w:t>
            </w:r>
          </w:p>
        </w:tc>
        <w:tc>
          <w:tcPr>
            <w:tcW w:w="1003"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1019.92</w:t>
            </w:r>
          </w:p>
        </w:tc>
        <w:tc>
          <w:tcPr>
            <w:tcW w:w="781"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0</w:t>
            </w:r>
          </w:p>
        </w:tc>
        <w:tc>
          <w:tcPr>
            <w:tcW w:w="622"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1019.92</w:t>
            </w:r>
          </w:p>
        </w:tc>
        <w:tc>
          <w:tcPr>
            <w:tcW w:w="733"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5</w:t>
            </w:r>
          </w:p>
        </w:tc>
        <w:tc>
          <w:tcPr>
            <w:tcW w:w="163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(1-17)兴民路巷道东侧空地</w:t>
            </w:r>
          </w:p>
        </w:tc>
        <w:tc>
          <w:tcPr>
            <w:tcW w:w="1003"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0</w:t>
            </w:r>
          </w:p>
        </w:tc>
        <w:tc>
          <w:tcPr>
            <w:tcW w:w="781"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4005.71</w:t>
            </w:r>
          </w:p>
        </w:tc>
        <w:tc>
          <w:tcPr>
            <w:tcW w:w="622"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4005.71</w:t>
            </w:r>
          </w:p>
        </w:tc>
        <w:tc>
          <w:tcPr>
            <w:tcW w:w="733"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6</w:t>
            </w:r>
          </w:p>
        </w:tc>
        <w:tc>
          <w:tcPr>
            <w:tcW w:w="163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(1-18)兴盛路巷道东侧空地</w:t>
            </w:r>
          </w:p>
        </w:tc>
        <w:tc>
          <w:tcPr>
            <w:tcW w:w="1003"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0</w:t>
            </w:r>
          </w:p>
        </w:tc>
        <w:tc>
          <w:tcPr>
            <w:tcW w:w="781"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5551.27</w:t>
            </w:r>
          </w:p>
        </w:tc>
        <w:tc>
          <w:tcPr>
            <w:tcW w:w="622"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5551.27</w:t>
            </w:r>
          </w:p>
        </w:tc>
        <w:tc>
          <w:tcPr>
            <w:tcW w:w="733"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7</w:t>
            </w:r>
          </w:p>
        </w:tc>
        <w:tc>
          <w:tcPr>
            <w:tcW w:w="163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(1-23)新民市场停车场</w:t>
            </w:r>
          </w:p>
        </w:tc>
        <w:tc>
          <w:tcPr>
            <w:tcW w:w="1003"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3191.39</w:t>
            </w:r>
          </w:p>
        </w:tc>
        <w:tc>
          <w:tcPr>
            <w:tcW w:w="781"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0</w:t>
            </w:r>
          </w:p>
        </w:tc>
        <w:tc>
          <w:tcPr>
            <w:tcW w:w="622"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3191.39</w:t>
            </w:r>
          </w:p>
        </w:tc>
        <w:tc>
          <w:tcPr>
            <w:tcW w:w="733"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8</w:t>
            </w:r>
          </w:p>
        </w:tc>
        <w:tc>
          <w:tcPr>
            <w:tcW w:w="163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(1-25)人民涌绿道</w:t>
            </w:r>
          </w:p>
        </w:tc>
        <w:tc>
          <w:tcPr>
            <w:tcW w:w="1003"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0</w:t>
            </w:r>
          </w:p>
        </w:tc>
        <w:tc>
          <w:tcPr>
            <w:tcW w:w="781"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13194.08</w:t>
            </w:r>
          </w:p>
        </w:tc>
        <w:tc>
          <w:tcPr>
            <w:tcW w:w="622"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13194.08</w:t>
            </w:r>
          </w:p>
        </w:tc>
        <w:tc>
          <w:tcPr>
            <w:tcW w:w="733"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9</w:t>
            </w:r>
          </w:p>
        </w:tc>
        <w:tc>
          <w:tcPr>
            <w:tcW w:w="163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(2-10)裕和居民小组巷道</w:t>
            </w:r>
          </w:p>
        </w:tc>
        <w:tc>
          <w:tcPr>
            <w:tcW w:w="1003"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20046.69</w:t>
            </w:r>
          </w:p>
        </w:tc>
        <w:tc>
          <w:tcPr>
            <w:tcW w:w="781"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0</w:t>
            </w:r>
          </w:p>
        </w:tc>
        <w:tc>
          <w:tcPr>
            <w:tcW w:w="622"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20046.69</w:t>
            </w:r>
          </w:p>
        </w:tc>
        <w:tc>
          <w:tcPr>
            <w:tcW w:w="733"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10</w:t>
            </w:r>
          </w:p>
        </w:tc>
        <w:tc>
          <w:tcPr>
            <w:tcW w:w="163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(2-13)常润百货后巷</w:t>
            </w:r>
          </w:p>
        </w:tc>
        <w:tc>
          <w:tcPr>
            <w:tcW w:w="1003"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2172.03</w:t>
            </w:r>
          </w:p>
        </w:tc>
        <w:tc>
          <w:tcPr>
            <w:tcW w:w="781"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0</w:t>
            </w:r>
          </w:p>
        </w:tc>
        <w:tc>
          <w:tcPr>
            <w:tcW w:w="622"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2172.03</w:t>
            </w:r>
          </w:p>
        </w:tc>
        <w:tc>
          <w:tcPr>
            <w:tcW w:w="733"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11</w:t>
            </w:r>
          </w:p>
        </w:tc>
        <w:tc>
          <w:tcPr>
            <w:tcW w:w="163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(2-18)新星路1-4巷</w:t>
            </w:r>
          </w:p>
        </w:tc>
        <w:tc>
          <w:tcPr>
            <w:tcW w:w="1003"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5205.52</w:t>
            </w:r>
          </w:p>
        </w:tc>
        <w:tc>
          <w:tcPr>
            <w:tcW w:w="781"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0</w:t>
            </w:r>
          </w:p>
        </w:tc>
        <w:tc>
          <w:tcPr>
            <w:tcW w:w="622"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5205.52</w:t>
            </w:r>
          </w:p>
        </w:tc>
        <w:tc>
          <w:tcPr>
            <w:tcW w:w="733"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12</w:t>
            </w:r>
          </w:p>
        </w:tc>
        <w:tc>
          <w:tcPr>
            <w:tcW w:w="163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(3-7)禄和居民区</w:t>
            </w:r>
          </w:p>
        </w:tc>
        <w:tc>
          <w:tcPr>
            <w:tcW w:w="1003"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10325.63</w:t>
            </w:r>
          </w:p>
        </w:tc>
        <w:tc>
          <w:tcPr>
            <w:tcW w:w="781"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0</w:t>
            </w:r>
          </w:p>
        </w:tc>
        <w:tc>
          <w:tcPr>
            <w:tcW w:w="622"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10325.63</w:t>
            </w:r>
          </w:p>
        </w:tc>
        <w:tc>
          <w:tcPr>
            <w:tcW w:w="733"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5"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　</w:t>
            </w:r>
          </w:p>
        </w:tc>
        <w:tc>
          <w:tcPr>
            <w:tcW w:w="1636"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合 计</w:t>
            </w:r>
          </w:p>
        </w:tc>
        <w:tc>
          <w:tcPr>
            <w:tcW w:w="1003" w:type="pct"/>
            <w:noWrap/>
            <w:vAlign w:val="center"/>
          </w:tcPr>
          <w:p>
            <w:pPr>
              <w:widowControl/>
              <w:jc w:val="center"/>
              <w:rPr>
                <w:rFonts w:hAnsi="宋体" w:cs="宋体"/>
                <w:b/>
                <w:bCs/>
                <w:color w:val="auto"/>
                <w:sz w:val="21"/>
                <w:szCs w:val="21"/>
                <w:highlight w:val="none"/>
              </w:rPr>
            </w:pPr>
          </w:p>
        </w:tc>
        <w:tc>
          <w:tcPr>
            <w:tcW w:w="781" w:type="pct"/>
            <w:noWrap/>
            <w:vAlign w:val="center"/>
          </w:tcPr>
          <w:p>
            <w:pPr>
              <w:widowControl/>
              <w:jc w:val="center"/>
              <w:rPr>
                <w:rFonts w:hAnsi="宋体" w:cs="宋体"/>
                <w:b/>
                <w:bCs/>
                <w:color w:val="auto"/>
                <w:sz w:val="21"/>
                <w:szCs w:val="21"/>
                <w:highlight w:val="none"/>
              </w:rPr>
            </w:pPr>
          </w:p>
        </w:tc>
        <w:tc>
          <w:tcPr>
            <w:tcW w:w="622" w:type="pct"/>
            <w:noWrap/>
            <w:vAlign w:val="center"/>
          </w:tcPr>
          <w:p>
            <w:pPr>
              <w:widowControl/>
              <w:jc w:val="center"/>
              <w:rPr>
                <w:rFonts w:hAnsi="宋体" w:cs="宋体"/>
                <w:b/>
                <w:bCs/>
                <w:color w:val="auto"/>
                <w:sz w:val="21"/>
                <w:szCs w:val="21"/>
                <w:highlight w:val="none"/>
              </w:rPr>
            </w:pPr>
            <w:r>
              <w:rPr>
                <w:rFonts w:hAnsi="宋体" w:cs="宋体"/>
                <w:b/>
                <w:bCs/>
                <w:color w:val="auto"/>
                <w:sz w:val="21"/>
                <w:szCs w:val="21"/>
                <w:highlight w:val="none"/>
              </w:rPr>
              <w:t>115205.37</w:t>
            </w:r>
          </w:p>
        </w:tc>
        <w:tc>
          <w:tcPr>
            <w:tcW w:w="733"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　</w:t>
            </w:r>
          </w:p>
        </w:tc>
      </w:tr>
    </w:tbl>
    <w:p>
      <w:pPr>
        <w:bidi w:val="0"/>
        <w:rPr>
          <w:color w:val="auto"/>
          <w:highlight w:val="none"/>
        </w:r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445"/>
        <w:gridCol w:w="1184"/>
        <w:gridCol w:w="1870"/>
        <w:gridCol w:w="188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000" w:type="pct"/>
            <w:gridSpan w:val="6"/>
            <w:noWrap/>
            <w:vAlign w:val="center"/>
          </w:tcPr>
          <w:p>
            <w:pPr>
              <w:widowControl/>
              <w:jc w:val="center"/>
              <w:textAlignment w:val="center"/>
              <w:rPr>
                <w:rFonts w:hAnsi="宋体" w:cs="宋体"/>
                <w:b/>
                <w:bCs/>
                <w:color w:val="auto"/>
                <w:sz w:val="21"/>
                <w:szCs w:val="21"/>
                <w:highlight w:val="none"/>
              </w:rPr>
            </w:pPr>
            <w:r>
              <w:rPr>
                <w:rFonts w:hAnsi="宋体" w:cs="宋体"/>
                <w:b/>
                <w:bCs/>
                <w:color w:val="auto"/>
                <w:sz w:val="21"/>
                <w:szCs w:val="21"/>
                <w:highlight w:val="none"/>
              </w:rPr>
              <w:t>长安镇</w:t>
            </w:r>
            <w:r>
              <w:rPr>
                <w:rFonts w:hint="eastAsia" w:hAnsi="宋体" w:cs="宋体"/>
                <w:b/>
                <w:bCs/>
                <w:color w:val="auto"/>
                <w:sz w:val="21"/>
                <w:szCs w:val="21"/>
                <w:highlight w:val="none"/>
              </w:rPr>
              <w:t>新民</w:t>
            </w:r>
            <w:r>
              <w:rPr>
                <w:rFonts w:hAnsi="宋体" w:cs="宋体"/>
                <w:b/>
                <w:bCs/>
                <w:color w:val="auto"/>
                <w:sz w:val="21"/>
                <w:szCs w:val="21"/>
                <w:highlight w:val="none"/>
              </w:rPr>
              <w:t>社区旧村环卫保洁测量面积统计表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6"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序号</w:t>
            </w:r>
          </w:p>
        </w:tc>
        <w:tc>
          <w:tcPr>
            <w:tcW w:w="1448"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旧村名称</w:t>
            </w:r>
          </w:p>
        </w:tc>
        <w:tc>
          <w:tcPr>
            <w:tcW w:w="67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总面积(㎡)</w:t>
            </w:r>
          </w:p>
        </w:tc>
        <w:tc>
          <w:tcPr>
            <w:tcW w:w="1108"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其中:保洁面积(㎡)</w:t>
            </w:r>
          </w:p>
        </w:tc>
        <w:tc>
          <w:tcPr>
            <w:tcW w:w="1119"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其中:绿化面积(㎡)</w:t>
            </w:r>
          </w:p>
        </w:tc>
        <w:tc>
          <w:tcPr>
            <w:tcW w:w="429"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6"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w:t>
            </w:r>
          </w:p>
        </w:tc>
        <w:tc>
          <w:tcPr>
            <w:tcW w:w="1448"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(3-9)禄和居民旧村巷道</w:t>
            </w:r>
          </w:p>
        </w:tc>
        <w:tc>
          <w:tcPr>
            <w:tcW w:w="671"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10044.38</w:t>
            </w:r>
          </w:p>
        </w:tc>
        <w:tc>
          <w:tcPr>
            <w:tcW w:w="110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10044.38</w:t>
            </w:r>
          </w:p>
        </w:tc>
        <w:tc>
          <w:tcPr>
            <w:tcW w:w="1119"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0</w:t>
            </w:r>
          </w:p>
        </w:tc>
        <w:tc>
          <w:tcPr>
            <w:tcW w:w="429" w:type="pct"/>
            <w:noWrap/>
            <w:vAlign w:val="center"/>
          </w:tcPr>
          <w:p>
            <w:pPr>
              <w:widowControl/>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6"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2</w:t>
            </w:r>
          </w:p>
        </w:tc>
        <w:tc>
          <w:tcPr>
            <w:tcW w:w="1448"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(3-9)陆丰涌栈道</w:t>
            </w:r>
          </w:p>
        </w:tc>
        <w:tc>
          <w:tcPr>
            <w:tcW w:w="671"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2955.48</w:t>
            </w:r>
          </w:p>
        </w:tc>
        <w:tc>
          <w:tcPr>
            <w:tcW w:w="110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2955.48</w:t>
            </w:r>
          </w:p>
        </w:tc>
        <w:tc>
          <w:tcPr>
            <w:tcW w:w="1119"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0</w:t>
            </w:r>
          </w:p>
        </w:tc>
        <w:tc>
          <w:tcPr>
            <w:tcW w:w="429" w:type="pct"/>
            <w:noWrap/>
            <w:vAlign w:val="center"/>
          </w:tcPr>
          <w:p>
            <w:pPr>
              <w:widowControl/>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4" w:type="pct"/>
            <w:gridSpan w:val="2"/>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合 计</w:t>
            </w:r>
          </w:p>
        </w:tc>
        <w:tc>
          <w:tcPr>
            <w:tcW w:w="671" w:type="pct"/>
            <w:noWrap/>
            <w:vAlign w:val="center"/>
          </w:tcPr>
          <w:p>
            <w:pPr>
              <w:widowControl/>
              <w:jc w:val="center"/>
              <w:textAlignment w:val="center"/>
              <w:rPr>
                <w:rFonts w:hAnsi="宋体" w:cs="宋体"/>
                <w:b/>
                <w:bCs/>
                <w:color w:val="auto"/>
                <w:sz w:val="21"/>
                <w:szCs w:val="21"/>
                <w:highlight w:val="none"/>
              </w:rPr>
            </w:pPr>
            <w:r>
              <w:rPr>
                <w:rFonts w:hint="eastAsia" w:hAnsi="宋体" w:cs="宋体"/>
                <w:b/>
                <w:bCs/>
                <w:color w:val="auto"/>
                <w:sz w:val="21"/>
                <w:szCs w:val="21"/>
                <w:highlight w:val="none"/>
                <w:lang w:bidi="ar"/>
              </w:rPr>
              <w:t>12999.86</w:t>
            </w:r>
          </w:p>
        </w:tc>
        <w:tc>
          <w:tcPr>
            <w:tcW w:w="1108" w:type="pct"/>
            <w:noWrap/>
            <w:vAlign w:val="center"/>
          </w:tcPr>
          <w:p>
            <w:pPr>
              <w:widowControl/>
              <w:jc w:val="center"/>
              <w:textAlignment w:val="center"/>
              <w:rPr>
                <w:rFonts w:hAnsi="宋体" w:cs="宋体"/>
                <w:b/>
                <w:bCs/>
                <w:color w:val="auto"/>
                <w:sz w:val="21"/>
                <w:szCs w:val="21"/>
                <w:highlight w:val="none"/>
              </w:rPr>
            </w:pPr>
            <w:r>
              <w:rPr>
                <w:rFonts w:hint="eastAsia" w:hAnsi="宋体" w:cs="宋体"/>
                <w:b/>
                <w:bCs/>
                <w:color w:val="auto"/>
                <w:sz w:val="21"/>
                <w:szCs w:val="21"/>
                <w:highlight w:val="none"/>
                <w:lang w:bidi="ar"/>
              </w:rPr>
              <w:t>12999.86</w:t>
            </w:r>
          </w:p>
        </w:tc>
        <w:tc>
          <w:tcPr>
            <w:tcW w:w="1119"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0</w:t>
            </w:r>
          </w:p>
        </w:tc>
        <w:tc>
          <w:tcPr>
            <w:tcW w:w="429" w:type="pct"/>
            <w:noWrap/>
            <w:vAlign w:val="center"/>
          </w:tcPr>
          <w:p>
            <w:pPr>
              <w:widowControl/>
              <w:rPr>
                <w:rFonts w:hAnsi="宋体" w:cs="宋体"/>
                <w:b/>
                <w:bCs/>
                <w:color w:val="auto"/>
                <w:sz w:val="21"/>
                <w:szCs w:val="21"/>
                <w:highlight w:val="none"/>
              </w:rPr>
            </w:pPr>
            <w:r>
              <w:rPr>
                <w:rFonts w:hint="eastAsia" w:hAnsi="宋体" w:cs="宋体"/>
                <w:b/>
                <w:bCs/>
                <w:color w:val="auto"/>
                <w:sz w:val="21"/>
                <w:szCs w:val="21"/>
                <w:highlight w:val="none"/>
              </w:rPr>
              <w:t>　</w:t>
            </w:r>
          </w:p>
        </w:tc>
      </w:tr>
    </w:tbl>
    <w:p>
      <w:pPr>
        <w:bidi w:val="0"/>
        <w:rPr>
          <w:color w:val="auto"/>
          <w:highlight w:val="none"/>
        </w:r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794"/>
        <w:gridCol w:w="985"/>
        <w:gridCol w:w="1015"/>
        <w:gridCol w:w="1290"/>
        <w:gridCol w:w="1331"/>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000" w:type="pct"/>
            <w:gridSpan w:val="7"/>
            <w:noWrap/>
            <w:vAlign w:val="center"/>
          </w:tcPr>
          <w:p>
            <w:pPr>
              <w:widowControl/>
              <w:jc w:val="center"/>
              <w:rPr>
                <w:rFonts w:ascii="华康简标题宋" w:hAnsi="华康简标题宋" w:cs="宋体"/>
                <w:b/>
                <w:bCs/>
                <w:color w:val="auto"/>
                <w:sz w:val="21"/>
                <w:szCs w:val="21"/>
                <w:highlight w:val="none"/>
              </w:rPr>
            </w:pPr>
            <w:r>
              <w:rPr>
                <w:rFonts w:hint="eastAsia" w:hAnsi="宋体" w:cs="宋体"/>
                <w:b/>
                <w:bCs/>
                <w:color w:val="auto"/>
                <w:sz w:val="21"/>
                <w:szCs w:val="21"/>
                <w:highlight w:val="none"/>
              </w:rPr>
              <w:t>长安镇新民社区闲置地环卫保洁测量面积统计表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序号</w:t>
            </w:r>
          </w:p>
        </w:tc>
        <w:tc>
          <w:tcPr>
            <w:tcW w:w="1056" w:type="pct"/>
            <w:noWrap w:val="0"/>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闲置地位置(地址)</w:t>
            </w:r>
          </w:p>
        </w:tc>
        <w:tc>
          <w:tcPr>
            <w:tcW w:w="581" w:type="pct"/>
            <w:noWrap w:val="0"/>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长度(m)</w:t>
            </w:r>
          </w:p>
        </w:tc>
        <w:tc>
          <w:tcPr>
            <w:tcW w:w="598" w:type="pct"/>
            <w:noWrap w:val="0"/>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宽度(m)</w:t>
            </w:r>
          </w:p>
        </w:tc>
        <w:tc>
          <w:tcPr>
            <w:tcW w:w="760" w:type="pct"/>
            <w:noWrap w:val="0"/>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总面积(㎡)</w:t>
            </w:r>
          </w:p>
        </w:tc>
        <w:tc>
          <w:tcPr>
            <w:tcW w:w="784" w:type="pct"/>
            <w:noWrap w:val="0"/>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是否有围闭</w:t>
            </w:r>
          </w:p>
        </w:tc>
        <w:tc>
          <w:tcPr>
            <w:tcW w:w="98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35"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w:t>
            </w:r>
          </w:p>
        </w:tc>
        <w:tc>
          <w:tcPr>
            <w:tcW w:w="1056" w:type="pct"/>
            <w:noWrap/>
            <w:vAlign w:val="center"/>
          </w:tcPr>
          <w:p>
            <w:pPr>
              <w:jc w:val="center"/>
              <w:rPr>
                <w:rFonts w:hAnsi="宋体" w:cs="宋体"/>
                <w:color w:val="auto"/>
                <w:sz w:val="21"/>
                <w:szCs w:val="21"/>
                <w:highlight w:val="none"/>
              </w:rPr>
            </w:pPr>
          </w:p>
        </w:tc>
        <w:tc>
          <w:tcPr>
            <w:tcW w:w="581" w:type="pct"/>
            <w:noWrap/>
            <w:vAlign w:val="center"/>
          </w:tcPr>
          <w:p>
            <w:pPr>
              <w:jc w:val="center"/>
              <w:rPr>
                <w:rFonts w:hAnsi="宋体" w:cs="宋体"/>
                <w:color w:val="auto"/>
                <w:sz w:val="21"/>
                <w:szCs w:val="21"/>
                <w:highlight w:val="none"/>
              </w:rPr>
            </w:pPr>
          </w:p>
        </w:tc>
        <w:tc>
          <w:tcPr>
            <w:tcW w:w="598" w:type="pct"/>
            <w:noWrap/>
            <w:vAlign w:val="center"/>
          </w:tcPr>
          <w:p>
            <w:pPr>
              <w:jc w:val="center"/>
              <w:rPr>
                <w:rFonts w:hAnsi="宋体" w:cs="宋体"/>
                <w:color w:val="auto"/>
                <w:sz w:val="21"/>
                <w:szCs w:val="21"/>
                <w:highlight w:val="none"/>
              </w:rPr>
            </w:pPr>
          </w:p>
        </w:tc>
        <w:tc>
          <w:tcPr>
            <w:tcW w:w="760" w:type="pct"/>
            <w:noWrap/>
            <w:vAlign w:val="center"/>
          </w:tcPr>
          <w:p>
            <w:pPr>
              <w:jc w:val="center"/>
              <w:rPr>
                <w:rFonts w:hAnsi="宋体" w:cs="宋体"/>
                <w:color w:val="auto"/>
                <w:sz w:val="21"/>
                <w:szCs w:val="21"/>
                <w:highlight w:val="none"/>
              </w:rPr>
            </w:pPr>
          </w:p>
        </w:tc>
        <w:tc>
          <w:tcPr>
            <w:tcW w:w="784" w:type="pct"/>
            <w:noWrap/>
            <w:vAlign w:val="center"/>
          </w:tcPr>
          <w:p>
            <w:pPr>
              <w:jc w:val="center"/>
              <w:rPr>
                <w:rFonts w:hAnsi="宋体" w:cs="宋体"/>
                <w:color w:val="auto"/>
                <w:sz w:val="21"/>
                <w:szCs w:val="21"/>
                <w:highlight w:val="none"/>
              </w:rPr>
            </w:pPr>
          </w:p>
        </w:tc>
        <w:tc>
          <w:tcPr>
            <w:tcW w:w="985"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5"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　</w:t>
            </w:r>
          </w:p>
        </w:tc>
        <w:tc>
          <w:tcPr>
            <w:tcW w:w="1056"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合 计</w:t>
            </w:r>
          </w:p>
        </w:tc>
        <w:tc>
          <w:tcPr>
            <w:tcW w:w="581"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0</w:t>
            </w:r>
          </w:p>
        </w:tc>
        <w:tc>
          <w:tcPr>
            <w:tcW w:w="598"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0</w:t>
            </w:r>
          </w:p>
        </w:tc>
        <w:tc>
          <w:tcPr>
            <w:tcW w:w="760"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0</w:t>
            </w:r>
          </w:p>
        </w:tc>
        <w:tc>
          <w:tcPr>
            <w:tcW w:w="784"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0</w:t>
            </w:r>
          </w:p>
        </w:tc>
        <w:tc>
          <w:tcPr>
            <w:tcW w:w="985"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0</w:t>
            </w:r>
          </w:p>
        </w:tc>
      </w:tr>
    </w:tbl>
    <w:p>
      <w:pPr>
        <w:rPr>
          <w:color w:val="auto"/>
          <w:sz w:val="21"/>
          <w:szCs w:val="21"/>
          <w:highlight w:val="none"/>
        </w:r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321"/>
        <w:gridCol w:w="791"/>
        <w:gridCol w:w="770"/>
        <w:gridCol w:w="1063"/>
        <w:gridCol w:w="583"/>
        <w:gridCol w:w="641"/>
        <w:gridCol w:w="901"/>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000" w:type="pct"/>
            <w:gridSpan w:val="9"/>
            <w:noWrap/>
            <w:vAlign w:val="center"/>
          </w:tcPr>
          <w:p>
            <w:pPr>
              <w:widowControl/>
              <w:jc w:val="center"/>
              <w:textAlignment w:val="center"/>
              <w:rPr>
                <w:rFonts w:ascii="华康简标题宋" w:hAnsi="华康简标题宋" w:cs="宋体"/>
                <w:b/>
                <w:bCs/>
                <w:color w:val="auto"/>
                <w:sz w:val="21"/>
                <w:szCs w:val="21"/>
                <w:highlight w:val="none"/>
              </w:rPr>
            </w:pPr>
            <w:r>
              <w:rPr>
                <w:rFonts w:hAnsi="宋体" w:cs="宋体"/>
                <w:b/>
                <w:bCs/>
                <w:color w:val="auto"/>
                <w:sz w:val="21"/>
                <w:szCs w:val="21"/>
                <w:highlight w:val="none"/>
              </w:rPr>
              <w:t>长安镇</w:t>
            </w:r>
            <w:r>
              <w:rPr>
                <w:rFonts w:hint="eastAsia" w:hAnsi="宋体" w:cs="宋体"/>
                <w:b/>
                <w:bCs/>
                <w:color w:val="auto"/>
                <w:sz w:val="21"/>
                <w:szCs w:val="21"/>
                <w:highlight w:val="none"/>
              </w:rPr>
              <w:t>新民</w:t>
            </w:r>
            <w:r>
              <w:rPr>
                <w:rFonts w:hAnsi="宋体" w:cs="宋体"/>
                <w:b/>
                <w:bCs/>
                <w:color w:val="auto"/>
                <w:sz w:val="21"/>
                <w:szCs w:val="21"/>
                <w:highlight w:val="none"/>
              </w:rPr>
              <w:t>社区河涌、鱼塘保洁测量面积统计表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0" w:type="pct"/>
            <w:gridSpan w:val="9"/>
            <w:noWrap/>
            <w:vAlign w:val="center"/>
          </w:tcPr>
          <w:p>
            <w:pPr>
              <w:widowControl/>
              <w:jc w:val="center"/>
              <w:textAlignment w:val="center"/>
              <w:rPr>
                <w:rFonts w:ascii="华康简标题宋" w:hAnsi="华康简标题宋" w:cs="宋体"/>
                <w:b/>
                <w:bCs/>
                <w:color w:val="auto"/>
                <w:sz w:val="21"/>
                <w:szCs w:val="21"/>
                <w:highlight w:val="none"/>
              </w:rPr>
            </w:pPr>
            <w:r>
              <w:rPr>
                <w:rFonts w:hAnsi="宋体" w:cs="宋体"/>
                <w:b/>
                <w:bCs/>
                <w:color w:val="auto"/>
                <w:sz w:val="21"/>
                <w:szCs w:val="21"/>
                <w:highlight w:val="none"/>
              </w:rPr>
              <w:t>（私人承担的鱼塘水域除外）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26"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序号</w:t>
            </w:r>
          </w:p>
        </w:tc>
        <w:tc>
          <w:tcPr>
            <w:tcW w:w="1366" w:type="pct"/>
            <w:noWrap w:val="0"/>
            <w:vAlign w:val="center"/>
          </w:tcPr>
          <w:p>
            <w:pPr>
              <w:widowControl/>
              <w:ind w:right="582" w:rightChars="277"/>
              <w:jc w:val="center"/>
              <w:rPr>
                <w:rFonts w:hAnsi="宋体" w:cs="宋体"/>
                <w:color w:val="auto"/>
                <w:sz w:val="21"/>
                <w:szCs w:val="21"/>
                <w:highlight w:val="none"/>
              </w:rPr>
            </w:pPr>
            <w:r>
              <w:rPr>
                <w:rFonts w:hint="eastAsia" w:hAnsi="宋体" w:cs="宋体"/>
                <w:color w:val="auto"/>
                <w:sz w:val="21"/>
                <w:szCs w:val="21"/>
                <w:highlight w:val="none"/>
              </w:rPr>
              <w:t>河涌或鱼塘位置(名称)</w:t>
            </w:r>
          </w:p>
        </w:tc>
        <w:tc>
          <w:tcPr>
            <w:tcW w:w="468"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水域长度(m)</w:t>
            </w:r>
          </w:p>
        </w:tc>
        <w:tc>
          <w:tcPr>
            <w:tcW w:w="45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水域宽度(m)</w:t>
            </w:r>
          </w:p>
        </w:tc>
        <w:tc>
          <w:tcPr>
            <w:tcW w:w="627"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水域总面积(㎡)</w:t>
            </w:r>
          </w:p>
        </w:tc>
        <w:tc>
          <w:tcPr>
            <w:tcW w:w="34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岸边长度(m)</w:t>
            </w:r>
          </w:p>
        </w:tc>
        <w:tc>
          <w:tcPr>
            <w:tcW w:w="379"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岸边宽度(m)</w:t>
            </w:r>
          </w:p>
        </w:tc>
        <w:tc>
          <w:tcPr>
            <w:tcW w:w="532"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岸边总面积(㎡)</w:t>
            </w:r>
          </w:p>
        </w:tc>
        <w:tc>
          <w:tcPr>
            <w:tcW w:w="603"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26"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w:t>
            </w:r>
          </w:p>
        </w:tc>
        <w:tc>
          <w:tcPr>
            <w:tcW w:w="136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(2-2)人民涌</w:t>
            </w:r>
          </w:p>
        </w:tc>
        <w:tc>
          <w:tcPr>
            <w:tcW w:w="468" w:type="pct"/>
            <w:noWrap/>
            <w:vAlign w:val="center"/>
          </w:tcPr>
          <w:p>
            <w:pPr>
              <w:jc w:val="center"/>
              <w:rPr>
                <w:rFonts w:hAnsi="宋体" w:cs="宋体"/>
                <w:color w:val="auto"/>
                <w:sz w:val="21"/>
                <w:szCs w:val="21"/>
                <w:highlight w:val="none"/>
              </w:rPr>
            </w:pPr>
          </w:p>
        </w:tc>
        <w:tc>
          <w:tcPr>
            <w:tcW w:w="455" w:type="pct"/>
            <w:noWrap/>
            <w:vAlign w:val="center"/>
          </w:tcPr>
          <w:p>
            <w:pPr>
              <w:jc w:val="center"/>
              <w:rPr>
                <w:rFonts w:hAnsi="宋体" w:cs="宋体"/>
                <w:color w:val="auto"/>
                <w:sz w:val="21"/>
                <w:szCs w:val="21"/>
                <w:highlight w:val="none"/>
              </w:rPr>
            </w:pPr>
          </w:p>
        </w:tc>
        <w:tc>
          <w:tcPr>
            <w:tcW w:w="627"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19339.72</w:t>
            </w:r>
          </w:p>
        </w:tc>
        <w:tc>
          <w:tcPr>
            <w:tcW w:w="345" w:type="pct"/>
            <w:noWrap w:val="0"/>
            <w:vAlign w:val="center"/>
          </w:tcPr>
          <w:p>
            <w:pPr>
              <w:jc w:val="center"/>
              <w:rPr>
                <w:rFonts w:hAnsi="宋体" w:cs="宋体"/>
                <w:color w:val="auto"/>
                <w:sz w:val="21"/>
                <w:szCs w:val="21"/>
                <w:highlight w:val="none"/>
              </w:rPr>
            </w:pPr>
          </w:p>
        </w:tc>
        <w:tc>
          <w:tcPr>
            <w:tcW w:w="379" w:type="pct"/>
            <w:noWrap w:val="0"/>
            <w:vAlign w:val="center"/>
          </w:tcPr>
          <w:p>
            <w:pPr>
              <w:jc w:val="center"/>
              <w:rPr>
                <w:rFonts w:hAnsi="宋体" w:cs="宋体"/>
                <w:color w:val="auto"/>
                <w:sz w:val="21"/>
                <w:szCs w:val="21"/>
                <w:highlight w:val="none"/>
              </w:rPr>
            </w:pPr>
          </w:p>
        </w:tc>
        <w:tc>
          <w:tcPr>
            <w:tcW w:w="532" w:type="pct"/>
            <w:noWrap w:val="0"/>
            <w:vAlign w:val="center"/>
          </w:tcPr>
          <w:p>
            <w:pPr>
              <w:jc w:val="center"/>
              <w:rPr>
                <w:rFonts w:hAnsi="宋体" w:cs="宋体"/>
                <w:color w:val="auto"/>
                <w:sz w:val="21"/>
                <w:szCs w:val="21"/>
                <w:highlight w:val="none"/>
              </w:rPr>
            </w:pPr>
          </w:p>
        </w:tc>
        <w:tc>
          <w:tcPr>
            <w:tcW w:w="603"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6"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2</w:t>
            </w:r>
          </w:p>
        </w:tc>
        <w:tc>
          <w:tcPr>
            <w:tcW w:w="136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(2-12)筷子涌</w:t>
            </w:r>
          </w:p>
        </w:tc>
        <w:tc>
          <w:tcPr>
            <w:tcW w:w="468" w:type="pct"/>
            <w:noWrap/>
            <w:vAlign w:val="center"/>
          </w:tcPr>
          <w:p>
            <w:pPr>
              <w:jc w:val="center"/>
              <w:rPr>
                <w:rFonts w:hAnsi="宋体" w:cs="宋体"/>
                <w:color w:val="auto"/>
                <w:sz w:val="21"/>
                <w:szCs w:val="21"/>
                <w:highlight w:val="none"/>
              </w:rPr>
            </w:pPr>
          </w:p>
        </w:tc>
        <w:tc>
          <w:tcPr>
            <w:tcW w:w="455" w:type="pct"/>
            <w:noWrap/>
            <w:vAlign w:val="center"/>
          </w:tcPr>
          <w:p>
            <w:pPr>
              <w:jc w:val="center"/>
              <w:rPr>
                <w:rFonts w:hAnsi="宋体" w:cs="宋体"/>
                <w:color w:val="auto"/>
                <w:sz w:val="21"/>
                <w:szCs w:val="21"/>
                <w:highlight w:val="none"/>
              </w:rPr>
            </w:pPr>
          </w:p>
        </w:tc>
        <w:tc>
          <w:tcPr>
            <w:tcW w:w="627"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17543.79</w:t>
            </w:r>
          </w:p>
        </w:tc>
        <w:tc>
          <w:tcPr>
            <w:tcW w:w="345" w:type="pct"/>
            <w:noWrap/>
            <w:vAlign w:val="center"/>
          </w:tcPr>
          <w:p>
            <w:pPr>
              <w:jc w:val="center"/>
              <w:rPr>
                <w:rFonts w:hAnsi="宋体" w:cs="宋体"/>
                <w:color w:val="auto"/>
                <w:sz w:val="21"/>
                <w:szCs w:val="21"/>
                <w:highlight w:val="none"/>
              </w:rPr>
            </w:pPr>
          </w:p>
        </w:tc>
        <w:tc>
          <w:tcPr>
            <w:tcW w:w="379" w:type="pct"/>
            <w:noWrap/>
            <w:vAlign w:val="center"/>
          </w:tcPr>
          <w:p>
            <w:pPr>
              <w:jc w:val="center"/>
              <w:rPr>
                <w:rFonts w:hAnsi="宋体" w:cs="宋体"/>
                <w:color w:val="auto"/>
                <w:sz w:val="21"/>
                <w:szCs w:val="21"/>
                <w:highlight w:val="none"/>
              </w:rPr>
            </w:pPr>
          </w:p>
        </w:tc>
        <w:tc>
          <w:tcPr>
            <w:tcW w:w="532" w:type="pct"/>
            <w:noWrap/>
            <w:vAlign w:val="center"/>
          </w:tcPr>
          <w:p>
            <w:pPr>
              <w:jc w:val="center"/>
              <w:rPr>
                <w:rFonts w:hAnsi="宋体" w:cs="宋体"/>
                <w:color w:val="auto"/>
                <w:sz w:val="21"/>
                <w:szCs w:val="21"/>
                <w:highlight w:val="none"/>
              </w:rPr>
            </w:pPr>
          </w:p>
        </w:tc>
        <w:tc>
          <w:tcPr>
            <w:tcW w:w="603"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6"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3</w:t>
            </w:r>
          </w:p>
        </w:tc>
        <w:tc>
          <w:tcPr>
            <w:tcW w:w="136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(3-2)陆丰涌</w:t>
            </w:r>
          </w:p>
        </w:tc>
        <w:tc>
          <w:tcPr>
            <w:tcW w:w="468" w:type="pct"/>
            <w:noWrap/>
            <w:vAlign w:val="center"/>
          </w:tcPr>
          <w:p>
            <w:pPr>
              <w:jc w:val="center"/>
              <w:rPr>
                <w:rFonts w:hAnsi="宋体" w:cs="宋体"/>
                <w:color w:val="auto"/>
                <w:sz w:val="21"/>
                <w:szCs w:val="21"/>
                <w:highlight w:val="none"/>
              </w:rPr>
            </w:pPr>
          </w:p>
        </w:tc>
        <w:tc>
          <w:tcPr>
            <w:tcW w:w="455" w:type="pct"/>
            <w:noWrap/>
            <w:vAlign w:val="center"/>
          </w:tcPr>
          <w:p>
            <w:pPr>
              <w:jc w:val="center"/>
              <w:rPr>
                <w:rFonts w:hAnsi="宋体" w:cs="宋体"/>
                <w:color w:val="auto"/>
                <w:sz w:val="21"/>
                <w:szCs w:val="21"/>
                <w:highlight w:val="none"/>
              </w:rPr>
            </w:pPr>
          </w:p>
        </w:tc>
        <w:tc>
          <w:tcPr>
            <w:tcW w:w="627"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18649.41</w:t>
            </w:r>
          </w:p>
        </w:tc>
        <w:tc>
          <w:tcPr>
            <w:tcW w:w="345" w:type="pct"/>
            <w:noWrap/>
            <w:vAlign w:val="center"/>
          </w:tcPr>
          <w:p>
            <w:pPr>
              <w:jc w:val="center"/>
              <w:rPr>
                <w:rFonts w:hAnsi="宋体" w:cs="宋体"/>
                <w:color w:val="auto"/>
                <w:sz w:val="21"/>
                <w:szCs w:val="21"/>
                <w:highlight w:val="none"/>
              </w:rPr>
            </w:pPr>
          </w:p>
        </w:tc>
        <w:tc>
          <w:tcPr>
            <w:tcW w:w="379" w:type="pct"/>
            <w:noWrap/>
            <w:vAlign w:val="center"/>
          </w:tcPr>
          <w:p>
            <w:pPr>
              <w:jc w:val="center"/>
              <w:rPr>
                <w:rFonts w:hAnsi="宋体" w:cs="宋体"/>
                <w:color w:val="auto"/>
                <w:sz w:val="21"/>
                <w:szCs w:val="21"/>
                <w:highlight w:val="none"/>
              </w:rPr>
            </w:pPr>
          </w:p>
        </w:tc>
        <w:tc>
          <w:tcPr>
            <w:tcW w:w="532" w:type="pct"/>
            <w:noWrap/>
            <w:vAlign w:val="center"/>
          </w:tcPr>
          <w:p>
            <w:pPr>
              <w:jc w:val="center"/>
              <w:rPr>
                <w:rFonts w:hAnsi="宋体" w:cs="宋体"/>
                <w:color w:val="auto"/>
                <w:sz w:val="21"/>
                <w:szCs w:val="21"/>
                <w:highlight w:val="none"/>
              </w:rPr>
            </w:pPr>
          </w:p>
        </w:tc>
        <w:tc>
          <w:tcPr>
            <w:tcW w:w="603"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6"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4</w:t>
            </w:r>
          </w:p>
        </w:tc>
        <w:tc>
          <w:tcPr>
            <w:tcW w:w="136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(3-8)新民排渠</w:t>
            </w:r>
          </w:p>
        </w:tc>
        <w:tc>
          <w:tcPr>
            <w:tcW w:w="468" w:type="pct"/>
            <w:noWrap/>
            <w:vAlign w:val="center"/>
          </w:tcPr>
          <w:p>
            <w:pPr>
              <w:jc w:val="center"/>
              <w:rPr>
                <w:rFonts w:hAnsi="宋体" w:cs="宋体"/>
                <w:color w:val="auto"/>
                <w:sz w:val="21"/>
                <w:szCs w:val="21"/>
                <w:highlight w:val="none"/>
              </w:rPr>
            </w:pPr>
          </w:p>
        </w:tc>
        <w:tc>
          <w:tcPr>
            <w:tcW w:w="455" w:type="pct"/>
            <w:noWrap/>
            <w:vAlign w:val="center"/>
          </w:tcPr>
          <w:p>
            <w:pPr>
              <w:jc w:val="center"/>
              <w:rPr>
                <w:rFonts w:hAnsi="宋体" w:cs="宋体"/>
                <w:color w:val="auto"/>
                <w:sz w:val="21"/>
                <w:szCs w:val="21"/>
                <w:highlight w:val="none"/>
              </w:rPr>
            </w:pPr>
          </w:p>
        </w:tc>
        <w:tc>
          <w:tcPr>
            <w:tcW w:w="627"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7096.66</w:t>
            </w:r>
          </w:p>
        </w:tc>
        <w:tc>
          <w:tcPr>
            <w:tcW w:w="345" w:type="pct"/>
            <w:noWrap/>
            <w:vAlign w:val="center"/>
          </w:tcPr>
          <w:p>
            <w:pPr>
              <w:jc w:val="center"/>
              <w:rPr>
                <w:rFonts w:hAnsi="宋体" w:cs="宋体"/>
                <w:color w:val="auto"/>
                <w:sz w:val="21"/>
                <w:szCs w:val="21"/>
                <w:highlight w:val="none"/>
              </w:rPr>
            </w:pPr>
          </w:p>
        </w:tc>
        <w:tc>
          <w:tcPr>
            <w:tcW w:w="379" w:type="pct"/>
            <w:noWrap/>
            <w:vAlign w:val="center"/>
          </w:tcPr>
          <w:p>
            <w:pPr>
              <w:jc w:val="center"/>
              <w:rPr>
                <w:rFonts w:hAnsi="宋体" w:cs="宋体"/>
                <w:color w:val="auto"/>
                <w:sz w:val="21"/>
                <w:szCs w:val="21"/>
                <w:highlight w:val="none"/>
              </w:rPr>
            </w:pPr>
          </w:p>
        </w:tc>
        <w:tc>
          <w:tcPr>
            <w:tcW w:w="532" w:type="pct"/>
            <w:noWrap/>
            <w:vAlign w:val="center"/>
          </w:tcPr>
          <w:p>
            <w:pPr>
              <w:jc w:val="center"/>
              <w:rPr>
                <w:rFonts w:hAnsi="宋体" w:cs="宋体"/>
                <w:color w:val="auto"/>
                <w:sz w:val="21"/>
                <w:szCs w:val="21"/>
                <w:highlight w:val="none"/>
              </w:rPr>
            </w:pPr>
          </w:p>
        </w:tc>
        <w:tc>
          <w:tcPr>
            <w:tcW w:w="603"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26"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5</w:t>
            </w:r>
          </w:p>
        </w:tc>
        <w:tc>
          <w:tcPr>
            <w:tcW w:w="136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(3-17)三村小微水体</w:t>
            </w:r>
          </w:p>
        </w:tc>
        <w:tc>
          <w:tcPr>
            <w:tcW w:w="468" w:type="pct"/>
            <w:noWrap/>
            <w:vAlign w:val="center"/>
          </w:tcPr>
          <w:p>
            <w:pPr>
              <w:jc w:val="center"/>
              <w:rPr>
                <w:rFonts w:hAnsi="宋体" w:cs="宋体"/>
                <w:color w:val="auto"/>
                <w:sz w:val="21"/>
                <w:szCs w:val="21"/>
                <w:highlight w:val="none"/>
              </w:rPr>
            </w:pPr>
          </w:p>
        </w:tc>
        <w:tc>
          <w:tcPr>
            <w:tcW w:w="455" w:type="pct"/>
            <w:noWrap/>
            <w:vAlign w:val="center"/>
          </w:tcPr>
          <w:p>
            <w:pPr>
              <w:jc w:val="center"/>
              <w:rPr>
                <w:rFonts w:hAnsi="宋体" w:cs="宋体"/>
                <w:color w:val="auto"/>
                <w:sz w:val="21"/>
                <w:szCs w:val="21"/>
                <w:highlight w:val="none"/>
              </w:rPr>
            </w:pPr>
          </w:p>
        </w:tc>
        <w:tc>
          <w:tcPr>
            <w:tcW w:w="627"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2102.94</w:t>
            </w:r>
          </w:p>
        </w:tc>
        <w:tc>
          <w:tcPr>
            <w:tcW w:w="345" w:type="pct"/>
            <w:noWrap/>
            <w:vAlign w:val="center"/>
          </w:tcPr>
          <w:p>
            <w:pPr>
              <w:jc w:val="center"/>
              <w:rPr>
                <w:rFonts w:hAnsi="宋体" w:cs="宋体"/>
                <w:color w:val="auto"/>
                <w:sz w:val="21"/>
                <w:szCs w:val="21"/>
                <w:highlight w:val="none"/>
              </w:rPr>
            </w:pPr>
          </w:p>
        </w:tc>
        <w:tc>
          <w:tcPr>
            <w:tcW w:w="379" w:type="pct"/>
            <w:noWrap/>
            <w:vAlign w:val="center"/>
          </w:tcPr>
          <w:p>
            <w:pPr>
              <w:jc w:val="center"/>
              <w:rPr>
                <w:rFonts w:hAnsi="宋体" w:cs="宋体"/>
                <w:color w:val="auto"/>
                <w:sz w:val="21"/>
                <w:szCs w:val="21"/>
                <w:highlight w:val="none"/>
              </w:rPr>
            </w:pPr>
          </w:p>
        </w:tc>
        <w:tc>
          <w:tcPr>
            <w:tcW w:w="532" w:type="pct"/>
            <w:noWrap/>
            <w:vAlign w:val="center"/>
          </w:tcPr>
          <w:p>
            <w:pPr>
              <w:jc w:val="center"/>
              <w:rPr>
                <w:rFonts w:hAnsi="宋体" w:cs="宋体"/>
                <w:color w:val="auto"/>
                <w:sz w:val="21"/>
                <w:szCs w:val="21"/>
                <w:highlight w:val="none"/>
              </w:rPr>
            </w:pPr>
          </w:p>
        </w:tc>
        <w:tc>
          <w:tcPr>
            <w:tcW w:w="603" w:type="pct"/>
            <w:noWrap w:val="0"/>
            <w:vAlign w:val="center"/>
          </w:tcPr>
          <w:p>
            <w:pPr>
              <w:widowControl/>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92" w:type="pct"/>
            <w:gridSpan w:val="2"/>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合 计</w:t>
            </w:r>
          </w:p>
        </w:tc>
        <w:tc>
          <w:tcPr>
            <w:tcW w:w="468" w:type="pct"/>
            <w:noWrap/>
            <w:vAlign w:val="center"/>
          </w:tcPr>
          <w:p>
            <w:pPr>
              <w:jc w:val="center"/>
              <w:rPr>
                <w:rFonts w:hAnsi="宋体" w:cs="宋体"/>
                <w:color w:val="auto"/>
                <w:sz w:val="21"/>
                <w:szCs w:val="21"/>
                <w:highlight w:val="none"/>
              </w:rPr>
            </w:pPr>
          </w:p>
        </w:tc>
        <w:tc>
          <w:tcPr>
            <w:tcW w:w="455" w:type="pct"/>
            <w:noWrap/>
            <w:vAlign w:val="center"/>
          </w:tcPr>
          <w:p>
            <w:pPr>
              <w:jc w:val="center"/>
              <w:rPr>
                <w:rFonts w:hAnsi="宋体" w:cs="宋体"/>
                <w:color w:val="auto"/>
                <w:sz w:val="21"/>
                <w:szCs w:val="21"/>
                <w:highlight w:val="none"/>
              </w:rPr>
            </w:pPr>
          </w:p>
        </w:tc>
        <w:tc>
          <w:tcPr>
            <w:tcW w:w="627" w:type="pct"/>
            <w:noWrap/>
            <w:vAlign w:val="center"/>
          </w:tcPr>
          <w:p>
            <w:pPr>
              <w:widowControl/>
              <w:jc w:val="center"/>
              <w:textAlignment w:val="center"/>
              <w:rPr>
                <w:rFonts w:hAnsi="宋体" w:cs="宋体"/>
                <w:color w:val="auto"/>
                <w:sz w:val="21"/>
                <w:szCs w:val="21"/>
                <w:highlight w:val="none"/>
              </w:rPr>
            </w:pPr>
            <w:r>
              <w:rPr>
                <w:rFonts w:hint="eastAsia" w:hAnsi="宋体" w:cs="宋体"/>
                <w:b/>
                <w:bCs/>
                <w:color w:val="auto"/>
                <w:sz w:val="21"/>
                <w:szCs w:val="21"/>
                <w:highlight w:val="none"/>
                <w:lang w:bidi="ar"/>
              </w:rPr>
              <w:t>64732.52</w:t>
            </w:r>
          </w:p>
        </w:tc>
        <w:tc>
          <w:tcPr>
            <w:tcW w:w="345" w:type="pct"/>
            <w:noWrap/>
            <w:vAlign w:val="center"/>
          </w:tcPr>
          <w:p>
            <w:pPr>
              <w:jc w:val="center"/>
              <w:rPr>
                <w:rFonts w:hAnsi="宋体" w:cs="宋体"/>
                <w:color w:val="auto"/>
                <w:sz w:val="21"/>
                <w:szCs w:val="21"/>
                <w:highlight w:val="none"/>
              </w:rPr>
            </w:pPr>
          </w:p>
        </w:tc>
        <w:tc>
          <w:tcPr>
            <w:tcW w:w="379" w:type="pct"/>
            <w:noWrap/>
            <w:vAlign w:val="center"/>
          </w:tcPr>
          <w:p>
            <w:pPr>
              <w:jc w:val="center"/>
              <w:rPr>
                <w:rFonts w:hAnsi="宋体" w:cs="宋体"/>
                <w:color w:val="auto"/>
                <w:sz w:val="21"/>
                <w:szCs w:val="21"/>
                <w:highlight w:val="none"/>
              </w:rPr>
            </w:pPr>
          </w:p>
        </w:tc>
        <w:tc>
          <w:tcPr>
            <w:tcW w:w="532" w:type="pct"/>
            <w:noWrap/>
            <w:vAlign w:val="center"/>
          </w:tcPr>
          <w:p>
            <w:pPr>
              <w:jc w:val="center"/>
              <w:rPr>
                <w:rFonts w:hAnsi="宋体" w:cs="宋体"/>
                <w:color w:val="auto"/>
                <w:sz w:val="21"/>
                <w:szCs w:val="21"/>
                <w:highlight w:val="none"/>
              </w:rPr>
            </w:pPr>
          </w:p>
        </w:tc>
        <w:tc>
          <w:tcPr>
            <w:tcW w:w="603" w:type="pct"/>
            <w:noWrap w:val="0"/>
            <w:vAlign w:val="center"/>
          </w:tcPr>
          <w:p>
            <w:pPr>
              <w:widowControl/>
              <w:rPr>
                <w:rFonts w:hAnsi="宋体" w:cs="宋体"/>
                <w:color w:val="auto"/>
                <w:sz w:val="21"/>
                <w:szCs w:val="21"/>
                <w:highlight w:val="none"/>
              </w:rPr>
            </w:pPr>
          </w:p>
        </w:tc>
      </w:tr>
    </w:tbl>
    <w:p>
      <w:pPr>
        <w:bidi w:val="0"/>
        <w:rPr>
          <w:rFonts w:hint="eastAsia"/>
          <w:color w:val="auto"/>
          <w:highlight w:val="none"/>
          <w:lang w:val="zh-CN"/>
        </w:r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2762"/>
        <w:gridCol w:w="975"/>
        <w:gridCol w:w="1494"/>
        <w:gridCol w:w="1904"/>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000" w:type="pct"/>
            <w:gridSpan w:val="6"/>
            <w:noWrap/>
            <w:vAlign w:val="center"/>
          </w:tcPr>
          <w:p>
            <w:pPr>
              <w:widowControl/>
              <w:jc w:val="center"/>
              <w:textAlignment w:val="center"/>
              <w:rPr>
                <w:rFonts w:hAnsi="宋体" w:cs="宋体"/>
                <w:b/>
                <w:bCs/>
                <w:color w:val="auto"/>
                <w:sz w:val="21"/>
                <w:szCs w:val="21"/>
                <w:highlight w:val="none"/>
              </w:rPr>
            </w:pPr>
            <w:r>
              <w:rPr>
                <w:rFonts w:hAnsi="宋体" w:cs="宋体"/>
                <w:b/>
                <w:bCs/>
                <w:color w:val="auto"/>
                <w:sz w:val="21"/>
                <w:szCs w:val="21"/>
                <w:highlight w:val="none"/>
              </w:rPr>
              <w:t>长安镇</w:t>
            </w:r>
            <w:r>
              <w:rPr>
                <w:rFonts w:hint="eastAsia" w:hAnsi="宋体" w:cs="宋体"/>
                <w:b/>
                <w:bCs/>
                <w:color w:val="auto"/>
                <w:sz w:val="21"/>
                <w:szCs w:val="21"/>
                <w:highlight w:val="none"/>
              </w:rPr>
              <w:t>新民</w:t>
            </w:r>
            <w:r>
              <w:rPr>
                <w:rFonts w:hAnsi="宋体" w:cs="宋体"/>
                <w:b/>
                <w:bCs/>
                <w:color w:val="auto"/>
                <w:sz w:val="21"/>
                <w:szCs w:val="21"/>
                <w:highlight w:val="none"/>
              </w:rPr>
              <w:t>社区道路绿化带测量面积统计表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0" w:type="pct"/>
            <w:gridSpan w:val="6"/>
            <w:noWrap/>
            <w:vAlign w:val="center"/>
          </w:tcPr>
          <w:p>
            <w:pPr>
              <w:widowControl/>
              <w:jc w:val="center"/>
              <w:textAlignment w:val="center"/>
              <w:rPr>
                <w:rFonts w:hAnsi="宋体" w:cs="宋体"/>
                <w:b/>
                <w:bCs/>
                <w:color w:val="auto"/>
                <w:sz w:val="21"/>
                <w:szCs w:val="21"/>
                <w:highlight w:val="none"/>
              </w:rPr>
            </w:pPr>
            <w:r>
              <w:rPr>
                <w:rFonts w:hAnsi="宋体" w:cs="宋体"/>
                <w:b/>
                <w:bCs/>
                <w:color w:val="auto"/>
                <w:sz w:val="21"/>
                <w:szCs w:val="21"/>
                <w:highlight w:val="none"/>
              </w:rPr>
              <w:t>(五条主干道除外)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1"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序号</w:t>
            </w:r>
          </w:p>
        </w:tc>
        <w:tc>
          <w:tcPr>
            <w:tcW w:w="1621"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绿化带路段名称</w:t>
            </w:r>
          </w:p>
        </w:tc>
        <w:tc>
          <w:tcPr>
            <w:tcW w:w="573"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长度(m)</w:t>
            </w:r>
          </w:p>
        </w:tc>
        <w:tc>
          <w:tcPr>
            <w:tcW w:w="877"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宽度(m)</w:t>
            </w:r>
          </w:p>
        </w:tc>
        <w:tc>
          <w:tcPr>
            <w:tcW w:w="1118"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绿化面积(㎡)</w:t>
            </w:r>
          </w:p>
        </w:tc>
        <w:tc>
          <w:tcPr>
            <w:tcW w:w="557"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w:t>
            </w:r>
          </w:p>
        </w:tc>
        <w:tc>
          <w:tcPr>
            <w:tcW w:w="1621"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(1-1)新民路</w:t>
            </w:r>
          </w:p>
        </w:tc>
        <w:tc>
          <w:tcPr>
            <w:tcW w:w="573" w:type="pct"/>
            <w:noWrap/>
            <w:vAlign w:val="center"/>
          </w:tcPr>
          <w:p>
            <w:pPr>
              <w:jc w:val="center"/>
              <w:rPr>
                <w:rFonts w:hAnsi="宋体" w:cs="宋体"/>
                <w:color w:val="auto"/>
                <w:sz w:val="21"/>
                <w:szCs w:val="21"/>
                <w:highlight w:val="none"/>
              </w:rPr>
            </w:pPr>
          </w:p>
        </w:tc>
        <w:tc>
          <w:tcPr>
            <w:tcW w:w="877" w:type="pct"/>
            <w:noWrap/>
            <w:vAlign w:val="center"/>
          </w:tcPr>
          <w:p>
            <w:pPr>
              <w:jc w:val="center"/>
              <w:rPr>
                <w:rFonts w:hAnsi="宋体" w:cs="宋体"/>
                <w:color w:val="auto"/>
                <w:sz w:val="21"/>
                <w:szCs w:val="21"/>
                <w:highlight w:val="none"/>
              </w:rPr>
            </w:pPr>
          </w:p>
        </w:tc>
        <w:tc>
          <w:tcPr>
            <w:tcW w:w="111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3051.94</w:t>
            </w:r>
          </w:p>
        </w:tc>
        <w:tc>
          <w:tcPr>
            <w:tcW w:w="5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2</w:t>
            </w:r>
          </w:p>
        </w:tc>
        <w:tc>
          <w:tcPr>
            <w:tcW w:w="1621"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(1-3)兴隆路</w:t>
            </w:r>
          </w:p>
        </w:tc>
        <w:tc>
          <w:tcPr>
            <w:tcW w:w="573" w:type="pct"/>
            <w:noWrap/>
            <w:vAlign w:val="center"/>
          </w:tcPr>
          <w:p>
            <w:pPr>
              <w:jc w:val="center"/>
              <w:rPr>
                <w:rFonts w:hAnsi="宋体" w:cs="宋体"/>
                <w:color w:val="auto"/>
                <w:sz w:val="21"/>
                <w:szCs w:val="21"/>
                <w:highlight w:val="none"/>
              </w:rPr>
            </w:pPr>
          </w:p>
        </w:tc>
        <w:tc>
          <w:tcPr>
            <w:tcW w:w="877" w:type="pct"/>
            <w:noWrap/>
            <w:vAlign w:val="center"/>
          </w:tcPr>
          <w:p>
            <w:pPr>
              <w:jc w:val="center"/>
              <w:rPr>
                <w:rFonts w:hAnsi="宋体" w:cs="宋体"/>
                <w:color w:val="auto"/>
                <w:sz w:val="21"/>
                <w:szCs w:val="21"/>
                <w:highlight w:val="none"/>
              </w:rPr>
            </w:pPr>
          </w:p>
        </w:tc>
        <w:tc>
          <w:tcPr>
            <w:tcW w:w="111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771.11</w:t>
            </w:r>
          </w:p>
        </w:tc>
        <w:tc>
          <w:tcPr>
            <w:tcW w:w="5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3</w:t>
            </w:r>
          </w:p>
        </w:tc>
        <w:tc>
          <w:tcPr>
            <w:tcW w:w="1621"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(1-8)兴盛路</w:t>
            </w:r>
          </w:p>
        </w:tc>
        <w:tc>
          <w:tcPr>
            <w:tcW w:w="573" w:type="pct"/>
            <w:noWrap/>
            <w:vAlign w:val="center"/>
          </w:tcPr>
          <w:p>
            <w:pPr>
              <w:jc w:val="center"/>
              <w:rPr>
                <w:rFonts w:hAnsi="宋体" w:cs="宋体"/>
                <w:color w:val="auto"/>
                <w:sz w:val="21"/>
                <w:szCs w:val="21"/>
                <w:highlight w:val="none"/>
              </w:rPr>
            </w:pPr>
          </w:p>
        </w:tc>
        <w:tc>
          <w:tcPr>
            <w:tcW w:w="877" w:type="pct"/>
            <w:noWrap/>
            <w:vAlign w:val="center"/>
          </w:tcPr>
          <w:p>
            <w:pPr>
              <w:jc w:val="center"/>
              <w:rPr>
                <w:rFonts w:hAnsi="宋体" w:cs="宋体"/>
                <w:color w:val="auto"/>
                <w:sz w:val="21"/>
                <w:szCs w:val="21"/>
                <w:highlight w:val="none"/>
              </w:rPr>
            </w:pPr>
          </w:p>
        </w:tc>
        <w:tc>
          <w:tcPr>
            <w:tcW w:w="111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1693.78</w:t>
            </w:r>
          </w:p>
        </w:tc>
        <w:tc>
          <w:tcPr>
            <w:tcW w:w="5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4</w:t>
            </w:r>
          </w:p>
        </w:tc>
        <w:tc>
          <w:tcPr>
            <w:tcW w:w="1621"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(1-9)新源巷</w:t>
            </w:r>
          </w:p>
        </w:tc>
        <w:tc>
          <w:tcPr>
            <w:tcW w:w="573" w:type="pct"/>
            <w:noWrap/>
            <w:vAlign w:val="center"/>
          </w:tcPr>
          <w:p>
            <w:pPr>
              <w:jc w:val="center"/>
              <w:rPr>
                <w:rFonts w:hAnsi="宋体" w:cs="宋体"/>
                <w:color w:val="auto"/>
                <w:sz w:val="21"/>
                <w:szCs w:val="21"/>
                <w:highlight w:val="none"/>
              </w:rPr>
            </w:pPr>
          </w:p>
        </w:tc>
        <w:tc>
          <w:tcPr>
            <w:tcW w:w="877" w:type="pct"/>
            <w:noWrap/>
            <w:vAlign w:val="center"/>
          </w:tcPr>
          <w:p>
            <w:pPr>
              <w:jc w:val="center"/>
              <w:rPr>
                <w:rFonts w:hAnsi="宋体" w:cs="宋体"/>
                <w:color w:val="auto"/>
                <w:sz w:val="21"/>
                <w:szCs w:val="21"/>
                <w:highlight w:val="none"/>
              </w:rPr>
            </w:pPr>
          </w:p>
        </w:tc>
        <w:tc>
          <w:tcPr>
            <w:tcW w:w="111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97.96</w:t>
            </w:r>
          </w:p>
        </w:tc>
        <w:tc>
          <w:tcPr>
            <w:tcW w:w="5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5</w:t>
            </w:r>
          </w:p>
        </w:tc>
        <w:tc>
          <w:tcPr>
            <w:tcW w:w="1621"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(1-11)兴民路</w:t>
            </w:r>
          </w:p>
        </w:tc>
        <w:tc>
          <w:tcPr>
            <w:tcW w:w="573" w:type="pct"/>
            <w:noWrap/>
            <w:vAlign w:val="center"/>
          </w:tcPr>
          <w:p>
            <w:pPr>
              <w:jc w:val="center"/>
              <w:rPr>
                <w:rFonts w:hAnsi="宋体" w:cs="宋体"/>
                <w:color w:val="auto"/>
                <w:sz w:val="21"/>
                <w:szCs w:val="21"/>
                <w:highlight w:val="none"/>
              </w:rPr>
            </w:pPr>
          </w:p>
        </w:tc>
        <w:tc>
          <w:tcPr>
            <w:tcW w:w="877" w:type="pct"/>
            <w:noWrap/>
            <w:vAlign w:val="center"/>
          </w:tcPr>
          <w:p>
            <w:pPr>
              <w:jc w:val="center"/>
              <w:rPr>
                <w:rFonts w:hAnsi="宋体" w:cs="宋体"/>
                <w:color w:val="auto"/>
                <w:sz w:val="21"/>
                <w:szCs w:val="21"/>
                <w:highlight w:val="none"/>
              </w:rPr>
            </w:pPr>
          </w:p>
        </w:tc>
        <w:tc>
          <w:tcPr>
            <w:tcW w:w="111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415.28</w:t>
            </w:r>
          </w:p>
        </w:tc>
        <w:tc>
          <w:tcPr>
            <w:tcW w:w="5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6</w:t>
            </w:r>
          </w:p>
        </w:tc>
        <w:tc>
          <w:tcPr>
            <w:tcW w:w="1621"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(1-12)祥和街</w:t>
            </w:r>
          </w:p>
        </w:tc>
        <w:tc>
          <w:tcPr>
            <w:tcW w:w="573" w:type="pct"/>
            <w:noWrap/>
            <w:vAlign w:val="center"/>
          </w:tcPr>
          <w:p>
            <w:pPr>
              <w:jc w:val="center"/>
              <w:rPr>
                <w:rFonts w:hAnsi="宋体" w:cs="宋体"/>
                <w:color w:val="auto"/>
                <w:sz w:val="21"/>
                <w:szCs w:val="21"/>
                <w:highlight w:val="none"/>
              </w:rPr>
            </w:pPr>
          </w:p>
        </w:tc>
        <w:tc>
          <w:tcPr>
            <w:tcW w:w="877" w:type="pct"/>
            <w:noWrap/>
            <w:vAlign w:val="center"/>
          </w:tcPr>
          <w:p>
            <w:pPr>
              <w:jc w:val="center"/>
              <w:rPr>
                <w:rFonts w:hAnsi="宋体" w:cs="宋体"/>
                <w:color w:val="auto"/>
                <w:sz w:val="21"/>
                <w:szCs w:val="21"/>
                <w:highlight w:val="none"/>
              </w:rPr>
            </w:pPr>
          </w:p>
        </w:tc>
        <w:tc>
          <w:tcPr>
            <w:tcW w:w="111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1032.89</w:t>
            </w:r>
          </w:p>
        </w:tc>
        <w:tc>
          <w:tcPr>
            <w:tcW w:w="5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7</w:t>
            </w:r>
          </w:p>
        </w:tc>
        <w:tc>
          <w:tcPr>
            <w:tcW w:w="1621"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(2-3)顺和路</w:t>
            </w:r>
          </w:p>
        </w:tc>
        <w:tc>
          <w:tcPr>
            <w:tcW w:w="573" w:type="pct"/>
            <w:noWrap/>
            <w:vAlign w:val="center"/>
          </w:tcPr>
          <w:p>
            <w:pPr>
              <w:jc w:val="center"/>
              <w:rPr>
                <w:rFonts w:hAnsi="宋体" w:cs="宋体"/>
                <w:color w:val="auto"/>
                <w:sz w:val="21"/>
                <w:szCs w:val="21"/>
                <w:highlight w:val="none"/>
              </w:rPr>
            </w:pPr>
          </w:p>
        </w:tc>
        <w:tc>
          <w:tcPr>
            <w:tcW w:w="877" w:type="pct"/>
            <w:noWrap/>
            <w:vAlign w:val="center"/>
          </w:tcPr>
          <w:p>
            <w:pPr>
              <w:jc w:val="center"/>
              <w:rPr>
                <w:rFonts w:hAnsi="宋体" w:cs="宋体"/>
                <w:color w:val="auto"/>
                <w:sz w:val="21"/>
                <w:szCs w:val="21"/>
                <w:highlight w:val="none"/>
              </w:rPr>
            </w:pPr>
          </w:p>
        </w:tc>
        <w:tc>
          <w:tcPr>
            <w:tcW w:w="111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1954.25</w:t>
            </w:r>
          </w:p>
        </w:tc>
        <w:tc>
          <w:tcPr>
            <w:tcW w:w="5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8</w:t>
            </w:r>
          </w:p>
        </w:tc>
        <w:tc>
          <w:tcPr>
            <w:tcW w:w="1621"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(2-4)新星路</w:t>
            </w:r>
          </w:p>
        </w:tc>
        <w:tc>
          <w:tcPr>
            <w:tcW w:w="573" w:type="pct"/>
            <w:noWrap/>
            <w:vAlign w:val="center"/>
          </w:tcPr>
          <w:p>
            <w:pPr>
              <w:jc w:val="center"/>
              <w:rPr>
                <w:rFonts w:hAnsi="宋体" w:cs="宋体"/>
                <w:color w:val="auto"/>
                <w:sz w:val="21"/>
                <w:szCs w:val="21"/>
                <w:highlight w:val="none"/>
              </w:rPr>
            </w:pPr>
          </w:p>
        </w:tc>
        <w:tc>
          <w:tcPr>
            <w:tcW w:w="877" w:type="pct"/>
            <w:noWrap/>
            <w:vAlign w:val="center"/>
          </w:tcPr>
          <w:p>
            <w:pPr>
              <w:jc w:val="center"/>
              <w:rPr>
                <w:rFonts w:hAnsi="宋体" w:cs="宋体"/>
                <w:color w:val="auto"/>
                <w:sz w:val="21"/>
                <w:szCs w:val="21"/>
                <w:highlight w:val="none"/>
              </w:rPr>
            </w:pPr>
          </w:p>
        </w:tc>
        <w:tc>
          <w:tcPr>
            <w:tcW w:w="111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1145.11</w:t>
            </w:r>
          </w:p>
        </w:tc>
        <w:tc>
          <w:tcPr>
            <w:tcW w:w="5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9</w:t>
            </w:r>
          </w:p>
        </w:tc>
        <w:tc>
          <w:tcPr>
            <w:tcW w:w="1621"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(2-5)祥盛街</w:t>
            </w:r>
          </w:p>
        </w:tc>
        <w:tc>
          <w:tcPr>
            <w:tcW w:w="573" w:type="pct"/>
            <w:noWrap/>
            <w:vAlign w:val="center"/>
          </w:tcPr>
          <w:p>
            <w:pPr>
              <w:jc w:val="center"/>
              <w:rPr>
                <w:rFonts w:hAnsi="宋体" w:cs="宋体"/>
                <w:color w:val="auto"/>
                <w:sz w:val="21"/>
                <w:szCs w:val="21"/>
                <w:highlight w:val="none"/>
              </w:rPr>
            </w:pPr>
          </w:p>
        </w:tc>
        <w:tc>
          <w:tcPr>
            <w:tcW w:w="877" w:type="pct"/>
            <w:noWrap/>
            <w:vAlign w:val="center"/>
          </w:tcPr>
          <w:p>
            <w:pPr>
              <w:jc w:val="center"/>
              <w:rPr>
                <w:rFonts w:hAnsi="宋体" w:cs="宋体"/>
                <w:color w:val="auto"/>
                <w:sz w:val="21"/>
                <w:szCs w:val="21"/>
                <w:highlight w:val="none"/>
              </w:rPr>
            </w:pPr>
          </w:p>
        </w:tc>
        <w:tc>
          <w:tcPr>
            <w:tcW w:w="111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490.25</w:t>
            </w:r>
          </w:p>
        </w:tc>
        <w:tc>
          <w:tcPr>
            <w:tcW w:w="5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10</w:t>
            </w:r>
          </w:p>
        </w:tc>
        <w:tc>
          <w:tcPr>
            <w:tcW w:w="1621"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(2-6)福荣街</w:t>
            </w:r>
          </w:p>
        </w:tc>
        <w:tc>
          <w:tcPr>
            <w:tcW w:w="573" w:type="pct"/>
            <w:noWrap/>
            <w:vAlign w:val="center"/>
          </w:tcPr>
          <w:p>
            <w:pPr>
              <w:jc w:val="center"/>
              <w:rPr>
                <w:rFonts w:hAnsi="宋体" w:cs="宋体"/>
                <w:color w:val="auto"/>
                <w:sz w:val="21"/>
                <w:szCs w:val="21"/>
                <w:highlight w:val="none"/>
              </w:rPr>
            </w:pPr>
          </w:p>
        </w:tc>
        <w:tc>
          <w:tcPr>
            <w:tcW w:w="877" w:type="pct"/>
            <w:noWrap/>
            <w:vAlign w:val="center"/>
          </w:tcPr>
          <w:p>
            <w:pPr>
              <w:jc w:val="center"/>
              <w:rPr>
                <w:rFonts w:hAnsi="宋体" w:cs="宋体"/>
                <w:color w:val="auto"/>
                <w:sz w:val="21"/>
                <w:szCs w:val="21"/>
                <w:highlight w:val="none"/>
              </w:rPr>
            </w:pPr>
          </w:p>
        </w:tc>
        <w:tc>
          <w:tcPr>
            <w:tcW w:w="111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3844.59</w:t>
            </w:r>
          </w:p>
        </w:tc>
        <w:tc>
          <w:tcPr>
            <w:tcW w:w="5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11</w:t>
            </w:r>
          </w:p>
        </w:tc>
        <w:tc>
          <w:tcPr>
            <w:tcW w:w="1621"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(2-7)明和纸厂前路</w:t>
            </w:r>
          </w:p>
        </w:tc>
        <w:tc>
          <w:tcPr>
            <w:tcW w:w="573" w:type="pct"/>
            <w:noWrap/>
            <w:vAlign w:val="center"/>
          </w:tcPr>
          <w:p>
            <w:pPr>
              <w:jc w:val="center"/>
              <w:rPr>
                <w:rFonts w:hAnsi="宋体" w:cs="宋体"/>
                <w:color w:val="auto"/>
                <w:sz w:val="21"/>
                <w:szCs w:val="21"/>
                <w:highlight w:val="none"/>
              </w:rPr>
            </w:pPr>
          </w:p>
        </w:tc>
        <w:tc>
          <w:tcPr>
            <w:tcW w:w="877" w:type="pct"/>
            <w:noWrap/>
            <w:vAlign w:val="center"/>
          </w:tcPr>
          <w:p>
            <w:pPr>
              <w:jc w:val="center"/>
              <w:rPr>
                <w:rFonts w:hAnsi="宋体" w:cs="宋体"/>
                <w:color w:val="auto"/>
                <w:sz w:val="21"/>
                <w:szCs w:val="21"/>
                <w:highlight w:val="none"/>
              </w:rPr>
            </w:pPr>
          </w:p>
        </w:tc>
        <w:tc>
          <w:tcPr>
            <w:tcW w:w="111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432.26</w:t>
            </w:r>
          </w:p>
        </w:tc>
        <w:tc>
          <w:tcPr>
            <w:tcW w:w="5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12</w:t>
            </w:r>
          </w:p>
        </w:tc>
        <w:tc>
          <w:tcPr>
            <w:tcW w:w="1621"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(2-8)冠钧厂前路</w:t>
            </w:r>
          </w:p>
        </w:tc>
        <w:tc>
          <w:tcPr>
            <w:tcW w:w="573" w:type="pct"/>
            <w:noWrap/>
            <w:vAlign w:val="center"/>
          </w:tcPr>
          <w:p>
            <w:pPr>
              <w:jc w:val="center"/>
              <w:rPr>
                <w:rFonts w:hAnsi="宋体" w:cs="宋体"/>
                <w:color w:val="auto"/>
                <w:sz w:val="21"/>
                <w:szCs w:val="21"/>
                <w:highlight w:val="none"/>
              </w:rPr>
            </w:pPr>
          </w:p>
        </w:tc>
        <w:tc>
          <w:tcPr>
            <w:tcW w:w="877" w:type="pct"/>
            <w:noWrap/>
            <w:vAlign w:val="center"/>
          </w:tcPr>
          <w:p>
            <w:pPr>
              <w:jc w:val="center"/>
              <w:rPr>
                <w:rFonts w:hAnsi="宋体" w:cs="宋体"/>
                <w:color w:val="auto"/>
                <w:sz w:val="21"/>
                <w:szCs w:val="21"/>
                <w:highlight w:val="none"/>
              </w:rPr>
            </w:pPr>
          </w:p>
        </w:tc>
        <w:tc>
          <w:tcPr>
            <w:tcW w:w="111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231.29</w:t>
            </w:r>
          </w:p>
        </w:tc>
        <w:tc>
          <w:tcPr>
            <w:tcW w:w="5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13</w:t>
            </w:r>
          </w:p>
        </w:tc>
        <w:tc>
          <w:tcPr>
            <w:tcW w:w="1621"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(3-6)新丰路</w:t>
            </w:r>
          </w:p>
        </w:tc>
        <w:tc>
          <w:tcPr>
            <w:tcW w:w="573" w:type="pct"/>
            <w:noWrap/>
            <w:vAlign w:val="center"/>
          </w:tcPr>
          <w:p>
            <w:pPr>
              <w:jc w:val="center"/>
              <w:rPr>
                <w:rFonts w:hAnsi="宋体" w:cs="宋体"/>
                <w:color w:val="auto"/>
                <w:sz w:val="21"/>
                <w:szCs w:val="21"/>
                <w:highlight w:val="none"/>
              </w:rPr>
            </w:pPr>
          </w:p>
        </w:tc>
        <w:tc>
          <w:tcPr>
            <w:tcW w:w="877" w:type="pct"/>
            <w:noWrap/>
            <w:vAlign w:val="center"/>
          </w:tcPr>
          <w:p>
            <w:pPr>
              <w:jc w:val="center"/>
              <w:rPr>
                <w:rFonts w:hAnsi="宋体" w:cs="宋体"/>
                <w:color w:val="auto"/>
                <w:sz w:val="21"/>
                <w:szCs w:val="21"/>
                <w:highlight w:val="none"/>
              </w:rPr>
            </w:pPr>
          </w:p>
        </w:tc>
        <w:tc>
          <w:tcPr>
            <w:tcW w:w="111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103.75</w:t>
            </w:r>
          </w:p>
        </w:tc>
        <w:tc>
          <w:tcPr>
            <w:tcW w:w="5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14</w:t>
            </w:r>
          </w:p>
        </w:tc>
        <w:tc>
          <w:tcPr>
            <w:tcW w:w="1621"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(4-1)兴发路</w:t>
            </w:r>
          </w:p>
        </w:tc>
        <w:tc>
          <w:tcPr>
            <w:tcW w:w="573" w:type="pct"/>
            <w:noWrap/>
            <w:vAlign w:val="center"/>
          </w:tcPr>
          <w:p>
            <w:pPr>
              <w:jc w:val="center"/>
              <w:rPr>
                <w:rFonts w:hAnsi="宋体" w:cs="宋体"/>
                <w:color w:val="auto"/>
                <w:sz w:val="21"/>
                <w:szCs w:val="21"/>
                <w:highlight w:val="none"/>
              </w:rPr>
            </w:pPr>
          </w:p>
        </w:tc>
        <w:tc>
          <w:tcPr>
            <w:tcW w:w="877" w:type="pct"/>
            <w:noWrap/>
            <w:vAlign w:val="center"/>
          </w:tcPr>
          <w:p>
            <w:pPr>
              <w:jc w:val="center"/>
              <w:rPr>
                <w:rFonts w:hAnsi="宋体" w:cs="宋体"/>
                <w:color w:val="auto"/>
                <w:sz w:val="21"/>
                <w:szCs w:val="21"/>
                <w:highlight w:val="none"/>
              </w:rPr>
            </w:pPr>
          </w:p>
        </w:tc>
        <w:tc>
          <w:tcPr>
            <w:tcW w:w="111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5306.71</w:t>
            </w:r>
          </w:p>
        </w:tc>
        <w:tc>
          <w:tcPr>
            <w:tcW w:w="5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15</w:t>
            </w:r>
          </w:p>
        </w:tc>
        <w:tc>
          <w:tcPr>
            <w:tcW w:w="1621"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(4-2)新丰路</w:t>
            </w:r>
          </w:p>
        </w:tc>
        <w:tc>
          <w:tcPr>
            <w:tcW w:w="573" w:type="pct"/>
            <w:noWrap/>
            <w:vAlign w:val="center"/>
          </w:tcPr>
          <w:p>
            <w:pPr>
              <w:jc w:val="center"/>
              <w:rPr>
                <w:rFonts w:hAnsi="宋体" w:cs="宋体"/>
                <w:color w:val="auto"/>
                <w:sz w:val="21"/>
                <w:szCs w:val="21"/>
                <w:highlight w:val="none"/>
              </w:rPr>
            </w:pPr>
          </w:p>
        </w:tc>
        <w:tc>
          <w:tcPr>
            <w:tcW w:w="877" w:type="pct"/>
            <w:noWrap/>
            <w:vAlign w:val="center"/>
          </w:tcPr>
          <w:p>
            <w:pPr>
              <w:jc w:val="center"/>
              <w:rPr>
                <w:rFonts w:hAnsi="宋体" w:cs="宋体"/>
                <w:color w:val="auto"/>
                <w:sz w:val="21"/>
                <w:szCs w:val="21"/>
                <w:highlight w:val="none"/>
              </w:rPr>
            </w:pPr>
          </w:p>
        </w:tc>
        <w:tc>
          <w:tcPr>
            <w:tcW w:w="111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816.14</w:t>
            </w:r>
          </w:p>
        </w:tc>
        <w:tc>
          <w:tcPr>
            <w:tcW w:w="5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73" w:type="pct"/>
            <w:gridSpan w:val="2"/>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合 计</w:t>
            </w:r>
          </w:p>
        </w:tc>
        <w:tc>
          <w:tcPr>
            <w:tcW w:w="573" w:type="pct"/>
            <w:noWrap/>
            <w:vAlign w:val="center"/>
          </w:tcPr>
          <w:p>
            <w:pPr>
              <w:jc w:val="center"/>
              <w:rPr>
                <w:rFonts w:hAnsi="宋体" w:cs="宋体"/>
                <w:b/>
                <w:bCs/>
                <w:color w:val="auto"/>
                <w:sz w:val="21"/>
                <w:szCs w:val="21"/>
                <w:highlight w:val="none"/>
              </w:rPr>
            </w:pPr>
          </w:p>
        </w:tc>
        <w:tc>
          <w:tcPr>
            <w:tcW w:w="877" w:type="pct"/>
            <w:noWrap/>
            <w:vAlign w:val="center"/>
          </w:tcPr>
          <w:p>
            <w:pPr>
              <w:jc w:val="center"/>
              <w:rPr>
                <w:rFonts w:hAnsi="宋体" w:cs="宋体"/>
                <w:b/>
                <w:bCs/>
                <w:color w:val="auto"/>
                <w:sz w:val="21"/>
                <w:szCs w:val="21"/>
                <w:highlight w:val="none"/>
              </w:rPr>
            </w:pPr>
          </w:p>
        </w:tc>
        <w:tc>
          <w:tcPr>
            <w:tcW w:w="1118" w:type="pct"/>
            <w:noWrap/>
            <w:vAlign w:val="center"/>
          </w:tcPr>
          <w:p>
            <w:pPr>
              <w:widowControl/>
              <w:jc w:val="center"/>
              <w:textAlignment w:val="center"/>
              <w:rPr>
                <w:rFonts w:hAnsi="宋体" w:cs="宋体"/>
                <w:b/>
                <w:bCs/>
                <w:color w:val="auto"/>
                <w:sz w:val="21"/>
                <w:szCs w:val="21"/>
                <w:highlight w:val="none"/>
              </w:rPr>
            </w:pPr>
            <w:r>
              <w:rPr>
                <w:rFonts w:hint="eastAsia" w:hAnsi="宋体" w:cs="宋体"/>
                <w:b/>
                <w:bCs/>
                <w:color w:val="auto"/>
                <w:sz w:val="21"/>
                <w:szCs w:val="21"/>
                <w:highlight w:val="none"/>
                <w:lang w:bidi="ar"/>
              </w:rPr>
              <w:t>21387.31</w:t>
            </w:r>
          </w:p>
        </w:tc>
        <w:tc>
          <w:tcPr>
            <w:tcW w:w="557"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　</w:t>
            </w:r>
          </w:p>
        </w:tc>
      </w:tr>
    </w:tbl>
    <w:p>
      <w:pPr>
        <w:bidi w:val="0"/>
        <w:rPr>
          <w:color w:val="auto"/>
          <w:highlight w:val="none"/>
        </w:rPr>
      </w:pPr>
    </w:p>
    <w:tbl>
      <w:tblPr>
        <w:tblStyle w:val="18"/>
        <w:tblW w:w="5000" w:type="pct"/>
        <w:tblInd w:w="0" w:type="dxa"/>
        <w:tblLayout w:type="autofit"/>
        <w:tblCellMar>
          <w:top w:w="0" w:type="dxa"/>
          <w:left w:w="108" w:type="dxa"/>
          <w:bottom w:w="0" w:type="dxa"/>
          <w:right w:w="108" w:type="dxa"/>
        </w:tblCellMar>
      </w:tblPr>
      <w:tblGrid>
        <w:gridCol w:w="451"/>
        <w:gridCol w:w="3021"/>
        <w:gridCol w:w="2097"/>
        <w:gridCol w:w="2947"/>
      </w:tblGrid>
      <w:tr>
        <w:tblPrEx>
          <w:tblCellMar>
            <w:top w:w="0" w:type="dxa"/>
            <w:left w:w="108" w:type="dxa"/>
            <w:bottom w:w="0" w:type="dxa"/>
            <w:right w:w="108" w:type="dxa"/>
          </w:tblCellMar>
        </w:tblPrEx>
        <w:trPr>
          <w:trHeight w:val="600"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b/>
                <w:color w:val="auto"/>
                <w:sz w:val="21"/>
                <w:szCs w:val="21"/>
                <w:highlight w:val="none"/>
              </w:rPr>
            </w:pPr>
            <w:r>
              <w:rPr>
                <w:rFonts w:hint="eastAsia" w:hAnsi="宋体" w:cs="宋体"/>
                <w:b/>
                <w:color w:val="auto"/>
                <w:sz w:val="21"/>
                <w:szCs w:val="21"/>
                <w:highlight w:val="none"/>
              </w:rPr>
              <w:t>长安镇新民社区环卫保洁面积测量登记总统计表</w:t>
            </w:r>
          </w:p>
          <w:p>
            <w:pPr>
              <w:pStyle w:val="2"/>
              <w:ind w:firstLine="422"/>
              <w:jc w:val="center"/>
              <w:rPr>
                <w:b w:val="0"/>
                <w:color w:val="auto"/>
                <w:sz w:val="21"/>
                <w:szCs w:val="21"/>
                <w:highlight w:val="none"/>
              </w:rPr>
            </w:pPr>
            <w:r>
              <w:rPr>
                <w:rFonts w:hint="eastAsia"/>
                <w:b/>
                <w:bCs/>
                <w:color w:val="auto"/>
                <w:sz w:val="21"/>
                <w:szCs w:val="21"/>
                <w:highlight w:val="none"/>
              </w:rPr>
              <w:t>(五条主干道除外)</w:t>
            </w:r>
          </w:p>
        </w:tc>
      </w:tr>
      <w:tr>
        <w:tblPrEx>
          <w:tblCellMar>
            <w:top w:w="0" w:type="dxa"/>
            <w:left w:w="108" w:type="dxa"/>
            <w:bottom w:w="0" w:type="dxa"/>
            <w:right w:w="108" w:type="dxa"/>
          </w:tblCellMar>
        </w:tblPrEx>
        <w:trPr>
          <w:trHeight w:val="600" w:hRule="atLeast"/>
        </w:trPr>
        <w:tc>
          <w:tcPr>
            <w:tcW w:w="2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序号</w:t>
            </w:r>
          </w:p>
        </w:tc>
        <w:tc>
          <w:tcPr>
            <w:tcW w:w="17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名称</w:t>
            </w:r>
          </w:p>
        </w:tc>
        <w:tc>
          <w:tcPr>
            <w:tcW w:w="123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面积(㎡)</w:t>
            </w:r>
          </w:p>
        </w:tc>
        <w:tc>
          <w:tcPr>
            <w:tcW w:w="17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备注</w:t>
            </w:r>
          </w:p>
        </w:tc>
      </w:tr>
      <w:tr>
        <w:tblPrEx>
          <w:tblCellMar>
            <w:top w:w="0" w:type="dxa"/>
            <w:left w:w="108" w:type="dxa"/>
            <w:bottom w:w="0" w:type="dxa"/>
            <w:right w:w="108" w:type="dxa"/>
          </w:tblCellMar>
        </w:tblPrEx>
        <w:trPr>
          <w:trHeight w:val="499" w:hRule="atLeast"/>
        </w:trPr>
        <w:tc>
          <w:tcPr>
            <w:tcW w:w="265" w:type="pct"/>
            <w:tcBorders>
              <w:top w:val="nil"/>
              <w:left w:val="single" w:color="auto" w:sz="4" w:space="0"/>
              <w:bottom w:val="single" w:color="auto" w:sz="4" w:space="0"/>
              <w:right w:val="single" w:color="auto" w:sz="4" w:space="0"/>
            </w:tcBorders>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w:t>
            </w:r>
          </w:p>
        </w:tc>
        <w:tc>
          <w:tcPr>
            <w:tcW w:w="177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道路环卫保洁</w:t>
            </w:r>
          </w:p>
        </w:tc>
        <w:tc>
          <w:tcPr>
            <w:tcW w:w="123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335745.</w:t>
            </w:r>
            <w:r>
              <w:rPr>
                <w:rFonts w:hAnsi="宋体" w:cs="宋体"/>
                <w:color w:val="auto"/>
                <w:sz w:val="21"/>
                <w:szCs w:val="21"/>
                <w:highlight w:val="none"/>
                <w:lang w:bidi="ar"/>
              </w:rPr>
              <w:t>57</w:t>
            </w:r>
          </w:p>
        </w:tc>
        <w:tc>
          <w:tcPr>
            <w:tcW w:w="172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CellMar>
            <w:top w:w="0" w:type="dxa"/>
            <w:left w:w="108" w:type="dxa"/>
            <w:bottom w:w="0" w:type="dxa"/>
            <w:right w:w="108" w:type="dxa"/>
          </w:tblCellMar>
        </w:tblPrEx>
        <w:trPr>
          <w:trHeight w:val="499" w:hRule="atLeast"/>
        </w:trPr>
        <w:tc>
          <w:tcPr>
            <w:tcW w:w="265" w:type="pct"/>
            <w:tcBorders>
              <w:top w:val="nil"/>
              <w:left w:val="single" w:color="auto" w:sz="4" w:space="0"/>
              <w:bottom w:val="single" w:color="auto" w:sz="4" w:space="0"/>
              <w:right w:val="single" w:color="auto" w:sz="4" w:space="0"/>
            </w:tcBorders>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2</w:t>
            </w:r>
          </w:p>
        </w:tc>
        <w:tc>
          <w:tcPr>
            <w:tcW w:w="177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工业园区环卫保洁</w:t>
            </w:r>
          </w:p>
        </w:tc>
        <w:tc>
          <w:tcPr>
            <w:tcW w:w="123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0</w:t>
            </w:r>
          </w:p>
        </w:tc>
        <w:tc>
          <w:tcPr>
            <w:tcW w:w="172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CellMar>
            <w:top w:w="0" w:type="dxa"/>
            <w:left w:w="108" w:type="dxa"/>
            <w:bottom w:w="0" w:type="dxa"/>
            <w:right w:w="108" w:type="dxa"/>
          </w:tblCellMar>
        </w:tblPrEx>
        <w:trPr>
          <w:trHeight w:val="499" w:hRule="atLeast"/>
        </w:trPr>
        <w:tc>
          <w:tcPr>
            <w:tcW w:w="265" w:type="pct"/>
            <w:tcBorders>
              <w:top w:val="nil"/>
              <w:left w:val="single" w:color="auto" w:sz="4" w:space="0"/>
              <w:bottom w:val="single" w:color="auto" w:sz="4" w:space="0"/>
              <w:right w:val="single" w:color="auto" w:sz="4" w:space="0"/>
            </w:tcBorders>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3</w:t>
            </w:r>
          </w:p>
        </w:tc>
        <w:tc>
          <w:tcPr>
            <w:tcW w:w="177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公园、广场环卫保洁</w:t>
            </w:r>
          </w:p>
        </w:tc>
        <w:tc>
          <w:tcPr>
            <w:tcW w:w="123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7608.8</w:t>
            </w:r>
          </w:p>
        </w:tc>
        <w:tc>
          <w:tcPr>
            <w:tcW w:w="172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CellMar>
            <w:top w:w="0" w:type="dxa"/>
            <w:left w:w="108" w:type="dxa"/>
            <w:bottom w:w="0" w:type="dxa"/>
            <w:right w:w="108" w:type="dxa"/>
          </w:tblCellMar>
        </w:tblPrEx>
        <w:trPr>
          <w:trHeight w:val="499" w:hRule="atLeast"/>
        </w:trPr>
        <w:tc>
          <w:tcPr>
            <w:tcW w:w="265" w:type="pct"/>
            <w:tcBorders>
              <w:top w:val="nil"/>
              <w:left w:val="single" w:color="auto" w:sz="4" w:space="0"/>
              <w:bottom w:val="single" w:color="auto" w:sz="4" w:space="0"/>
              <w:right w:val="single" w:color="auto" w:sz="4" w:space="0"/>
            </w:tcBorders>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4</w:t>
            </w:r>
          </w:p>
        </w:tc>
        <w:tc>
          <w:tcPr>
            <w:tcW w:w="177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围闭式无物管住宅区环卫保洁</w:t>
            </w:r>
          </w:p>
        </w:tc>
        <w:tc>
          <w:tcPr>
            <w:tcW w:w="123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15136.40</w:t>
            </w:r>
          </w:p>
        </w:tc>
        <w:tc>
          <w:tcPr>
            <w:tcW w:w="172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CellMar>
            <w:top w:w="0" w:type="dxa"/>
            <w:left w:w="108" w:type="dxa"/>
            <w:bottom w:w="0" w:type="dxa"/>
            <w:right w:w="108" w:type="dxa"/>
          </w:tblCellMar>
        </w:tblPrEx>
        <w:trPr>
          <w:trHeight w:val="499" w:hRule="atLeast"/>
        </w:trPr>
        <w:tc>
          <w:tcPr>
            <w:tcW w:w="265" w:type="pct"/>
            <w:tcBorders>
              <w:top w:val="nil"/>
              <w:left w:val="single" w:color="auto" w:sz="4" w:space="0"/>
              <w:bottom w:val="single" w:color="auto" w:sz="4" w:space="0"/>
              <w:right w:val="single" w:color="auto" w:sz="4" w:space="0"/>
            </w:tcBorders>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5</w:t>
            </w:r>
          </w:p>
        </w:tc>
        <w:tc>
          <w:tcPr>
            <w:tcW w:w="177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无围闭住宅区环卫保洁</w:t>
            </w:r>
          </w:p>
        </w:tc>
        <w:tc>
          <w:tcPr>
            <w:tcW w:w="123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115205.37</w:t>
            </w:r>
          </w:p>
        </w:tc>
        <w:tc>
          <w:tcPr>
            <w:tcW w:w="172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CellMar>
            <w:top w:w="0" w:type="dxa"/>
            <w:left w:w="108" w:type="dxa"/>
            <w:bottom w:w="0" w:type="dxa"/>
            <w:right w:w="108" w:type="dxa"/>
          </w:tblCellMar>
        </w:tblPrEx>
        <w:trPr>
          <w:trHeight w:val="499" w:hRule="atLeast"/>
        </w:trPr>
        <w:tc>
          <w:tcPr>
            <w:tcW w:w="265" w:type="pct"/>
            <w:tcBorders>
              <w:top w:val="nil"/>
              <w:left w:val="single" w:color="auto" w:sz="4" w:space="0"/>
              <w:bottom w:val="single" w:color="auto" w:sz="4" w:space="0"/>
              <w:right w:val="single" w:color="auto" w:sz="4" w:space="0"/>
            </w:tcBorders>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6</w:t>
            </w:r>
          </w:p>
        </w:tc>
        <w:tc>
          <w:tcPr>
            <w:tcW w:w="177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旧村环卫保洁</w:t>
            </w:r>
          </w:p>
        </w:tc>
        <w:tc>
          <w:tcPr>
            <w:tcW w:w="123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12999.86</w:t>
            </w:r>
          </w:p>
        </w:tc>
        <w:tc>
          <w:tcPr>
            <w:tcW w:w="172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CellMar>
            <w:top w:w="0" w:type="dxa"/>
            <w:left w:w="108" w:type="dxa"/>
            <w:bottom w:w="0" w:type="dxa"/>
            <w:right w:w="108" w:type="dxa"/>
          </w:tblCellMar>
        </w:tblPrEx>
        <w:trPr>
          <w:trHeight w:val="499" w:hRule="atLeast"/>
        </w:trPr>
        <w:tc>
          <w:tcPr>
            <w:tcW w:w="265" w:type="pct"/>
            <w:tcBorders>
              <w:top w:val="nil"/>
              <w:left w:val="single" w:color="auto" w:sz="4" w:space="0"/>
              <w:bottom w:val="single" w:color="auto" w:sz="4" w:space="0"/>
              <w:right w:val="single" w:color="auto" w:sz="4" w:space="0"/>
            </w:tcBorders>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7</w:t>
            </w:r>
          </w:p>
        </w:tc>
        <w:tc>
          <w:tcPr>
            <w:tcW w:w="177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闲置地环卫保洁</w:t>
            </w:r>
          </w:p>
        </w:tc>
        <w:tc>
          <w:tcPr>
            <w:tcW w:w="123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0</w:t>
            </w:r>
          </w:p>
        </w:tc>
        <w:tc>
          <w:tcPr>
            <w:tcW w:w="172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CellMar>
            <w:top w:w="0" w:type="dxa"/>
            <w:left w:w="108" w:type="dxa"/>
            <w:bottom w:w="0" w:type="dxa"/>
            <w:right w:w="108" w:type="dxa"/>
          </w:tblCellMar>
        </w:tblPrEx>
        <w:trPr>
          <w:trHeight w:val="499" w:hRule="atLeast"/>
        </w:trPr>
        <w:tc>
          <w:tcPr>
            <w:tcW w:w="265" w:type="pct"/>
            <w:tcBorders>
              <w:top w:val="nil"/>
              <w:left w:val="single" w:color="auto" w:sz="4" w:space="0"/>
              <w:bottom w:val="single" w:color="auto" w:sz="4" w:space="0"/>
              <w:right w:val="single" w:color="auto" w:sz="4" w:space="0"/>
            </w:tcBorders>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8</w:t>
            </w:r>
          </w:p>
        </w:tc>
        <w:tc>
          <w:tcPr>
            <w:tcW w:w="177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河涌、鱼塘保洁</w:t>
            </w:r>
          </w:p>
        </w:tc>
        <w:tc>
          <w:tcPr>
            <w:tcW w:w="123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64732.52</w:t>
            </w:r>
          </w:p>
        </w:tc>
        <w:tc>
          <w:tcPr>
            <w:tcW w:w="172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CellMar>
            <w:top w:w="0" w:type="dxa"/>
            <w:left w:w="108" w:type="dxa"/>
            <w:bottom w:w="0" w:type="dxa"/>
            <w:right w:w="108" w:type="dxa"/>
          </w:tblCellMar>
        </w:tblPrEx>
        <w:trPr>
          <w:trHeight w:val="600" w:hRule="atLeast"/>
        </w:trPr>
        <w:tc>
          <w:tcPr>
            <w:tcW w:w="2039"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合 计</w:t>
            </w:r>
          </w:p>
        </w:tc>
        <w:tc>
          <w:tcPr>
            <w:tcW w:w="123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hAnsi="宋体" w:cs="宋体"/>
                <w:b/>
                <w:bCs/>
                <w:color w:val="auto"/>
                <w:sz w:val="21"/>
                <w:szCs w:val="21"/>
                <w:highlight w:val="none"/>
              </w:rPr>
            </w:pPr>
            <w:r>
              <w:rPr>
                <w:rFonts w:hint="eastAsia" w:hAnsi="宋体" w:cs="宋体"/>
                <w:b/>
                <w:bCs/>
                <w:color w:val="auto"/>
                <w:sz w:val="21"/>
                <w:szCs w:val="21"/>
                <w:highlight w:val="none"/>
                <w:lang w:bidi="ar"/>
              </w:rPr>
              <w:t>551428.52</w:t>
            </w:r>
          </w:p>
        </w:tc>
        <w:tc>
          <w:tcPr>
            <w:tcW w:w="172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其中包含绿化面积(21387.31)</w:t>
            </w:r>
          </w:p>
        </w:tc>
      </w:tr>
    </w:tbl>
    <w:p>
      <w:pPr>
        <w:rPr>
          <w:rFonts w:ascii="宋体" w:hAnsi="宋体" w:cs="宋体"/>
          <w:color w:val="auto"/>
          <w:szCs w:val="21"/>
          <w:highlight w:val="none"/>
          <w:lang w:bidi="zh-CN"/>
        </w:rPr>
      </w:pPr>
    </w:p>
    <w:p>
      <w:pPr>
        <w:widowControl/>
        <w:adjustRightInd w:val="0"/>
        <w:snapToGrid w:val="0"/>
        <w:spacing w:line="360" w:lineRule="auto"/>
        <w:ind w:firstLine="420" w:firstLineChars="200"/>
        <w:rPr>
          <w:rFonts w:hint="eastAsia"/>
          <w:color w:val="auto"/>
          <w:highlight w:val="none"/>
          <w:lang w:val="zh-CN"/>
        </w:rPr>
      </w:pPr>
      <w:r>
        <w:rPr>
          <w:rFonts w:hint="eastAsia"/>
          <w:color w:val="auto"/>
          <w:highlight w:val="none"/>
          <w:lang w:val="zh-CN"/>
        </w:rPr>
        <w:t>（1）除以上明确的环卫保洁面积外，处于道路边线向外延伸2米范围（含“三边三地”等）也需中标人进行清理保洁。</w:t>
      </w:r>
    </w:p>
    <w:p>
      <w:pPr>
        <w:widowControl/>
        <w:adjustRightInd w:val="0"/>
        <w:snapToGrid w:val="0"/>
        <w:spacing w:line="360" w:lineRule="auto"/>
        <w:ind w:firstLine="420" w:firstLineChars="200"/>
        <w:rPr>
          <w:rFonts w:hint="eastAsia"/>
          <w:color w:val="auto"/>
          <w:highlight w:val="none"/>
          <w:lang w:val="zh-CN"/>
        </w:rPr>
      </w:pPr>
      <w:r>
        <w:rPr>
          <w:rFonts w:hint="eastAsia"/>
          <w:color w:val="auto"/>
          <w:highlight w:val="none"/>
          <w:lang w:val="zh-CN"/>
        </w:rPr>
        <w:t>（2）水域保洁及绿化保洁单价按清扫保洁综合单价的30%计取（即水域保洁及绿化保洁按实际测量面积的30%计取环卫保洁服务费）；</w:t>
      </w:r>
    </w:p>
    <w:p>
      <w:pPr>
        <w:widowControl/>
        <w:adjustRightInd w:val="0"/>
        <w:snapToGrid w:val="0"/>
        <w:spacing w:line="360" w:lineRule="auto"/>
        <w:ind w:firstLine="420" w:firstLineChars="200"/>
        <w:rPr>
          <w:rFonts w:hint="eastAsia"/>
          <w:color w:val="auto"/>
          <w:highlight w:val="none"/>
          <w:lang w:val="zh-CN"/>
        </w:rPr>
      </w:pPr>
      <w:r>
        <w:rPr>
          <w:rFonts w:hint="eastAsia"/>
          <w:color w:val="auto"/>
          <w:highlight w:val="none"/>
          <w:lang w:val="zh-CN"/>
        </w:rPr>
        <w:t>（3）本项目实际计取服务费面积为：551428.52-（64732.52+21387.31）×70%=491144.64㎡，服务费=【实际计取服务费面积×中标综合单价】×服务年限。</w:t>
      </w:r>
    </w:p>
    <w:p>
      <w:pPr>
        <w:widowControl/>
        <w:adjustRightInd w:val="0"/>
        <w:snapToGrid w:val="0"/>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（二）道路明细表</w:t>
      </w:r>
    </w:p>
    <w:tbl>
      <w:tblPr>
        <w:tblStyle w:val="18"/>
        <w:tblW w:w="5000" w:type="pct"/>
        <w:tblInd w:w="0" w:type="dxa"/>
        <w:tblLayout w:type="fixed"/>
        <w:tblCellMar>
          <w:top w:w="0" w:type="dxa"/>
          <w:left w:w="108" w:type="dxa"/>
          <w:bottom w:w="0" w:type="dxa"/>
          <w:right w:w="108" w:type="dxa"/>
        </w:tblCellMar>
      </w:tblPr>
      <w:tblGrid>
        <w:gridCol w:w="579"/>
        <w:gridCol w:w="1457"/>
        <w:gridCol w:w="1220"/>
        <w:gridCol w:w="1500"/>
        <w:gridCol w:w="806"/>
        <w:gridCol w:w="1200"/>
        <w:gridCol w:w="1754"/>
      </w:tblGrid>
      <w:tr>
        <w:trPr>
          <w:trHeight w:val="270" w:hRule="atLeast"/>
        </w:trPr>
        <w:tc>
          <w:tcPr>
            <w:tcW w:w="33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855"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道路名称</w:t>
            </w:r>
          </w:p>
        </w:tc>
        <w:tc>
          <w:tcPr>
            <w:tcW w:w="716"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道路长度（m）</w:t>
            </w:r>
          </w:p>
        </w:tc>
        <w:tc>
          <w:tcPr>
            <w:tcW w:w="880"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保洁面积（㎡）</w:t>
            </w:r>
          </w:p>
        </w:tc>
        <w:tc>
          <w:tcPr>
            <w:tcW w:w="473"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道路等级</w:t>
            </w:r>
          </w:p>
        </w:tc>
        <w:tc>
          <w:tcPr>
            <w:tcW w:w="704"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道路类别</w:t>
            </w:r>
          </w:p>
        </w:tc>
        <w:tc>
          <w:tcPr>
            <w:tcW w:w="1029" w:type="pct"/>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清扫保洁方式</w:t>
            </w:r>
          </w:p>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（机扫/人扫/</w:t>
            </w:r>
          </w:p>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人工配合机</w:t>
            </w:r>
          </w:p>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(1-1)新民路</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2061.17</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65776.39</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景观道路、重要道路</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(1-8)兴盛路</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659</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29244.93</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景观道路、重要道路</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(2-3)顺和路</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1073.92</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24811.38</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景观道路、重要道路</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(2-11)裕民街</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1110.15</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17421.03</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景观道路、重要道路</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(3-6)新丰路</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568.81</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14932.49</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景观道路、重要道路</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(4-1)兴发路</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641.44</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37940.35</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景观道路、重要道路</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90" w:hRule="atLeast"/>
        </w:trPr>
        <w:tc>
          <w:tcPr>
            <w:tcW w:w="33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855"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(4-2)新丰路</w:t>
            </w:r>
          </w:p>
        </w:tc>
        <w:tc>
          <w:tcPr>
            <w:tcW w:w="716"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293.57</w:t>
            </w:r>
          </w:p>
        </w:tc>
        <w:tc>
          <w:tcPr>
            <w:tcW w:w="880"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6135.15</w:t>
            </w:r>
          </w:p>
        </w:tc>
        <w:tc>
          <w:tcPr>
            <w:tcW w:w="473"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一级</w:t>
            </w:r>
          </w:p>
        </w:tc>
        <w:tc>
          <w:tcPr>
            <w:tcW w:w="70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景观道路、重要道路</w:t>
            </w:r>
          </w:p>
        </w:tc>
        <w:tc>
          <w:tcPr>
            <w:tcW w:w="102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855"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(3-11)同荣路</w:t>
            </w:r>
          </w:p>
        </w:tc>
        <w:tc>
          <w:tcPr>
            <w:tcW w:w="716"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1160.44</w:t>
            </w:r>
          </w:p>
        </w:tc>
        <w:tc>
          <w:tcPr>
            <w:tcW w:w="880"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28762.58</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景观道路、重要道路</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855"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(1-3)兴隆路</w:t>
            </w:r>
          </w:p>
        </w:tc>
        <w:tc>
          <w:tcPr>
            <w:tcW w:w="716"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950.34</w:t>
            </w:r>
          </w:p>
        </w:tc>
        <w:tc>
          <w:tcPr>
            <w:tcW w:w="880"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16863.77</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一般城市道路、国省道、重要县道</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55"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(1-11)兴民路</w:t>
            </w:r>
          </w:p>
        </w:tc>
        <w:tc>
          <w:tcPr>
            <w:tcW w:w="716"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277.44</w:t>
            </w:r>
          </w:p>
        </w:tc>
        <w:tc>
          <w:tcPr>
            <w:tcW w:w="880"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5324.28</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一般城市道路、国省道、重要县道</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855"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(1-12)祥和街</w:t>
            </w:r>
          </w:p>
        </w:tc>
        <w:tc>
          <w:tcPr>
            <w:tcW w:w="716"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611.57</w:t>
            </w:r>
          </w:p>
        </w:tc>
        <w:tc>
          <w:tcPr>
            <w:tcW w:w="880"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11137.22</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一般商业街</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855"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(2-4)新星路</w:t>
            </w:r>
          </w:p>
        </w:tc>
        <w:tc>
          <w:tcPr>
            <w:tcW w:w="716"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393.6</w:t>
            </w:r>
          </w:p>
        </w:tc>
        <w:tc>
          <w:tcPr>
            <w:tcW w:w="880"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9171.30</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一般城市道路、国省道、重要县道</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855"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(3-1)陆丰东街</w:t>
            </w:r>
          </w:p>
        </w:tc>
        <w:tc>
          <w:tcPr>
            <w:tcW w:w="716"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625.81</w:t>
            </w:r>
          </w:p>
        </w:tc>
        <w:tc>
          <w:tcPr>
            <w:tcW w:w="880"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6756.77</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一般商业街</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855"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(3-3)陆丰西街</w:t>
            </w:r>
          </w:p>
        </w:tc>
        <w:tc>
          <w:tcPr>
            <w:tcW w:w="716"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648.11</w:t>
            </w:r>
          </w:p>
        </w:tc>
        <w:tc>
          <w:tcPr>
            <w:tcW w:w="880"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7296.18</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一般商业街</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855"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(3-16)新民排渠绿道</w:t>
            </w:r>
          </w:p>
        </w:tc>
        <w:tc>
          <w:tcPr>
            <w:tcW w:w="716"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344.13</w:t>
            </w:r>
          </w:p>
        </w:tc>
        <w:tc>
          <w:tcPr>
            <w:tcW w:w="880"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3361.26</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村（社区）群众广场、 一般城市公园</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855"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(2-15)居委会对面公园</w:t>
            </w:r>
          </w:p>
        </w:tc>
        <w:tc>
          <w:tcPr>
            <w:tcW w:w="716"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880"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1623.04</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村（社区）群众广场、 一般城市公园</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855"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(3-12)南水景路</w:t>
            </w:r>
          </w:p>
        </w:tc>
        <w:tc>
          <w:tcPr>
            <w:tcW w:w="716"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880"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4070.89</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村（社区）群众广场、 一般城市公园</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855"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(3-13)北水景路</w:t>
            </w:r>
          </w:p>
        </w:tc>
        <w:tc>
          <w:tcPr>
            <w:tcW w:w="716"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880"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1680.88</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村（社区）群众广场、 一般城市公园</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855" w:type="pct"/>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(3-14)口袋公园</w:t>
            </w:r>
          </w:p>
        </w:tc>
        <w:tc>
          <w:tcPr>
            <w:tcW w:w="716" w:type="pct"/>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880" w:type="pct"/>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318.53</w:t>
            </w:r>
          </w:p>
        </w:tc>
        <w:tc>
          <w:tcPr>
            <w:tcW w:w="473"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二级</w:t>
            </w:r>
          </w:p>
        </w:tc>
        <w:tc>
          <w:tcPr>
            <w:tcW w:w="70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村（社区）群众广场、 一般城市公园</w:t>
            </w:r>
          </w:p>
        </w:tc>
        <w:tc>
          <w:tcPr>
            <w:tcW w:w="102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855"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(3-10)三村球场</w:t>
            </w:r>
          </w:p>
        </w:tc>
        <w:tc>
          <w:tcPr>
            <w:tcW w:w="716"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880"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2715.24</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村（社区）群众广场、 一般城市公园</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855"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(1-2)艾特诺厂前路</w:t>
            </w:r>
          </w:p>
        </w:tc>
        <w:tc>
          <w:tcPr>
            <w:tcW w:w="716"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153</w:t>
            </w:r>
          </w:p>
        </w:tc>
        <w:tc>
          <w:tcPr>
            <w:tcW w:w="880"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2304.33</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村（社区）中心区域及居住区巷道</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855"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(1-4)初馨香氛厂前路</w:t>
            </w:r>
          </w:p>
        </w:tc>
        <w:tc>
          <w:tcPr>
            <w:tcW w:w="716"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446</w:t>
            </w:r>
          </w:p>
        </w:tc>
        <w:tc>
          <w:tcPr>
            <w:tcW w:w="880"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3651.35</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村（社区）中心区域及居住区巷道</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(1-5)祥兴街</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435.65</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6586.05</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一般县道、乡村公路</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(1-6)兴隆路东侧巷道</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214</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1343.58</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村（社区）中心区域及居住区巷道</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(1-9)新源巷</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214</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1692.90</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村（社区）中心区域及居住区巷道</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(1-13)美高厂南侧巷道</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1427</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936.17</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村（社区）中心区域及居住区巷道</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(1-14)祥和街北侧巷道</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156.43</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3132.01</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村（社区）中心区域及居住区巷道</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(1-20)睦邻路口</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25</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610.77</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村（社区）中心区域及居住区巷道</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(1-24)新民路东巷</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172.83</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1952.01</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村（社区）中心区域及居住区巷道</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(2-5)祥盛街</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353.16</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9107.31</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一般县道、乡村公路</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(2-6)福荣街</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298</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8731.82</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一般县道、乡村公路</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(2-7)明和纸厂前路</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85.12</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1646.97</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村（社区）中心区域及居住区巷道</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(2-8)冠钧厂前路</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78.51</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880.92</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村（社区）中心区域及居住区巷道</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(3-15)堤围路</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187.67</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2482.53</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一般县道、乡村公路</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(1-21)兴盛路公园</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1773.36</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(1-26)兴民路街心公园</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1178.63</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余下各村、小组、居民区巷道</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143341.63</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村（社区）中心区域及居住区巷道</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855"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河涌、鱼塘</w:t>
            </w:r>
          </w:p>
        </w:tc>
        <w:tc>
          <w:tcPr>
            <w:tcW w:w="716"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880"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64732.52</w:t>
            </w:r>
          </w:p>
        </w:tc>
        <w:tc>
          <w:tcPr>
            <w:tcW w:w="473"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p>
        </w:tc>
        <w:tc>
          <w:tcPr>
            <w:tcW w:w="70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w:t>
            </w:r>
          </w:p>
        </w:tc>
        <w:tc>
          <w:tcPr>
            <w:tcW w:w="102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1911"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合计</w:t>
            </w:r>
          </w:p>
        </w:tc>
        <w:tc>
          <w:tcPr>
            <w:tcW w:w="880"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551428.52</w:t>
            </w:r>
          </w:p>
        </w:tc>
        <w:tc>
          <w:tcPr>
            <w:tcW w:w="473"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p>
        </w:tc>
        <w:tc>
          <w:tcPr>
            <w:tcW w:w="70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p>
        </w:tc>
        <w:tc>
          <w:tcPr>
            <w:tcW w:w="1029" w:type="pct"/>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p>
        </w:tc>
      </w:tr>
    </w:tbl>
    <w:p>
      <w:pPr>
        <w:autoSpaceDE/>
        <w:autoSpaceDN/>
        <w:adjustRightInd/>
        <w:spacing w:line="360" w:lineRule="auto"/>
        <w:ind w:left="120" w:firstLine="420" w:firstLineChars="200"/>
        <w:contextualSpacing/>
        <w:jc w:val="both"/>
        <w:rPr>
          <w:rFonts w:hint="eastAsia" w:ascii="宋体" w:hAnsi="宋体" w:eastAsia="宋体" w:cs="宋体"/>
          <w:color w:val="auto"/>
          <w:kern w:val="2"/>
          <w:sz w:val="21"/>
          <w:szCs w:val="21"/>
          <w:highlight w:val="none"/>
          <w:lang w:bidi="zh-CN"/>
        </w:rPr>
      </w:pPr>
      <w:r>
        <w:rPr>
          <w:rFonts w:hint="eastAsia" w:ascii="宋体" w:hAnsi="宋体" w:eastAsia="宋体" w:cs="宋体"/>
          <w:color w:val="auto"/>
          <w:sz w:val="21"/>
          <w:szCs w:val="21"/>
          <w:highlight w:val="none"/>
          <w:lang w:bidi="zh-CN"/>
        </w:rPr>
        <w:t>（三）</w:t>
      </w:r>
      <w:r>
        <w:rPr>
          <w:rFonts w:hint="eastAsia" w:ascii="宋体" w:hAnsi="宋体" w:eastAsia="宋体" w:cs="宋体"/>
          <w:color w:val="auto"/>
          <w:kern w:val="2"/>
          <w:sz w:val="21"/>
          <w:szCs w:val="21"/>
          <w:highlight w:val="none"/>
          <w:lang w:bidi="zh-CN"/>
        </w:rPr>
        <w:t>绿化养护明细表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2366"/>
        <w:gridCol w:w="1865"/>
        <w:gridCol w:w="2020"/>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89" w:type="pct"/>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路段（区域）名称</w:t>
            </w:r>
          </w:p>
        </w:tc>
        <w:tc>
          <w:tcPr>
            <w:tcW w:w="1095" w:type="pct"/>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行道树（棵）</w:t>
            </w:r>
          </w:p>
        </w:tc>
        <w:tc>
          <w:tcPr>
            <w:tcW w:w="1186" w:type="pct"/>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绿化面积（平方米）</w:t>
            </w:r>
          </w:p>
        </w:tc>
        <w:tc>
          <w:tcPr>
            <w:tcW w:w="547" w:type="pct"/>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3"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89" w:type="pct"/>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人民涌两岸绿道</w:t>
            </w:r>
          </w:p>
        </w:tc>
        <w:tc>
          <w:tcPr>
            <w:tcW w:w="1095" w:type="pct"/>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300</w:t>
            </w:r>
          </w:p>
        </w:tc>
        <w:tc>
          <w:tcPr>
            <w:tcW w:w="1186" w:type="pct"/>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bidi="ar"/>
              </w:rPr>
              <w:t>13194.08</w:t>
            </w:r>
          </w:p>
        </w:tc>
        <w:tc>
          <w:tcPr>
            <w:tcW w:w="547" w:type="pct"/>
            <w:noWrap w:val="0"/>
            <w:vAlign w:val="center"/>
          </w:tcPr>
          <w:p>
            <w:pPr>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83"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1389" w:type="pct"/>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人民涌两岸绿道</w:t>
            </w:r>
          </w:p>
        </w:tc>
        <w:tc>
          <w:tcPr>
            <w:tcW w:w="1095" w:type="pct"/>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300</w:t>
            </w:r>
          </w:p>
        </w:tc>
        <w:tc>
          <w:tcPr>
            <w:tcW w:w="1186" w:type="pct"/>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bidi="ar"/>
              </w:rPr>
              <w:t>13194.08</w:t>
            </w:r>
          </w:p>
        </w:tc>
        <w:tc>
          <w:tcPr>
            <w:tcW w:w="547" w:type="pct"/>
            <w:noWrap w:val="0"/>
            <w:vAlign w:val="center"/>
          </w:tcPr>
          <w:p>
            <w:pPr>
              <w:jc w:val="center"/>
              <w:rPr>
                <w:rFonts w:hint="eastAsia" w:ascii="宋体" w:hAnsi="宋体" w:eastAsia="宋体" w:cs="宋体"/>
                <w:b/>
                <w:bCs/>
                <w:color w:val="auto"/>
                <w:sz w:val="21"/>
                <w:szCs w:val="21"/>
                <w:highlight w:val="none"/>
              </w:rPr>
            </w:pPr>
          </w:p>
        </w:tc>
      </w:tr>
    </w:tbl>
    <w:p>
      <w:pPr>
        <w:widowControl/>
        <w:adjustRightInd w:val="0"/>
        <w:snapToGrid w:val="0"/>
        <w:spacing w:line="360" w:lineRule="auto"/>
        <w:ind w:firstLine="420" w:firstLineChars="200"/>
        <w:rPr>
          <w:rFonts w:hint="eastAsia" w:ascii="宋体" w:hAnsi="宋体" w:cs="宋体"/>
          <w:color w:val="auto"/>
          <w:szCs w:val="21"/>
          <w:highlight w:val="none"/>
          <w:lang w:bidi="zh-CN"/>
        </w:rPr>
      </w:pPr>
      <w:r>
        <w:rPr>
          <w:rFonts w:hint="eastAsia" w:hAnsi="宋体" w:cs="宋体"/>
          <w:color w:val="auto"/>
          <w:sz w:val="21"/>
          <w:szCs w:val="21"/>
          <w:highlight w:val="none"/>
        </w:rPr>
        <w:t>备注：</w:t>
      </w:r>
      <w:r>
        <w:rPr>
          <w:rFonts w:hint="eastAsia" w:hAnsi="宋体"/>
          <w:color w:val="auto"/>
          <w:sz w:val="21"/>
          <w:szCs w:val="21"/>
          <w:highlight w:val="none"/>
        </w:rPr>
        <w:t>该部分工作涉及的费用已包含在环卫保洁单价中，采购人不在另行支付费用。</w:t>
      </w:r>
    </w:p>
    <w:p>
      <w:pPr>
        <w:autoSpaceDE/>
        <w:autoSpaceDN/>
        <w:adjustRightInd/>
        <w:spacing w:line="360" w:lineRule="auto"/>
        <w:ind w:left="120" w:firstLine="420" w:firstLineChars="200"/>
        <w:contextualSpacing/>
        <w:jc w:val="both"/>
        <w:rPr>
          <w:rFonts w:hAnsi="宋体" w:cs="宋体"/>
          <w:color w:val="auto"/>
          <w:kern w:val="2"/>
          <w:sz w:val="21"/>
          <w:szCs w:val="21"/>
          <w:highlight w:val="none"/>
          <w:lang w:bidi="zh-CN"/>
        </w:rPr>
      </w:pPr>
      <w:r>
        <w:rPr>
          <w:rFonts w:hint="eastAsia" w:ascii="宋体" w:hAnsi="宋体" w:cs="宋体"/>
          <w:color w:val="auto"/>
          <w:szCs w:val="21"/>
          <w:highlight w:val="none"/>
          <w:lang w:bidi="zh-CN"/>
        </w:rPr>
        <w:t>（四）</w:t>
      </w:r>
      <w:r>
        <w:rPr>
          <w:rFonts w:hint="eastAsia" w:hAnsi="宋体" w:cs="宋体"/>
          <w:color w:val="auto"/>
          <w:kern w:val="2"/>
          <w:sz w:val="21"/>
          <w:szCs w:val="21"/>
          <w:highlight w:val="none"/>
          <w:lang w:bidi="zh-CN"/>
        </w:rPr>
        <w:t>公厕设置现状情况表</w:t>
      </w:r>
    </w:p>
    <w:tbl>
      <w:tblPr>
        <w:tblStyle w:val="18"/>
        <w:tblW w:w="4997" w:type="pct"/>
        <w:jc w:val="center"/>
        <w:tblLayout w:type="autofit"/>
        <w:tblCellMar>
          <w:top w:w="0" w:type="dxa"/>
          <w:left w:w="108" w:type="dxa"/>
          <w:bottom w:w="0" w:type="dxa"/>
          <w:right w:w="108" w:type="dxa"/>
        </w:tblCellMar>
      </w:tblPr>
      <w:tblGrid>
        <w:gridCol w:w="403"/>
        <w:gridCol w:w="590"/>
        <w:gridCol w:w="728"/>
        <w:gridCol w:w="867"/>
        <w:gridCol w:w="403"/>
        <w:gridCol w:w="496"/>
        <w:gridCol w:w="590"/>
        <w:gridCol w:w="496"/>
        <w:gridCol w:w="496"/>
        <w:gridCol w:w="496"/>
        <w:gridCol w:w="496"/>
        <w:gridCol w:w="496"/>
        <w:gridCol w:w="684"/>
        <w:gridCol w:w="684"/>
        <w:gridCol w:w="591"/>
      </w:tblGrid>
      <w:tr>
        <w:tblPrEx>
          <w:tblCellMar>
            <w:top w:w="0" w:type="dxa"/>
            <w:left w:w="108" w:type="dxa"/>
            <w:bottom w:w="0" w:type="dxa"/>
            <w:right w:w="108" w:type="dxa"/>
          </w:tblCellMar>
        </w:tblPrEx>
        <w:trPr>
          <w:trHeight w:val="402" w:hRule="atLeast"/>
          <w:jc w:val="center"/>
        </w:trPr>
        <w:tc>
          <w:tcPr>
            <w:tcW w:w="212"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49"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所属社区</w:t>
            </w:r>
          </w:p>
        </w:tc>
        <w:tc>
          <w:tcPr>
            <w:tcW w:w="451"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公厕</w:t>
            </w:r>
          </w:p>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627"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详细地址</w:t>
            </w:r>
          </w:p>
        </w:tc>
        <w:tc>
          <w:tcPr>
            <w:tcW w:w="137"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类别</w:t>
            </w:r>
          </w:p>
        </w:tc>
        <w:tc>
          <w:tcPr>
            <w:tcW w:w="281"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是否为</w:t>
            </w:r>
          </w:p>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活动式</w:t>
            </w:r>
          </w:p>
        </w:tc>
        <w:tc>
          <w:tcPr>
            <w:tcW w:w="349"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保洁时长</w:t>
            </w:r>
          </w:p>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（h）</w:t>
            </w:r>
          </w:p>
        </w:tc>
        <w:tc>
          <w:tcPr>
            <w:tcW w:w="844" w:type="pct"/>
            <w:gridSpan w:val="3"/>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男厕</w:t>
            </w:r>
          </w:p>
        </w:tc>
        <w:tc>
          <w:tcPr>
            <w:tcW w:w="562" w:type="pct"/>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女厕</w:t>
            </w:r>
          </w:p>
        </w:tc>
        <w:tc>
          <w:tcPr>
            <w:tcW w:w="417"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妇婴专用</w:t>
            </w:r>
          </w:p>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厕位（个）</w:t>
            </w:r>
          </w:p>
        </w:tc>
        <w:tc>
          <w:tcPr>
            <w:tcW w:w="417"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无障碍</w:t>
            </w:r>
          </w:p>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厕位（个）</w:t>
            </w:r>
          </w:p>
        </w:tc>
        <w:tc>
          <w:tcPr>
            <w:tcW w:w="349"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占地面积</w:t>
            </w:r>
          </w:p>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（m</w:t>
            </w:r>
            <w:r>
              <w:rPr>
                <w:rFonts w:hint="eastAsia" w:ascii="宋体" w:hAnsi="宋体" w:eastAsia="宋体" w:cs="宋体"/>
                <w:b/>
                <w:bCs/>
                <w:color w:val="auto"/>
                <w:sz w:val="21"/>
                <w:szCs w:val="21"/>
                <w:highlight w:val="none"/>
                <w:vertAlign w:val="superscript"/>
              </w:rPr>
              <w:t>2</w:t>
            </w:r>
            <w:r>
              <w:rPr>
                <w:rFonts w:hint="eastAsia" w:ascii="宋体" w:hAnsi="宋体" w:eastAsia="宋体" w:cs="宋体"/>
                <w:b/>
                <w:bCs/>
                <w:color w:val="auto"/>
                <w:sz w:val="21"/>
                <w:szCs w:val="21"/>
                <w:highlight w:val="none"/>
              </w:rPr>
              <w:t>）</w:t>
            </w:r>
          </w:p>
        </w:tc>
      </w:tr>
      <w:tr>
        <w:tblPrEx>
          <w:tblCellMar>
            <w:top w:w="0" w:type="dxa"/>
            <w:left w:w="108" w:type="dxa"/>
            <w:bottom w:w="0" w:type="dxa"/>
            <w:right w:w="108" w:type="dxa"/>
          </w:tblCellMar>
        </w:tblPrEx>
        <w:trPr>
          <w:trHeight w:val="402" w:hRule="atLeast"/>
          <w:jc w:val="center"/>
        </w:trPr>
        <w:tc>
          <w:tcPr>
            <w:tcW w:w="21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color w:val="auto"/>
                <w:sz w:val="21"/>
                <w:szCs w:val="21"/>
                <w:highlight w:val="none"/>
              </w:rPr>
            </w:pPr>
          </w:p>
        </w:tc>
        <w:tc>
          <w:tcPr>
            <w:tcW w:w="3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color w:val="auto"/>
                <w:sz w:val="21"/>
                <w:szCs w:val="21"/>
                <w:highlight w:val="none"/>
              </w:rPr>
            </w:pPr>
          </w:p>
        </w:tc>
        <w:tc>
          <w:tcPr>
            <w:tcW w:w="45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color w:val="auto"/>
                <w:sz w:val="21"/>
                <w:szCs w:val="21"/>
                <w:highlight w:val="none"/>
              </w:rPr>
            </w:pPr>
          </w:p>
        </w:tc>
        <w:tc>
          <w:tcPr>
            <w:tcW w:w="62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color w:val="auto"/>
                <w:sz w:val="21"/>
                <w:szCs w:val="21"/>
                <w:highlight w:val="none"/>
              </w:rPr>
            </w:pPr>
          </w:p>
        </w:tc>
        <w:tc>
          <w:tcPr>
            <w:tcW w:w="13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color w:val="auto"/>
                <w:sz w:val="21"/>
                <w:szCs w:val="21"/>
                <w:highlight w:val="none"/>
              </w:rPr>
            </w:pPr>
          </w:p>
        </w:tc>
        <w:tc>
          <w:tcPr>
            <w:tcW w:w="28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color w:val="auto"/>
                <w:sz w:val="21"/>
                <w:szCs w:val="21"/>
                <w:highlight w:val="none"/>
              </w:rPr>
            </w:pPr>
          </w:p>
        </w:tc>
        <w:tc>
          <w:tcPr>
            <w:tcW w:w="3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color w:val="auto"/>
                <w:sz w:val="21"/>
                <w:szCs w:val="21"/>
                <w:highlight w:val="none"/>
              </w:rPr>
            </w:pPr>
          </w:p>
        </w:tc>
        <w:tc>
          <w:tcPr>
            <w:tcW w:w="281" w:type="pct"/>
            <w:tcBorders>
              <w:top w:val="nil"/>
              <w:left w:val="nil"/>
              <w:bottom w:val="single" w:color="auto" w:sz="4" w:space="0"/>
              <w:right w:val="single" w:color="auto" w:sz="4" w:space="0"/>
            </w:tcBorders>
            <w:noWrap/>
            <w:vAlign w:val="center"/>
          </w:tcPr>
          <w:p>
            <w:pPr>
              <w:widowControl/>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坐位</w:t>
            </w:r>
          </w:p>
          <w:p>
            <w:pPr>
              <w:widowControl/>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（个）</w:t>
            </w:r>
          </w:p>
        </w:tc>
        <w:tc>
          <w:tcPr>
            <w:tcW w:w="281" w:type="pct"/>
            <w:tcBorders>
              <w:top w:val="nil"/>
              <w:left w:val="nil"/>
              <w:bottom w:val="single" w:color="auto" w:sz="4" w:space="0"/>
              <w:right w:val="single" w:color="auto" w:sz="4" w:space="0"/>
            </w:tcBorders>
            <w:noWrap/>
            <w:vAlign w:val="center"/>
          </w:tcPr>
          <w:p>
            <w:pPr>
              <w:widowControl/>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蹲位</w:t>
            </w:r>
          </w:p>
          <w:p>
            <w:pPr>
              <w:widowControl/>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（个）</w:t>
            </w:r>
          </w:p>
        </w:tc>
        <w:tc>
          <w:tcPr>
            <w:tcW w:w="281" w:type="pct"/>
            <w:tcBorders>
              <w:top w:val="nil"/>
              <w:left w:val="nil"/>
              <w:bottom w:val="single" w:color="auto" w:sz="4" w:space="0"/>
              <w:right w:val="single" w:color="auto" w:sz="4" w:space="0"/>
            </w:tcBorders>
            <w:noWrap/>
            <w:vAlign w:val="center"/>
          </w:tcPr>
          <w:p>
            <w:pPr>
              <w:widowControl/>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站位</w:t>
            </w:r>
          </w:p>
          <w:p>
            <w:pPr>
              <w:widowControl/>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（个）</w:t>
            </w:r>
          </w:p>
        </w:tc>
        <w:tc>
          <w:tcPr>
            <w:tcW w:w="281" w:type="pct"/>
            <w:tcBorders>
              <w:top w:val="nil"/>
              <w:left w:val="nil"/>
              <w:bottom w:val="single" w:color="auto" w:sz="4" w:space="0"/>
              <w:right w:val="single" w:color="auto" w:sz="4" w:space="0"/>
            </w:tcBorders>
            <w:noWrap/>
            <w:vAlign w:val="center"/>
          </w:tcPr>
          <w:p>
            <w:pPr>
              <w:widowControl/>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坐位</w:t>
            </w:r>
          </w:p>
          <w:p>
            <w:pPr>
              <w:widowControl/>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（个）</w:t>
            </w:r>
          </w:p>
        </w:tc>
        <w:tc>
          <w:tcPr>
            <w:tcW w:w="281" w:type="pct"/>
            <w:tcBorders>
              <w:top w:val="nil"/>
              <w:left w:val="nil"/>
              <w:bottom w:val="single" w:color="auto" w:sz="4" w:space="0"/>
              <w:right w:val="single" w:color="auto" w:sz="4" w:space="0"/>
            </w:tcBorders>
            <w:noWrap/>
            <w:vAlign w:val="center"/>
          </w:tcPr>
          <w:p>
            <w:pPr>
              <w:widowControl/>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蹲位</w:t>
            </w:r>
          </w:p>
          <w:p>
            <w:pPr>
              <w:widowControl/>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（个）</w:t>
            </w:r>
          </w:p>
        </w:tc>
        <w:tc>
          <w:tcPr>
            <w:tcW w:w="41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color w:val="auto"/>
                <w:sz w:val="21"/>
                <w:szCs w:val="21"/>
                <w:highlight w:val="none"/>
              </w:rPr>
            </w:pPr>
          </w:p>
        </w:tc>
        <w:tc>
          <w:tcPr>
            <w:tcW w:w="41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color w:val="auto"/>
                <w:sz w:val="21"/>
                <w:szCs w:val="21"/>
                <w:highlight w:val="none"/>
              </w:rPr>
            </w:pPr>
          </w:p>
        </w:tc>
        <w:tc>
          <w:tcPr>
            <w:tcW w:w="3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color w:val="auto"/>
                <w:sz w:val="21"/>
                <w:szCs w:val="21"/>
                <w:highlight w:val="none"/>
              </w:rPr>
            </w:pPr>
          </w:p>
        </w:tc>
      </w:tr>
      <w:tr>
        <w:tblPrEx>
          <w:tblCellMar>
            <w:top w:w="0" w:type="dxa"/>
            <w:left w:w="108" w:type="dxa"/>
            <w:bottom w:w="0" w:type="dxa"/>
            <w:right w:w="108" w:type="dxa"/>
          </w:tblCellMar>
        </w:tblPrEx>
        <w:trPr>
          <w:trHeight w:val="402" w:hRule="atLeast"/>
          <w:jc w:val="center"/>
        </w:trPr>
        <w:tc>
          <w:tcPr>
            <w:tcW w:w="212"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49"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新民</w:t>
            </w:r>
          </w:p>
        </w:tc>
        <w:tc>
          <w:tcPr>
            <w:tcW w:w="451"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长安70公厕</w:t>
            </w:r>
          </w:p>
        </w:tc>
        <w:tc>
          <w:tcPr>
            <w:tcW w:w="62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长安镇新民社区</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兴盛路46号</w:t>
            </w:r>
          </w:p>
        </w:tc>
        <w:tc>
          <w:tcPr>
            <w:tcW w:w="13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二类</w:t>
            </w:r>
          </w:p>
        </w:tc>
        <w:tc>
          <w:tcPr>
            <w:tcW w:w="281"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否</w:t>
            </w:r>
          </w:p>
        </w:tc>
        <w:tc>
          <w:tcPr>
            <w:tcW w:w="349"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w:t>
            </w:r>
          </w:p>
        </w:tc>
        <w:tc>
          <w:tcPr>
            <w:tcW w:w="281"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281"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w:t>
            </w:r>
          </w:p>
        </w:tc>
        <w:tc>
          <w:tcPr>
            <w:tcW w:w="281"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281"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281"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w:t>
            </w:r>
          </w:p>
        </w:tc>
        <w:tc>
          <w:tcPr>
            <w:tcW w:w="41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41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349"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196</w:t>
            </w:r>
          </w:p>
        </w:tc>
      </w:tr>
      <w:tr>
        <w:tblPrEx>
          <w:tblCellMar>
            <w:top w:w="0" w:type="dxa"/>
            <w:left w:w="108" w:type="dxa"/>
            <w:bottom w:w="0" w:type="dxa"/>
            <w:right w:w="108" w:type="dxa"/>
          </w:tblCellMar>
        </w:tblPrEx>
        <w:trPr>
          <w:trHeight w:val="402" w:hRule="atLeast"/>
          <w:jc w:val="center"/>
        </w:trPr>
        <w:tc>
          <w:tcPr>
            <w:tcW w:w="212"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49"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新民</w:t>
            </w:r>
          </w:p>
        </w:tc>
        <w:tc>
          <w:tcPr>
            <w:tcW w:w="451"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长安72公厕</w:t>
            </w:r>
          </w:p>
        </w:tc>
        <w:tc>
          <w:tcPr>
            <w:tcW w:w="62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长安镇新民市场</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新民路78号</w:t>
            </w:r>
          </w:p>
        </w:tc>
        <w:tc>
          <w:tcPr>
            <w:tcW w:w="13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二类</w:t>
            </w:r>
          </w:p>
        </w:tc>
        <w:tc>
          <w:tcPr>
            <w:tcW w:w="281"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否</w:t>
            </w:r>
          </w:p>
        </w:tc>
        <w:tc>
          <w:tcPr>
            <w:tcW w:w="349"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w:t>
            </w:r>
          </w:p>
        </w:tc>
        <w:tc>
          <w:tcPr>
            <w:tcW w:w="281"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281"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w:t>
            </w:r>
          </w:p>
        </w:tc>
        <w:tc>
          <w:tcPr>
            <w:tcW w:w="281"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281"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281"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w:t>
            </w:r>
          </w:p>
        </w:tc>
        <w:tc>
          <w:tcPr>
            <w:tcW w:w="41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41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349"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170</w:t>
            </w:r>
          </w:p>
        </w:tc>
      </w:tr>
    </w:tbl>
    <w:p>
      <w:pPr>
        <w:widowControl/>
        <w:adjustRightInd w:val="0"/>
        <w:snapToGrid w:val="0"/>
        <w:spacing w:line="360" w:lineRule="auto"/>
        <w:ind w:firstLine="420" w:firstLineChars="200"/>
        <w:rPr>
          <w:rFonts w:hint="eastAsia" w:hAnsi="宋体"/>
          <w:color w:val="auto"/>
          <w:sz w:val="21"/>
          <w:szCs w:val="21"/>
          <w:highlight w:val="none"/>
        </w:rPr>
      </w:pPr>
      <w:r>
        <w:rPr>
          <w:rFonts w:hint="eastAsia" w:hAnsi="宋体" w:cs="宋体"/>
          <w:color w:val="auto"/>
          <w:sz w:val="21"/>
          <w:szCs w:val="21"/>
          <w:highlight w:val="none"/>
        </w:rPr>
        <w:t>备注：</w:t>
      </w:r>
      <w:r>
        <w:rPr>
          <w:rFonts w:hint="eastAsia" w:hAnsi="宋体"/>
          <w:color w:val="auto"/>
          <w:sz w:val="21"/>
          <w:szCs w:val="21"/>
          <w:highlight w:val="none"/>
        </w:rPr>
        <w:t>该部分工作涉及的费用已包含在环卫保洁单价中，采购人不在另行支付费用。</w:t>
      </w:r>
    </w:p>
    <w:p>
      <w:pPr>
        <w:autoSpaceDE/>
        <w:autoSpaceDN/>
        <w:adjustRightInd/>
        <w:spacing w:line="360" w:lineRule="auto"/>
        <w:ind w:left="120" w:firstLine="420" w:firstLineChars="200"/>
        <w:contextualSpacing/>
        <w:jc w:val="both"/>
        <w:rPr>
          <w:rFonts w:hint="eastAsia" w:hAnsi="宋体" w:eastAsia="宋体" w:cs="宋体"/>
          <w:color w:val="auto"/>
          <w:kern w:val="2"/>
          <w:sz w:val="21"/>
          <w:szCs w:val="21"/>
          <w:highlight w:val="none"/>
          <w:lang w:bidi="zh-CN"/>
        </w:rPr>
      </w:pPr>
      <w:r>
        <w:rPr>
          <w:rFonts w:hint="eastAsia" w:hAnsi="宋体" w:eastAsia="宋体" w:cs="宋体"/>
          <w:color w:val="auto"/>
          <w:kern w:val="2"/>
          <w:sz w:val="21"/>
          <w:szCs w:val="21"/>
          <w:highlight w:val="none"/>
          <w:lang w:eastAsia="zh-CN" w:bidi="zh-CN"/>
        </w:rPr>
        <w:t>（</w:t>
      </w:r>
      <w:r>
        <w:rPr>
          <w:rFonts w:hint="eastAsia" w:hAnsi="宋体" w:eastAsia="宋体" w:cs="宋体"/>
          <w:color w:val="auto"/>
          <w:kern w:val="2"/>
          <w:sz w:val="21"/>
          <w:szCs w:val="21"/>
          <w:highlight w:val="none"/>
          <w:lang w:val="en-US" w:eastAsia="zh-CN" w:bidi="zh-CN"/>
        </w:rPr>
        <w:t>五</w:t>
      </w:r>
      <w:r>
        <w:rPr>
          <w:rFonts w:hint="eastAsia" w:hAnsi="宋体" w:eastAsia="宋体" w:cs="宋体"/>
          <w:color w:val="auto"/>
          <w:kern w:val="2"/>
          <w:sz w:val="21"/>
          <w:szCs w:val="21"/>
          <w:highlight w:val="none"/>
          <w:lang w:eastAsia="zh-CN" w:bidi="zh-CN"/>
        </w:rPr>
        <w:t>）</w:t>
      </w:r>
      <w:r>
        <w:rPr>
          <w:rFonts w:hint="eastAsia" w:hAnsi="宋体" w:eastAsia="宋体" w:cs="宋体"/>
          <w:color w:val="auto"/>
          <w:kern w:val="2"/>
          <w:sz w:val="21"/>
          <w:szCs w:val="21"/>
          <w:highlight w:val="none"/>
          <w:lang w:bidi="zh-CN"/>
        </w:rPr>
        <w:t>垃圾转运站现状情况表</w:t>
      </w:r>
    </w:p>
    <w:tbl>
      <w:tblPr>
        <w:tblStyle w:val="18"/>
        <w:tblW w:w="4998" w:type="pct"/>
        <w:jc w:val="center"/>
        <w:tblLayout w:type="autofit"/>
        <w:tblCellMar>
          <w:top w:w="0" w:type="dxa"/>
          <w:left w:w="108" w:type="dxa"/>
          <w:bottom w:w="0" w:type="dxa"/>
          <w:right w:w="108" w:type="dxa"/>
        </w:tblCellMar>
      </w:tblPr>
      <w:tblGrid>
        <w:gridCol w:w="425"/>
        <w:gridCol w:w="425"/>
        <w:gridCol w:w="893"/>
        <w:gridCol w:w="945"/>
        <w:gridCol w:w="635"/>
        <w:gridCol w:w="739"/>
        <w:gridCol w:w="739"/>
        <w:gridCol w:w="635"/>
        <w:gridCol w:w="922"/>
        <w:gridCol w:w="1210"/>
        <w:gridCol w:w="948"/>
      </w:tblGrid>
      <w:tr>
        <w:tblPrEx>
          <w:tblCellMar>
            <w:top w:w="0" w:type="dxa"/>
            <w:left w:w="108" w:type="dxa"/>
            <w:bottom w:w="0" w:type="dxa"/>
            <w:right w:w="108" w:type="dxa"/>
          </w:tblCellMar>
        </w:tblPrEx>
        <w:trPr>
          <w:trHeight w:val="907" w:hRule="atLeast"/>
          <w:jc w:val="center"/>
        </w:trPr>
        <w:tc>
          <w:tcPr>
            <w:tcW w:w="21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16" w:type="pct"/>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社区</w:t>
            </w:r>
          </w:p>
        </w:tc>
        <w:tc>
          <w:tcPr>
            <w:tcW w:w="53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转运站</w:t>
            </w:r>
          </w:p>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67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地址</w:t>
            </w:r>
          </w:p>
        </w:tc>
        <w:tc>
          <w:tcPr>
            <w:tcW w:w="2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设计规模</w:t>
            </w:r>
          </w:p>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（t/d）</w:t>
            </w:r>
          </w:p>
        </w:tc>
        <w:tc>
          <w:tcPr>
            <w:tcW w:w="42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现日转运量</w:t>
            </w:r>
          </w:p>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（t/d）</w:t>
            </w:r>
          </w:p>
        </w:tc>
        <w:tc>
          <w:tcPr>
            <w:tcW w:w="42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转运箱体</w:t>
            </w:r>
          </w:p>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个数（个）</w:t>
            </w:r>
          </w:p>
        </w:tc>
        <w:tc>
          <w:tcPr>
            <w:tcW w:w="35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压缩工艺</w:t>
            </w:r>
          </w:p>
        </w:tc>
        <w:tc>
          <w:tcPr>
            <w:tcW w:w="57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箱体规格（m</w:t>
            </w:r>
            <w:r>
              <w:rPr>
                <w:rFonts w:hint="eastAsia" w:ascii="宋体" w:hAnsi="宋体" w:eastAsia="宋体" w:cs="宋体"/>
                <w:b/>
                <w:bCs/>
                <w:color w:val="auto"/>
                <w:sz w:val="21"/>
                <w:szCs w:val="21"/>
                <w:highlight w:val="none"/>
                <w:vertAlign w:val="superscript"/>
              </w:rPr>
              <w:t>3</w:t>
            </w:r>
            <w:r>
              <w:rPr>
                <w:rFonts w:hint="eastAsia" w:ascii="宋体" w:hAnsi="宋体" w:eastAsia="宋体" w:cs="宋体"/>
                <w:b/>
                <w:bCs/>
                <w:color w:val="auto"/>
                <w:sz w:val="21"/>
                <w:szCs w:val="21"/>
                <w:highlight w:val="none"/>
              </w:rPr>
              <w:t>）</w:t>
            </w:r>
          </w:p>
        </w:tc>
        <w:tc>
          <w:tcPr>
            <w:tcW w:w="73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日转运次数（次/日）</w:t>
            </w:r>
          </w:p>
        </w:tc>
        <w:tc>
          <w:tcPr>
            <w:tcW w:w="58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距红花坑</w:t>
            </w:r>
          </w:p>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单程运距（km）</w:t>
            </w:r>
          </w:p>
        </w:tc>
      </w:tr>
      <w:tr>
        <w:tblPrEx>
          <w:tblCellMar>
            <w:top w:w="0" w:type="dxa"/>
            <w:left w:w="108" w:type="dxa"/>
            <w:bottom w:w="0" w:type="dxa"/>
            <w:right w:w="108" w:type="dxa"/>
          </w:tblCellMar>
        </w:tblPrEx>
        <w:trPr>
          <w:trHeight w:val="402" w:hRule="atLeast"/>
          <w:jc w:val="center"/>
        </w:trPr>
        <w:tc>
          <w:tcPr>
            <w:tcW w:w="21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新民</w:t>
            </w:r>
          </w:p>
        </w:tc>
        <w:tc>
          <w:tcPr>
            <w:tcW w:w="531"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长安22中转站</w:t>
            </w:r>
          </w:p>
        </w:tc>
        <w:tc>
          <w:tcPr>
            <w:tcW w:w="675"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长安镇新民社区</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兴盛路46号</w:t>
            </w:r>
          </w:p>
        </w:tc>
        <w:tc>
          <w:tcPr>
            <w:tcW w:w="246"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25</w:t>
            </w:r>
          </w:p>
        </w:tc>
        <w:tc>
          <w:tcPr>
            <w:tcW w:w="42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19</w:t>
            </w:r>
          </w:p>
        </w:tc>
        <w:tc>
          <w:tcPr>
            <w:tcW w:w="42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356"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水平</w:t>
            </w:r>
          </w:p>
        </w:tc>
        <w:tc>
          <w:tcPr>
            <w:tcW w:w="576"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18</w:t>
            </w:r>
          </w:p>
        </w:tc>
        <w:tc>
          <w:tcPr>
            <w:tcW w:w="738"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58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w:t>
            </w:r>
          </w:p>
        </w:tc>
      </w:tr>
    </w:tbl>
    <w:p>
      <w:pPr>
        <w:rPr>
          <w:rFonts w:hint="eastAsia" w:hAnsi="宋体"/>
          <w:color w:val="auto"/>
          <w:sz w:val="21"/>
          <w:szCs w:val="21"/>
          <w:highlight w:val="none"/>
        </w:rPr>
        <w:sectPr>
          <w:footerReference r:id="rId5" w:type="default"/>
          <w:pgSz w:w="11906" w:h="16838"/>
          <w:pgMar w:top="1440" w:right="1803" w:bottom="1440" w:left="1803" w:header="851" w:footer="992" w:gutter="0"/>
          <w:cols w:space="720" w:num="1"/>
          <w:docGrid w:type="lines" w:linePitch="312" w:charSpace="0"/>
        </w:sectPr>
      </w:pPr>
      <w:r>
        <w:rPr>
          <w:rFonts w:hint="eastAsia" w:hAnsi="宋体" w:cs="宋体"/>
          <w:color w:val="auto"/>
          <w:sz w:val="21"/>
          <w:szCs w:val="21"/>
          <w:highlight w:val="none"/>
        </w:rPr>
        <w:t>备注：</w:t>
      </w:r>
      <w:r>
        <w:rPr>
          <w:rFonts w:hint="eastAsia" w:hAnsi="宋体"/>
          <w:color w:val="auto"/>
          <w:sz w:val="21"/>
          <w:szCs w:val="21"/>
          <w:highlight w:val="none"/>
        </w:rPr>
        <w:t>该部分工作涉及的费用已包含在环卫保洁单价中，采购人不在另行支付费用。</w:t>
      </w:r>
    </w:p>
    <w:p>
      <w:pPr>
        <w:widowControl/>
        <w:adjustRightInd w:val="0"/>
        <w:snapToGrid w:val="0"/>
        <w:spacing w:line="360" w:lineRule="auto"/>
        <w:ind w:firstLine="420" w:firstLineChars="200"/>
        <w:rPr>
          <w:rFonts w:ascii="宋体" w:hAnsi="宋体" w:cs="宋体"/>
          <w:color w:val="auto"/>
          <w:szCs w:val="21"/>
          <w:highlight w:val="none"/>
          <w:lang w:bidi="zh-CN"/>
        </w:rPr>
      </w:pP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val="en-US" w:eastAsia="zh-CN" w:bidi="ar"/>
        </w:rPr>
        <w:t>六</w:t>
      </w:r>
      <w:r>
        <w:rPr>
          <w:rFonts w:hint="eastAsia" w:ascii="宋体" w:hAnsi="宋体" w:cs="宋体"/>
          <w:color w:val="auto"/>
          <w:kern w:val="0"/>
          <w:szCs w:val="21"/>
          <w:highlight w:val="none"/>
          <w:lang w:bidi="ar"/>
        </w:rPr>
        <w:t>）环卫保洁测量面积</w:t>
      </w:r>
    </w:p>
    <w:p>
      <w:pPr>
        <w:widowControl/>
        <w:adjustRightInd w:val="0"/>
        <w:snapToGrid w:val="0"/>
        <w:spacing w:line="360" w:lineRule="auto"/>
        <w:ind w:firstLine="422" w:firstLineChars="200"/>
        <w:jc w:val="center"/>
        <w:rPr>
          <w:b/>
          <w:bCs/>
          <w:color w:val="auto"/>
          <w:highlight w:val="none"/>
        </w:rPr>
      </w:pPr>
      <w:r>
        <w:rPr>
          <w:rFonts w:hint="eastAsia" w:ascii="宋体" w:hAnsi="宋体" w:cs="宋体"/>
          <w:b/>
          <w:bCs/>
          <w:color w:val="auto"/>
          <w:szCs w:val="21"/>
          <w:highlight w:val="none"/>
          <w:lang w:bidi="zh-CN"/>
        </w:rPr>
        <w:t>《东莞市新民社区环卫面积测量成果图》</w:t>
      </w:r>
    </w:p>
    <w:p>
      <w:pPr>
        <w:jc w:val="center"/>
        <w:rPr>
          <w:color w:val="auto"/>
          <w:highlight w:val="none"/>
        </w:rPr>
      </w:pPr>
      <w:r>
        <w:rPr>
          <w:color w:val="auto"/>
          <w:highlight w:val="none"/>
        </w:rPr>
        <w:drawing>
          <wp:inline distT="0" distB="0" distL="114300" distR="114300">
            <wp:extent cx="5506085" cy="4291965"/>
            <wp:effectExtent l="0" t="0" r="18415"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506085" cy="4291965"/>
                    </a:xfrm>
                    <a:prstGeom prst="rect">
                      <a:avLst/>
                    </a:prstGeom>
                    <a:noFill/>
                    <a:ln>
                      <a:noFill/>
                    </a:ln>
                  </pic:spPr>
                </pic:pic>
              </a:graphicData>
            </a:graphic>
          </wp:inline>
        </w:drawing>
      </w:r>
    </w:p>
    <w:p>
      <w:pPr>
        <w:rPr>
          <w:rFonts w:hint="eastAsia" w:ascii="宋体" w:hAnsi="宋体" w:cs="宋体"/>
          <w:color w:val="auto"/>
          <w:kern w:val="0"/>
          <w:szCs w:val="21"/>
          <w:highlight w:val="none"/>
          <w:lang w:bidi="ar"/>
        </w:rPr>
        <w:sectPr>
          <w:pgSz w:w="16838" w:h="11906" w:orient="landscape"/>
          <w:pgMar w:top="1803" w:right="1440" w:bottom="1803" w:left="1440" w:header="851" w:footer="992" w:gutter="0"/>
          <w:cols w:space="720" w:num="1"/>
          <w:docGrid w:type="lines" w:linePitch="312" w:charSpace="0"/>
        </w:sectPr>
      </w:pPr>
      <w:r>
        <w:rPr>
          <w:rFonts w:hint="eastAsia" w:ascii="宋体" w:hAnsi="宋体" w:cs="宋体"/>
          <w:color w:val="auto"/>
          <w:szCs w:val="21"/>
          <w:highlight w:val="none"/>
          <w:lang w:val="en-US" w:eastAsia="zh-CN"/>
        </w:rPr>
        <w:t>注：</w:t>
      </w:r>
      <w:r>
        <w:rPr>
          <w:rFonts w:hint="eastAsia" w:ascii="宋体" w:hAnsi="宋体" w:cs="宋体"/>
          <w:color w:val="auto"/>
          <w:szCs w:val="21"/>
          <w:highlight w:val="none"/>
        </w:rPr>
        <w:t>以上面积仅供参考，具体实际面积数量以中标供应商与采购人核实为准。如实施过程中因道路扩建、改建或施工围蔽期间造成清扫保洁面积增减，根据相关规定进行确定，具体面积按实际丈量计算。</w:t>
      </w:r>
    </w:p>
    <w:p>
      <w:pPr>
        <w:overflowPunct w:val="0"/>
        <w:autoSpaceDE w:val="0"/>
        <w:autoSpaceDN w:val="0"/>
        <w:spacing w:before="156" w:beforeLines="50" w:after="156" w:afterLines="50" w:line="360" w:lineRule="auto"/>
        <w:textAlignment w:val="baseline"/>
        <w:rPr>
          <w:rFonts w:ascii="宋体" w:hAnsi="宋体" w:cs="宋体"/>
          <w:b/>
          <w:color w:val="auto"/>
          <w:sz w:val="24"/>
          <w:highlight w:val="none"/>
        </w:rPr>
      </w:pPr>
      <w:r>
        <w:rPr>
          <w:rFonts w:hint="eastAsia" w:ascii="宋体" w:hAnsi="宋体" w:cs="宋体"/>
          <w:b/>
          <w:color w:val="auto"/>
          <w:sz w:val="24"/>
          <w:highlight w:val="none"/>
        </w:rPr>
        <w:t>二、服务方式和要求</w:t>
      </w:r>
    </w:p>
    <w:p>
      <w:pPr>
        <w:widowControl/>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（一）服务方式</w:t>
      </w:r>
    </w:p>
    <w:p>
      <w:pPr>
        <w:widowControl/>
        <w:adjustRightInd w:val="0"/>
        <w:snapToGrid w:val="0"/>
        <w:spacing w:line="360" w:lineRule="auto"/>
        <w:ind w:firstLine="422" w:firstLineChars="200"/>
        <w:rPr>
          <w:rFonts w:ascii="宋体" w:hAnsi="宋体" w:cs="宋体"/>
          <w:b/>
          <w:color w:val="auto"/>
          <w:sz w:val="24"/>
          <w:highlight w:val="none"/>
        </w:rPr>
      </w:pPr>
      <w:r>
        <w:rPr>
          <w:rFonts w:hint="eastAsia" w:ascii="宋体" w:hAnsi="宋体" w:cs="宋体"/>
          <w:b/>
          <w:color w:val="auto"/>
          <w:szCs w:val="21"/>
          <w:highlight w:val="none"/>
        </w:rPr>
        <w:t>★采用全包干形式，即业务包干、经费包干。采购人将上述清扫保洁、水面保洁、厕所和中转站管养、生活垃圾运输等业务发包给中标供应商，中标供应商按采购人的要求和标准组织开展相关业务工作，并接受采购人的指导、监督、检查、考核和验收，中标供应商不得将业务转包或将项目的主体、关键性工作分包。中标供应商需在签订合同后一个月内申请业务行政主管部门颁发的《城市生活垃圾经营性清扫、收集、运输服务许可证》（提供单独承诺函）。</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（二）环境卫生质量要求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1、城市道路、广场、步行街清扫保洁的质量要求：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（1）日间，一至</w:t>
      </w:r>
      <w:r>
        <w:rPr>
          <w:rFonts w:hint="eastAsia"/>
          <w:color w:val="auto"/>
          <w:sz w:val="21"/>
          <w:szCs w:val="21"/>
          <w:highlight w:val="none"/>
          <w:lang w:val="en-US" w:eastAsia="zh-CN"/>
        </w:rPr>
        <w:t>三</w:t>
      </w:r>
      <w:r>
        <w:rPr>
          <w:rFonts w:hint="eastAsia"/>
          <w:color w:val="auto"/>
          <w:sz w:val="21"/>
          <w:szCs w:val="21"/>
          <w:highlight w:val="none"/>
        </w:rPr>
        <w:t>级清扫保洁区域的路面废弃物总数应符合下表规定。</w:t>
      </w:r>
    </w:p>
    <w:p>
      <w:pPr>
        <w:pStyle w:val="2"/>
        <w:spacing w:before="0" w:line="360" w:lineRule="auto"/>
        <w:ind w:left="0"/>
        <w:jc w:val="center"/>
        <w:rPr>
          <w:b/>
          <w:bCs/>
          <w:color w:val="auto"/>
          <w:sz w:val="21"/>
          <w:szCs w:val="21"/>
          <w:highlight w:val="none"/>
        </w:rPr>
      </w:pPr>
      <w:r>
        <w:rPr>
          <w:rFonts w:hint="eastAsia"/>
          <w:b/>
          <w:bCs/>
          <w:color w:val="auto"/>
          <w:sz w:val="21"/>
          <w:szCs w:val="21"/>
          <w:highlight w:val="none"/>
        </w:rPr>
        <w:t>表1城市道路路面废弃物控制指标</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2613"/>
        <w:gridCol w:w="1483"/>
        <w:gridCol w:w="1997"/>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保洁等级</w:t>
            </w:r>
          </w:p>
        </w:tc>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果皮、纸屑、塑膜及其他杂物（件/500平方米）</w:t>
            </w:r>
          </w:p>
        </w:tc>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烟蒂（个/500平方米）</w:t>
            </w:r>
          </w:p>
        </w:tc>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污水、污渍（平方米/500平方米）</w:t>
            </w:r>
          </w:p>
        </w:tc>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尘土量（千克/500平方米）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2"/>
              <w:spacing w:before="0" w:line="360" w:lineRule="auto"/>
              <w:ind w:left="0"/>
              <w:jc w:val="center"/>
              <w:rPr>
                <w:color w:val="auto"/>
                <w:sz w:val="21"/>
                <w:szCs w:val="21"/>
                <w:highlight w:val="none"/>
              </w:rPr>
            </w:pPr>
            <w:r>
              <w:rPr>
                <w:rFonts w:hint="eastAsia"/>
                <w:color w:val="auto"/>
                <w:sz w:val="21"/>
                <w:szCs w:val="21"/>
                <w:highlight w:val="none"/>
              </w:rPr>
              <w:t>一级</w:t>
            </w:r>
          </w:p>
        </w:tc>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≤2</w:t>
            </w:r>
          </w:p>
        </w:tc>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无</w:t>
            </w:r>
          </w:p>
        </w:tc>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2"/>
              <w:spacing w:before="0" w:line="360" w:lineRule="auto"/>
              <w:ind w:left="0"/>
              <w:jc w:val="center"/>
              <w:rPr>
                <w:color w:val="auto"/>
                <w:sz w:val="21"/>
                <w:szCs w:val="21"/>
                <w:highlight w:val="none"/>
              </w:rPr>
            </w:pPr>
            <w:r>
              <w:rPr>
                <w:rFonts w:hint="eastAsia"/>
                <w:color w:val="auto"/>
                <w:sz w:val="21"/>
                <w:szCs w:val="21"/>
                <w:highlight w:val="none"/>
              </w:rPr>
              <w:t>二级</w:t>
            </w:r>
          </w:p>
        </w:tc>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≤3</w:t>
            </w:r>
          </w:p>
        </w:tc>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≤2</w:t>
            </w:r>
          </w:p>
        </w:tc>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无</w:t>
            </w:r>
          </w:p>
        </w:tc>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2"/>
              <w:spacing w:before="0" w:line="360" w:lineRule="auto"/>
              <w:ind w:left="0"/>
              <w:jc w:val="center"/>
              <w:rPr>
                <w:color w:val="auto"/>
                <w:sz w:val="21"/>
                <w:szCs w:val="21"/>
                <w:highlight w:val="none"/>
              </w:rPr>
            </w:pPr>
            <w:r>
              <w:rPr>
                <w:rFonts w:hint="eastAsia"/>
                <w:color w:val="auto"/>
                <w:sz w:val="21"/>
                <w:szCs w:val="21"/>
                <w:highlight w:val="none"/>
              </w:rPr>
              <w:t>三级</w:t>
            </w:r>
          </w:p>
        </w:tc>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≤4</w:t>
            </w:r>
          </w:p>
        </w:tc>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≤4</w:t>
            </w:r>
          </w:p>
        </w:tc>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无</w:t>
            </w:r>
          </w:p>
        </w:tc>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≤15</w:t>
            </w:r>
          </w:p>
        </w:tc>
      </w:tr>
    </w:tbl>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（2）夜间保洁时，一级清扫保洁道路的路面垃圾杂物（仅计塑料袋、纸屑、饭盒等超过火柴盒大小的较大垃圾）每500平方米不超过4件，二至</w:t>
      </w:r>
      <w:r>
        <w:rPr>
          <w:rFonts w:hint="eastAsia"/>
          <w:color w:val="auto"/>
          <w:sz w:val="21"/>
          <w:szCs w:val="21"/>
          <w:highlight w:val="none"/>
          <w:lang w:val="en-US" w:eastAsia="zh-CN"/>
        </w:rPr>
        <w:t>三</w:t>
      </w:r>
      <w:r>
        <w:rPr>
          <w:rFonts w:hint="eastAsia"/>
          <w:color w:val="auto"/>
          <w:sz w:val="21"/>
          <w:szCs w:val="21"/>
          <w:highlight w:val="none"/>
        </w:rPr>
        <w:t>级清扫保洁道路的路面垃圾杂物每500平方米不超过8件。</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2、交通护栏、灯杆保洁质量要求：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（1）交通护栏无明显积尘、无明显污迹；</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（2）灯杆无明显积尘、无明显污迹。</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3、道路两侧休闲椅、广告牌、路牌等设施的清理应符合以下要求：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（1）道路两侧休闲椅、康体娱乐设施、雕塑等无明显积尘、无明显污迹；</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（2）道路两侧广告牌、路牌、邮筒、读报栏、站亭等设施无污迹、积尘。</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4、人行天桥的保洁应符合以下要求：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（1）人行天桥应与所连接的道路保洁质量标准相同，人行天桥桥面应无明显垃圾，注意清理口香糖渣等污垢，做到桥面见本色，阶梯、扶手、栏杆应干净整洁，无乱张贴、乱涂写；</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（2）人行天桥雨篷应定期进行清理，确保无暴露垃圾。</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 xml:space="preserve">5、地下人行通道的保洁应符合以下要求： </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地下人行通道应与所连接的道路保洁质量标准相同，地下人行通道地面、阶梯、扶手应干净，注意清理口香糖渣等污垢，做到地面见本色，两侧墙面无乱张贴、乱涂写。</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6、车行隧道的保洁应符合以下要求：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（1）车行隧道的路面应干净，无积存污水和垃圾；</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（2）隧道两壁应无明显污物；</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（3）隧道进出口保洁质量应与所连接路段保洁质量标准相同。</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（三）环卫保洁作业要求</w:t>
      </w:r>
    </w:p>
    <w:p>
      <w:pPr>
        <w:pStyle w:val="2"/>
        <w:spacing w:before="0" w:line="360" w:lineRule="auto"/>
        <w:ind w:left="0" w:firstLine="422" w:firstLineChars="200"/>
        <w:rPr>
          <w:b/>
          <w:bCs/>
          <w:color w:val="auto"/>
          <w:sz w:val="21"/>
          <w:szCs w:val="21"/>
          <w:highlight w:val="none"/>
        </w:rPr>
      </w:pPr>
      <w:r>
        <w:rPr>
          <w:rFonts w:hint="eastAsia"/>
          <w:b/>
          <w:bCs/>
          <w:color w:val="auto"/>
          <w:sz w:val="21"/>
          <w:szCs w:val="21"/>
          <w:highlight w:val="none"/>
        </w:rPr>
        <w:t>针对服务范围内相应道路、区域养护等级，分类落实不同等级作业要求。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1、一级区域</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（1）景观道路、重要道路</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①清扫作业：机动车道机械化清扫率达到100%，每日清扫次数不少于2次；非机动车道及人行道实行小型机械和人工配合清扫或实行人工清扫，每日清扫次数不少于2次。</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②保洁作业：机动车道使用机械化车辆辅以人工保洁方式进行保洁，非机动车道、人行道实行人工保洁作业，保洁时间18小时。</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③清洗作业：机动车道使用高压冲洗车进行冲洗作业，冲洗次数不少于1次/日；路沿石冲洗使用小型冲洗车作业，冲洗次数不少于1次/日；人行道冲刷除尘采用手推式扫（洗）地机进行洗刷或高压水枪进行洗刷，不少于1次/日，果皮箱、垃圾桶、灯杆、护栏清洗频次不少于1次/周。</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④洒水喷雾降尘作业：主干道洒水次数不少于4次/日，辅道洒水次数不少于2次/日，喷雾降尘不少于2次/日，阴雨天气可减少或不进行洒水喷雾降尘。</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⑤绿化带、树池、背景林清理作业：宜采用鼓风机或低压冲水枪进行清理，配合人工保洁，保洁时间不少于12小时。</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⑥果皮箱、垃圾桶清掏擦拭作业：清掏果皮箱、垃圾桶频次不少于3次/日，并在清掏后进行擦拭，确保无明显污渍。</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⑦沉沙井清理作业：采用人工作业方式清理，正常季节（1-4月、9-12月）清理频次为1次/周；雨季（5-8月）清理频次为2次/周：遇暴雨等恶劣天气需及时清理。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（2）繁华商业步行街</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①清扫作业：实行小型机械和人工配合清扫或实行人工清扫，每日清扫次数不少于2次。</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②保洁作业：使用小型机械化车辆辅以人工保洁方式或采取人工保洁方式作业，保洁时间18小时。</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③清洗作业：使用小型冲洗车或人工使用高压水枪作业，每日冲洗次数不少于1次；果皮箱、垃圾桶、灯杆、护栏清洗频次不少于1次/周。</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④洒水喷雾降尘作业：喷雾降尘不少于4次/日，鼓励采用固定式喷雾机进行喷雾降尘，阴雨天气可减少或不进行洒水喷雾降尘。</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⑤绿化带、树池清理作业：宜采用人工作业方式进行清理，清理次数不少于3次/日。</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⑥果皮箱、垃圾桶清掏擦拭作业：清掏果皮箱、垃圾桶频次不少于3次/日，并在清掏后进行擦拭，确保无明显污渍；实行上门收集垃圾，每日上门收集垃圾不少于3次。</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⑦沉沙井清理作业：采用人工作业方式清理，正常季节（1-4月、9-12月）清理频次为1次/周；雨季（5-8月）清理频次为2次/周；遇暴雨等恶劣天气需及时清理。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（3）市、镇街（园区）中心广场</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①清扫作业：实行小型机械和人工配合清扫或实行人工清扫，每日清扫次数不少于2次。</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②保洁作业：采取人工保洁方式作业，保洁时间18小时。</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③清洗作业：使用小型冲洗车或人工使用高压水枪作业, 每日冲洗次数不少于1次；果皮箱、垃圾桶、灯杆、护栏清洗频次不少于1次/周。</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④洒水喷雾降尘作业：喷雾降尘不少于4次/日，鼓励采用固定式喷雾机进行喷雾降尘，阴雨天气可减少或不进行洒水喷雾降尘。</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⑤绿化带、树池清理作业：宜采用人工作业方式进行清理,清理次数不少于2次/日。</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⑥果皮箱、垃圾桶清掏擦拭作业：清掏果皮箱、垃圾桶频次不少于3次/日，并在清掏后进行擦拭，确保无明显污渍。</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⑦沉沙井清理作业：采用人工作业方式清理,正常季节（1-4月、9-12月）清理频次为1次/周；雨季（5-8月）清理频次为2次/周；遇暴雨等恶劣天气需及时清理。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2、二级区域</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（1）一般城市道路、国道、重要省道、重要县道</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①清扫作业：机动车道机械化清扫率达到95%以上，不能机械化作业区域采用人工清扫作业，每日清扫次数不少于2次；非机动车道及人行道实行小型机械和人工配合清扫或实行人工清扫，每日清扫次数不少于2次。</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②保洁作业：机动车道使用机械化车辆辅以人工保洁方式进行保洁，非机动车道、人行道实行人工保洁作业，保洁时间16小时。</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③清洗作业：机动车道使用高压冲洗车进行冲洗作业，冲洗次数不少于1次/2日；路沿石冲洗使用小型冲洗车作业，冲洗次数不少于1次/2日；人行道冲刷除尘采用手推式扫（洗)地机进行洗刷或高压水枪进行洗刷，不少于1次/2日，果皮箱、垃圾桶、灯杆、护栏清洗频次不少于1次/周。</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④洒水喷雾降尘作业：主干道洒水次数不少于3次/日，辅道洒水次数不少于1次/日，喷雾降尘不少于2次/日，阴雨天气可减少或不进行洒水喷雾降尘。</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⑤绿化带、树池、背景林清理作业：宜采用鼓风机或低压冲水枪进行清理，配合人工进行保洁，保洁时间不少于12小时/日。</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⑥果皮箱、垃圾桶清掏擦拭作业：清掏果皮箱、垃圾桶频次不少于2次/日，并在清掏后进行擦拭，确保无明显污渍。</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⑦沉沙井清理作业：采用人工作业方式清理，正常季节（1-4月、9-12月）清理频次为1次/周；雨季（5-8月）清理频次为2次/周；遇暴雨等恶劣天气需及时清理。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（2）一般商业街</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①清扫作业：实行小型机械和人工配合清扫或实行人工清扫，每日清扫次数不少于2次。</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②保洁作业：使用小型机械化车辆辅以人工保洁方式或采取人工保洁方式作业，保洁时间16小时。</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③清洗作业：使用小型冲洗车或人工使用高压水枪作业，冲洗次数不少于1次/2日；果皮箱、垃圾桶、灯杆、护栏清洗频次不少于1次/周。</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④洒水喷雾降尘作业：洒水次数不少于2次/日，喷雾降尘不少于2次/日，阴雨天气可减少或不进行洒水喷雾降尘。</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⑤绿化带、树池清理作业：宜采用人工作业方式进行清理，清理次数不少于1次/日。</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⑥果皮箱、垃圾桶清掏擦拭作业：清掏果皮箱、垃圾桶频次不少于3次/日，并在清掏后进行擦拭，确保无明显污渍；实行上门收集垃圾，每日上门收集垃圾不少于2次。</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⑦沉沙井清理作业：采用人工作业方式清理，正常季节（1-4月、9-12月）清理频次为1次/周；雨季（5-8月）清理频次为2次/周；遇暴雨等恶劣天气需及时清理。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（3）村（社区）群众广场、一般城市公园</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①清扫作业：实行小型机械和人工配合清扫或实行人工清扫，每日清扫次数不少于2次。</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②保洁作业：采取人工保洁方式作业，保洁时间16小时。</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③清洗作业：使用小型冲洗车或人工使用高压水枪作业，每周冲洗次数不少于3次；果皮箱、垃圾桶、灯杆、护栏清洗频次不少于1次/周。</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④洒水喷雾降尘作业：喷雾降尘不少于2次/日，鼓励采用固定式喷雾机进行喷雾降尘，阴雨天气可减少或不进行洒水喷雾降尘。</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⑤绿化带、树池清理作业：宜采用人工作业方式进行清理,清理次数不少于1次/日。</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⑥果皮箱、垃圾桶清掏擦拭作业：清掏果皮箱、垃圾桶频次不少于2次/日，并在清掏后进行擦拭，确保无明显污渍。</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⑦沉沙井清理作业：采用人工作业方式清理,正常季节（1-4月、9-12月）清理频次为1次/周；雨季（5-8月）清理频次为2次/周；遇暴雨等恶劣天气需及时清理。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3、三级区域</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（1）一般省道、一般县道、乡村公路</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①清扫作业：机械化清扫率达到90%以上，不能机械化作业区域采用人工进行清扫作业，每日清扫次数不少于1次；人行道实行人工清扫，每日清扫次数不少于1次。</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②保洁作业：机动车道使用机械化车辆辅以人工保洁方式进行保洁，人行道实行人工保洁作业，保洁时间12小时。</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③清洗作业：机动车道使用高压冲洗车进行冲洗作业，冲洗次数不少于1次/3日；路沿石冲洗使用小型冲洗车作业，冲洗次数不少于1次/3日;人行道冲刷除尘采用高压水枪进行洗刷，不少于1次/月，果皮箱、垃圾桶、灯杆、护栏清洗频次不少于1次/周。</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④洒水作业：洒水次数不少于2次/日，阴雨天气可减少或不进行洒水。</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⑤绿化带、树池、背景林清理作业：宜采用人工对白色垃圾进行清理，保洁时间不少于8小时/日。</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⑥果皮箱、垃圾桶清掏擦拭作业：清掏果皮箱、垃圾桶频次不少于1次/日，并在清掏后进行擦拭，确保无明显污渍。</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⑦沉沙井清理作业：采用人工作业方式清理,正常季节（1-4月、9-12月）清理频次为1次/周；雨季（5-8月）清理频次为2次/周；遇暴雨等恶劣天气需及时清理。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（2）村（社区）中心区域及居住区巷道</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①清扫作业：采用人工进行清扫作业，每日清扫次数不少于2次.</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②保洁作业：实行人工保洁作业，保洁时间16小时。</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③清洗作业：使用高压水枪对明显污渍进行冲洗作业，冲洗次数不少于3次/周；果皮箱、垃圾桶、灯杆、护栏滑洗频次不少于1次/周。</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④绿化带、树池清理作业：宜采用人工对白色垃圾进行清理，保洁时间不少于8小时/日；</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⑤果皮箱、垃圾桶清掏擦拭作业：清掏果皮箱、垃圾桶频次不少于2次1日，并在清掏后进行擦拭，确保无明显污渍。实行上门收集垃圾，每日上门收集垃圾不少于3次。</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⑥沉沙井清理作业：采用人工作业方式清理,正常季节（1-4月、9-12月）清理频次为1次/周；雨季（5-8月）清理频次为2次/周；遇暴雨等恶劣天气需及时清理。</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（四）垃圾收集点保洁要求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1、垃圾收集容器应定位设置，摆放整齐。设置点及周围2~3m内应整洁，无散落、存留垃圾和污水。</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2、垃圾收集容器应无残缺、破损，封闭性好，外体干净。垃圾房内外墙面、垃圾亭等建筑设施不得有明显积灰、污物。</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3、厨余垃圾的收集，必须用设有明显标志、能防止污染打散的密封容器。</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4、蝇、蚊孽生季节，垃圾收集站（点），应定时喷洒消毒、灭蚊蝇药物。</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5、生活垃圾应全部实行容器收集，且执行垃圾分类收集。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6、中标供应商应按规定将分类收集的垃圾实行分类运输，将不同种类的垃圾分类运输至采购人指定的各个地点。</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7、工业垃圾、建筑垃圾、危险废物不得混入生活垃圾。</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8、垃圾收集容器内的垃圾无满溢和散落，并定时清洗箱体。</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9、地面（含天桥、地道）清扫的垃圾应及时收集到采购人指定地点，不遗漏，不得堆放在路边。</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10、服务期内，采购人会逐步实施街道撤桶，中标供应商应根据采购人关于垃圾收运的要求配合做好上门收集垃圾工作，范围从主干道开始，逐渐覆盖全域范围。</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（五）“牛皮癣”清理标准要求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1、清除乱张贴类“牛皮癣”标准：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（1）必须清除彻底、无残留。有色张贴物的颜料不能残留在或渗入附着物表面，有胶张贴物不能有残留胶，原有胶体残留痕迹要清理干净；</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 xml:space="preserve">（2）基底无损伤，包括明伤、掉漆、明显划痕等； </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（3）无遗漏，在人行道上和机动车道上均看不到张贴物。</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2、清理乱涂写（刻画）类“牛皮癣”标准：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（1）基底恢复原貌，无残留物或者残留痕迹；</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 xml:space="preserve">（2）沟缝干净，无残留物或残留痕迹； </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（3）基底无损伤，漆面、有机玻璃面、喷绘布面等基底无划痕、无掉漆、无变色、不失原有光泽；</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（4）块状瓷面、大理石面与原材质一致；</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（5）无遗漏，在人行道上和机动车道上均看不到乱涂写（刻画）物。</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3、清理乱张挂类“牛皮癣”标准：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（1）无残留物或者残留痕迹；</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（2）基底或原附着物无损伤；</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（3）无遗漏，在人行道上和机动车道上均看不见残旧破烂的张挂物；高空电线、墙面上的牛皮癣也要清理干净。</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4、涂刷覆盖效果标准：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（1）涂刷用料与被涂刷物基底材质相同或接近；</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（2）色泽相同或接近，色彩与原底色吻合；</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（3）刷痕自然，无漏刷、无流淌，地面干净、界线齐平。</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5、清洗剂使用标准：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（1）符合国家环保部颁布的《环境标志产品技术要求水性涂料（HJ2537-2014）》外墙涂料执行标准；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（2）对人畜不造成损害，对“牛皮癣”附着物不构成物理或化学破坏。</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（六）公厕管养要求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lang w:val="en-US"/>
        </w:rPr>
        <w:t>公厕</w:t>
      </w:r>
      <w:r>
        <w:rPr>
          <w:rFonts w:hint="eastAsia"/>
          <w:color w:val="auto"/>
          <w:sz w:val="21"/>
          <w:szCs w:val="21"/>
          <w:highlight w:val="none"/>
        </w:rPr>
        <w:t>开放时间为每天</w:t>
      </w:r>
      <w:r>
        <w:rPr>
          <w:rFonts w:hint="eastAsia"/>
          <w:color w:val="auto"/>
          <w:sz w:val="21"/>
          <w:szCs w:val="21"/>
          <w:highlight w:val="none"/>
          <w:lang w:val="en-US"/>
        </w:rPr>
        <w:t>7</w:t>
      </w:r>
      <w:r>
        <w:rPr>
          <w:rFonts w:hint="eastAsia"/>
          <w:color w:val="auto"/>
          <w:sz w:val="21"/>
          <w:szCs w:val="21"/>
          <w:highlight w:val="none"/>
        </w:rPr>
        <w:t>:00—2</w:t>
      </w:r>
      <w:r>
        <w:rPr>
          <w:rFonts w:hint="eastAsia"/>
          <w:color w:val="auto"/>
          <w:sz w:val="21"/>
          <w:szCs w:val="21"/>
          <w:highlight w:val="none"/>
          <w:lang w:val="en-US"/>
        </w:rPr>
        <w:t>3</w:t>
      </w:r>
      <w:r>
        <w:rPr>
          <w:rFonts w:hint="eastAsia"/>
          <w:color w:val="auto"/>
          <w:sz w:val="21"/>
          <w:szCs w:val="21"/>
          <w:highlight w:val="none"/>
        </w:rPr>
        <w:t>:00，可根据实际情况作适当调整，公厕管理过程中所产生的水电费用由中标单位来承担。</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1、公厕卫生要求：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(1)水冲式公厕粪污水不得直接排入雨水管道、河流和水沟，粪污水纳入污水管网集中处理。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(2)公厕内地面应保持整洁，粪槽、便槽(斗)和管道应无破损，内外墙应无剥落。</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(3)二类公厕应有防蝇、防蚊和除臭设施或措施。</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 xml:space="preserve">2、公厕保洁标准： </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(1)公厕内采光、照明和通风应良好，无明显臭味；</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(2)公厕内墙面、天花板、门窗和隔离板应无积灰、污迹、蛛网，无乱涂乱画，墙面应光洁，公厕外墙面应整洁；</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(3)公厕内地面应光洁，无积水；</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(4)蹲位应整洁，大便槽两侧应无粪便污物，檀内无积粪，洁净见底；</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(5)小便槽(斗)应无水锈、尿垢、垃圾，基本无臭；沟眼、管道保持畅通；</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(6)公厕内照明灯具、洗手器具、镜子、挂衣钩、烘手器、冲水设备等应完好，无积灰、污物；</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(7)公厕外环境应整洁，无乱堆杂物，保洁工具应放置整齐。公厕四周3-5m范围内，应无垃圾、粪便、污水等污物；</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(8)蝇蚊孳生季节，应定时喷洒灭蚊蝇药物，有效控制蝇蛆孳生；</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(9)公厕内卫生保洁质量：</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39"/>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6"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项目</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一类公厕</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二类公厕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6"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纸片（块）</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无</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6"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烟蒂（个）</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无</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6"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粪迹（处）</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无</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6"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痰迹（处）</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无</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6"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窗格积灰</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无</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6"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臭味（级）</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0</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水厕，≤1；非水厕，≤2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6"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苍蝇（只）</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无</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水厕，无；非水厕，＜3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6"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蛛网</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无</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无</w:t>
            </w:r>
          </w:p>
        </w:tc>
      </w:tr>
    </w:tbl>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10</w:t>
      </w:r>
      <w:r>
        <w:rPr>
          <w:rFonts w:hint="eastAsia"/>
          <w:color w:val="auto"/>
          <w:sz w:val="21"/>
          <w:szCs w:val="21"/>
          <w:highlight w:val="none"/>
        </w:rPr>
        <w:t>)确保设施、设备应定期保养，检查</w:t>
      </w:r>
      <w:r>
        <w:rPr>
          <w:rFonts w:hint="eastAsia"/>
          <w:color w:val="auto"/>
          <w:sz w:val="21"/>
          <w:szCs w:val="21"/>
          <w:highlight w:val="none"/>
          <w:lang w:val="en-US"/>
        </w:rPr>
        <w:t>公厕内</w:t>
      </w:r>
      <w:r>
        <w:rPr>
          <w:rFonts w:hint="eastAsia"/>
          <w:color w:val="auto"/>
          <w:sz w:val="21"/>
          <w:szCs w:val="21"/>
          <w:highlight w:val="none"/>
        </w:rPr>
        <w:t>设备是否正常运作，如发现问题应及时维修（</w:t>
      </w:r>
      <w:r>
        <w:rPr>
          <w:rFonts w:hint="eastAsia"/>
          <w:color w:val="auto"/>
          <w:sz w:val="21"/>
          <w:szCs w:val="21"/>
          <w:highlight w:val="none"/>
          <w:lang w:val="en-US"/>
        </w:rPr>
        <w:t>或更换</w:t>
      </w:r>
      <w:r>
        <w:rPr>
          <w:rFonts w:hint="eastAsia"/>
          <w:color w:val="auto"/>
          <w:sz w:val="21"/>
          <w:szCs w:val="21"/>
          <w:highlight w:val="none"/>
        </w:rPr>
        <w:t>）保持正常运行，</w:t>
      </w:r>
      <w:r>
        <w:rPr>
          <w:rFonts w:hint="eastAsia"/>
          <w:color w:val="auto"/>
          <w:sz w:val="21"/>
          <w:szCs w:val="21"/>
          <w:highlight w:val="none"/>
          <w:lang w:val="en-US"/>
        </w:rPr>
        <w:t>其费用由中标供应商负责。</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3、粪便处理及粪便运输车辆要求：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(1)车辆应完好、整洁，车体无粪迹污物。</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(2)装载容器应密闭性好。放粪闸阀、进类口应严实，并有防滴漏措施；运输过程中应无滴漏、洒落，车走后场地应清理干净。</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(3)装载应适量，无外溢；裝载的粪便，应及时卸清，不得将粪便长时间存留在车罐内。</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(4)应按指定地点及时卸粪，不得任意排放。</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(5)运输作业结束后，应及时清洗车辆和辅助设施，不得留有粪迹污物。</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(6)公厕粪便池需要定期处理，以免粪水外溢。</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4、公厕均按专人保洁厕标准制，公厕保洁时长按 16 小时计。</w:t>
      </w:r>
    </w:p>
    <w:p>
      <w:pPr>
        <w:pStyle w:val="2"/>
        <w:spacing w:before="0" w:line="360" w:lineRule="auto"/>
        <w:ind w:left="0" w:firstLine="422" w:firstLineChars="200"/>
        <w:rPr>
          <w:b/>
          <w:color w:val="auto"/>
          <w:sz w:val="21"/>
          <w:szCs w:val="21"/>
          <w:highlight w:val="none"/>
        </w:rPr>
      </w:pPr>
      <w:r>
        <w:rPr>
          <w:rFonts w:hint="eastAsia"/>
          <w:b/>
          <w:color w:val="auto"/>
          <w:sz w:val="21"/>
          <w:szCs w:val="21"/>
          <w:highlight w:val="none"/>
        </w:rPr>
        <w:t>（七）垃圾转运站管养要求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1、垃圾转运站管理要求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（1）转运站开放时间为每天5:00—22:00，可根据实际情况作适当调整。</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（2）管理员、操作员必须经过安全及相关职业培训后方可上岗。</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禁止在站内外分拣垃圾、乱堆放杂物。管理间、工具间、操作台等处要保持整洁，工具按规定位置放置。垃圾转运站内所有垃圾日产日清，不得堆积在站内。转运结束后站内外要彻底清扫、冲洗，清理沉淀池以及排水沟。</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（4）保持转运站内外环境整洁。站内墙面无蜘蛛网、无乱涂乱画、地面无污水、无异味等。转运站周边10米内要求卫生整洁，无垃圾，绿化良好；转运站正面及视野范围内无晾晒衣服等有碍市容观瞻的物品。</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（5）做好日常除四害工作，防止蚊虫滋生。四害孳生期站内苍蝇控制在5只以内，非孽生期站内苍蝇控制在3只以内。</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（6）在垃圾收集、压缩过程中，应启动空气净化系统，保证站内外的空气清新，同时还要保持门窗关闭。</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（7）除了发生自然灾害外，转运站管理人员负责维护好转运站内所有建构筑物、供电线路、监控设备、地磅、导轨、污水收集设施等，若有损坏及时修复。</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（8）落实安全生产工作。落实防火措施，配足性能良好的消防器材；落实安全用电，不得乱拉、乱挂、乱接电线，不使用非生产性大功率电器，不得超线路负载使用电器。</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（9）管理员对每日进站的车辆数量和出站箱数进行登记，填写垃圾日清运统计和月汇总表。</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（10）每月需对区域内在岗工作人员进行安全生产培训及进行消防演练；并完善台账上报情况；</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（11）管理人员应在安全位置协助引导司机装卸箱体，对箱体、料斗进行全面冲洗，引导并督促转运工作人员做好进出站箱体排污的前期准备，确保垃圾压缩液通过管道有序排放至集液井。</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（12）做好圾转运站的“门前三包”工作。</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（13）做好垃圾转运站地面标识、标线工作，确保设备及相关物品摆放有序。</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（14）管理人须负责对进出站车辆管理并严禁非生活垃圾的固体废物进站，禁止站内分拣垃圾，站内禁止接收工业垃圾、绿化垃圾、大件家具、建筑垃圾等。</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2、站内设备管理要求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（1）每天必须对转运站垃圾压缩箱使用清洁剂进行清洗，保持内外厢体无积灰、污渍，出箱前清理垃圾压缩箱内推头及消毒。</w:t>
      </w:r>
    </w:p>
    <w:p>
      <w:pPr>
        <w:pStyle w:val="2"/>
        <w:spacing w:before="0" w:line="360" w:lineRule="auto"/>
        <w:ind w:left="0" w:firstLine="420" w:firstLineChars="200"/>
        <w:rPr>
          <w:color w:val="auto"/>
          <w:sz w:val="21"/>
          <w:szCs w:val="21"/>
          <w:highlight w:val="none"/>
          <w:lang w:val="en-US"/>
        </w:rPr>
      </w:pPr>
      <w:r>
        <w:rPr>
          <w:rFonts w:hint="eastAsia"/>
          <w:color w:val="auto"/>
          <w:sz w:val="21"/>
          <w:szCs w:val="21"/>
          <w:highlight w:val="none"/>
        </w:rPr>
        <w:t>（2）确保设施、设备应定期保养，检查站内压缩设备是否正常运作，如发现问题应及时维修（</w:t>
      </w:r>
      <w:r>
        <w:rPr>
          <w:rFonts w:hint="eastAsia"/>
          <w:color w:val="auto"/>
          <w:sz w:val="21"/>
          <w:szCs w:val="21"/>
          <w:highlight w:val="none"/>
          <w:lang w:val="en-US"/>
        </w:rPr>
        <w:t>或更换</w:t>
      </w:r>
      <w:r>
        <w:rPr>
          <w:rFonts w:hint="eastAsia"/>
          <w:color w:val="auto"/>
          <w:sz w:val="21"/>
          <w:szCs w:val="21"/>
          <w:highlight w:val="none"/>
        </w:rPr>
        <w:t>）保持正常运行，</w:t>
      </w:r>
      <w:r>
        <w:rPr>
          <w:rFonts w:hint="eastAsia"/>
          <w:color w:val="auto"/>
          <w:sz w:val="21"/>
          <w:szCs w:val="21"/>
          <w:highlight w:val="none"/>
          <w:lang w:val="en-US"/>
        </w:rPr>
        <w:t>其费用由中标供应商负责。</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3、管养人员要求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（1）管养人员需熟练掌握压缩箱、除臭和负压设备等的操作技术。</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（2）定期对站内管养人员开展安全生产培训及演练。</w:t>
      </w:r>
    </w:p>
    <w:p>
      <w:pPr>
        <w:pStyle w:val="2"/>
        <w:spacing w:before="0" w:line="360" w:lineRule="auto"/>
        <w:ind w:left="0" w:firstLine="422" w:firstLineChars="200"/>
        <w:rPr>
          <w:b/>
          <w:color w:val="auto"/>
          <w:sz w:val="21"/>
          <w:szCs w:val="21"/>
          <w:highlight w:val="none"/>
        </w:rPr>
      </w:pPr>
      <w:r>
        <w:rPr>
          <w:rFonts w:hint="eastAsia"/>
          <w:b/>
          <w:color w:val="auto"/>
          <w:sz w:val="21"/>
          <w:szCs w:val="21"/>
          <w:highlight w:val="none"/>
        </w:rPr>
        <w:t>（八）生活垃圾收运车辆要求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1、生活垃圾收运车辆要有统一编号、标识、监督电话。</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2、生活垃圾收运车辆作业时车容车貌要整洁，必须每天冲洗；按规定标准保养维修，每年对车辆外观进行翻新。</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3、生活垃圾收运车辆按规定行驶路线行驶，不得行驶无备案路线。</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4、生活垃圾运输过程中必须遵守所有相关交通规则和有关法律，确保车辆行驶安全。</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5、生活垃圾收运车辆必须是仅服务于本项目的专用车辆，车辆必须符合国V或以上标准，符合东莞市生活垃圾清运车辆的相关规定和要求。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6、生活垃圾收运车辆在运输过程中采取密闭运输，不得造成垃圾外泄、遗漏、抛洒。</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7、保持生活垃圾收运车辆外观完好，定期进行清洗，车容整洁，无残留垃圾、无陈旧积泥、无滋生蝇蛆。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8、做好生活垃圾收运车辆的检测、更新工作，确保车辆状况良好。</w:t>
      </w:r>
    </w:p>
    <w:p>
      <w:pPr>
        <w:pStyle w:val="2"/>
        <w:spacing w:before="0" w:line="360" w:lineRule="auto"/>
        <w:ind w:left="0" w:firstLine="422" w:firstLineChars="200"/>
        <w:rPr>
          <w:b/>
          <w:color w:val="auto"/>
          <w:sz w:val="21"/>
          <w:szCs w:val="21"/>
          <w:highlight w:val="none"/>
        </w:rPr>
      </w:pPr>
      <w:r>
        <w:rPr>
          <w:rFonts w:hint="eastAsia"/>
          <w:b/>
          <w:color w:val="auto"/>
          <w:sz w:val="21"/>
          <w:szCs w:val="21"/>
          <w:highlight w:val="none"/>
        </w:rPr>
        <w:t>（九）水面保洁要求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1、作业河段实行全天8小时，上午8:00-12:00;下午14:00-18:00(6级或以上大风红色暴雨等灾害性天气除外),首次打捞应在9:30前完成，河面基本不见垃圾、漂浮物等。</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2、岸线水面不得有大于0.5平方米漂浮垃圾，大于0.3平方米漂浮垃圾2件之间的最小距离为50米，小件零星漂浮垃圾2件之间的最小距离为20米。</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3、岸线回流区、河涌口、岸边滩头每50平方米不得有3件大于0.5平方米漂浮垃圾。</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4、每50平方米岸线回流区不得有小件零星漂浮物3件。</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5、清理完的水浮莲、水面垃圾日产日清并做好施工日记，同时必须送到垃圾中转站，做无害化处理。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6、垃圾运输车辆应车容整洁，车况良好，标识清晰，垃圾运输过程中垃圾不得扬、洒、拖挂，不得乱倒、乱卸、乱抛，不得有污水滴漏。</w:t>
      </w:r>
    </w:p>
    <w:p>
      <w:pPr>
        <w:pStyle w:val="2"/>
        <w:spacing w:before="0" w:line="360" w:lineRule="auto"/>
        <w:ind w:left="0" w:firstLine="420" w:firstLineChars="200"/>
        <w:rPr>
          <w:rFonts w:hint="eastAsia"/>
          <w:color w:val="auto"/>
          <w:sz w:val="21"/>
          <w:szCs w:val="21"/>
          <w:highlight w:val="none"/>
        </w:rPr>
      </w:pPr>
      <w:r>
        <w:rPr>
          <w:rFonts w:hint="eastAsia"/>
          <w:color w:val="auto"/>
          <w:sz w:val="21"/>
          <w:szCs w:val="21"/>
          <w:highlight w:val="none"/>
        </w:rPr>
        <w:t>7、退潮露滩时，残留废物应及时清理。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8、河道内及河道两岸的杂草需每季度清理一次。</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（十）智慧化管理要求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本环卫服务项目要求中标供应商使用东莞市环卫作业智能化管理系统平台，通过计算机应用软件、无线网络、GIS 地理信息、GPS定位等多种信息化手段，将环卫管理的指挥、作业、监管等要素统一融合在智能化管理系统这个平台上，实现管理过程精细化，监控治理实时化，事件处理规范化，以及完善的考核制度。</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其中，采购人提供平台及使用权限，并协调平台建设运营单位将人员、车辆定位设备信息接入平台。中标供应商需采购项目所属人员、车辆所需的智能化管理硬件设施，并将设备信息接入智能化管理平台，实现人员、车辆可视化管理。采购人、中标供应商均可通过智能化管理系统实时查看人员情况、车辆运行情况等，及时发现和处理突发情况。</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（十一）设备配置要求</w:t>
      </w:r>
    </w:p>
    <w:tbl>
      <w:tblPr>
        <w:tblStyle w:val="18"/>
        <w:tblW w:w="5000" w:type="pct"/>
        <w:tblInd w:w="0" w:type="dxa"/>
        <w:tblLayout w:type="autofit"/>
        <w:tblCellMar>
          <w:top w:w="0" w:type="dxa"/>
          <w:left w:w="108" w:type="dxa"/>
          <w:bottom w:w="0" w:type="dxa"/>
          <w:right w:w="108" w:type="dxa"/>
        </w:tblCellMar>
      </w:tblPr>
      <w:tblGrid>
        <w:gridCol w:w="2395"/>
        <w:gridCol w:w="4441"/>
        <w:gridCol w:w="1680"/>
      </w:tblGrid>
      <w:tr>
        <w:tblPrEx>
          <w:tblCellMar>
            <w:top w:w="0" w:type="dxa"/>
            <w:left w:w="108" w:type="dxa"/>
            <w:bottom w:w="0" w:type="dxa"/>
            <w:right w:w="108" w:type="dxa"/>
          </w:tblCellMar>
        </w:tblPrEx>
        <w:trPr>
          <w:trHeight w:val="345" w:hRule="atLeast"/>
        </w:trPr>
        <w:tc>
          <w:tcPr>
            <w:tcW w:w="23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业务类型</w:t>
            </w:r>
          </w:p>
        </w:tc>
        <w:tc>
          <w:tcPr>
            <w:tcW w:w="444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设备名称</w:t>
            </w:r>
          </w:p>
        </w:tc>
        <w:tc>
          <w:tcPr>
            <w:tcW w:w="168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数量（辆/台）</w:t>
            </w:r>
          </w:p>
        </w:tc>
      </w:tr>
      <w:tr>
        <w:tblPrEx>
          <w:tblCellMar>
            <w:top w:w="0" w:type="dxa"/>
            <w:left w:w="108" w:type="dxa"/>
            <w:bottom w:w="0" w:type="dxa"/>
            <w:right w:w="108" w:type="dxa"/>
          </w:tblCellMar>
        </w:tblPrEx>
        <w:trPr>
          <w:trHeight w:val="274" w:hRule="atLeast"/>
        </w:trPr>
        <w:tc>
          <w:tcPr>
            <w:tcW w:w="239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szCs w:val="21"/>
                <w:highlight w:val="none"/>
              </w:rPr>
            </w:pPr>
            <w:r>
              <w:rPr>
                <w:rFonts w:hint="eastAsia" w:hAnsi="宋体" w:cs="宋体"/>
                <w:color w:val="auto"/>
                <w:sz w:val="21"/>
                <w:szCs w:val="21"/>
                <w:highlight w:val="none"/>
              </w:rPr>
              <w:t>清扫保洁</w:t>
            </w:r>
          </w:p>
        </w:tc>
        <w:tc>
          <w:tcPr>
            <w:tcW w:w="444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Cs w:val="21"/>
                <w:highlight w:val="none"/>
              </w:rPr>
            </w:pPr>
            <w:r>
              <w:rPr>
                <w:rFonts w:hint="eastAsia" w:hAnsi="宋体" w:cs="宋体"/>
                <w:color w:val="auto"/>
                <w:sz w:val="21"/>
                <w:szCs w:val="21"/>
                <w:highlight w:val="none"/>
              </w:rPr>
              <w:t>8吨扫路车</w:t>
            </w:r>
          </w:p>
        </w:tc>
        <w:tc>
          <w:tcPr>
            <w:tcW w:w="168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Cs w:val="21"/>
                <w:highlight w:val="none"/>
              </w:rPr>
            </w:pPr>
            <w:r>
              <w:rPr>
                <w:rFonts w:hint="eastAsia" w:hAnsi="宋体" w:cs="宋体"/>
                <w:color w:val="auto"/>
                <w:sz w:val="21"/>
                <w:szCs w:val="21"/>
                <w:highlight w:val="none"/>
              </w:rPr>
              <w:t>1</w:t>
            </w:r>
          </w:p>
        </w:tc>
      </w:tr>
      <w:tr>
        <w:tblPrEx>
          <w:tblCellMar>
            <w:top w:w="0" w:type="dxa"/>
            <w:left w:w="108" w:type="dxa"/>
            <w:bottom w:w="0" w:type="dxa"/>
            <w:right w:w="108" w:type="dxa"/>
          </w:tblCellMar>
        </w:tblPrEx>
        <w:trPr>
          <w:trHeight w:val="299" w:hRule="atLeast"/>
        </w:trPr>
        <w:tc>
          <w:tcPr>
            <w:tcW w:w="23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小型扫路车</w:t>
            </w:r>
          </w:p>
        </w:tc>
        <w:tc>
          <w:tcPr>
            <w:tcW w:w="168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1</w:t>
            </w:r>
          </w:p>
        </w:tc>
      </w:tr>
      <w:tr>
        <w:tblPrEx>
          <w:tblCellMar>
            <w:top w:w="0" w:type="dxa"/>
            <w:left w:w="108" w:type="dxa"/>
            <w:bottom w:w="0" w:type="dxa"/>
            <w:right w:w="108" w:type="dxa"/>
          </w:tblCellMar>
        </w:tblPrEx>
        <w:trPr>
          <w:trHeight w:val="299" w:hRule="atLeast"/>
        </w:trPr>
        <w:tc>
          <w:tcPr>
            <w:tcW w:w="23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洒水车</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1"/>
                <w:highlight w:val="none"/>
                <w:lang w:eastAsia="zh-CN"/>
              </w:rPr>
            </w:pPr>
            <w:r>
              <w:rPr>
                <w:rFonts w:hint="eastAsia" w:hAnsi="宋体" w:cs="宋体"/>
                <w:color w:val="auto"/>
                <w:sz w:val="21"/>
                <w:szCs w:val="21"/>
                <w:highlight w:val="none"/>
              </w:rPr>
              <w:t>1</w:t>
            </w:r>
          </w:p>
        </w:tc>
      </w:tr>
      <w:tr>
        <w:tblPrEx>
          <w:tblCellMar>
            <w:top w:w="0" w:type="dxa"/>
            <w:left w:w="108" w:type="dxa"/>
            <w:bottom w:w="0" w:type="dxa"/>
            <w:right w:w="108" w:type="dxa"/>
          </w:tblCellMar>
        </w:tblPrEx>
        <w:trPr>
          <w:trHeight w:val="308" w:hRule="atLeast"/>
        </w:trPr>
        <w:tc>
          <w:tcPr>
            <w:tcW w:w="23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16吨大型高压冲洗车</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1</w:t>
            </w:r>
          </w:p>
        </w:tc>
      </w:tr>
      <w:tr>
        <w:tblPrEx>
          <w:tblCellMar>
            <w:top w:w="0" w:type="dxa"/>
            <w:left w:w="108" w:type="dxa"/>
            <w:bottom w:w="0" w:type="dxa"/>
            <w:right w:w="108" w:type="dxa"/>
          </w:tblCellMar>
        </w:tblPrEx>
        <w:trPr>
          <w:trHeight w:val="309" w:hRule="atLeast"/>
        </w:trPr>
        <w:tc>
          <w:tcPr>
            <w:tcW w:w="23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小型高压清洗车</w:t>
            </w:r>
          </w:p>
        </w:tc>
        <w:tc>
          <w:tcPr>
            <w:tcW w:w="168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1</w:t>
            </w:r>
          </w:p>
        </w:tc>
      </w:tr>
      <w:tr>
        <w:tblPrEx>
          <w:tblCellMar>
            <w:top w:w="0" w:type="dxa"/>
            <w:left w:w="108" w:type="dxa"/>
            <w:bottom w:w="0" w:type="dxa"/>
            <w:right w:w="108" w:type="dxa"/>
          </w:tblCellMar>
        </w:tblPrEx>
        <w:trPr>
          <w:trHeight w:val="251" w:hRule="atLeast"/>
        </w:trPr>
        <w:tc>
          <w:tcPr>
            <w:tcW w:w="23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垃圾收集容器清洗车</w:t>
            </w:r>
          </w:p>
        </w:tc>
        <w:tc>
          <w:tcPr>
            <w:tcW w:w="168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1"/>
                <w:highlight w:val="none"/>
                <w:lang w:eastAsia="zh-CN"/>
              </w:rPr>
            </w:pPr>
            <w:r>
              <w:rPr>
                <w:rFonts w:hint="eastAsia" w:hAnsi="宋体" w:cs="宋体"/>
                <w:color w:val="auto"/>
                <w:sz w:val="21"/>
                <w:szCs w:val="21"/>
                <w:highlight w:val="none"/>
              </w:rPr>
              <w:t>4</w:t>
            </w:r>
          </w:p>
        </w:tc>
      </w:tr>
      <w:tr>
        <w:tblPrEx>
          <w:tblCellMar>
            <w:top w:w="0" w:type="dxa"/>
            <w:left w:w="108" w:type="dxa"/>
            <w:bottom w:w="0" w:type="dxa"/>
            <w:right w:w="108" w:type="dxa"/>
          </w:tblCellMar>
        </w:tblPrEx>
        <w:trPr>
          <w:trHeight w:val="280" w:hRule="atLeast"/>
        </w:trPr>
        <w:tc>
          <w:tcPr>
            <w:tcW w:w="23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路面养护车</w:t>
            </w:r>
          </w:p>
        </w:tc>
        <w:tc>
          <w:tcPr>
            <w:tcW w:w="168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2</w:t>
            </w:r>
          </w:p>
        </w:tc>
      </w:tr>
      <w:tr>
        <w:tblPrEx>
          <w:tblCellMar>
            <w:top w:w="0" w:type="dxa"/>
            <w:left w:w="108" w:type="dxa"/>
            <w:bottom w:w="0" w:type="dxa"/>
            <w:right w:w="108" w:type="dxa"/>
          </w:tblCellMar>
        </w:tblPrEx>
        <w:trPr>
          <w:trHeight w:val="308" w:hRule="atLeast"/>
        </w:trPr>
        <w:tc>
          <w:tcPr>
            <w:tcW w:w="23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20寸平面清洁器</w:t>
            </w:r>
          </w:p>
        </w:tc>
        <w:tc>
          <w:tcPr>
            <w:tcW w:w="168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4</w:t>
            </w:r>
          </w:p>
        </w:tc>
      </w:tr>
      <w:tr>
        <w:tblPrEx>
          <w:tblCellMar>
            <w:top w:w="0" w:type="dxa"/>
            <w:left w:w="108" w:type="dxa"/>
            <w:bottom w:w="0" w:type="dxa"/>
            <w:right w:w="108" w:type="dxa"/>
          </w:tblCellMar>
        </w:tblPrEx>
        <w:trPr>
          <w:trHeight w:val="336" w:hRule="atLeast"/>
        </w:trPr>
        <w:tc>
          <w:tcPr>
            <w:tcW w:w="23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高压水枪</w:t>
            </w:r>
          </w:p>
        </w:tc>
        <w:tc>
          <w:tcPr>
            <w:tcW w:w="168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4</w:t>
            </w:r>
          </w:p>
        </w:tc>
      </w:tr>
      <w:tr>
        <w:tblPrEx>
          <w:tblCellMar>
            <w:top w:w="0" w:type="dxa"/>
            <w:left w:w="108" w:type="dxa"/>
            <w:bottom w:w="0" w:type="dxa"/>
            <w:right w:w="108" w:type="dxa"/>
          </w:tblCellMar>
        </w:tblPrEx>
        <w:trPr>
          <w:trHeight w:val="336" w:hRule="atLeast"/>
        </w:trPr>
        <w:tc>
          <w:tcPr>
            <w:tcW w:w="23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Cs w:val="21"/>
                <w:highlight w:val="none"/>
              </w:rPr>
            </w:pPr>
            <w:r>
              <w:rPr>
                <w:rFonts w:hint="eastAsia" w:hAnsi="宋体" w:cs="宋体"/>
                <w:color w:val="auto"/>
                <w:sz w:val="21"/>
                <w:szCs w:val="21"/>
                <w:highlight w:val="none"/>
              </w:rPr>
              <w:t>吹风机</w:t>
            </w:r>
          </w:p>
        </w:tc>
        <w:tc>
          <w:tcPr>
            <w:tcW w:w="168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szCs w:val="21"/>
                <w:highlight w:val="none"/>
                <w:lang w:eastAsia="zh-CN"/>
              </w:rPr>
            </w:pPr>
            <w:r>
              <w:rPr>
                <w:rFonts w:hint="eastAsia" w:hAnsi="宋体" w:cs="宋体"/>
                <w:color w:val="auto"/>
                <w:sz w:val="21"/>
                <w:szCs w:val="21"/>
                <w:highlight w:val="none"/>
              </w:rPr>
              <w:t>3</w:t>
            </w:r>
          </w:p>
        </w:tc>
      </w:tr>
      <w:tr>
        <w:tblPrEx>
          <w:tblCellMar>
            <w:top w:w="0" w:type="dxa"/>
            <w:left w:w="108" w:type="dxa"/>
            <w:bottom w:w="0" w:type="dxa"/>
            <w:right w:w="108" w:type="dxa"/>
          </w:tblCellMar>
        </w:tblPrEx>
        <w:trPr>
          <w:trHeight w:val="336" w:hRule="atLeast"/>
        </w:trPr>
        <w:tc>
          <w:tcPr>
            <w:tcW w:w="23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Cs w:val="21"/>
                <w:highlight w:val="none"/>
              </w:rPr>
            </w:pPr>
            <w:r>
              <w:rPr>
                <w:rFonts w:hint="eastAsia" w:hAnsi="宋体" w:cs="宋体"/>
                <w:color w:val="auto"/>
                <w:sz w:val="21"/>
                <w:szCs w:val="21"/>
                <w:highlight w:val="none"/>
              </w:rPr>
              <w:t>环卫垃圾手推车</w:t>
            </w:r>
          </w:p>
        </w:tc>
        <w:tc>
          <w:tcPr>
            <w:tcW w:w="1681"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auto"/>
                <w:szCs w:val="21"/>
                <w:highlight w:val="none"/>
                <w:lang w:val="en-US" w:eastAsia="zh-CN"/>
              </w:rPr>
            </w:pPr>
            <w:r>
              <w:rPr>
                <w:rFonts w:hint="eastAsia" w:hAnsi="宋体" w:cs="宋体"/>
                <w:color w:val="auto"/>
                <w:sz w:val="21"/>
                <w:szCs w:val="21"/>
                <w:highlight w:val="none"/>
              </w:rPr>
              <w:t>35</w:t>
            </w:r>
          </w:p>
        </w:tc>
      </w:tr>
      <w:tr>
        <w:tblPrEx>
          <w:tblCellMar>
            <w:top w:w="0" w:type="dxa"/>
            <w:left w:w="108" w:type="dxa"/>
            <w:bottom w:w="0" w:type="dxa"/>
            <w:right w:w="108" w:type="dxa"/>
          </w:tblCellMar>
        </w:tblPrEx>
        <w:trPr>
          <w:trHeight w:val="327" w:hRule="atLeast"/>
        </w:trPr>
        <w:tc>
          <w:tcPr>
            <w:tcW w:w="23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吸污车</w:t>
            </w:r>
          </w:p>
        </w:tc>
        <w:tc>
          <w:tcPr>
            <w:tcW w:w="168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1</w:t>
            </w:r>
          </w:p>
        </w:tc>
      </w:tr>
      <w:tr>
        <w:tblPrEx>
          <w:tblCellMar>
            <w:top w:w="0" w:type="dxa"/>
            <w:left w:w="108" w:type="dxa"/>
            <w:bottom w:w="0" w:type="dxa"/>
            <w:right w:w="108" w:type="dxa"/>
          </w:tblCellMar>
        </w:tblPrEx>
        <w:trPr>
          <w:trHeight w:val="261" w:hRule="atLeast"/>
        </w:trPr>
        <w:tc>
          <w:tcPr>
            <w:tcW w:w="23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非机动保洁船</w:t>
            </w:r>
          </w:p>
        </w:tc>
        <w:tc>
          <w:tcPr>
            <w:tcW w:w="168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1"/>
                <w:highlight w:val="none"/>
                <w:lang w:eastAsia="zh-CN"/>
              </w:rPr>
            </w:pPr>
            <w:r>
              <w:rPr>
                <w:rFonts w:hint="eastAsia" w:hAnsi="宋体" w:cs="宋体"/>
                <w:color w:val="auto"/>
                <w:sz w:val="21"/>
                <w:szCs w:val="21"/>
                <w:highlight w:val="none"/>
              </w:rPr>
              <w:t>3</w:t>
            </w:r>
          </w:p>
        </w:tc>
      </w:tr>
      <w:tr>
        <w:tblPrEx>
          <w:tblCellMar>
            <w:top w:w="0" w:type="dxa"/>
            <w:left w:w="108" w:type="dxa"/>
            <w:bottom w:w="0" w:type="dxa"/>
            <w:right w:w="108" w:type="dxa"/>
          </w:tblCellMar>
        </w:tblPrEx>
        <w:trPr>
          <w:trHeight w:val="298" w:hRule="atLeast"/>
        </w:trPr>
        <w:tc>
          <w:tcPr>
            <w:tcW w:w="2397" w:type="dxa"/>
            <w:vMerge w:val="restart"/>
            <w:tcBorders>
              <w:top w:val="nil"/>
              <w:left w:val="single" w:color="auto" w:sz="4" w:space="0"/>
              <w:right w:val="single" w:color="auto" w:sz="4" w:space="0"/>
            </w:tcBorders>
            <w:noWrap/>
            <w:vAlign w:val="center"/>
          </w:tcPr>
          <w:p>
            <w:pPr>
              <w:jc w:val="center"/>
              <w:rPr>
                <w:rFonts w:ascii="宋体" w:hAnsi="宋体" w:cs="宋体"/>
                <w:color w:val="auto"/>
                <w:szCs w:val="21"/>
                <w:highlight w:val="none"/>
              </w:rPr>
            </w:pPr>
            <w:r>
              <w:rPr>
                <w:rFonts w:hint="eastAsia" w:hAnsi="宋体" w:cs="宋体"/>
                <w:color w:val="auto"/>
                <w:sz w:val="21"/>
                <w:szCs w:val="21"/>
                <w:highlight w:val="none"/>
              </w:rPr>
              <w:t>垃圾收运</w:t>
            </w:r>
          </w:p>
        </w:tc>
        <w:tc>
          <w:tcPr>
            <w:tcW w:w="4444" w:type="dxa"/>
            <w:tcBorders>
              <w:top w:val="nil"/>
              <w:left w:val="nil"/>
              <w:bottom w:val="single" w:color="auto" w:sz="4" w:space="0"/>
              <w:right w:val="single" w:color="auto" w:sz="4" w:space="0"/>
            </w:tcBorders>
            <w:noWrap/>
            <w:vAlign w:val="center"/>
          </w:tcPr>
          <w:p>
            <w:pPr>
              <w:jc w:val="center"/>
              <w:rPr>
                <w:rFonts w:ascii="宋体" w:hAnsi="宋体" w:cs="宋体"/>
                <w:color w:val="auto"/>
                <w:szCs w:val="21"/>
                <w:highlight w:val="none"/>
              </w:rPr>
            </w:pPr>
            <w:r>
              <w:rPr>
                <w:rFonts w:hint="eastAsia" w:hAnsi="宋体" w:cs="宋体"/>
                <w:color w:val="auto"/>
                <w:sz w:val="21"/>
                <w:szCs w:val="21"/>
                <w:highlight w:val="none"/>
              </w:rPr>
              <w:t>三轮电动保洁</w:t>
            </w:r>
          </w:p>
        </w:tc>
        <w:tc>
          <w:tcPr>
            <w:tcW w:w="1681" w:type="dxa"/>
            <w:tcBorders>
              <w:top w:val="nil"/>
              <w:left w:val="nil"/>
              <w:bottom w:val="single" w:color="auto" w:sz="4" w:space="0"/>
              <w:right w:val="single" w:color="auto" w:sz="4" w:space="0"/>
            </w:tcBorders>
            <w:noWrap/>
            <w:vAlign w:val="center"/>
          </w:tcPr>
          <w:p>
            <w:pPr>
              <w:jc w:val="center"/>
              <w:rPr>
                <w:rFonts w:ascii="宋体" w:hAnsi="宋体" w:cs="宋体"/>
                <w:color w:val="auto"/>
                <w:szCs w:val="21"/>
                <w:highlight w:val="none"/>
              </w:rPr>
            </w:pPr>
            <w:r>
              <w:rPr>
                <w:rFonts w:hAnsi="宋体" w:cs="宋体"/>
                <w:color w:val="auto"/>
                <w:sz w:val="21"/>
                <w:szCs w:val="21"/>
                <w:highlight w:val="none"/>
              </w:rPr>
              <w:t>12</w:t>
            </w:r>
          </w:p>
        </w:tc>
      </w:tr>
      <w:tr>
        <w:tblPrEx>
          <w:tblCellMar>
            <w:top w:w="0" w:type="dxa"/>
            <w:left w:w="108" w:type="dxa"/>
            <w:bottom w:w="0" w:type="dxa"/>
            <w:right w:w="108" w:type="dxa"/>
          </w:tblCellMar>
        </w:tblPrEx>
        <w:trPr>
          <w:trHeight w:val="326" w:hRule="atLeast"/>
        </w:trPr>
        <w:tc>
          <w:tcPr>
            <w:tcW w:w="2397"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后装式压缩车</w:t>
            </w:r>
          </w:p>
        </w:tc>
        <w:tc>
          <w:tcPr>
            <w:tcW w:w="168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1"/>
                <w:highlight w:val="none"/>
                <w:lang w:eastAsia="zh-CN"/>
              </w:rPr>
            </w:pPr>
            <w:r>
              <w:rPr>
                <w:rFonts w:hint="eastAsia" w:hAnsi="宋体" w:cs="宋体"/>
                <w:color w:val="auto"/>
                <w:sz w:val="21"/>
                <w:szCs w:val="21"/>
                <w:highlight w:val="none"/>
              </w:rPr>
              <w:t>2</w:t>
            </w:r>
          </w:p>
        </w:tc>
      </w:tr>
      <w:tr>
        <w:tblPrEx>
          <w:tblCellMar>
            <w:top w:w="0" w:type="dxa"/>
            <w:left w:w="108" w:type="dxa"/>
            <w:bottom w:w="0" w:type="dxa"/>
            <w:right w:w="108" w:type="dxa"/>
          </w:tblCellMar>
        </w:tblPrEx>
        <w:trPr>
          <w:trHeight w:val="326" w:hRule="atLeast"/>
        </w:trPr>
        <w:tc>
          <w:tcPr>
            <w:tcW w:w="2397"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Cs w:val="21"/>
                <w:highlight w:val="none"/>
              </w:rPr>
            </w:pPr>
            <w:r>
              <w:rPr>
                <w:rFonts w:hint="eastAsia" w:hAnsi="宋体" w:cs="宋体"/>
                <w:color w:val="auto"/>
                <w:sz w:val="21"/>
                <w:szCs w:val="21"/>
                <w:highlight w:val="none"/>
              </w:rPr>
              <w:t>压缩箱</w:t>
            </w:r>
          </w:p>
        </w:tc>
        <w:tc>
          <w:tcPr>
            <w:tcW w:w="168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Cs w:val="21"/>
                <w:highlight w:val="none"/>
              </w:rPr>
            </w:pPr>
            <w:r>
              <w:rPr>
                <w:rFonts w:hint="eastAsia" w:hAnsi="宋体" w:cs="宋体"/>
                <w:color w:val="auto"/>
                <w:sz w:val="21"/>
                <w:szCs w:val="21"/>
                <w:highlight w:val="none"/>
              </w:rPr>
              <w:t>4</w:t>
            </w:r>
          </w:p>
        </w:tc>
      </w:tr>
      <w:tr>
        <w:tblPrEx>
          <w:tblCellMar>
            <w:top w:w="0" w:type="dxa"/>
            <w:left w:w="108" w:type="dxa"/>
            <w:bottom w:w="0" w:type="dxa"/>
            <w:right w:w="108" w:type="dxa"/>
          </w:tblCellMar>
        </w:tblPrEx>
        <w:trPr>
          <w:trHeight w:val="275" w:hRule="atLeast"/>
        </w:trPr>
        <w:tc>
          <w:tcPr>
            <w:tcW w:w="2397"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勾臂车</w:t>
            </w:r>
          </w:p>
        </w:tc>
        <w:tc>
          <w:tcPr>
            <w:tcW w:w="168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1</w:t>
            </w:r>
          </w:p>
        </w:tc>
      </w:tr>
      <w:tr>
        <w:tblPrEx>
          <w:tblCellMar>
            <w:top w:w="0" w:type="dxa"/>
            <w:left w:w="108" w:type="dxa"/>
            <w:bottom w:w="0" w:type="dxa"/>
            <w:right w:w="108" w:type="dxa"/>
          </w:tblCellMar>
        </w:tblPrEx>
        <w:trPr>
          <w:trHeight w:val="374" w:hRule="atLeast"/>
        </w:trPr>
        <w:tc>
          <w:tcPr>
            <w:tcW w:w="2397"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塑料垃圾桶（660L）</w:t>
            </w:r>
          </w:p>
        </w:tc>
        <w:tc>
          <w:tcPr>
            <w:tcW w:w="168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Ansi="宋体" w:cs="宋体"/>
                <w:color w:val="auto"/>
                <w:sz w:val="21"/>
                <w:szCs w:val="21"/>
                <w:highlight w:val="none"/>
              </w:rPr>
              <w:t>250</w:t>
            </w:r>
          </w:p>
        </w:tc>
      </w:tr>
      <w:tr>
        <w:tblPrEx>
          <w:tblCellMar>
            <w:top w:w="0" w:type="dxa"/>
            <w:left w:w="108" w:type="dxa"/>
            <w:bottom w:w="0" w:type="dxa"/>
            <w:right w:w="108" w:type="dxa"/>
          </w:tblCellMar>
        </w:tblPrEx>
        <w:trPr>
          <w:trHeight w:val="374" w:hRule="atLeast"/>
        </w:trPr>
        <w:tc>
          <w:tcPr>
            <w:tcW w:w="239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Cs w:val="21"/>
                <w:highlight w:val="none"/>
              </w:rPr>
            </w:pPr>
            <w:r>
              <w:rPr>
                <w:rFonts w:hint="eastAsia" w:hAnsi="宋体" w:cs="宋体"/>
                <w:color w:val="auto"/>
                <w:sz w:val="21"/>
                <w:szCs w:val="21"/>
                <w:highlight w:val="none"/>
              </w:rPr>
              <w:t>塑料垃圾桶（</w:t>
            </w:r>
            <w:r>
              <w:rPr>
                <w:rFonts w:hAnsi="宋体" w:cs="宋体"/>
                <w:color w:val="auto"/>
                <w:sz w:val="21"/>
                <w:szCs w:val="21"/>
                <w:highlight w:val="none"/>
              </w:rPr>
              <w:t>120</w:t>
            </w:r>
            <w:r>
              <w:rPr>
                <w:rFonts w:hint="eastAsia" w:hAnsi="宋体" w:cs="宋体"/>
                <w:color w:val="auto"/>
                <w:sz w:val="21"/>
                <w:szCs w:val="21"/>
                <w:highlight w:val="none"/>
              </w:rPr>
              <w:t>L）</w:t>
            </w:r>
          </w:p>
        </w:tc>
        <w:tc>
          <w:tcPr>
            <w:tcW w:w="168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Cs w:val="21"/>
                <w:highlight w:val="none"/>
              </w:rPr>
            </w:pPr>
            <w:r>
              <w:rPr>
                <w:rFonts w:hint="eastAsia" w:hAnsi="宋体" w:cs="宋体"/>
                <w:color w:val="auto"/>
                <w:sz w:val="21"/>
                <w:szCs w:val="21"/>
                <w:highlight w:val="none"/>
              </w:rPr>
              <w:t>35</w:t>
            </w:r>
            <w:r>
              <w:rPr>
                <w:rFonts w:hAnsi="宋体" w:cs="宋体"/>
                <w:color w:val="auto"/>
                <w:sz w:val="21"/>
                <w:szCs w:val="21"/>
                <w:highlight w:val="none"/>
              </w:rPr>
              <w:t>0</w:t>
            </w:r>
          </w:p>
        </w:tc>
      </w:tr>
      <w:tr>
        <w:tblPrEx>
          <w:tblCellMar>
            <w:top w:w="0" w:type="dxa"/>
            <w:left w:w="108" w:type="dxa"/>
            <w:bottom w:w="0" w:type="dxa"/>
            <w:right w:w="108" w:type="dxa"/>
          </w:tblCellMar>
        </w:tblPrEx>
        <w:trPr>
          <w:trHeight w:val="374" w:hRule="atLeast"/>
        </w:trPr>
        <w:tc>
          <w:tcPr>
            <w:tcW w:w="2397"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绿化养护</w:t>
            </w:r>
          </w:p>
        </w:tc>
        <w:tc>
          <w:tcPr>
            <w:tcW w:w="444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Cs w:val="21"/>
                <w:highlight w:val="none"/>
              </w:rPr>
            </w:pPr>
            <w:r>
              <w:rPr>
                <w:rFonts w:hint="eastAsia" w:hAnsi="宋体" w:cs="宋体"/>
                <w:color w:val="auto"/>
                <w:sz w:val="21"/>
                <w:szCs w:val="21"/>
                <w:highlight w:val="none"/>
              </w:rPr>
              <w:t>油锯</w:t>
            </w:r>
          </w:p>
        </w:tc>
        <w:tc>
          <w:tcPr>
            <w:tcW w:w="168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szCs w:val="21"/>
                <w:highlight w:val="none"/>
                <w:lang w:eastAsia="zh-CN"/>
              </w:rPr>
            </w:pPr>
            <w:r>
              <w:rPr>
                <w:rFonts w:hint="eastAsia" w:hAnsi="宋体" w:cs="宋体"/>
                <w:color w:val="auto"/>
                <w:sz w:val="21"/>
                <w:szCs w:val="21"/>
                <w:highlight w:val="none"/>
              </w:rPr>
              <w:t>4</w:t>
            </w:r>
          </w:p>
        </w:tc>
      </w:tr>
      <w:tr>
        <w:tblPrEx>
          <w:tblCellMar>
            <w:top w:w="0" w:type="dxa"/>
            <w:left w:w="108" w:type="dxa"/>
            <w:bottom w:w="0" w:type="dxa"/>
            <w:right w:w="108" w:type="dxa"/>
          </w:tblCellMar>
        </w:tblPrEx>
        <w:trPr>
          <w:trHeight w:val="374" w:hRule="atLeast"/>
        </w:trPr>
        <w:tc>
          <w:tcPr>
            <w:tcW w:w="2397"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Cs w:val="21"/>
                <w:highlight w:val="none"/>
              </w:rPr>
            </w:pPr>
            <w:r>
              <w:rPr>
                <w:rFonts w:hint="eastAsia" w:hAnsi="宋体" w:cs="宋体"/>
                <w:color w:val="auto"/>
                <w:sz w:val="21"/>
                <w:szCs w:val="21"/>
                <w:highlight w:val="none"/>
              </w:rPr>
              <w:t>高锯</w:t>
            </w:r>
          </w:p>
        </w:tc>
        <w:tc>
          <w:tcPr>
            <w:tcW w:w="168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Cs w:val="21"/>
                <w:highlight w:val="none"/>
              </w:rPr>
            </w:pPr>
            <w:r>
              <w:rPr>
                <w:rFonts w:hint="eastAsia" w:hAnsi="宋体" w:cs="宋体"/>
                <w:color w:val="auto"/>
                <w:sz w:val="21"/>
                <w:szCs w:val="21"/>
                <w:highlight w:val="none"/>
              </w:rPr>
              <w:t>2</w:t>
            </w:r>
          </w:p>
        </w:tc>
      </w:tr>
      <w:tr>
        <w:tblPrEx>
          <w:tblCellMar>
            <w:top w:w="0" w:type="dxa"/>
            <w:left w:w="108" w:type="dxa"/>
            <w:bottom w:w="0" w:type="dxa"/>
            <w:right w:w="108" w:type="dxa"/>
          </w:tblCellMar>
        </w:tblPrEx>
        <w:trPr>
          <w:trHeight w:val="541" w:hRule="atLeast"/>
        </w:trPr>
        <w:tc>
          <w:tcPr>
            <w:tcW w:w="2397"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p>
        </w:tc>
        <w:tc>
          <w:tcPr>
            <w:tcW w:w="444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szCs w:val="21"/>
                <w:highlight w:val="none"/>
                <w:lang w:eastAsia="zh-CN"/>
              </w:rPr>
            </w:pPr>
            <w:r>
              <w:rPr>
                <w:rFonts w:hint="eastAsia" w:hAnsi="宋体" w:cs="宋体"/>
                <w:color w:val="auto"/>
                <w:sz w:val="21"/>
                <w:szCs w:val="21"/>
                <w:highlight w:val="none"/>
              </w:rPr>
              <w:t>剪草机</w:t>
            </w:r>
          </w:p>
        </w:tc>
        <w:tc>
          <w:tcPr>
            <w:tcW w:w="168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szCs w:val="21"/>
                <w:highlight w:val="none"/>
                <w:lang w:val="en-US" w:eastAsia="zh-CN"/>
              </w:rPr>
            </w:pPr>
            <w:r>
              <w:rPr>
                <w:rFonts w:hint="eastAsia" w:hAnsi="宋体" w:cs="宋体"/>
                <w:color w:val="auto"/>
                <w:sz w:val="21"/>
                <w:szCs w:val="21"/>
                <w:highlight w:val="none"/>
              </w:rPr>
              <w:t>1</w:t>
            </w:r>
          </w:p>
        </w:tc>
      </w:tr>
      <w:tr>
        <w:tblPrEx>
          <w:tblCellMar>
            <w:top w:w="0" w:type="dxa"/>
            <w:left w:w="108" w:type="dxa"/>
            <w:bottom w:w="0" w:type="dxa"/>
            <w:right w:w="108" w:type="dxa"/>
          </w:tblCellMar>
        </w:tblPrEx>
        <w:trPr>
          <w:trHeight w:val="541" w:hRule="atLeast"/>
        </w:trPr>
        <w:tc>
          <w:tcPr>
            <w:tcW w:w="2397"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p>
        </w:tc>
        <w:tc>
          <w:tcPr>
            <w:tcW w:w="4444"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color w:val="auto"/>
                <w:szCs w:val="21"/>
                <w:highlight w:val="none"/>
                <w:lang w:val="en-US" w:eastAsia="zh-CN"/>
              </w:rPr>
            </w:pPr>
            <w:r>
              <w:rPr>
                <w:rFonts w:hint="eastAsia" w:hAnsi="宋体" w:cs="宋体"/>
                <w:color w:val="auto"/>
                <w:sz w:val="21"/>
                <w:szCs w:val="21"/>
                <w:highlight w:val="none"/>
              </w:rPr>
              <w:t>半挂牵引车</w:t>
            </w:r>
          </w:p>
        </w:tc>
        <w:tc>
          <w:tcPr>
            <w:tcW w:w="168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szCs w:val="21"/>
                <w:highlight w:val="none"/>
                <w:lang w:val="en-US" w:eastAsia="zh-CN"/>
              </w:rPr>
            </w:pPr>
            <w:r>
              <w:rPr>
                <w:rFonts w:hint="eastAsia" w:hAnsi="宋体" w:cs="宋体"/>
                <w:color w:val="auto"/>
                <w:sz w:val="21"/>
                <w:szCs w:val="21"/>
                <w:highlight w:val="none"/>
              </w:rPr>
              <w:t>1</w:t>
            </w:r>
          </w:p>
        </w:tc>
      </w:tr>
      <w:tr>
        <w:tblPrEx>
          <w:tblCellMar>
            <w:top w:w="0" w:type="dxa"/>
            <w:left w:w="108" w:type="dxa"/>
            <w:bottom w:w="0" w:type="dxa"/>
            <w:right w:w="108" w:type="dxa"/>
          </w:tblCellMar>
        </w:tblPrEx>
        <w:trPr>
          <w:trHeight w:val="541" w:hRule="atLeast"/>
        </w:trPr>
        <w:tc>
          <w:tcPr>
            <w:tcW w:w="2397"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p>
        </w:tc>
        <w:tc>
          <w:tcPr>
            <w:tcW w:w="444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szCs w:val="21"/>
                <w:highlight w:val="none"/>
                <w:lang w:eastAsia="zh-CN"/>
              </w:rPr>
            </w:pPr>
            <w:r>
              <w:rPr>
                <w:rFonts w:hint="eastAsia" w:hAnsi="宋体" w:cs="宋体"/>
                <w:color w:val="auto"/>
                <w:sz w:val="21"/>
                <w:szCs w:val="21"/>
                <w:highlight w:val="none"/>
              </w:rPr>
              <w:t>园林绿化物料专用粉碎机</w:t>
            </w:r>
          </w:p>
        </w:tc>
        <w:tc>
          <w:tcPr>
            <w:tcW w:w="168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szCs w:val="21"/>
                <w:highlight w:val="none"/>
                <w:lang w:val="en-US" w:eastAsia="zh-CN"/>
              </w:rPr>
            </w:pPr>
            <w:r>
              <w:rPr>
                <w:rFonts w:hint="eastAsia" w:hAnsi="宋体" w:cs="宋体"/>
                <w:color w:val="auto"/>
                <w:sz w:val="21"/>
                <w:szCs w:val="21"/>
                <w:highlight w:val="none"/>
              </w:rPr>
              <w:t>2</w:t>
            </w:r>
          </w:p>
        </w:tc>
      </w:tr>
      <w:tr>
        <w:tblPrEx>
          <w:tblCellMar>
            <w:top w:w="0" w:type="dxa"/>
            <w:left w:w="108" w:type="dxa"/>
            <w:bottom w:w="0" w:type="dxa"/>
            <w:right w:w="108" w:type="dxa"/>
          </w:tblCellMar>
        </w:tblPrEx>
        <w:trPr>
          <w:trHeight w:val="541" w:hRule="atLeast"/>
        </w:trPr>
        <w:tc>
          <w:tcPr>
            <w:tcW w:w="23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水面保洁</w:t>
            </w:r>
          </w:p>
        </w:tc>
        <w:tc>
          <w:tcPr>
            <w:tcW w:w="444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Cs w:val="21"/>
                <w:highlight w:val="none"/>
              </w:rPr>
            </w:pPr>
            <w:r>
              <w:rPr>
                <w:rFonts w:hint="eastAsia" w:hAnsi="宋体" w:cs="宋体"/>
                <w:color w:val="auto"/>
                <w:sz w:val="21"/>
                <w:szCs w:val="21"/>
                <w:highlight w:val="none"/>
              </w:rPr>
              <w:t>打捞工具</w:t>
            </w:r>
          </w:p>
        </w:tc>
        <w:tc>
          <w:tcPr>
            <w:tcW w:w="168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szCs w:val="21"/>
                <w:highlight w:val="none"/>
                <w:lang w:eastAsia="zh-CN"/>
              </w:rPr>
            </w:pPr>
            <w:r>
              <w:rPr>
                <w:rFonts w:hint="eastAsia" w:hAnsi="宋体" w:cs="宋体"/>
                <w:color w:val="auto"/>
                <w:sz w:val="21"/>
                <w:szCs w:val="21"/>
                <w:highlight w:val="none"/>
              </w:rPr>
              <w:t>3</w:t>
            </w:r>
          </w:p>
        </w:tc>
      </w:tr>
    </w:tbl>
    <w:p>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1、投标人需承诺为本项目投入设备数量不少于以上清单。</w:t>
      </w:r>
    </w:p>
    <w:p>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2、中标后，如遇相关设备不足的情况，采购人有权根据实际所需要求中标供应商增加。</w:t>
      </w:r>
    </w:p>
    <w:p>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3、中标供应商投入的机械设备在合同签订后20天内要经采购人验收认定。</w:t>
      </w:r>
    </w:p>
    <w:p>
      <w:pPr>
        <w:spacing w:line="360" w:lineRule="auto"/>
        <w:ind w:firstLine="420" w:firstLineChars="200"/>
        <w:rPr>
          <w:rFonts w:ascii="宋体" w:hAnsi="宋体" w:cs="宋体"/>
          <w:b w:val="0"/>
          <w:bCs w:val="0"/>
          <w:color w:val="auto"/>
          <w:szCs w:val="21"/>
          <w:highlight w:val="none"/>
        </w:rPr>
      </w:pPr>
      <w:r>
        <w:rPr>
          <w:rFonts w:hint="eastAsia" w:ascii="宋体" w:hAnsi="宋体" w:cs="宋体"/>
          <w:b w:val="0"/>
          <w:bCs w:val="0"/>
          <w:color w:val="auto"/>
          <w:szCs w:val="21"/>
          <w:highlight w:val="none"/>
        </w:rPr>
        <w:t>4、根据《东莞市生活垃圾车“文明出行”专项行动方案》要求，新增或更新的轻型环卫车辆（含采购服务项目）使用新能源汽车比例达80%以上。中标供应商投入的环卫设备可参考部分市政环卫项目车辆功能用途，且使用新能源汽车比例达80%以上。若其中投入的设备涉及道路扫路车、道路小型扫路车、小型高压冲洗车、电动三轮冲洗车、电动三轮保洁车、电动三轮垃圾收集车必须为新能源车辆。</w:t>
      </w:r>
    </w:p>
    <w:p>
      <w:pPr>
        <w:widowControl/>
        <w:jc w:val="center"/>
        <w:outlineLvl w:val="0"/>
        <w:rPr>
          <w:rStyle w:val="24"/>
          <w:rFonts w:ascii="宋体" w:hAnsi="宋体" w:cs="宋体"/>
          <w:color w:val="auto"/>
          <w:sz w:val="21"/>
          <w:szCs w:val="21"/>
          <w:highlight w:val="none"/>
        </w:rPr>
      </w:pPr>
      <w:r>
        <w:rPr>
          <w:rStyle w:val="24"/>
          <w:rFonts w:hint="eastAsia" w:ascii="宋体" w:hAnsi="宋体" w:cs="宋体"/>
          <w:color w:val="auto"/>
          <w:sz w:val="21"/>
          <w:szCs w:val="21"/>
          <w:highlight w:val="none"/>
        </w:rPr>
        <w:t>部分市政环卫项目车辆功能用途</w:t>
      </w:r>
    </w:p>
    <w:tbl>
      <w:tblPr>
        <w:tblStyle w:val="18"/>
        <w:tblW w:w="5000" w:type="pct"/>
        <w:tblInd w:w="0" w:type="dxa"/>
        <w:tblLayout w:type="fixed"/>
        <w:tblCellMar>
          <w:top w:w="0" w:type="dxa"/>
          <w:left w:w="108" w:type="dxa"/>
          <w:bottom w:w="0" w:type="dxa"/>
          <w:right w:w="108" w:type="dxa"/>
        </w:tblCellMar>
      </w:tblPr>
      <w:tblGrid>
        <w:gridCol w:w="401"/>
        <w:gridCol w:w="761"/>
        <w:gridCol w:w="974"/>
        <w:gridCol w:w="1863"/>
        <w:gridCol w:w="4517"/>
      </w:tblGrid>
      <w:tr>
        <w:tblPrEx>
          <w:tblCellMar>
            <w:top w:w="0" w:type="dxa"/>
            <w:left w:w="108" w:type="dxa"/>
            <w:bottom w:w="0" w:type="dxa"/>
            <w:right w:w="108" w:type="dxa"/>
          </w:tblCellMar>
        </w:tblPrEx>
        <w:trPr>
          <w:trHeight w:val="420" w:hRule="atLeast"/>
        </w:trPr>
        <w:tc>
          <w:tcPr>
            <w:tcW w:w="2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4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车型</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新能源车</w:t>
            </w:r>
          </w:p>
        </w:tc>
        <w:tc>
          <w:tcPr>
            <w:tcW w:w="3745"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车辆功能用途</w:t>
            </w:r>
          </w:p>
        </w:tc>
      </w:tr>
      <w:tr>
        <w:tblPrEx>
          <w:tblCellMar>
            <w:top w:w="0" w:type="dxa"/>
            <w:left w:w="108" w:type="dxa"/>
            <w:bottom w:w="0" w:type="dxa"/>
            <w:right w:w="108" w:type="dxa"/>
          </w:tblCellMar>
        </w:tblPrEx>
        <w:trPr>
          <w:trHeight w:val="90" w:hRule="atLeast"/>
        </w:trPr>
        <w:tc>
          <w:tcPr>
            <w:tcW w:w="2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纯电动低入口洗扫车</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新能源</w:t>
            </w:r>
          </w:p>
        </w:tc>
        <w:tc>
          <w:tcPr>
            <w:tcW w:w="3745"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top"/>
              <w:rPr>
                <w:rStyle w:val="43"/>
                <w:rFonts w:hint="default" w:ascii="宋体" w:hAnsi="宋体" w:eastAsia="宋体" w:cs="宋体"/>
                <w:color w:val="auto"/>
                <w:sz w:val="21"/>
                <w:szCs w:val="21"/>
                <w:highlight w:val="none"/>
                <w:lang w:bidi="ar"/>
              </w:rPr>
            </w:pPr>
            <w:r>
              <w:rPr>
                <w:rStyle w:val="43"/>
                <w:rFonts w:hint="default" w:ascii="宋体" w:hAnsi="宋体" w:eastAsia="宋体" w:cs="宋体"/>
                <w:b/>
                <w:bCs/>
                <w:color w:val="auto"/>
                <w:sz w:val="21"/>
                <w:szCs w:val="21"/>
                <w:highlight w:val="none"/>
                <w:lang w:bidi="ar"/>
              </w:rPr>
              <w:t>车辆用途：</w:t>
            </w:r>
            <w:r>
              <w:rPr>
                <w:rStyle w:val="43"/>
                <w:rFonts w:hint="default" w:ascii="宋体" w:hAnsi="宋体" w:eastAsia="宋体" w:cs="宋体"/>
                <w:color w:val="auto"/>
                <w:sz w:val="21"/>
                <w:szCs w:val="21"/>
                <w:highlight w:val="none"/>
                <w:lang w:bidi="ar"/>
              </w:rPr>
              <w:t>洗扫车主要具有路面冲洗、路面清扫、垃圾回收、路缘和路沿石立面洗刷等多种功能，还兼具高压水枪清洗路标、广告牌的功能。主要应用于城市街道、市政广场、大型厂矿等地方机械化清扫保洁作业。</w:t>
            </w:r>
          </w:p>
        </w:tc>
      </w:tr>
      <w:tr>
        <w:tblPrEx>
          <w:tblCellMar>
            <w:top w:w="0" w:type="dxa"/>
            <w:left w:w="108" w:type="dxa"/>
            <w:bottom w:w="0" w:type="dxa"/>
            <w:right w:w="108" w:type="dxa"/>
          </w:tblCellMar>
        </w:tblPrEx>
        <w:trPr>
          <w:trHeight w:val="90" w:hRule="atLeast"/>
        </w:trPr>
        <w:tc>
          <w:tcPr>
            <w:tcW w:w="2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纯电动低入口高压清洗车</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新能源</w:t>
            </w:r>
          </w:p>
        </w:tc>
        <w:tc>
          <w:tcPr>
            <w:tcW w:w="3745"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top"/>
              <w:rPr>
                <w:rStyle w:val="43"/>
                <w:rFonts w:hint="default" w:ascii="宋体" w:hAnsi="宋体" w:eastAsia="宋体" w:cs="宋体"/>
                <w:color w:val="auto"/>
                <w:sz w:val="21"/>
                <w:szCs w:val="21"/>
                <w:highlight w:val="none"/>
                <w:lang w:bidi="ar"/>
              </w:rPr>
            </w:pPr>
            <w:r>
              <w:rPr>
                <w:rStyle w:val="43"/>
                <w:rFonts w:hint="default" w:ascii="宋体" w:hAnsi="宋体" w:eastAsia="宋体" w:cs="宋体"/>
                <w:b/>
                <w:bCs/>
                <w:color w:val="auto"/>
                <w:sz w:val="21"/>
                <w:szCs w:val="21"/>
                <w:highlight w:val="none"/>
                <w:lang w:bidi="ar"/>
              </w:rPr>
              <w:t>车辆用途：</w:t>
            </w:r>
            <w:r>
              <w:rPr>
                <w:rStyle w:val="43"/>
                <w:rFonts w:hint="default" w:ascii="宋体" w:hAnsi="宋体" w:eastAsia="宋体" w:cs="宋体"/>
                <w:color w:val="auto"/>
                <w:sz w:val="21"/>
                <w:szCs w:val="21"/>
                <w:highlight w:val="none"/>
                <w:lang w:bidi="ar"/>
              </w:rPr>
              <w:t>高压清洗车具备路面高压清洗、洒水降尘、绿化喷灌与应急消防等多种功能，主要应用于城镇主干道、公路、桥梁、隧道、大型仓库、港口码头等多种场景的环卫保洁作业。</w:t>
            </w:r>
          </w:p>
        </w:tc>
      </w:tr>
      <w:tr>
        <w:tblPrEx>
          <w:tblCellMar>
            <w:top w:w="0" w:type="dxa"/>
            <w:left w:w="108" w:type="dxa"/>
            <w:bottom w:w="0" w:type="dxa"/>
            <w:right w:w="108" w:type="dxa"/>
          </w:tblCellMar>
        </w:tblPrEx>
        <w:trPr>
          <w:trHeight w:val="90" w:hRule="atLeast"/>
        </w:trPr>
        <w:tc>
          <w:tcPr>
            <w:tcW w:w="2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4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洒水车</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新能源</w:t>
            </w:r>
          </w:p>
        </w:tc>
        <w:tc>
          <w:tcPr>
            <w:tcW w:w="3745"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top"/>
              <w:rPr>
                <w:rStyle w:val="43"/>
                <w:rFonts w:hint="default" w:ascii="宋体" w:hAnsi="宋体" w:eastAsia="宋体" w:cs="宋体"/>
                <w:color w:val="auto"/>
                <w:sz w:val="21"/>
                <w:szCs w:val="21"/>
                <w:highlight w:val="none"/>
                <w:lang w:bidi="ar"/>
              </w:rPr>
            </w:pPr>
            <w:r>
              <w:rPr>
                <w:rStyle w:val="43"/>
                <w:rFonts w:hint="default" w:ascii="宋体" w:hAnsi="宋体" w:eastAsia="宋体" w:cs="宋体"/>
                <w:b/>
                <w:bCs/>
                <w:color w:val="auto"/>
                <w:sz w:val="21"/>
                <w:szCs w:val="21"/>
                <w:highlight w:val="none"/>
                <w:lang w:bidi="ar"/>
              </w:rPr>
              <w:t>车辆用途：</w:t>
            </w:r>
            <w:r>
              <w:rPr>
                <w:rStyle w:val="43"/>
                <w:rFonts w:hint="default" w:ascii="宋体" w:hAnsi="宋体" w:eastAsia="宋体" w:cs="宋体"/>
                <w:color w:val="auto"/>
                <w:sz w:val="21"/>
                <w:szCs w:val="21"/>
                <w:highlight w:val="none"/>
                <w:lang w:bidi="ar"/>
              </w:rPr>
              <w:t>洒水车具有路面冲洗、洒水降尘等多种功能，主要用于城镇道路、广场、大型仓库的环卫保洁作业，同时用于园林绿化的农药喷洒、浇灌作业。</w:t>
            </w:r>
          </w:p>
        </w:tc>
      </w:tr>
      <w:tr>
        <w:tblPrEx>
          <w:tblCellMar>
            <w:top w:w="0" w:type="dxa"/>
            <w:left w:w="108" w:type="dxa"/>
            <w:bottom w:w="0" w:type="dxa"/>
            <w:right w:w="108" w:type="dxa"/>
          </w:tblCellMar>
        </w:tblPrEx>
        <w:trPr>
          <w:trHeight w:val="90" w:hRule="atLeast"/>
        </w:trPr>
        <w:tc>
          <w:tcPr>
            <w:tcW w:w="2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纯电动多功能抑尘车</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新能源</w:t>
            </w:r>
          </w:p>
        </w:tc>
        <w:tc>
          <w:tcPr>
            <w:tcW w:w="3745"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top"/>
              <w:rPr>
                <w:rStyle w:val="43"/>
                <w:rFonts w:hint="default" w:ascii="宋体" w:hAnsi="宋体" w:eastAsia="宋体" w:cs="宋体"/>
                <w:color w:val="auto"/>
                <w:sz w:val="21"/>
                <w:szCs w:val="21"/>
                <w:highlight w:val="none"/>
                <w:lang w:bidi="ar"/>
              </w:rPr>
            </w:pPr>
            <w:r>
              <w:rPr>
                <w:rStyle w:val="43"/>
                <w:rFonts w:hint="default" w:ascii="宋体" w:hAnsi="宋体" w:eastAsia="宋体" w:cs="宋体"/>
                <w:b/>
                <w:bCs/>
                <w:color w:val="auto"/>
                <w:sz w:val="21"/>
                <w:szCs w:val="21"/>
                <w:highlight w:val="none"/>
                <w:lang w:bidi="ar"/>
              </w:rPr>
              <w:t>车辆用途：</w:t>
            </w:r>
            <w:r>
              <w:rPr>
                <w:rStyle w:val="43"/>
                <w:rFonts w:hint="default" w:ascii="宋体" w:hAnsi="宋体" w:eastAsia="宋体" w:cs="宋体"/>
                <w:color w:val="auto"/>
                <w:sz w:val="21"/>
                <w:szCs w:val="21"/>
                <w:highlight w:val="none"/>
                <w:lang w:bidi="ar"/>
              </w:rPr>
              <w:t>多功能抑尘车具有路面冲洗、洒水降尘、扬尘抑制等多种功能，主要用于道路、广场、公园等处空气抑尘、净化空气；对建筑物拆除爆破、粉料堆场、土建施工、露天矿场等场地产生的大量粉尘进行喷淋抑制，从源头减少空气污染。</w:t>
            </w:r>
          </w:p>
        </w:tc>
      </w:tr>
      <w:tr>
        <w:tblPrEx>
          <w:tblCellMar>
            <w:top w:w="0" w:type="dxa"/>
            <w:left w:w="108" w:type="dxa"/>
            <w:bottom w:w="0" w:type="dxa"/>
            <w:right w:w="108" w:type="dxa"/>
          </w:tblCellMar>
        </w:tblPrEx>
        <w:trPr>
          <w:trHeight w:val="90" w:hRule="atLeast"/>
        </w:trPr>
        <w:tc>
          <w:tcPr>
            <w:tcW w:w="2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4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纯电动低入口压缩式垃圾车</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新能源</w:t>
            </w:r>
          </w:p>
        </w:tc>
        <w:tc>
          <w:tcPr>
            <w:tcW w:w="3745"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top"/>
              <w:rPr>
                <w:rStyle w:val="43"/>
                <w:rFonts w:hint="default" w:ascii="宋体" w:hAnsi="宋体" w:eastAsia="宋体" w:cs="宋体"/>
                <w:color w:val="auto"/>
                <w:sz w:val="21"/>
                <w:szCs w:val="21"/>
                <w:highlight w:val="none"/>
                <w:lang w:bidi="ar"/>
              </w:rPr>
            </w:pPr>
            <w:r>
              <w:rPr>
                <w:rStyle w:val="43"/>
                <w:rFonts w:hint="default" w:ascii="宋体" w:hAnsi="宋体" w:eastAsia="宋体" w:cs="宋体"/>
                <w:b/>
                <w:bCs/>
                <w:color w:val="auto"/>
                <w:sz w:val="21"/>
                <w:szCs w:val="21"/>
                <w:highlight w:val="none"/>
                <w:lang w:bidi="ar"/>
              </w:rPr>
              <w:t>车辆用途：</w:t>
            </w:r>
            <w:r>
              <w:rPr>
                <w:rStyle w:val="43"/>
                <w:rFonts w:hint="default" w:ascii="宋体" w:hAnsi="宋体" w:eastAsia="宋体" w:cs="宋体"/>
                <w:color w:val="auto"/>
                <w:sz w:val="21"/>
                <w:szCs w:val="21"/>
                <w:highlight w:val="none"/>
                <w:lang w:bidi="ar"/>
              </w:rPr>
              <w:t>压缩式垃圾车主要具有装载能力强、垃圾可压缩、密封性能好等特点，广泛应用生活垃圾等压缩收运，是目前较为理想的垃圾收集、压缩、转运为一体的垃圾处理设备。</w:t>
            </w:r>
          </w:p>
        </w:tc>
      </w:tr>
      <w:tr>
        <w:tblPrEx>
          <w:tblCellMar>
            <w:top w:w="0" w:type="dxa"/>
            <w:left w:w="108" w:type="dxa"/>
            <w:bottom w:w="0" w:type="dxa"/>
            <w:right w:w="108" w:type="dxa"/>
          </w:tblCellMar>
        </w:tblPrEx>
        <w:trPr>
          <w:trHeight w:val="90" w:hRule="atLeast"/>
        </w:trPr>
        <w:tc>
          <w:tcPr>
            <w:tcW w:w="2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4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自卸式垃圾车</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新能源</w:t>
            </w:r>
          </w:p>
        </w:tc>
        <w:tc>
          <w:tcPr>
            <w:tcW w:w="3745"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hAnsi="宋体" w:cs="宋体"/>
                <w:color w:val="auto"/>
                <w:szCs w:val="21"/>
                <w:highlight w:val="none"/>
              </w:rPr>
            </w:pPr>
            <w:r>
              <w:rPr>
                <w:rStyle w:val="39"/>
                <w:rFonts w:hint="eastAsia" w:ascii="宋体" w:hAnsi="宋体" w:cs="宋体"/>
                <w:color w:val="auto"/>
                <w:sz w:val="21"/>
                <w:szCs w:val="21"/>
                <w:highlight w:val="none"/>
                <w:lang w:bidi="ar"/>
              </w:rPr>
              <w:t>车辆用途：</w:t>
            </w:r>
            <w:r>
              <w:rPr>
                <w:rStyle w:val="43"/>
                <w:rFonts w:hint="default" w:ascii="宋体" w:hAnsi="宋体" w:eastAsia="宋体" w:cs="宋体"/>
                <w:color w:val="auto"/>
                <w:sz w:val="21"/>
                <w:szCs w:val="21"/>
                <w:highlight w:val="none"/>
                <w:lang w:bidi="ar"/>
              </w:rPr>
              <w:t>自卸垃圾车主要具备密封性好、装载能力强等主要特点，广泛应用于城市及乡村建有压缩站的地方，将装载的压缩垃圾块转运到垃圾场处理自动卸放。</w:t>
            </w:r>
          </w:p>
        </w:tc>
      </w:tr>
      <w:tr>
        <w:tblPrEx>
          <w:tblCellMar>
            <w:top w:w="0" w:type="dxa"/>
            <w:left w:w="108" w:type="dxa"/>
            <w:bottom w:w="0" w:type="dxa"/>
            <w:right w:w="108" w:type="dxa"/>
          </w:tblCellMar>
        </w:tblPrEx>
        <w:trPr>
          <w:trHeight w:val="284" w:hRule="atLeast"/>
        </w:trPr>
        <w:tc>
          <w:tcPr>
            <w:tcW w:w="2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4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自装卸式垃圾车</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新能源</w:t>
            </w:r>
          </w:p>
        </w:tc>
        <w:tc>
          <w:tcPr>
            <w:tcW w:w="3745"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hAnsi="宋体" w:cs="宋体"/>
                <w:color w:val="auto"/>
                <w:szCs w:val="21"/>
                <w:highlight w:val="none"/>
              </w:rPr>
            </w:pPr>
            <w:r>
              <w:rPr>
                <w:rFonts w:hint="eastAsia" w:ascii="宋体" w:hAnsi="宋体" w:cs="宋体"/>
                <w:b/>
                <w:bCs/>
                <w:color w:val="auto"/>
                <w:kern w:val="0"/>
                <w:szCs w:val="21"/>
                <w:highlight w:val="none"/>
                <w:lang w:bidi="ar"/>
              </w:rPr>
              <w:t>车辆用途：</w:t>
            </w:r>
            <w:r>
              <w:rPr>
                <w:rFonts w:hint="eastAsia" w:ascii="宋体" w:hAnsi="宋体" w:cs="宋体"/>
                <w:color w:val="auto"/>
                <w:kern w:val="0"/>
                <w:szCs w:val="21"/>
                <w:highlight w:val="none"/>
                <w:lang w:bidi="ar"/>
              </w:rPr>
              <w:t>自装卸式垃圾车主要具备小巧灵活、密封性、装载能力强等主要特点，广泛应用于城镇小型街道、居民小区、公园、车站等带有垃圾桶收集的场所进行垃圾收运。</w:t>
            </w:r>
          </w:p>
        </w:tc>
      </w:tr>
      <w:tr>
        <w:tblPrEx>
          <w:tblCellMar>
            <w:top w:w="0" w:type="dxa"/>
            <w:left w:w="108" w:type="dxa"/>
            <w:bottom w:w="0" w:type="dxa"/>
            <w:right w:w="108" w:type="dxa"/>
          </w:tblCellMar>
        </w:tblPrEx>
        <w:trPr>
          <w:trHeight w:val="234" w:hRule="atLeast"/>
        </w:trPr>
        <w:tc>
          <w:tcPr>
            <w:tcW w:w="2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4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纯电动密闭式桶装垃圾车</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新能源</w:t>
            </w:r>
          </w:p>
        </w:tc>
        <w:tc>
          <w:tcPr>
            <w:tcW w:w="3745"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hAnsi="宋体" w:cs="宋体"/>
                <w:color w:val="auto"/>
                <w:szCs w:val="21"/>
                <w:highlight w:val="none"/>
              </w:rPr>
            </w:pPr>
            <w:r>
              <w:rPr>
                <w:rStyle w:val="39"/>
                <w:rFonts w:hint="eastAsia" w:ascii="宋体" w:hAnsi="宋体" w:cs="宋体"/>
                <w:color w:val="auto"/>
                <w:sz w:val="21"/>
                <w:szCs w:val="21"/>
                <w:highlight w:val="none"/>
                <w:lang w:bidi="ar"/>
              </w:rPr>
              <w:t>车辆用途：</w:t>
            </w:r>
            <w:r>
              <w:rPr>
                <w:rStyle w:val="43"/>
                <w:rFonts w:hint="default" w:ascii="宋体" w:hAnsi="宋体" w:eastAsia="宋体" w:cs="宋体"/>
                <w:color w:val="auto"/>
                <w:sz w:val="21"/>
                <w:szCs w:val="21"/>
                <w:highlight w:val="none"/>
                <w:lang w:bidi="ar"/>
              </w:rPr>
              <w:t>密闭式桶装垃圾车主要具备小巧灵活、密封性好、装载能力强等主要特点，广泛应用于城镇小型街道、居民小区、公园、车站等带有垃圾桶收集的场所进行垃圾收运。</w:t>
            </w:r>
          </w:p>
        </w:tc>
      </w:tr>
      <w:tr>
        <w:tblPrEx>
          <w:tblCellMar>
            <w:top w:w="0" w:type="dxa"/>
            <w:left w:w="108" w:type="dxa"/>
            <w:bottom w:w="0" w:type="dxa"/>
            <w:right w:w="108" w:type="dxa"/>
          </w:tblCellMar>
        </w:tblPrEx>
        <w:trPr>
          <w:trHeight w:val="90" w:hRule="atLeast"/>
        </w:trPr>
        <w:tc>
          <w:tcPr>
            <w:tcW w:w="2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4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纯电动扫路机</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新能源</w:t>
            </w:r>
          </w:p>
        </w:tc>
        <w:tc>
          <w:tcPr>
            <w:tcW w:w="3745"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hAnsi="宋体" w:cs="宋体"/>
                <w:color w:val="auto"/>
                <w:szCs w:val="21"/>
                <w:highlight w:val="none"/>
              </w:rPr>
            </w:pPr>
            <w:r>
              <w:rPr>
                <w:rStyle w:val="39"/>
                <w:rFonts w:hint="eastAsia" w:ascii="宋体" w:hAnsi="宋体" w:cs="宋体"/>
                <w:color w:val="auto"/>
                <w:sz w:val="21"/>
                <w:szCs w:val="21"/>
                <w:highlight w:val="none"/>
                <w:lang w:bidi="ar"/>
              </w:rPr>
              <w:t>车辆用途：</w:t>
            </w:r>
            <w:r>
              <w:rPr>
                <w:rStyle w:val="43"/>
                <w:rFonts w:hint="default" w:ascii="宋体" w:hAnsi="宋体" w:eastAsia="宋体" w:cs="宋体"/>
                <w:color w:val="auto"/>
                <w:sz w:val="21"/>
                <w:szCs w:val="21"/>
                <w:highlight w:val="none"/>
                <w:lang w:bidi="ar"/>
              </w:rPr>
              <w:t>具有动力强劲、无级变速、行驶中无换挡过程、平顺性好、转弯半径小、机动灵活等特点。广泛适用城市道路专业环卫清洁 ( 人行道、辅道、中心城区)、 园林景观美化、人行道保洁、厂务管理等各种工况。</w:t>
            </w:r>
          </w:p>
        </w:tc>
      </w:tr>
      <w:tr>
        <w:tblPrEx>
          <w:tblCellMar>
            <w:top w:w="0" w:type="dxa"/>
            <w:left w:w="108" w:type="dxa"/>
            <w:bottom w:w="0" w:type="dxa"/>
            <w:right w:w="108" w:type="dxa"/>
          </w:tblCellMar>
        </w:tblPrEx>
        <w:trPr>
          <w:trHeight w:val="777" w:hRule="atLeast"/>
        </w:trPr>
        <w:tc>
          <w:tcPr>
            <w:tcW w:w="2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447" w:type="pct"/>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护栏清洗车</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新能源</w:t>
            </w:r>
          </w:p>
        </w:tc>
        <w:tc>
          <w:tcPr>
            <w:tcW w:w="3745" w:type="pct"/>
            <w:gridSpan w:val="2"/>
            <w:tcBorders>
              <w:top w:val="single" w:color="000000" w:sz="4" w:space="0"/>
              <w:left w:val="single" w:color="000000" w:sz="4" w:space="0"/>
              <w:bottom w:val="nil"/>
              <w:right w:val="single" w:color="000000" w:sz="4" w:space="0"/>
            </w:tcBorders>
            <w:vAlign w:val="center"/>
          </w:tcPr>
          <w:p>
            <w:pPr>
              <w:widowControl/>
              <w:textAlignment w:val="top"/>
              <w:rPr>
                <w:rFonts w:ascii="宋体" w:hAnsi="宋体" w:cs="宋体"/>
                <w:color w:val="auto"/>
                <w:szCs w:val="21"/>
                <w:highlight w:val="none"/>
              </w:rPr>
            </w:pPr>
            <w:r>
              <w:rPr>
                <w:rStyle w:val="39"/>
                <w:rFonts w:hint="eastAsia" w:ascii="宋体" w:hAnsi="宋体" w:cs="宋体"/>
                <w:color w:val="auto"/>
                <w:sz w:val="21"/>
                <w:szCs w:val="21"/>
                <w:highlight w:val="none"/>
                <w:lang w:bidi="ar"/>
              </w:rPr>
              <w:t>车辆用途：</w:t>
            </w:r>
            <w:r>
              <w:rPr>
                <w:rStyle w:val="43"/>
                <w:rFonts w:hint="default" w:ascii="宋体" w:hAnsi="宋体" w:eastAsia="宋体" w:cs="宋体"/>
                <w:color w:val="auto"/>
                <w:sz w:val="21"/>
                <w:szCs w:val="21"/>
                <w:highlight w:val="none"/>
                <w:lang w:bidi="ar"/>
              </w:rPr>
              <w:t>适用于城市道路护栏的清洗、双黄线清洗、路面高压清洗以及城市雕塑、交通标志、交通路牌、广告牌的定点清洗等。该车清洗效率高，清洗效果好，能一次性洗净护栏的四周，解决了国内行业产品对护栏前、后方向无法清洗干净的问题。</w:t>
            </w:r>
          </w:p>
        </w:tc>
      </w:tr>
      <w:tr>
        <w:tblPrEx>
          <w:tblCellMar>
            <w:top w:w="0" w:type="dxa"/>
            <w:left w:w="108" w:type="dxa"/>
            <w:bottom w:w="0" w:type="dxa"/>
            <w:right w:w="108" w:type="dxa"/>
          </w:tblCellMar>
        </w:tblPrEx>
        <w:trPr>
          <w:trHeight w:val="90" w:hRule="atLeast"/>
        </w:trPr>
        <w:tc>
          <w:tcPr>
            <w:tcW w:w="235" w:type="pct"/>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447" w:type="pct"/>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多功能智能清扫机器人</w:t>
            </w:r>
          </w:p>
        </w:tc>
        <w:tc>
          <w:tcPr>
            <w:tcW w:w="572" w:type="pct"/>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新能源</w:t>
            </w:r>
          </w:p>
        </w:tc>
        <w:tc>
          <w:tcPr>
            <w:tcW w:w="3745" w:type="pct"/>
            <w:gridSpan w:val="2"/>
            <w:tcBorders>
              <w:top w:val="single" w:color="000000" w:sz="4" w:space="0"/>
              <w:left w:val="single" w:color="000000" w:sz="4" w:space="0"/>
              <w:bottom w:val="nil"/>
              <w:right w:val="single" w:color="000000" w:sz="4" w:space="0"/>
            </w:tcBorders>
            <w:vAlign w:val="center"/>
          </w:tcPr>
          <w:p>
            <w:pPr>
              <w:widowControl/>
              <w:textAlignment w:val="top"/>
              <w:rPr>
                <w:rFonts w:ascii="宋体" w:hAnsi="宋体" w:cs="宋体"/>
                <w:color w:val="auto"/>
                <w:szCs w:val="21"/>
                <w:highlight w:val="none"/>
              </w:rPr>
            </w:pPr>
            <w:r>
              <w:rPr>
                <w:rStyle w:val="44"/>
                <w:rFonts w:hint="default" w:ascii="宋体" w:hAnsi="宋体" w:eastAsia="宋体" w:cs="宋体"/>
                <w:color w:val="auto"/>
                <w:sz w:val="21"/>
                <w:szCs w:val="21"/>
                <w:highlight w:val="none"/>
                <w:lang w:bidi="ar"/>
              </w:rPr>
              <w:t>车辆用途：</w:t>
            </w:r>
            <w:r>
              <w:rPr>
                <w:rStyle w:val="45"/>
                <w:rFonts w:hint="default" w:ascii="宋体" w:hAnsi="宋体" w:eastAsia="宋体" w:cs="宋体"/>
                <w:color w:val="auto"/>
                <w:sz w:val="21"/>
                <w:szCs w:val="21"/>
                <w:highlight w:val="none"/>
                <w:lang w:bidi="ar"/>
              </w:rPr>
              <w:t>多功能清扫机器人是一款具备强大清扫系统、  利用先进无人驾驶技术实现高精度自动化清扫作业的智能清扫设备。</w:t>
            </w:r>
          </w:p>
        </w:tc>
      </w:tr>
      <w:tr>
        <w:tblPrEx>
          <w:tblCellMar>
            <w:top w:w="0" w:type="dxa"/>
            <w:left w:w="108" w:type="dxa"/>
            <w:bottom w:w="0" w:type="dxa"/>
            <w:right w:w="108" w:type="dxa"/>
          </w:tblCellMar>
        </w:tblPrEx>
        <w:trPr>
          <w:trHeight w:val="90" w:hRule="atLeast"/>
        </w:trPr>
        <w:tc>
          <w:tcPr>
            <w:tcW w:w="235" w:type="pct"/>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447" w:type="pct"/>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高压冲洗车</w:t>
            </w:r>
          </w:p>
        </w:tc>
        <w:tc>
          <w:tcPr>
            <w:tcW w:w="572" w:type="pct"/>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新能源</w:t>
            </w:r>
          </w:p>
        </w:tc>
        <w:tc>
          <w:tcPr>
            <w:tcW w:w="3745" w:type="pct"/>
            <w:gridSpan w:val="2"/>
            <w:tcBorders>
              <w:top w:val="single" w:color="000000" w:sz="4" w:space="0"/>
              <w:left w:val="single" w:color="000000" w:sz="4" w:space="0"/>
              <w:bottom w:val="nil"/>
              <w:right w:val="single" w:color="000000" w:sz="4" w:space="0"/>
            </w:tcBorders>
            <w:vAlign w:val="center"/>
          </w:tcPr>
          <w:p>
            <w:pPr>
              <w:widowControl/>
              <w:textAlignment w:val="top"/>
              <w:rPr>
                <w:rFonts w:ascii="宋体" w:hAnsi="宋体" w:cs="宋体"/>
                <w:color w:val="auto"/>
                <w:kern w:val="0"/>
                <w:szCs w:val="21"/>
                <w:highlight w:val="none"/>
                <w:lang w:bidi="ar"/>
              </w:rPr>
            </w:pPr>
            <w:r>
              <w:rPr>
                <w:rStyle w:val="44"/>
                <w:rFonts w:hint="default" w:ascii="宋体" w:hAnsi="宋体" w:eastAsia="宋体" w:cs="宋体"/>
                <w:color w:val="auto"/>
                <w:sz w:val="21"/>
                <w:szCs w:val="21"/>
                <w:highlight w:val="none"/>
                <w:lang w:bidi="ar"/>
              </w:rPr>
              <w:t>车辆用途：</w:t>
            </w:r>
          </w:p>
          <w:p>
            <w:pPr>
              <w:widowControl/>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1.主要用于清洗城市下水道 、管道的沉积物 、死角泥沟的疏通。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2.用于清洗工业排液管道 、壁面等，清洗公路 、广场地面。</w:t>
            </w:r>
          </w:p>
        </w:tc>
      </w:tr>
      <w:tr>
        <w:tblPrEx>
          <w:tblCellMar>
            <w:top w:w="0" w:type="dxa"/>
            <w:left w:w="108" w:type="dxa"/>
            <w:bottom w:w="0" w:type="dxa"/>
            <w:right w:w="108" w:type="dxa"/>
          </w:tblCellMar>
        </w:tblPrEx>
        <w:trPr>
          <w:trHeight w:val="90" w:hRule="atLeast"/>
        </w:trPr>
        <w:tc>
          <w:tcPr>
            <w:tcW w:w="2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44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自跟随清洁机器人</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新能源</w:t>
            </w:r>
          </w:p>
        </w:tc>
        <w:tc>
          <w:tcPr>
            <w:tcW w:w="3745"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用途：</w:t>
            </w:r>
          </w:p>
          <w:p>
            <w:pPr>
              <w:widowControl/>
              <w:numPr>
                <w:ilvl w:val="0"/>
                <w:numId w:val="10"/>
              </w:numP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智能跟随+人工驾驶保洁：机器宽度窄 ，狭小路段自由通行、人工驾驶，座椅设计符合人体工学，灵活机动，高效保洁、智能自适应跟随，人行机走，人停机停；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2.：强力吸吹：采用低噪高效离心风机，效率高，噪声低、吸力三挡可调节，轻松吸收树叶、烟头、白色垃圾等、机器内部存储吹风机，随取随用；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3.：支持高压清洗解决地面油渍、牛皮癣等问题；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4.：前视摄像头 - 智慧监控实时监控，实时保存视频，行车记录仪，对车辆违停、出店经营、占道经营等违规行为做出识别，并上传数据至云平台；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5.：后置AI摄像头-视觉识别垃圾，后置AI摄像头，识别车体后面是否有垃圾、识别垃圾结果实时提醒作业人员，及时处理。</w:t>
            </w:r>
          </w:p>
        </w:tc>
      </w:tr>
      <w:tr>
        <w:tblPrEx>
          <w:tblCellMar>
            <w:top w:w="0" w:type="dxa"/>
            <w:left w:w="108" w:type="dxa"/>
            <w:bottom w:w="0" w:type="dxa"/>
            <w:right w:w="108" w:type="dxa"/>
          </w:tblCellMar>
        </w:tblPrEx>
        <w:trPr>
          <w:trHeight w:val="90"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备注：根据《东莞市生活垃圾车“文明出行”专项行动方案》要求，为进一步提升我镇生活垃圾运输车管理水平，全面推进生活垃圾运输车辆统一外观样式工作，现请各投标人参照后面图片。</w:t>
            </w:r>
          </w:p>
        </w:tc>
      </w:tr>
      <w:tr>
        <w:tblPrEx>
          <w:tblCellMar>
            <w:top w:w="0" w:type="dxa"/>
            <w:left w:w="108" w:type="dxa"/>
            <w:bottom w:w="0" w:type="dxa"/>
            <w:right w:w="108" w:type="dxa"/>
          </w:tblCellMar>
        </w:tblPrEx>
        <w:trPr>
          <w:trHeight w:val="3120" w:hRule="atLeast"/>
        </w:trPr>
        <w:tc>
          <w:tcPr>
            <w:tcW w:w="2348" w:type="pct"/>
            <w:gridSpan w:val="4"/>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kern w:val="0"/>
                <w:szCs w:val="21"/>
                <w:highlight w:val="none"/>
                <w:bdr w:val="single" w:color="000000" w:sz="4" w:space="0"/>
                <w:lang w:bidi="ar"/>
              </w:rPr>
            </w:pPr>
            <w:r>
              <w:rPr>
                <w:rFonts w:hint="eastAsia" w:ascii="宋体" w:hAnsi="宋体" w:cs="宋体"/>
                <w:color w:val="auto"/>
                <w:szCs w:val="21"/>
                <w:highlight w:val="none"/>
              </w:rPr>
              <w:t>备注：厨余垃圾清运车</w:t>
            </w:r>
          </w:p>
          <w:p>
            <w:pPr>
              <w:jc w:val="center"/>
              <w:rPr>
                <w:rFonts w:ascii="宋体" w:hAnsi="宋体" w:cs="宋体"/>
                <w:color w:val="auto"/>
                <w:szCs w:val="21"/>
                <w:highlight w:val="none"/>
              </w:rPr>
            </w:pPr>
            <w:r>
              <w:rPr>
                <w:rFonts w:hint="eastAsia" w:ascii="宋体" w:hAnsi="宋体" w:cs="宋体"/>
                <w:color w:val="auto"/>
                <w:kern w:val="0"/>
                <w:szCs w:val="21"/>
                <w:highlight w:val="none"/>
                <w:bdr w:val="single" w:color="000000" w:sz="4" w:space="0"/>
                <w:lang w:bidi="ar"/>
              </w:rPr>
              <w:drawing>
                <wp:inline distT="0" distB="0" distL="114300" distR="114300">
                  <wp:extent cx="2221865" cy="1536700"/>
                  <wp:effectExtent l="0" t="0" r="0" b="0"/>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10"/>
                          <a:stretch>
                            <a:fillRect/>
                          </a:stretch>
                        </pic:blipFill>
                        <pic:spPr>
                          <a:xfrm>
                            <a:off x="0" y="0"/>
                            <a:ext cx="2221865" cy="1536700"/>
                          </a:xfrm>
                          <a:prstGeom prst="rect">
                            <a:avLst/>
                          </a:prstGeom>
                          <a:noFill/>
                          <a:ln>
                            <a:noFill/>
                          </a:ln>
                        </pic:spPr>
                      </pic:pic>
                    </a:graphicData>
                  </a:graphic>
                </wp:inline>
              </w:drawing>
            </w:r>
          </w:p>
        </w:tc>
        <w:tc>
          <w:tcPr>
            <w:tcW w:w="26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auto"/>
                <w:kern w:val="0"/>
                <w:szCs w:val="21"/>
                <w:highlight w:val="none"/>
                <w:bdr w:val="single" w:color="000000" w:sz="4" w:space="0"/>
                <w:lang w:bidi="ar"/>
              </w:rPr>
            </w:pPr>
            <w:r>
              <w:rPr>
                <w:rFonts w:hint="eastAsia" w:ascii="宋体" w:hAnsi="宋体" w:cs="宋体"/>
                <w:color w:val="auto"/>
                <w:kern w:val="0"/>
                <w:szCs w:val="21"/>
                <w:highlight w:val="none"/>
                <w:bdr w:val="single" w:color="000000" w:sz="4" w:space="0"/>
                <w:lang w:bidi="ar"/>
              </w:rPr>
              <w:drawing>
                <wp:inline distT="0" distB="0" distL="114300" distR="114300">
                  <wp:extent cx="2743835" cy="1428750"/>
                  <wp:effectExtent l="0" t="0" r="0" b="0"/>
                  <wp:docPr id="4" name="图片 2"/>
                  <wp:cNvGraphicFramePr/>
                  <a:graphic xmlns:a="http://schemas.openxmlformats.org/drawingml/2006/main">
                    <a:graphicData uri="http://schemas.openxmlformats.org/drawingml/2006/picture">
                      <pic:pic xmlns:pic="http://schemas.openxmlformats.org/drawingml/2006/picture">
                        <pic:nvPicPr>
                          <pic:cNvPr id="4" name="图片 2"/>
                          <pic:cNvPicPr/>
                        </pic:nvPicPr>
                        <pic:blipFill>
                          <a:blip r:embed="rId11"/>
                          <a:stretch>
                            <a:fillRect/>
                          </a:stretch>
                        </pic:blipFill>
                        <pic:spPr>
                          <a:xfrm>
                            <a:off x="0" y="0"/>
                            <a:ext cx="2743835" cy="142875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3120" w:hRule="atLeast"/>
        </w:trPr>
        <w:tc>
          <w:tcPr>
            <w:tcW w:w="2348" w:type="pct"/>
            <w:gridSpan w:val="4"/>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备注：厨余垃圾清运车</w:t>
            </w:r>
          </w:p>
          <w:p>
            <w:pPr>
              <w:jc w:val="center"/>
              <w:rPr>
                <w:rFonts w:ascii="宋体" w:hAnsi="宋体" w:cs="宋体"/>
                <w:color w:val="auto"/>
                <w:szCs w:val="21"/>
                <w:highlight w:val="none"/>
              </w:rPr>
            </w:pPr>
            <w:r>
              <w:rPr>
                <w:rFonts w:hint="eastAsia" w:ascii="宋体" w:hAnsi="宋体" w:cs="宋体"/>
                <w:color w:val="auto"/>
                <w:szCs w:val="21"/>
                <w:highlight w:val="none"/>
              </w:rPr>
              <w:drawing>
                <wp:inline distT="0" distB="0" distL="114300" distR="114300">
                  <wp:extent cx="1950720" cy="2164080"/>
                  <wp:effectExtent l="0" t="0" r="11430" b="762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2"/>
                          <a:stretch>
                            <a:fillRect/>
                          </a:stretch>
                        </pic:blipFill>
                        <pic:spPr>
                          <a:xfrm>
                            <a:off x="0" y="0"/>
                            <a:ext cx="1950720" cy="2164080"/>
                          </a:xfrm>
                          <a:prstGeom prst="rect">
                            <a:avLst/>
                          </a:prstGeom>
                          <a:noFill/>
                          <a:ln>
                            <a:noFill/>
                          </a:ln>
                        </pic:spPr>
                      </pic:pic>
                    </a:graphicData>
                  </a:graphic>
                </wp:inline>
              </w:drawing>
            </w:r>
          </w:p>
        </w:tc>
        <w:tc>
          <w:tcPr>
            <w:tcW w:w="2651" w:type="pct"/>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hAnsi="宋体" w:cs="宋体"/>
                <w:color w:val="auto"/>
                <w:szCs w:val="21"/>
                <w:highlight w:val="none"/>
              </w:rPr>
            </w:pPr>
            <w:r>
              <w:rPr>
                <w:rFonts w:hint="eastAsia" w:ascii="宋体" w:hAnsi="宋体" w:cs="宋体"/>
                <w:color w:val="auto"/>
                <w:szCs w:val="21"/>
                <w:highlight w:val="none"/>
              </w:rPr>
              <w:t>备注：有害垃圾清运车</w:t>
            </w:r>
          </w:p>
          <w:p>
            <w:pPr>
              <w:widowControl/>
              <w:jc w:val="center"/>
              <w:textAlignment w:val="top"/>
              <w:rPr>
                <w:rFonts w:ascii="宋体" w:hAnsi="宋体" w:cs="宋体"/>
                <w:color w:val="auto"/>
                <w:szCs w:val="21"/>
                <w:highlight w:val="none"/>
              </w:rPr>
            </w:pPr>
            <w:r>
              <w:rPr>
                <w:rFonts w:hint="eastAsia" w:ascii="宋体" w:hAnsi="宋体" w:cs="宋体"/>
                <w:color w:val="auto"/>
                <w:szCs w:val="21"/>
                <w:highlight w:val="none"/>
              </w:rPr>
              <w:drawing>
                <wp:inline distT="0" distB="0" distL="114300" distR="114300">
                  <wp:extent cx="1908175" cy="2164080"/>
                  <wp:effectExtent l="0" t="0" r="15875" b="762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3"/>
                          <a:stretch>
                            <a:fillRect/>
                          </a:stretch>
                        </pic:blipFill>
                        <pic:spPr>
                          <a:xfrm>
                            <a:off x="0" y="0"/>
                            <a:ext cx="1908175" cy="216408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3120" w:hRule="atLeast"/>
        </w:trPr>
        <w:tc>
          <w:tcPr>
            <w:tcW w:w="2348" w:type="pct"/>
            <w:gridSpan w:val="4"/>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备注：可回收物清运车</w:t>
            </w:r>
          </w:p>
          <w:p>
            <w:pPr>
              <w:jc w:val="center"/>
              <w:rPr>
                <w:rFonts w:ascii="宋体" w:hAnsi="宋体" w:cs="宋体"/>
                <w:color w:val="auto"/>
                <w:szCs w:val="21"/>
                <w:highlight w:val="none"/>
              </w:rPr>
            </w:pPr>
            <w:r>
              <w:rPr>
                <w:rFonts w:hint="eastAsia" w:ascii="宋体" w:hAnsi="宋体" w:cs="宋体"/>
                <w:color w:val="auto"/>
                <w:szCs w:val="21"/>
                <w:highlight w:val="none"/>
              </w:rPr>
              <w:drawing>
                <wp:inline distT="0" distB="0" distL="114300" distR="114300">
                  <wp:extent cx="1938655" cy="2164080"/>
                  <wp:effectExtent l="0" t="0" r="4445" b="762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4"/>
                          <a:stretch>
                            <a:fillRect/>
                          </a:stretch>
                        </pic:blipFill>
                        <pic:spPr>
                          <a:xfrm>
                            <a:off x="0" y="0"/>
                            <a:ext cx="1938655" cy="2164080"/>
                          </a:xfrm>
                          <a:prstGeom prst="rect">
                            <a:avLst/>
                          </a:prstGeom>
                          <a:noFill/>
                          <a:ln>
                            <a:noFill/>
                          </a:ln>
                        </pic:spPr>
                      </pic:pic>
                    </a:graphicData>
                  </a:graphic>
                </wp:inline>
              </w:drawing>
            </w:r>
          </w:p>
        </w:tc>
        <w:tc>
          <w:tcPr>
            <w:tcW w:w="2651" w:type="pct"/>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备注：其他垃圾小型清运车车身标识模版（厨余垃圾、有害垃圾、可回收物小型清运车车身标识参照图片格式修改）</w:t>
            </w:r>
          </w:p>
          <w:p>
            <w:pPr>
              <w:pStyle w:val="2"/>
              <w:jc w:val="center"/>
              <w:rPr>
                <w:color w:val="auto"/>
                <w:sz w:val="21"/>
                <w:szCs w:val="21"/>
                <w:highlight w:val="none"/>
              </w:rPr>
            </w:pPr>
            <w:r>
              <w:rPr>
                <w:rFonts w:hint="eastAsia"/>
                <w:color w:val="auto"/>
                <w:sz w:val="21"/>
                <w:szCs w:val="21"/>
                <w:highlight w:val="none"/>
              </w:rPr>
              <w:drawing>
                <wp:inline distT="0" distB="0" distL="114300" distR="114300">
                  <wp:extent cx="2717800" cy="1592580"/>
                  <wp:effectExtent l="0" t="0" r="6350" b="762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5"/>
                          <a:stretch>
                            <a:fillRect/>
                          </a:stretch>
                        </pic:blipFill>
                        <pic:spPr>
                          <a:xfrm>
                            <a:off x="0" y="0"/>
                            <a:ext cx="2717800" cy="1592580"/>
                          </a:xfrm>
                          <a:prstGeom prst="rect">
                            <a:avLst/>
                          </a:prstGeom>
                          <a:noFill/>
                          <a:ln>
                            <a:noFill/>
                          </a:ln>
                        </pic:spPr>
                      </pic:pic>
                    </a:graphicData>
                  </a:graphic>
                </wp:inline>
              </w:drawing>
            </w:r>
          </w:p>
        </w:tc>
      </w:tr>
    </w:tbl>
    <w:p>
      <w:pPr>
        <w:spacing w:line="360" w:lineRule="auto"/>
        <w:ind w:firstLine="422" w:firstLineChars="200"/>
        <w:rPr>
          <w:rFonts w:ascii="宋体" w:hAnsi="宋体" w:cs="宋体"/>
          <w:b/>
          <w:bCs/>
          <w:color w:val="auto"/>
          <w:szCs w:val="21"/>
          <w:highlight w:val="none"/>
        </w:rPr>
      </w:pP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（十二）人员配置要求</w:t>
      </w:r>
    </w:p>
    <w:tbl>
      <w:tblPr>
        <w:tblStyle w:val="18"/>
        <w:tblW w:w="51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2"/>
        <w:gridCol w:w="2193"/>
        <w:gridCol w:w="2067"/>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194"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r>
              <w:rPr>
                <w:rFonts w:hint="eastAsia" w:hAnsi="宋体" w:cs="宋体"/>
                <w:b w:val="0"/>
                <w:bCs w:val="0"/>
                <w:color w:val="auto"/>
                <w:sz w:val="21"/>
                <w:szCs w:val="21"/>
                <w:highlight w:val="none"/>
              </w:rPr>
              <w:t>业务类型</w:t>
            </w:r>
          </w:p>
        </w:tc>
        <w:tc>
          <w:tcPr>
            <w:tcW w:w="2195"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r>
              <w:rPr>
                <w:rFonts w:hint="eastAsia" w:hAnsi="宋体" w:cs="宋体"/>
                <w:b w:val="0"/>
                <w:bCs w:val="0"/>
                <w:color w:val="auto"/>
                <w:sz w:val="21"/>
                <w:szCs w:val="21"/>
                <w:highlight w:val="none"/>
              </w:rPr>
              <w:t>人员种类</w:t>
            </w:r>
          </w:p>
        </w:tc>
        <w:tc>
          <w:tcPr>
            <w:tcW w:w="2068"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r>
              <w:rPr>
                <w:rFonts w:hint="eastAsia" w:hAnsi="宋体" w:cs="宋体"/>
                <w:b w:val="0"/>
                <w:bCs w:val="0"/>
                <w:color w:val="auto"/>
                <w:sz w:val="21"/>
                <w:szCs w:val="21"/>
                <w:highlight w:val="none"/>
              </w:rPr>
              <w:t>数量（人）</w:t>
            </w:r>
          </w:p>
        </w:tc>
        <w:tc>
          <w:tcPr>
            <w:tcW w:w="2290"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r>
              <w:rPr>
                <w:rFonts w:hint="eastAsia" w:hAnsi="宋体" w:cs="宋体"/>
                <w:b w:val="0"/>
                <w:bCs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94" w:type="dxa"/>
            <w:vMerge w:val="restart"/>
            <w:tcBorders>
              <w:top w:val="single" w:color="auto" w:sz="4" w:space="0"/>
              <w:left w:val="single" w:color="auto" w:sz="4" w:space="0"/>
              <w:right w:val="single" w:color="auto" w:sz="4" w:space="0"/>
            </w:tcBorders>
            <w:vAlign w:val="center"/>
          </w:tcPr>
          <w:p>
            <w:pPr>
              <w:pStyle w:val="2"/>
              <w:rPr>
                <w:rFonts w:ascii="宋体" w:hAnsi="宋体" w:cs="宋体"/>
                <w:color w:val="auto"/>
                <w:sz w:val="21"/>
                <w:szCs w:val="21"/>
                <w:highlight w:val="none"/>
              </w:rPr>
            </w:pPr>
            <w:r>
              <w:rPr>
                <w:rFonts w:hint="eastAsia" w:hAnsi="宋体" w:cs="宋体"/>
                <w:b w:val="0"/>
                <w:bCs w:val="0"/>
                <w:color w:val="auto"/>
                <w:sz w:val="21"/>
                <w:szCs w:val="21"/>
                <w:highlight w:val="none"/>
              </w:rPr>
              <w:t>办公室</w:t>
            </w:r>
          </w:p>
        </w:tc>
        <w:tc>
          <w:tcPr>
            <w:tcW w:w="2195"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r>
              <w:rPr>
                <w:rFonts w:hint="eastAsia" w:hAnsi="宋体" w:cs="宋体"/>
                <w:b w:val="0"/>
                <w:bCs w:val="0"/>
                <w:color w:val="auto"/>
                <w:sz w:val="21"/>
                <w:szCs w:val="21"/>
                <w:highlight w:val="none"/>
              </w:rPr>
              <w:t>项目经理</w:t>
            </w:r>
          </w:p>
        </w:tc>
        <w:tc>
          <w:tcPr>
            <w:tcW w:w="2068"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r>
              <w:rPr>
                <w:rFonts w:hint="eastAsia" w:hAnsi="宋体" w:cs="宋体"/>
                <w:b w:val="0"/>
                <w:bCs w:val="0"/>
                <w:color w:val="auto"/>
                <w:sz w:val="21"/>
                <w:szCs w:val="21"/>
                <w:highlight w:val="none"/>
              </w:rPr>
              <w:t>1</w:t>
            </w:r>
          </w:p>
        </w:tc>
        <w:tc>
          <w:tcPr>
            <w:tcW w:w="2290"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94" w:type="dxa"/>
            <w:vMerge w:val="continue"/>
            <w:tcBorders>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p>
        </w:tc>
        <w:tc>
          <w:tcPr>
            <w:tcW w:w="2195"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r>
              <w:rPr>
                <w:rFonts w:hint="eastAsia" w:hAnsi="宋体" w:cs="宋体"/>
                <w:b w:val="0"/>
                <w:bCs w:val="0"/>
                <w:color w:val="auto"/>
                <w:sz w:val="21"/>
                <w:szCs w:val="21"/>
                <w:highlight w:val="none"/>
              </w:rPr>
              <w:t>管理人员</w:t>
            </w:r>
          </w:p>
        </w:tc>
        <w:tc>
          <w:tcPr>
            <w:tcW w:w="2068"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color w:val="auto"/>
                <w:sz w:val="21"/>
                <w:szCs w:val="21"/>
                <w:highlight w:val="none"/>
                <w:lang w:eastAsia="zh-CN"/>
              </w:rPr>
            </w:pPr>
            <w:r>
              <w:rPr>
                <w:rFonts w:hint="eastAsia" w:hAnsi="宋体" w:cs="宋体"/>
                <w:b w:val="0"/>
                <w:bCs w:val="0"/>
                <w:color w:val="auto"/>
                <w:sz w:val="21"/>
                <w:szCs w:val="21"/>
                <w:highlight w:val="none"/>
                <w:lang w:val="en-US"/>
              </w:rPr>
              <w:t>6</w:t>
            </w:r>
          </w:p>
        </w:tc>
        <w:tc>
          <w:tcPr>
            <w:tcW w:w="2290"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94"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hAnsi="宋体" w:cs="宋体"/>
                <w:color w:val="auto"/>
                <w:sz w:val="21"/>
                <w:szCs w:val="21"/>
                <w:highlight w:val="none"/>
              </w:rPr>
              <w:t>清扫保洁</w:t>
            </w:r>
          </w:p>
        </w:tc>
        <w:tc>
          <w:tcPr>
            <w:tcW w:w="2195"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r>
              <w:rPr>
                <w:rFonts w:hint="eastAsia" w:hAnsi="宋体" w:cs="宋体"/>
                <w:b w:val="0"/>
                <w:bCs w:val="0"/>
                <w:color w:val="auto"/>
                <w:sz w:val="21"/>
                <w:szCs w:val="21"/>
                <w:highlight w:val="none"/>
              </w:rPr>
              <w:t>环卫保洁工人</w:t>
            </w:r>
          </w:p>
        </w:tc>
        <w:tc>
          <w:tcPr>
            <w:tcW w:w="2068" w:type="dxa"/>
            <w:tcBorders>
              <w:top w:val="single" w:color="auto" w:sz="4" w:space="0"/>
              <w:left w:val="single" w:color="auto" w:sz="4" w:space="0"/>
              <w:bottom w:val="single" w:color="auto" w:sz="4" w:space="0"/>
              <w:right w:val="single" w:color="auto" w:sz="4" w:space="0"/>
            </w:tcBorders>
            <w:vAlign w:val="center"/>
          </w:tcPr>
          <w:p>
            <w:pPr>
              <w:pStyle w:val="2"/>
              <w:rPr>
                <w:rFonts w:hint="default" w:ascii="宋体" w:hAnsi="宋体" w:eastAsia="宋体" w:cs="宋体"/>
                <w:color w:val="auto"/>
                <w:sz w:val="21"/>
                <w:szCs w:val="21"/>
                <w:highlight w:val="none"/>
                <w:lang w:val="en-US" w:eastAsia="zh-CN"/>
              </w:rPr>
            </w:pPr>
            <w:r>
              <w:rPr>
                <w:rFonts w:hint="eastAsia" w:hAnsi="宋体" w:cs="宋体"/>
                <w:b w:val="0"/>
                <w:bCs w:val="0"/>
                <w:color w:val="auto"/>
                <w:sz w:val="21"/>
                <w:szCs w:val="21"/>
                <w:highlight w:val="none"/>
                <w:lang w:val="en-US"/>
              </w:rPr>
              <w:t>72</w:t>
            </w:r>
          </w:p>
        </w:tc>
        <w:tc>
          <w:tcPr>
            <w:tcW w:w="2290" w:type="dxa"/>
            <w:tcBorders>
              <w:top w:val="single" w:color="auto" w:sz="4" w:space="0"/>
              <w:left w:val="single" w:color="auto" w:sz="4" w:space="0"/>
              <w:bottom w:val="single" w:color="auto" w:sz="4" w:space="0"/>
              <w:right w:val="single" w:color="auto" w:sz="4" w:space="0"/>
            </w:tcBorders>
            <w:vAlign w:val="center"/>
          </w:tcPr>
          <w:p>
            <w:pPr>
              <w:pStyle w:val="2"/>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94"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195"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r>
              <w:rPr>
                <w:rFonts w:hint="eastAsia" w:hAnsi="宋体" w:cs="宋体"/>
                <w:b w:val="0"/>
                <w:bCs w:val="0"/>
                <w:color w:val="auto"/>
                <w:sz w:val="21"/>
                <w:szCs w:val="21"/>
                <w:highlight w:val="none"/>
              </w:rPr>
              <w:t>环卫车辆人员</w:t>
            </w:r>
          </w:p>
        </w:tc>
        <w:tc>
          <w:tcPr>
            <w:tcW w:w="2068" w:type="dxa"/>
            <w:tcBorders>
              <w:top w:val="single" w:color="auto" w:sz="4" w:space="0"/>
              <w:left w:val="single" w:color="auto" w:sz="4" w:space="0"/>
              <w:bottom w:val="single" w:color="auto" w:sz="4" w:space="0"/>
              <w:right w:val="single" w:color="auto" w:sz="4" w:space="0"/>
            </w:tcBorders>
            <w:vAlign w:val="center"/>
          </w:tcPr>
          <w:p>
            <w:pPr>
              <w:pStyle w:val="2"/>
              <w:rPr>
                <w:rFonts w:hint="default" w:ascii="宋体" w:hAnsi="宋体" w:eastAsia="宋体" w:cs="宋体"/>
                <w:color w:val="auto"/>
                <w:sz w:val="21"/>
                <w:szCs w:val="21"/>
                <w:highlight w:val="none"/>
                <w:lang w:val="en-US" w:eastAsia="zh-CN"/>
              </w:rPr>
            </w:pPr>
            <w:r>
              <w:rPr>
                <w:rFonts w:hint="eastAsia" w:hAnsi="宋体" w:cs="宋体"/>
                <w:b w:val="0"/>
                <w:bCs w:val="0"/>
                <w:color w:val="auto"/>
                <w:sz w:val="21"/>
                <w:szCs w:val="21"/>
                <w:highlight w:val="none"/>
                <w:lang w:val="en-US"/>
              </w:rPr>
              <w:t>15</w:t>
            </w:r>
          </w:p>
        </w:tc>
        <w:tc>
          <w:tcPr>
            <w:tcW w:w="2290"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hAnsi="宋体" w:cs="宋体"/>
                <w:color w:val="auto"/>
                <w:sz w:val="21"/>
                <w:szCs w:val="21"/>
                <w:highlight w:val="none"/>
              </w:rPr>
              <w:t>水域保洁</w:t>
            </w:r>
          </w:p>
        </w:tc>
        <w:tc>
          <w:tcPr>
            <w:tcW w:w="2195"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r>
              <w:rPr>
                <w:rFonts w:hint="eastAsia" w:hAnsi="宋体" w:cs="宋体"/>
                <w:b w:val="0"/>
                <w:bCs w:val="0"/>
                <w:color w:val="auto"/>
                <w:sz w:val="21"/>
                <w:szCs w:val="21"/>
                <w:highlight w:val="none"/>
              </w:rPr>
              <w:t>非机动保洁船人员</w:t>
            </w:r>
          </w:p>
        </w:tc>
        <w:tc>
          <w:tcPr>
            <w:tcW w:w="2068"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color w:val="auto"/>
                <w:sz w:val="21"/>
                <w:szCs w:val="21"/>
                <w:highlight w:val="none"/>
                <w:lang w:eastAsia="zh-CN"/>
              </w:rPr>
            </w:pPr>
            <w:r>
              <w:rPr>
                <w:rFonts w:hint="eastAsia" w:hAnsi="宋体" w:cs="宋体"/>
                <w:b w:val="0"/>
                <w:bCs w:val="0"/>
                <w:color w:val="auto"/>
                <w:sz w:val="21"/>
                <w:szCs w:val="21"/>
                <w:highlight w:val="none"/>
                <w:lang w:val="en-US"/>
              </w:rPr>
              <w:t>3</w:t>
            </w:r>
          </w:p>
        </w:tc>
        <w:tc>
          <w:tcPr>
            <w:tcW w:w="2290"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hAnsi="宋体" w:cs="宋体"/>
                <w:color w:val="auto"/>
                <w:sz w:val="21"/>
                <w:szCs w:val="21"/>
                <w:highlight w:val="none"/>
              </w:rPr>
              <w:t>公厕保洁</w:t>
            </w:r>
          </w:p>
        </w:tc>
        <w:tc>
          <w:tcPr>
            <w:tcW w:w="2195"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r>
              <w:rPr>
                <w:rFonts w:hint="eastAsia" w:hAnsi="宋体" w:cs="宋体"/>
                <w:b w:val="0"/>
                <w:bCs w:val="0"/>
                <w:color w:val="auto"/>
                <w:sz w:val="21"/>
                <w:szCs w:val="21"/>
                <w:highlight w:val="none"/>
              </w:rPr>
              <w:t>公厕保洁人员</w:t>
            </w:r>
          </w:p>
        </w:tc>
        <w:tc>
          <w:tcPr>
            <w:tcW w:w="2068"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color w:val="auto"/>
                <w:sz w:val="21"/>
                <w:szCs w:val="21"/>
                <w:highlight w:val="none"/>
                <w:lang w:eastAsia="zh-CN"/>
              </w:rPr>
            </w:pPr>
            <w:r>
              <w:rPr>
                <w:rFonts w:hint="eastAsia" w:hAnsi="宋体" w:cs="宋体"/>
                <w:b w:val="0"/>
                <w:bCs w:val="0"/>
                <w:color w:val="auto"/>
                <w:sz w:val="21"/>
                <w:szCs w:val="21"/>
                <w:highlight w:val="none"/>
                <w:lang w:val="en-US"/>
              </w:rPr>
              <w:t>4</w:t>
            </w:r>
          </w:p>
        </w:tc>
        <w:tc>
          <w:tcPr>
            <w:tcW w:w="2290"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94"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hAnsi="宋体" w:cs="宋体"/>
                <w:color w:val="auto"/>
                <w:sz w:val="21"/>
                <w:szCs w:val="21"/>
                <w:highlight w:val="none"/>
              </w:rPr>
              <w:t>转运站管理</w:t>
            </w:r>
          </w:p>
        </w:tc>
        <w:tc>
          <w:tcPr>
            <w:tcW w:w="2195"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r>
              <w:rPr>
                <w:rFonts w:hint="eastAsia" w:hAnsi="宋体" w:cs="宋体"/>
                <w:b w:val="0"/>
                <w:bCs w:val="0"/>
                <w:color w:val="auto"/>
                <w:sz w:val="21"/>
                <w:szCs w:val="21"/>
                <w:highlight w:val="none"/>
              </w:rPr>
              <w:t>转运站管理操作人员</w:t>
            </w:r>
          </w:p>
        </w:tc>
        <w:tc>
          <w:tcPr>
            <w:tcW w:w="2068"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color w:val="auto"/>
                <w:sz w:val="21"/>
                <w:szCs w:val="21"/>
                <w:highlight w:val="none"/>
                <w:lang w:eastAsia="zh-CN"/>
              </w:rPr>
            </w:pPr>
            <w:r>
              <w:rPr>
                <w:rFonts w:hint="eastAsia" w:hAnsi="宋体" w:cs="宋体"/>
                <w:b w:val="0"/>
                <w:bCs w:val="0"/>
                <w:color w:val="auto"/>
                <w:sz w:val="21"/>
                <w:szCs w:val="21"/>
                <w:highlight w:val="none"/>
                <w:lang w:val="en-US"/>
              </w:rPr>
              <w:t>2</w:t>
            </w:r>
          </w:p>
        </w:tc>
        <w:tc>
          <w:tcPr>
            <w:tcW w:w="2290"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94" w:type="dxa"/>
            <w:vMerge w:val="restart"/>
            <w:tcBorders>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hAnsi="宋体" w:cs="宋体"/>
                <w:color w:val="auto"/>
                <w:sz w:val="21"/>
                <w:szCs w:val="21"/>
                <w:highlight w:val="none"/>
              </w:rPr>
              <w:t>垃圾收运</w:t>
            </w:r>
          </w:p>
        </w:tc>
        <w:tc>
          <w:tcPr>
            <w:tcW w:w="2195"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r>
              <w:rPr>
                <w:rFonts w:hint="eastAsia" w:hAnsi="宋体" w:cs="宋体"/>
                <w:b w:val="0"/>
                <w:bCs w:val="0"/>
                <w:color w:val="auto"/>
                <w:sz w:val="21"/>
                <w:szCs w:val="21"/>
                <w:highlight w:val="none"/>
              </w:rPr>
              <w:t>司机</w:t>
            </w:r>
          </w:p>
        </w:tc>
        <w:tc>
          <w:tcPr>
            <w:tcW w:w="2068"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color w:val="auto"/>
                <w:sz w:val="21"/>
                <w:szCs w:val="21"/>
                <w:highlight w:val="none"/>
                <w:lang w:eastAsia="zh-CN"/>
              </w:rPr>
            </w:pPr>
            <w:r>
              <w:rPr>
                <w:rFonts w:hint="eastAsia" w:hAnsi="宋体" w:cs="宋体"/>
                <w:b w:val="0"/>
                <w:bCs w:val="0"/>
                <w:color w:val="auto"/>
                <w:sz w:val="21"/>
                <w:szCs w:val="21"/>
                <w:highlight w:val="none"/>
                <w:lang w:val="en-US"/>
              </w:rPr>
              <w:t>5</w:t>
            </w:r>
          </w:p>
        </w:tc>
        <w:tc>
          <w:tcPr>
            <w:tcW w:w="2290"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94" w:type="dxa"/>
            <w:vMerge w:val="continue"/>
            <w:tcBorders>
              <w:left w:val="single" w:color="auto" w:sz="4" w:space="0"/>
              <w:right w:val="single" w:color="auto" w:sz="4" w:space="0"/>
            </w:tcBorders>
            <w:vAlign w:val="center"/>
          </w:tcPr>
          <w:p>
            <w:pPr>
              <w:jc w:val="center"/>
              <w:rPr>
                <w:rFonts w:ascii="宋体" w:hAnsi="宋体" w:cs="宋体"/>
                <w:color w:val="auto"/>
                <w:szCs w:val="21"/>
                <w:highlight w:val="none"/>
              </w:rPr>
            </w:pPr>
          </w:p>
        </w:tc>
        <w:tc>
          <w:tcPr>
            <w:tcW w:w="2195"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r>
              <w:rPr>
                <w:rFonts w:hint="eastAsia" w:hAnsi="宋体" w:cs="宋体"/>
                <w:b w:val="0"/>
                <w:bCs w:val="0"/>
                <w:color w:val="auto"/>
                <w:sz w:val="21"/>
                <w:szCs w:val="21"/>
                <w:highlight w:val="none"/>
              </w:rPr>
              <w:t>收运人员</w:t>
            </w:r>
          </w:p>
        </w:tc>
        <w:tc>
          <w:tcPr>
            <w:tcW w:w="2068"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color w:val="auto"/>
                <w:sz w:val="21"/>
                <w:szCs w:val="21"/>
                <w:highlight w:val="none"/>
                <w:lang w:eastAsia="zh-CN"/>
              </w:rPr>
            </w:pPr>
            <w:r>
              <w:rPr>
                <w:rFonts w:hint="eastAsia" w:hAnsi="宋体" w:cs="宋体"/>
                <w:b w:val="0"/>
                <w:bCs w:val="0"/>
                <w:color w:val="auto"/>
                <w:sz w:val="21"/>
                <w:szCs w:val="21"/>
                <w:highlight w:val="none"/>
                <w:lang w:val="en-US"/>
              </w:rPr>
              <w:t>8</w:t>
            </w:r>
          </w:p>
        </w:tc>
        <w:tc>
          <w:tcPr>
            <w:tcW w:w="2290"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94" w:type="dxa"/>
            <w:tcBorders>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hAnsi="宋体" w:cs="宋体"/>
                <w:color w:val="auto"/>
                <w:sz w:val="21"/>
                <w:szCs w:val="21"/>
                <w:highlight w:val="none"/>
              </w:rPr>
              <w:t>园林绿化养护</w:t>
            </w:r>
          </w:p>
        </w:tc>
        <w:tc>
          <w:tcPr>
            <w:tcW w:w="2195"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r>
              <w:rPr>
                <w:rFonts w:hint="eastAsia" w:hAnsi="宋体" w:cs="宋体"/>
                <w:b w:val="0"/>
                <w:bCs w:val="0"/>
                <w:color w:val="auto"/>
                <w:sz w:val="21"/>
                <w:szCs w:val="21"/>
                <w:highlight w:val="none"/>
              </w:rPr>
              <w:t>园林绿化养护人员</w:t>
            </w:r>
          </w:p>
        </w:tc>
        <w:tc>
          <w:tcPr>
            <w:tcW w:w="2068"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color w:val="auto"/>
                <w:sz w:val="21"/>
                <w:szCs w:val="21"/>
                <w:highlight w:val="none"/>
                <w:lang w:eastAsia="zh-CN"/>
              </w:rPr>
            </w:pPr>
            <w:r>
              <w:rPr>
                <w:rFonts w:hint="eastAsia" w:hAnsi="宋体" w:cs="宋体"/>
                <w:b w:val="0"/>
                <w:bCs w:val="0"/>
                <w:color w:val="auto"/>
                <w:sz w:val="21"/>
                <w:szCs w:val="21"/>
                <w:highlight w:val="none"/>
                <w:lang w:val="en-US"/>
              </w:rPr>
              <w:t>6</w:t>
            </w:r>
          </w:p>
        </w:tc>
        <w:tc>
          <w:tcPr>
            <w:tcW w:w="2290"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389" w:type="dxa"/>
            <w:gridSpan w:val="2"/>
            <w:tcBorders>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hAnsi="宋体" w:cs="宋体"/>
                <w:color w:val="auto"/>
                <w:sz w:val="21"/>
                <w:szCs w:val="21"/>
                <w:highlight w:val="none"/>
              </w:rPr>
              <w:t>合计</w:t>
            </w:r>
          </w:p>
        </w:tc>
        <w:tc>
          <w:tcPr>
            <w:tcW w:w="2068" w:type="dxa"/>
            <w:tcBorders>
              <w:top w:val="single" w:color="auto" w:sz="4" w:space="0"/>
              <w:left w:val="single" w:color="auto" w:sz="4" w:space="0"/>
              <w:bottom w:val="single" w:color="auto" w:sz="4" w:space="0"/>
              <w:right w:val="single" w:color="auto" w:sz="4" w:space="0"/>
            </w:tcBorders>
            <w:vAlign w:val="center"/>
          </w:tcPr>
          <w:p>
            <w:pPr>
              <w:pStyle w:val="2"/>
              <w:rPr>
                <w:rFonts w:hint="default" w:ascii="宋体" w:hAnsi="宋体" w:eastAsia="宋体" w:cs="宋体"/>
                <w:color w:val="auto"/>
                <w:sz w:val="21"/>
                <w:szCs w:val="21"/>
                <w:highlight w:val="none"/>
                <w:lang w:val="en-US" w:eastAsia="zh-CN"/>
              </w:rPr>
            </w:pPr>
            <w:r>
              <w:rPr>
                <w:rFonts w:hint="eastAsia" w:hAnsi="宋体" w:cs="宋体"/>
                <w:b w:val="0"/>
                <w:bCs w:val="0"/>
                <w:color w:val="auto"/>
                <w:sz w:val="21"/>
                <w:szCs w:val="21"/>
                <w:highlight w:val="none"/>
                <w:lang w:val="en-US"/>
              </w:rPr>
              <w:t>122</w:t>
            </w:r>
          </w:p>
        </w:tc>
        <w:tc>
          <w:tcPr>
            <w:tcW w:w="2290"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p>
        </w:tc>
      </w:tr>
    </w:tbl>
    <w:p>
      <w:pPr>
        <w:pStyle w:val="2"/>
        <w:spacing w:before="0" w:line="360" w:lineRule="auto"/>
        <w:ind w:lef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1、投标人投标时需承诺书为本项目投入的人员数量不少于以上清单。</w:t>
      </w:r>
    </w:p>
    <w:p>
      <w:pPr>
        <w:pStyle w:val="2"/>
        <w:spacing w:before="0"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2、中标后，如遇人员不足的情况，采购人有权根据实际所需要求中标供应商增加。</w:t>
      </w:r>
    </w:p>
    <w:p>
      <w:pPr>
        <w:pStyle w:val="2"/>
        <w:spacing w:before="0"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须投入人员数量不少于以上清单，如遇相关人员数量不足的情况，中标供应商应根据实际所需增加。人员在职期间，男不得超过60周岁，女不得超过55周岁。如国家政策发生改变时，按新的国家政策执行。同时，中标供应商应当与劳动者订立书面劳动合同（或劳务合同），并为员工购买社保、特定工伤保险及必要的商业险。</w:t>
      </w:r>
    </w:p>
    <w:p>
      <w:pPr>
        <w:pStyle w:val="2"/>
        <w:spacing w:before="0"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按照“应收尽收”原则接收自愿留下且满足年龄条件（男不超过60周岁，女不超过55周岁）的原服务项目环卫工人，所有合同期内工人工资标准必须符合劳动法规及相关法律法规，且工人最低工资不能低于东莞市最新公布的最低工资标准。同时，工人加班的劳动报酬也必须符合劳动法及相关行业的法律法规。</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（十三）安全生产要求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中标供应商必须配备符合相关标准的安全作业用品和劳保用品，落实好安全生产措施，开展职业病防治工作，确保员工劳动保护和人身安全。员工的工伤、意外等的一切经济责任和法律责任由中标供应商承担。</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2、定期对员工进行安全生产教育，落实责任制，落实有关安全措施。</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3、车辆行驶必须严格遵守交通规则。中标供应商需自行解决户外安全问题，工人上下班不得乱穿马路、作业车辆不得逆向行驶或出现人货混载的情况。</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4、路面作业人员必须统一穿着带反光标志的工作服（按《东莞市城市管理和综合执法局视觉识别系统》中对环卫服装要求执行）。</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5、路面作业时必须落实警示标志及防护措施。</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6、清扫后的斗车、清扫工具等不得妨碍交通。</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7、不得存放易燃、易爆、剧毒等危险品。</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8、落实防火措施，配足性能良好的消防器材。</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9、落实安全用电措施，不得乱拉、乱挂、乱接电线，不使用非生产性大功率电器，不得超线路负载使用电器。</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10、在各类作业期间，必须按各工种的操作特性，落实各类的安全、防护措施，确保人员及财产的安全，发生安全生产事故的，必须及时上报。</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11、洒水车、垃圾清运车、高空作业车等在机动车道行驶的作业车辆需安装右侧盲区探测雷达。</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12、规范开展高空作业工作，高空作业要使用升降车，不得站在车辆车厢、驾驶舱顶部或攀爬树木进行作业，要严格执行“双报备”、高处作业做到“五个必须”（必须培训持证上岗、必须实行作业审批、必须做好个人防护、必须落实工程措施、必须安排专人监护）。占道作业时要做好警示标志及雪糕筒的摆放。</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13、项目部或集中安排工人宿舍的要落实防火、安全用电、安全用气等措施，配足性能良好的消防器材，日常开展安全隐患排查。</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14、在进行作业时，必须认真负责，注意安全操作。如因中标供应商操作不当、管理疏漏等各种原因造成中标供应商职工、雇员或任何其他人人身或财产损害的，中标供应商应承担全部责任。（包括但不限于相关的赔偿费用、诉讼费、保全费、鉴定费、公证费、律师费、差旅费等所有费用）。</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15、提交企业安全生产责任承诺书。</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（十四）应急要求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突发事件（如道路污染）和自然灾害（如台风等）要在确保安全情况下及时清理现场并冲洗路面；如遇强台风、特大暴雨等不适应上路作业时段时，中标供应商可以不安排人员上路清扫保洁，但应按照采购人要求成立一支不少于15人的清扫保洁临时应急队伍，服从采购人和政府相关部门的统一指挥和调度。台风、暴雨过后，中标供应商应立即组织人员做好清扫保洁工作。特殊情况，如需协助救险救灾工作，中标供应商应服从采购人和政府相关部门的统一指挥和调度。对不可抗力（如台风、暴雨等自然灾害）造成的环卫损害，应在12小时内完成现场清理和恢复交通（延迟完成清理须经采购人同意），并在采购人根据实际情况设定的时间内恢复原状。</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因城市管理工作、创建工作（如创文、创卫等）以及其他临时性重大活动保障要求，中标供应商必须无条件配合做好考评、检查、创建、活动保障工作，加强保洁服务工作，在检查期间及重大活动保障期间所产生的费用全部由中标供应商负责。</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在接到暴雨预警信息后立即组织对道路雨水口周边垃圾进行清扫；发现作业区域存在大面积淤泥，需根据采购人要求及时清理、冲洗污染路面，影响交通安全的，应立即组织清理。如发现化学物品、危险物品后立即报告相关部门处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4、作业范围内如出现车辆机油和运输物等撒漏现象，中标供应商必须采取应急措施科学处理。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5、中标供应商协助监督辖区内施工单位的撒漏问题，督促协助撒漏方及时清理余泥、垃圾和废弃物，发现不配合且情节恶劣的应及时告知采购人，并报告相关部门处理。</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（十五）整改事项要求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中标供应商在接到整改事项后需提交整改工作计划并按期按要求整改，若未按要求落实整改的，则按整改事项违约处理。如中标供应商认为情况不实，有异议的，可在24小时内向采购人申请复核。</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（十六）其他要求</w:t>
      </w:r>
    </w:p>
    <w:p>
      <w:pPr>
        <w:pStyle w:val="2"/>
        <w:spacing w:before="0"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1、在合同期内，因政府部门规划建设及政策变化等原因需调整服务范围或者提前终止合同时，中标供应商应服从大局，由此造成的经济损失，采购人不负违约责任。</w:t>
      </w:r>
    </w:p>
    <w:p>
      <w:pPr>
        <w:pStyle w:val="2"/>
        <w:spacing w:before="0"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2、在符合供水规划和技术条件下，采购人可协助中标供应商按实际需要办理专用给水口，人工费、材料费、水费等由中标供应商支付。</w:t>
      </w:r>
    </w:p>
    <w:p>
      <w:pPr>
        <w:pStyle w:val="2"/>
        <w:spacing w:before="0"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3、中标供应商应严格遵守国家法律、法规的规定，做好社会治安综合治理等工作。不得违反国家法律、法规的规定。如中标供应商员工有违法乱纪行为，中标供应商承担一切经济责任和法律责任。</w:t>
      </w:r>
    </w:p>
    <w:p>
      <w:pPr>
        <w:pStyle w:val="2"/>
        <w:spacing w:before="0"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4、中标供应商需按《中华人民共和国民法典》等法律要求保障员工的合法权益。</w:t>
      </w:r>
    </w:p>
    <w:p>
      <w:pPr>
        <w:pStyle w:val="2"/>
        <w:spacing w:before="0"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项目执行过程中，如需采购人配合办理相关手续，或提供相关服务条件，均须在投标文件中详细说明，例如临时场地租用，临时用电电源接入，与采购人沟通协调等相关事宜，以便于采购人决定是否接受或提前准备，所涉及的费用均由中标单位承担。</w:t>
      </w:r>
    </w:p>
    <w:p>
      <w:pPr>
        <w:pStyle w:val="2"/>
        <w:spacing w:before="0"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6、由于承包范围内的养护设施被盗或损坏或操作不当而导致他人死伤或造成其他损失的，由中标供应商负责赔偿和承担一切责任。</w:t>
      </w:r>
    </w:p>
    <w:p>
      <w:pPr>
        <w:pStyle w:val="2"/>
        <w:spacing w:before="0"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中标供应商按实际要求配足作业人员，配员不能低于该路段的最低配员标准。说明：招标文件要求的作业人员数量配置为最低要求，中标供应商在确认中标资格后，且中标供应商与采购人签订合同之前将作业人员相关资料(包括人员名单、已聘用人员劳动合同及社保证明、新聘用员工资料等)提交采购人备案，作业司机、突发事件的临时应急队伍等作业人员年龄须 55 周岁以下。</w:t>
      </w:r>
    </w:p>
    <w:p>
      <w:pPr>
        <w:pStyle w:val="2"/>
        <w:spacing w:before="0"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如因中标供应商不及时清扫或清扫不彻底等原因而发生交通事故或其他意外事故，致任何第三人人身或财产受损的，中标供应商应承担全部责任。如采购人在前述情形中实际承担了赔偿责任的，中标供应商同意无条件赔偿采购人的一切损失（包括但不限于采购人已赔偿的费用、采购人为向中标供应商追讨相关费用而支付的诉讼费、保全费、鉴定费、公证费、律师费、差旅费等所有费用）。</w:t>
      </w:r>
    </w:p>
    <w:p>
      <w:pPr>
        <w:pStyle w:val="2"/>
        <w:spacing w:before="0"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9、服务期内，若中标供应商的服务效果未达到招标文件要求的质量标准，中标供应商须无条件服从采购人的要求增加设备及人员，直至达到招标文件要求的质量标准为止。</w:t>
      </w:r>
    </w:p>
    <w:p>
      <w:pPr>
        <w:pStyle w:val="2"/>
        <w:spacing w:before="0"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中标供应商需协助采购人做好偷倒垃圾的巡查工作，发现存在偷倒垃圾行为的须及时上报采购人，如未能及时发现偷倒行为造成出现无法确认责任人的，中标供应商需协助将垃圾（包括建筑垃圾、工业垃圾等）清理。</w:t>
      </w:r>
    </w:p>
    <w:p>
      <w:pPr>
        <w:pStyle w:val="2"/>
        <w:spacing w:before="0" w:line="360" w:lineRule="auto"/>
        <w:ind w:left="0" w:firstLine="422" w:firstLineChars="200"/>
        <w:rPr>
          <w:b/>
          <w:color w:val="auto"/>
          <w:sz w:val="21"/>
          <w:szCs w:val="21"/>
          <w:highlight w:val="none"/>
        </w:rPr>
      </w:pPr>
      <w:r>
        <w:rPr>
          <w:rFonts w:hint="eastAsia"/>
          <w:b/>
          <w:bCs/>
          <w:color w:val="auto"/>
          <w:sz w:val="21"/>
          <w:szCs w:val="21"/>
          <w:highlight w:val="none"/>
        </w:rPr>
        <w:t>（十七）</w:t>
      </w:r>
      <w:r>
        <w:rPr>
          <w:rFonts w:hint="eastAsia"/>
          <w:b/>
          <w:color w:val="auto"/>
          <w:sz w:val="21"/>
          <w:szCs w:val="21"/>
          <w:highlight w:val="none"/>
        </w:rPr>
        <w:t>其他说明</w:t>
      </w:r>
    </w:p>
    <w:p>
      <w:pPr>
        <w:pStyle w:val="2"/>
        <w:spacing w:before="0" w:line="360" w:lineRule="auto"/>
        <w:ind w:left="0" w:firstLine="420" w:firstLineChars="200"/>
        <w:rPr>
          <w:rFonts w:hint="eastAsia"/>
          <w:color w:val="auto"/>
          <w:sz w:val="21"/>
          <w:szCs w:val="21"/>
          <w:highlight w:val="none"/>
        </w:rPr>
      </w:pPr>
      <w:r>
        <w:rPr>
          <w:rFonts w:hint="eastAsia"/>
          <w:color w:val="auto"/>
          <w:sz w:val="21"/>
          <w:szCs w:val="21"/>
          <w:highlight w:val="none"/>
        </w:rPr>
        <w:t>1、确保交付中标供应商管理的所有中转站和厕所设施完好无损，达到市精细化考核标准，能正常使用，负责对中转站和公厕墙体主体结构和排水排气设施设备等大物件的保养、维修和更换，并相应承担保养、维修和更换等相关费用。</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2、为中标供应商项目车辆停放场地和安装变压器充电桩提供必要的协助。</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（十八）保密要求</w:t>
      </w:r>
    </w:p>
    <w:p>
      <w:pPr>
        <w:pStyle w:val="2"/>
        <w:spacing w:before="0" w:line="360" w:lineRule="auto"/>
        <w:ind w:left="0" w:firstLine="420" w:firstLineChars="200"/>
        <w:rPr>
          <w:rFonts w:hint="eastAsia"/>
          <w:color w:val="auto"/>
          <w:sz w:val="21"/>
          <w:szCs w:val="21"/>
          <w:highlight w:val="none"/>
        </w:rPr>
      </w:pPr>
      <w:r>
        <w:rPr>
          <w:rFonts w:hint="eastAsia"/>
          <w:color w:val="auto"/>
          <w:sz w:val="21"/>
          <w:szCs w:val="21"/>
          <w:highlight w:val="none"/>
        </w:rPr>
        <w:t>1、项目实施过程中至中标供应商正式向采购人交付技术文档资料时止，中标供应商必须采取措施对本项目实施过程中的数据、源代码、技术文档等资料保密，否则，由于中标供应商过错导致的上述资料泄密的，中标供应商必须承担一切责任。项目完成后，甲、乙双方均有责任对本项目的技术保密承担责任。</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未经中标供应商事先书面同意，采购人不得将由中标供应商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pPr>
        <w:pStyle w:val="2"/>
        <w:spacing w:before="0" w:line="360" w:lineRule="auto"/>
        <w:ind w:left="0" w:firstLine="482" w:firstLineChars="200"/>
        <w:rPr>
          <w:b/>
          <w:bCs/>
          <w:color w:val="auto"/>
          <w:highlight w:val="none"/>
        </w:rPr>
      </w:pPr>
      <w:r>
        <w:rPr>
          <w:rFonts w:hint="eastAsia"/>
          <w:b/>
          <w:bCs/>
          <w:color w:val="auto"/>
          <w:highlight w:val="none"/>
        </w:rPr>
        <w:t>三、考核评分办法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关于印发&lt;东莞市城乡市容环卫统筹管理实施方案&gt;的通知》（东府办〔2013〕92号）和《关于印发&lt;长安镇市容环卫统筹方案&gt;的通知》（长府办〔2013〕92号）文件精神，为落实村级环卫体制改革的目标任务，改善社区环境卫生市容市貌，建立和完善环卫统筹管理及环境卫生整治长效管理机制，实现社区市容环卫规范化、高效化、一体化管理、结合社区环卫项目承包合同内容，特制定本评分办法，本评分办法主要是对环卫工作项目市场化公司的检查考核评分办法。</w:t>
      </w:r>
    </w:p>
    <w:p>
      <w:pPr>
        <w:tabs>
          <w:tab w:val="left" w:pos="420"/>
          <w:tab w:val="left" w:pos="840"/>
          <w:tab w:val="left" w:pos="1260"/>
          <w:tab w:val="left" w:pos="1680"/>
          <w:tab w:val="left" w:pos="5848"/>
        </w:tabs>
        <w:spacing w:line="360" w:lineRule="auto"/>
        <w:ind w:firstLine="420" w:firstLineChars="200"/>
        <w:rPr>
          <w:rFonts w:ascii="宋体" w:hAnsi="宋体" w:cs="宋体"/>
          <w:b/>
          <w:color w:val="auto"/>
          <w:szCs w:val="21"/>
          <w:highlight w:val="none"/>
        </w:rPr>
      </w:pPr>
      <w:r>
        <w:rPr>
          <w:rFonts w:hint="eastAsia" w:ascii="宋体" w:hAnsi="宋体" w:cs="宋体"/>
          <w:bCs/>
          <w:color w:val="auto"/>
          <w:szCs w:val="21"/>
          <w:highlight w:val="none"/>
        </w:rPr>
        <w:t>一、工作目标</w:t>
      </w:r>
      <w:r>
        <w:rPr>
          <w:rFonts w:hint="eastAsia" w:ascii="宋体" w:hAnsi="宋体" w:cs="宋体"/>
          <w:b/>
          <w:color w:val="auto"/>
          <w:szCs w:val="21"/>
          <w:highlight w:val="none"/>
        </w:rPr>
        <w:tab/>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围绕社区环卫管理开展的一系列整治环境卫生工作，通过指挥、协调、督导、检查、考核、评分等工作，解决当前社区环境卫生工作中所存在的问题，健全环卫管理机制，巩固整治环境卫生工作成效，打造干净整洁环境优美的城市形象，管理让人民满意的社区。</w:t>
      </w:r>
    </w:p>
    <w:p>
      <w:pPr>
        <w:tabs>
          <w:tab w:val="left" w:pos="420"/>
          <w:tab w:val="left" w:pos="840"/>
          <w:tab w:val="left" w:pos="1260"/>
          <w:tab w:val="left" w:pos="1680"/>
          <w:tab w:val="left" w:pos="5848"/>
        </w:tabs>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二、具体评分考核办法</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（一）检查考核内容</w:t>
      </w:r>
    </w:p>
    <w:p>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1、硬件设备管理。</w:t>
      </w:r>
      <w:r>
        <w:rPr>
          <w:rFonts w:hint="eastAsia" w:ascii="宋体" w:hAnsi="宋体" w:cs="宋体"/>
          <w:color w:val="auto"/>
          <w:szCs w:val="21"/>
          <w:highlight w:val="none"/>
        </w:rPr>
        <w:t>包括：公厕、垃圾转运站管理，人力、电动、机械等环卫作业车辆管理，垃圾桶、果皮箱等垃圾收集容器及其他环卫设施设备的配置、使用、管理情况。</w:t>
      </w:r>
    </w:p>
    <w:p>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2、日常管理工作。</w:t>
      </w:r>
      <w:r>
        <w:rPr>
          <w:rFonts w:hint="eastAsia" w:ascii="宋体" w:hAnsi="宋体" w:cs="宋体"/>
          <w:color w:val="auto"/>
          <w:szCs w:val="21"/>
          <w:highlight w:val="none"/>
        </w:rPr>
        <w:t>包括：管理架构和制度，人员配备和资金保障，日常人工，机械清扫保洁，沉沙井（排水井）清理，河涌、堤围保洁，垃圾收集、清运，“牛皮癣”、乱涂鸦、乱粘贴整治等。</w:t>
      </w:r>
    </w:p>
    <w:p>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3、其他事项。</w:t>
      </w:r>
      <w:r>
        <w:rPr>
          <w:rFonts w:hint="eastAsia" w:ascii="宋体" w:hAnsi="宋体" w:cs="宋体"/>
          <w:color w:val="auto"/>
          <w:szCs w:val="21"/>
          <w:highlight w:val="none"/>
        </w:rPr>
        <w:t>包括：明查暗访，卫生投诉等。</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（二）检查考核方式及其分值（总分100分）</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1、日检（占总分50分）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社区：社区对辖区范围进行分区域监督管理，根据实际情况配备足够的专职卫生监督员，分组对各管辖区域进行全覆盖巡查监督，对市场化的公司在管辖区域的工作质量进行日常的考核评分，每组每天不少于3次的全面巡查，每次根据《长安镇</w:t>
      </w:r>
      <w:r>
        <w:rPr>
          <w:rFonts w:hint="eastAsia" w:ascii="宋体" w:hAnsi="宋体" w:cs="宋体"/>
          <w:color w:val="auto"/>
          <w:szCs w:val="21"/>
          <w:highlight w:val="none"/>
          <w:lang w:eastAsia="zh-CN"/>
        </w:rPr>
        <w:t>新民</w:t>
      </w:r>
      <w:r>
        <w:rPr>
          <w:rFonts w:hint="eastAsia" w:ascii="宋体" w:hAnsi="宋体" w:cs="宋体"/>
          <w:color w:val="auto"/>
          <w:szCs w:val="21"/>
          <w:highlight w:val="none"/>
        </w:rPr>
        <w:t>社区环卫统筹日常考核检查评分表》进行现场考核评分，扣分部分拍照为据，评分结果由社区卫生监督员和市场化公司陪检人员共同签章确认；因考虑环境卫生的流动性，为免引起不必要的纠纷，评分表填写不允许涂改，若有涂改的评分表作不合格处理；日检分数不得修改；社区卫生监督员对管辖区域的卫生质量负责，对每次评分结果负全责。当天工作结束，社区专人负责收集各组一天各3次的评分表及按要求整理照片依据，并于第二天将评分表及整理后照片依据通过电脑扫描等形式，发给社区环境办专职人员，月末将原件存档，另安排专人负责收集每天的日检评分结果，月末综合当月的日检评分结果，换算市场化承包公司日检的最终分值。</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市场化公司：市场化公司根据社区一组卫生监督员设置一名或一名以上陪检人员的标准配备陪检人员人数，每天陪同社区卫生监督员进行日常巡查、监督、评分，对该组的评分结果进行确认签章，对负责区域的环境卫生质量负全责，同时，对外界任何渠道反映的卫生情况要及时安排人员处理，确保负责区域的卫生质量全天候达标。</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2、半月检（占总分20分：管理架构等10分，设备车辆10分）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社区环境办的分管副主任负责牵头，联同社区相关人员到市场化公司的管理办公室等地，通过查阅资料和现场检查等形式，对市场化公司在社区设置的管理架构、人员制度、资金保障、车辆配置、工作记录、资料存档等资料进行确认核查，每次根据《长安镇</w:t>
      </w:r>
      <w:r>
        <w:rPr>
          <w:rFonts w:hint="eastAsia" w:ascii="宋体" w:hAnsi="宋体" w:cs="宋体"/>
          <w:color w:val="auto"/>
          <w:szCs w:val="21"/>
          <w:highlight w:val="none"/>
          <w:lang w:eastAsia="zh-CN"/>
        </w:rPr>
        <w:t>新民</w:t>
      </w:r>
      <w:r>
        <w:rPr>
          <w:rFonts w:hint="eastAsia" w:ascii="宋体" w:hAnsi="宋体" w:cs="宋体"/>
          <w:color w:val="auto"/>
          <w:szCs w:val="21"/>
          <w:highlight w:val="none"/>
        </w:rPr>
        <w:t>社区环卫统筹管理架构人员配备评分表》和《长安镇</w:t>
      </w:r>
      <w:r>
        <w:rPr>
          <w:rFonts w:hint="eastAsia" w:ascii="宋体" w:hAnsi="宋体" w:cs="宋体"/>
          <w:color w:val="auto"/>
          <w:szCs w:val="21"/>
          <w:highlight w:val="none"/>
          <w:lang w:eastAsia="zh-CN"/>
        </w:rPr>
        <w:t>新民</w:t>
      </w:r>
      <w:r>
        <w:rPr>
          <w:rFonts w:hint="eastAsia" w:ascii="宋体" w:hAnsi="宋体" w:cs="宋体"/>
          <w:color w:val="auto"/>
          <w:szCs w:val="21"/>
          <w:highlight w:val="none"/>
        </w:rPr>
        <w:t>社区环卫统筹设施设备车辆配备评分表》内容和要求进行现场考核评分，评分结果由双方代表共同现场签名盖章确认，每月检查两次，两次各项平均得分总和作为市场化承包公司半月检的最终分值。</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3、月检（占总分30分：现场检查评比20分，投诉处理5分，明查暗访5分）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（1）现场检查评比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每月开展一次现场评比检查，由社区领导组织、社区环境办、市场化公司代表组成的检查组，对市场化公司，开展每月一次整治环境卫生大检查工作。每位检查组成员对检查结果进行现场评分，现场填写《长安镇</w:t>
      </w:r>
      <w:r>
        <w:rPr>
          <w:rFonts w:hint="eastAsia" w:ascii="宋体" w:hAnsi="宋体" w:cs="宋体"/>
          <w:color w:val="auto"/>
          <w:szCs w:val="21"/>
          <w:highlight w:val="none"/>
          <w:lang w:eastAsia="zh-CN"/>
        </w:rPr>
        <w:t>新民</w:t>
      </w:r>
      <w:r>
        <w:rPr>
          <w:rFonts w:hint="eastAsia" w:ascii="宋体" w:hAnsi="宋体" w:cs="宋体"/>
          <w:color w:val="auto"/>
          <w:szCs w:val="21"/>
          <w:highlight w:val="none"/>
        </w:rPr>
        <w:t>社区环卫月考核现场检查评分表》（以下简称“月评分表”）并对每次评分结果负全责。社区领导现场检查评比分占总分60%，社区环境办组现场检查评比分占总分40%。为确保评比结果的公平、公正，允许市场化公司一起参与评分，但评分结果只作为参考，不计入评比分值。每份评分表上同时有社区环境办和市场化公司陪检人员的签名盖章为有效，社区工作人员要根据检查人员数量，核定有效和无效评分表数量，按比例换算当天检查考核评分结果，汇总评分所得作为市场化承包公司月考核现场检查评比的最终分值。</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（2）投诉处理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社区环境办通过投诉电话、报社、电视台、网络、其分媒体或其他部门转达等渠道收到的投诉并记录在投诉转办单为有效，以投诉转办单为依据，当月凡是被投诉有卫生问题，经核实与投诉内容一致的，被投诉一处（记录一笔转办单）扣0.5分，总分5分，扣完为止，无投诉有卫生问题的社区得满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（3）明查暗访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接受市城管委办公室组织工作人员、长安镇公用事业服务中心每月对社区的环境卫生明查暗访，当月凡是被市明查暗访曝光有卫生问题的，被曝光一处扣0.5分，总分5分，扣完为止，没有被市明查暗访曝光有卫生问题得满分。上级领导行走过程中发现“脏乱差”并通报批评的，以镇相关部门印发的文件或数字城管案件为扣分依据，每发现一处扣0.5分。</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（三）考核结果及奖惩</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综合各项考核得分分为：优100分—90分（含）；良90分—85分（含）；中85-80分（含）；差80分以下；共四个档次。以阶梯形式扣除承包费用。分数若有小数点，则向下取整支付承包费用。90分（含）为“优秀”，可全额支付当月承包费用；属“良”的，每少一分扣除当月承包费用的1%；属“中”的，每少一分扣除当月承包费用的3%；属“差”的，每少一分扣除当月承包费用的5%。</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例如：考核分数为78分，当月承包费用为500000元，则扣费为5分×（500000×1%）元+5分×（500000×3%）元+2分×（500000×5%）元=150000元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连续两个月综合考核得分80以下或同一年度内累计三个月综合考核得分80以下的，乙方视为违约，甲方有权立即终止承包合同，并按合同条款执行相关事项。市场化公司每月考核因不合格扣减承包费用,由社区制定工作方案，用于城市管理工作中。</w:t>
      </w:r>
    </w:p>
    <w:p>
      <w:pPr>
        <w:tabs>
          <w:tab w:val="left" w:pos="420"/>
          <w:tab w:val="left" w:pos="840"/>
          <w:tab w:val="left" w:pos="1260"/>
          <w:tab w:val="left" w:pos="1680"/>
          <w:tab w:val="left" w:pos="5848"/>
        </w:tabs>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三、其他事项</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1、建立例会通报制度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市场化公司、社区就督查情况每周举行例会一次，反映环境卫生整治情况或卫生现场不能立即解决，需要双方协商处理的问题等。开会前，负责处理方必须将上次有待解决的问题进展情况或处理结果向另外一方交代说明，再进行本周的会议议程，会议形成纪要，做到天天督查、周周例会、月月考核评分通报。</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2、设立约谈机制</w:t>
      </w:r>
    </w:p>
    <w:p>
      <w:pPr>
        <w:spacing w:line="360"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对于排名在月综合考评成绩排名末2位，且低于80分（不含80分）的社区和被市评为“黑榜”的社区，应由社区分管城市管理工作的两委成员约谈市场化公司负责人。对于连续2次或年度累计3次排名末2位，且低于80分（不含80分）的社区，应由社区书记直接约谈市场化工作负责人。对年度月综合考评平均成绩排名末2位，且平均成绩低于80分（不含80分）的社区，其市场化公司相关负责人不得参与年度优秀评选。</w:t>
      </w:r>
    </w:p>
    <w:p>
      <w:pPr>
        <w:spacing w:line="360" w:lineRule="auto"/>
        <w:ind w:firstLine="422" w:firstLineChars="200"/>
        <w:jc w:val="both"/>
        <w:rPr>
          <w:rFonts w:ascii="宋体" w:hAnsi="宋体" w:cs="宋体"/>
          <w:b/>
          <w:color w:val="auto"/>
          <w:szCs w:val="21"/>
          <w:highlight w:val="none"/>
        </w:rPr>
      </w:pPr>
      <w:r>
        <w:rPr>
          <w:rFonts w:hint="eastAsia" w:ascii="宋体" w:hAnsi="宋体" w:cs="宋体"/>
          <w:b/>
          <w:bCs/>
          <w:color w:val="auto"/>
          <w:szCs w:val="21"/>
          <w:highlight w:val="none"/>
        </w:rPr>
        <w:t>3、</w:t>
      </w:r>
      <w:r>
        <w:rPr>
          <w:rFonts w:hint="eastAsia" w:ascii="宋体" w:hAnsi="宋体" w:cs="宋体"/>
          <w:b/>
          <w:color w:val="auto"/>
          <w:szCs w:val="21"/>
          <w:highlight w:val="none"/>
        </w:rPr>
        <w:t>评分办法解释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考核评分办法是社区根据现时国家、省、市市容环境卫生管理条例及结合本社区实际情况制定的，在执行过程中，如遇以上规章制度的制定颁发部门进行政策调整或本镇实际情况发生改变，社区有权对本考核评分办法进行相应的修改和调整，并保留对本办法的修改权和解释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附件：1、长安镇</w:t>
      </w:r>
      <w:r>
        <w:rPr>
          <w:rFonts w:hint="eastAsia" w:ascii="宋体" w:hAnsi="宋体" w:cs="宋体"/>
          <w:color w:val="auto"/>
          <w:szCs w:val="21"/>
          <w:highlight w:val="none"/>
          <w:lang w:eastAsia="zh-CN"/>
        </w:rPr>
        <w:t>新民</w:t>
      </w:r>
      <w:r>
        <w:rPr>
          <w:rFonts w:hint="eastAsia" w:ascii="宋体" w:hAnsi="宋体" w:cs="宋体"/>
          <w:color w:val="auto"/>
          <w:szCs w:val="21"/>
          <w:highlight w:val="none"/>
        </w:rPr>
        <w:t>社区环卫日常考核检查评分表；2、长安镇</w:t>
      </w:r>
      <w:r>
        <w:rPr>
          <w:rFonts w:hint="eastAsia" w:ascii="宋体" w:hAnsi="宋体" w:cs="宋体"/>
          <w:color w:val="auto"/>
          <w:szCs w:val="21"/>
          <w:highlight w:val="none"/>
          <w:lang w:eastAsia="zh-CN"/>
        </w:rPr>
        <w:t>新民</w:t>
      </w:r>
      <w:r>
        <w:rPr>
          <w:rFonts w:hint="eastAsia" w:ascii="宋体" w:hAnsi="宋体" w:cs="宋体"/>
          <w:color w:val="auto"/>
          <w:szCs w:val="21"/>
          <w:highlight w:val="none"/>
        </w:rPr>
        <w:t>社区环卫管理架构人员配备评分表（半月检）；3、长安镇</w:t>
      </w:r>
      <w:r>
        <w:rPr>
          <w:rFonts w:hint="eastAsia" w:ascii="宋体" w:hAnsi="宋体" w:cs="宋体"/>
          <w:color w:val="auto"/>
          <w:szCs w:val="21"/>
          <w:highlight w:val="none"/>
          <w:lang w:eastAsia="zh-CN"/>
        </w:rPr>
        <w:t>新民</w:t>
      </w:r>
      <w:r>
        <w:rPr>
          <w:rFonts w:hint="eastAsia" w:ascii="宋体" w:hAnsi="宋体" w:cs="宋体"/>
          <w:color w:val="auto"/>
          <w:szCs w:val="21"/>
          <w:highlight w:val="none"/>
        </w:rPr>
        <w:t>社区环卫设施设备车辆配备评分表（半月检）；4、长安镇</w:t>
      </w:r>
      <w:r>
        <w:rPr>
          <w:rFonts w:hint="eastAsia" w:ascii="宋体" w:hAnsi="宋体" w:cs="宋体"/>
          <w:color w:val="auto"/>
          <w:szCs w:val="21"/>
          <w:highlight w:val="none"/>
          <w:lang w:eastAsia="zh-CN"/>
        </w:rPr>
        <w:t>新民</w:t>
      </w:r>
      <w:r>
        <w:rPr>
          <w:rFonts w:hint="eastAsia" w:ascii="宋体" w:hAnsi="宋体" w:cs="宋体"/>
          <w:color w:val="auto"/>
          <w:szCs w:val="21"/>
          <w:highlight w:val="none"/>
        </w:rPr>
        <w:t>社区环卫月考核检查评分表；5、长安镇</w:t>
      </w:r>
      <w:r>
        <w:rPr>
          <w:rFonts w:hint="eastAsia" w:ascii="宋体" w:hAnsi="宋体" w:cs="宋体"/>
          <w:color w:val="auto"/>
          <w:szCs w:val="21"/>
          <w:highlight w:val="none"/>
          <w:lang w:eastAsia="zh-CN"/>
        </w:rPr>
        <w:t>新民</w:t>
      </w:r>
      <w:r>
        <w:rPr>
          <w:rFonts w:hint="eastAsia" w:ascii="宋体" w:hAnsi="宋体" w:cs="宋体"/>
          <w:color w:val="auto"/>
          <w:szCs w:val="21"/>
          <w:highlight w:val="none"/>
        </w:rPr>
        <w:t>社区*年*月环卫工作项目考核评分结果汇总及扣分扣费情况表；6、*年长安镇</w:t>
      </w:r>
      <w:r>
        <w:rPr>
          <w:rFonts w:hint="eastAsia" w:ascii="宋体" w:hAnsi="宋体" w:cs="宋体"/>
          <w:color w:val="auto"/>
          <w:szCs w:val="21"/>
          <w:highlight w:val="none"/>
          <w:lang w:eastAsia="zh-CN"/>
        </w:rPr>
        <w:t>新民</w:t>
      </w:r>
      <w:r>
        <w:rPr>
          <w:rFonts w:hint="eastAsia" w:ascii="宋体" w:hAnsi="宋体" w:cs="宋体"/>
          <w:color w:val="auto"/>
          <w:szCs w:val="21"/>
          <w:highlight w:val="none"/>
        </w:rPr>
        <w:t>社区环卫年终考核评分表。</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五、履约保证金</w:t>
      </w:r>
    </w:p>
    <w:p>
      <w:pPr>
        <w:pStyle w:val="2"/>
        <w:tabs>
          <w:tab w:val="left" w:pos="567"/>
        </w:tabs>
        <w:spacing w:line="360" w:lineRule="auto"/>
        <w:ind w:firstLine="420" w:firstLineChars="200"/>
        <w:rPr>
          <w:color w:val="auto"/>
          <w:sz w:val="21"/>
          <w:szCs w:val="21"/>
          <w:highlight w:val="none"/>
        </w:rPr>
      </w:pPr>
      <w:r>
        <w:rPr>
          <w:rFonts w:hint="eastAsia"/>
          <w:color w:val="auto"/>
          <w:sz w:val="21"/>
          <w:szCs w:val="21"/>
          <w:highlight w:val="none"/>
        </w:rPr>
        <w:t>中标供应商与采购人签订承包合同时，必须向采购人以银行转账的方式提交履约保金，履约保证金金额为合同价的5%。</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六、违约责任与赔偿损失</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（一）中标供应商提供的服务不符合本合同规定的，采购人有权拒收，并且中标供应商须向采购人支付本合同总价5%的违约金。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中标供应商未能按本合同规定的服务期提供服务，从逾期之日起每日按本合同总价3‰的数额向采购人支付违约金；逾期半个月以上的，采购人有权终止合同，由此造成的采购人经济损失由中标供应商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（三）对于因政策变化或不可抗力除外，因采购人原因导致变更、中止或者终止采购合同的，采购人应当对中标供应商受到的损失予以赔偿或者补偿。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本合同期内，中标供应商出现有下列任何一种情况的，采购人有权即时单方解除承包合同，同时，在终止合同后，中标供应商应保证无条件服务至下一服务单位交接完毕，以保证项目顺利进行，否则，采购人有权没收履约保证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1、中标供应商书面表示放弃承包经营权，或无法继续履行承包义务的。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2、中标供应商服务有效期内有越权收费、弄虚作假等违法经营行为，可能导致本合同无法继续履行的。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3、采购人每月对中标供应商进行考核，连续二次（含二次）或一年内累积有三次考核结果为“差”的，除按规定扣款外，采购人有权解除协议，没收承包单位履约保证金，中标供应商无偿退出。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4、中标供应商合同期内，因承包方在本项目中操作不当、管理疏漏等原因，发生安全生产责任事故造成1人以上（含1人）死亡或3人以上（含3人）重伤的安全事故，并负主要责任的。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中标供应商任一个月未按时足额发放员工工资（含加班工资）的人数达5人以上（含5人）的，或中标供应商拖欠员工工资（含加班工资）达两个月的，或东莞市最低工资标准发生变化，中标供应商拒绝根据有关规定予以相应调整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6、中标供应商违反劳动法，损害工人合法权益，出现性质严重或情节恶劣的。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7、中标供应商有纵容、煽动工人怠工、罢工等过激行为的，或因中标供应商无视工人权益引致工人有怠工、罢工等过激行为的。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8、合同履行期间，中标供应商在本项目中因一般违法行为被行政机关处罚达到三次或因重大违法行为被行政机关处罚（责令停产停业、吊销许可证或者执照、没收或罚款达50万元等）的。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9、中标供应商有转包、违规分包行为的。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10、中标供应商一年内未按整改通知书要求落实整改超过3次的。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11、中标供应商一年内无故停工达到2次的。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12、《中华人民共和国民法典》、《中华人民共和国政府采购法》、《中华人民共和国政府采购法实施条例》等法律规定的中标无效或合同无效的情形。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13、中标供应商违反法律、法规、规章和其它相关规范性文件的规定，影响本合同履行的。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（五）如因中标供应商没有依照合同约定履行义务，给第三方造成人身或财产损害的，进而致使采购人对外承担赔偿责任的，则赔偿款项由中标供应商承担。</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因合同期满或其他原因解除合同，还未确定新承包队伍或新承包队伍未完全接手时,中标供应商必须在中标地域继续按合同质量要求履行相关责任和义务，落实好交接过渡期的各项工作，确保各项工作项目的的正常运转，并顺利交接。交接完成在得到采购人的书面确认后，中标供应商才可以完全退场退设备。若中标供应商不配合，不接受采购人安排，未落实好交接工作的，采购人有权没收履约保证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（七）其它违约责任按《中华人民共和国民法典》处理。</w:t>
      </w:r>
    </w:p>
    <w:p>
      <w:pPr>
        <w:widowControl/>
        <w:spacing w:line="360" w:lineRule="auto"/>
        <w:rPr>
          <w:rFonts w:ascii="宋体" w:hAnsi="宋体" w:cs="宋体"/>
          <w:b/>
          <w:color w:val="auto"/>
          <w:sz w:val="24"/>
          <w:highlight w:val="none"/>
        </w:rPr>
      </w:pPr>
    </w:p>
    <w:p>
      <w:pPr>
        <w:pStyle w:val="3"/>
        <w:pageBreakBefore/>
        <w:rPr>
          <w:rFonts w:hAnsi="宋体" w:cs="宋体"/>
          <w:color w:val="auto"/>
          <w:sz w:val="24"/>
          <w:highlight w:val="none"/>
        </w:rPr>
      </w:pPr>
      <w:bookmarkStart w:id="142" w:name="_Toc152951860"/>
      <w:r>
        <w:rPr>
          <w:rFonts w:hint="eastAsia" w:hAnsi="宋体" w:cs="宋体"/>
          <w:color w:val="auto"/>
          <w:sz w:val="24"/>
          <w:highlight w:val="none"/>
        </w:rPr>
        <w:t>附件：1、长安镇</w:t>
      </w:r>
      <w:r>
        <w:rPr>
          <w:rFonts w:hint="eastAsia" w:hAnsi="宋体" w:cs="宋体"/>
          <w:color w:val="auto"/>
          <w:sz w:val="24"/>
          <w:highlight w:val="none"/>
          <w:lang w:eastAsia="zh-CN"/>
        </w:rPr>
        <w:t>新民</w:t>
      </w:r>
      <w:r>
        <w:rPr>
          <w:rFonts w:hint="eastAsia" w:hAnsi="宋体" w:cs="宋体"/>
          <w:color w:val="auto"/>
          <w:sz w:val="24"/>
          <w:highlight w:val="none"/>
        </w:rPr>
        <w:t>社区环卫日常考核检查评分表</w:t>
      </w:r>
      <w:bookmarkEnd w:id="142"/>
    </w:p>
    <w:tbl>
      <w:tblPr>
        <w:tblStyle w:val="18"/>
        <w:tblW w:w="8669" w:type="dxa"/>
        <w:tblInd w:w="0" w:type="dxa"/>
        <w:tblLayout w:type="fixed"/>
        <w:tblCellMar>
          <w:top w:w="0" w:type="dxa"/>
          <w:left w:w="108" w:type="dxa"/>
          <w:bottom w:w="0" w:type="dxa"/>
          <w:right w:w="108" w:type="dxa"/>
        </w:tblCellMar>
      </w:tblPr>
      <w:tblGrid>
        <w:gridCol w:w="394"/>
        <w:gridCol w:w="394"/>
        <w:gridCol w:w="3710"/>
        <w:gridCol w:w="3226"/>
        <w:gridCol w:w="524"/>
        <w:gridCol w:w="421"/>
      </w:tblGrid>
      <w:tr>
        <w:tblPrEx>
          <w:tblCellMar>
            <w:top w:w="0" w:type="dxa"/>
            <w:left w:w="108" w:type="dxa"/>
            <w:bottom w:w="0" w:type="dxa"/>
            <w:right w:w="108" w:type="dxa"/>
          </w:tblCellMar>
        </w:tblPrEx>
        <w:trPr>
          <w:trHeight w:val="23" w:hRule="atLeast"/>
        </w:trPr>
        <w:tc>
          <w:tcPr>
            <w:tcW w:w="788" w:type="dxa"/>
            <w:gridSpan w:val="2"/>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表1-1</w:t>
            </w:r>
          </w:p>
        </w:tc>
        <w:tc>
          <w:tcPr>
            <w:tcW w:w="7881" w:type="dxa"/>
            <w:gridSpan w:val="4"/>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长安镇</w:t>
            </w:r>
            <w:r>
              <w:rPr>
                <w:rFonts w:hint="eastAsia" w:ascii="宋体" w:hAnsi="宋体" w:cs="宋体"/>
                <w:b/>
                <w:bCs/>
                <w:color w:val="auto"/>
                <w:kern w:val="0"/>
                <w:szCs w:val="21"/>
                <w:highlight w:val="none"/>
                <w:lang w:eastAsia="zh-CN" w:bidi="ar"/>
              </w:rPr>
              <w:t>新民</w:t>
            </w:r>
            <w:r>
              <w:rPr>
                <w:rFonts w:hint="eastAsia" w:ascii="宋体" w:hAnsi="宋体" w:cs="宋体"/>
                <w:b/>
                <w:bCs/>
                <w:color w:val="auto"/>
                <w:kern w:val="0"/>
                <w:szCs w:val="21"/>
                <w:highlight w:val="none"/>
                <w:lang w:bidi="ar"/>
              </w:rPr>
              <w:t>社区环卫日常考核检查评分表</w:t>
            </w:r>
          </w:p>
        </w:tc>
      </w:tr>
      <w:tr>
        <w:tblPrEx>
          <w:tblCellMar>
            <w:top w:w="0" w:type="dxa"/>
            <w:left w:w="108" w:type="dxa"/>
            <w:bottom w:w="0" w:type="dxa"/>
            <w:right w:w="108" w:type="dxa"/>
          </w:tblCellMar>
        </w:tblPrEx>
        <w:trPr>
          <w:trHeight w:val="23" w:hRule="atLeast"/>
        </w:trPr>
        <w:tc>
          <w:tcPr>
            <w:tcW w:w="4498" w:type="dxa"/>
            <w:gridSpan w:val="3"/>
            <w:tcBorders>
              <w:top w:val="nil"/>
              <w:left w:val="nil"/>
              <w:bottom w:val="nil"/>
              <w:right w:val="nil"/>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总分:100分,得分:</w:t>
            </w:r>
          </w:p>
        </w:tc>
        <w:tc>
          <w:tcPr>
            <w:tcW w:w="4171" w:type="dxa"/>
            <w:gridSpan w:val="3"/>
            <w:tcBorders>
              <w:top w:val="nil"/>
              <w:left w:val="nil"/>
              <w:bottom w:val="nil"/>
              <w:right w:val="nil"/>
            </w:tcBorders>
            <w:shd w:val="clear" w:color="auto" w:fill="auto"/>
            <w:vAlign w:val="center"/>
          </w:tcPr>
          <w:p>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评分时间:   年   月  日</w:t>
            </w:r>
          </w:p>
        </w:tc>
      </w:tr>
      <w:tr>
        <w:tblPrEx>
          <w:tblCellMar>
            <w:top w:w="0" w:type="dxa"/>
            <w:left w:w="108" w:type="dxa"/>
            <w:bottom w:w="0" w:type="dxa"/>
            <w:right w:w="108" w:type="dxa"/>
          </w:tblCellMar>
        </w:tblPrEx>
        <w:trPr>
          <w:trHeight w:val="23" w:hRule="atLeast"/>
        </w:trPr>
        <w:tc>
          <w:tcPr>
            <w:tcW w:w="44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现场考核</w:t>
            </w:r>
          </w:p>
        </w:tc>
        <w:tc>
          <w:tcPr>
            <w:tcW w:w="32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扣分办法(提供资料证明)</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应得分</w:t>
            </w:r>
          </w:p>
        </w:tc>
        <w:tc>
          <w:tcPr>
            <w:tcW w:w="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检查扣分</w:t>
            </w:r>
          </w:p>
        </w:tc>
      </w:tr>
      <w:tr>
        <w:tblPrEx>
          <w:tblCellMar>
            <w:top w:w="0" w:type="dxa"/>
            <w:left w:w="108" w:type="dxa"/>
            <w:bottom w:w="0" w:type="dxa"/>
            <w:right w:w="108" w:type="dxa"/>
          </w:tblCellMar>
        </w:tblPrEx>
        <w:trPr>
          <w:trHeight w:val="23" w:hRule="atLeast"/>
        </w:trPr>
        <w:tc>
          <w:tcPr>
            <w:tcW w:w="7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项目内容</w:t>
            </w:r>
          </w:p>
        </w:tc>
        <w:tc>
          <w:tcPr>
            <w:tcW w:w="3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考核标准和依据</w:t>
            </w:r>
          </w:p>
        </w:tc>
        <w:tc>
          <w:tcPr>
            <w:tcW w:w="32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(出现以下未提及事项均参照合同依据的法律法规和办法)</w:t>
            </w:r>
          </w:p>
        </w:tc>
        <w:tc>
          <w:tcPr>
            <w:tcW w:w="32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一、人工清扫保洁(35分)</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1、旧村每天普扫两次，作业时间为6：00-22：00，巡回保洁根据情况而定</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旧村每天无普扫两次的扣2分；无按时完成普扫的扣1分；卫生质量差的扣1分；扣完为止.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2、河边、鱼塘边、山边、闲置地等根据卫生情况合理进行不定期保洁，每天有专人负责巡查随时了解卫生情况，发现超过卫生质量标准，即时组织人员清洁（未硬底化的闲置地不在合同范围，建议闲置地围闭）</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河边、鱼塘边、山边、闲置地等无根据卫生情况合理进行不定期保洁的扣1分；无专人每天负责巡查随时了解卫生情况的扣0.5分；卫生质量差的扣0.5分；扣完为止.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绿化隔离带,公园广场、路旁绿地,行道树穴,渠化岛、草坪内的垃圾清洁时间为7：00-22：30。每天上午9：30时前完成首次绿地清洁工作，其余时间做好保洁；禁止焚烧枯枝干叶及杂物；对绿化管理人员清理出来的剪枝（树枝和树干标准长度≤90cm且直径≤15cm）及落叶、果皮纸屑、烟头、胶袋等垃圾要及时收集清走。(绿化浇水施肥、除草松土、喷药除杂、树木修剪后集中堆放等养护不在合同范围内)</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在保洁时间无足够人员在保洁的扣0.2分；9：30时前未完成首次绿地清洁工作的扣0.2分；发现焚烧枯枝干叶及杂物的扣0.2分；；对绿化管理人员清理出来符合标准的剪枝及垃圾没有进行及时的清理扣0.2分；发现有果皮果壳卫生质量差的扣0.5分；扣完为止.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道路、公共场所等均按二类清扫保洁标准，普扫和保洁人员数量各占一半。一天普扫两次，时间分别是早上5：30-7：00，下午17：30-19：00，其余时间根据实际情况灵活安排；保洁分两批人四班次，时间为7：00-23：00，共16小时。繁华街区每周彻底清扫道路和沟渠一遍，每小时保洁一遍；其余道路每两周彻底清扫道路和沟渠一遍。实行无缝链接清扫保洁，不得漏扫，保洁时间内由保洁人员采用机械（人工）的办法进行，维持道路、公共场所等的清洁</w:t>
            </w:r>
            <w:r>
              <w:rPr>
                <w:rStyle w:val="46"/>
                <w:rFonts w:hint="default"/>
                <w:color w:val="auto"/>
                <w:sz w:val="21"/>
                <w:szCs w:val="21"/>
                <w:highlight w:val="none"/>
                <w:lang w:bidi="ar"/>
              </w:rPr>
              <w:t>(行人道、路沿石的杂草清除属保洁范围)</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未按要求完成普扫的扣1分；保洁时间一定范围内无足够人员在保洁的扣0.5分；繁华街区每周无彻底清扫道路和沟渠一遍的扣0.5分；无每小时保洁一遍的扣0.5分；其余道路每两周无彻底清扫道路和沟渠一遍的扣0.5分；无实行无缝链接清扫保洁，出现漏扫，影响卫生质量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5、主干道、红绿灯口、繁华地区等道路要根据不同时间段、人流密度等加派保洁人员保洁，确保周一至五上下班高峰时段、节假日或周六日全天候卫生情况良好</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主干道、红绿灯口、繁华地区等道路无根据不同时间段、人流密度等加派保洁人员保洁，卫生质量差的一处扣0.5分，扣完为止.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繁华街区人行道每周彻底清洗不少于两次，其余街区人行道每周彻底清洗不少于一次，如特殊情况特殊路段要求每天清洗，冲洗时间为当日23时至次日6时,高压冲洗车车速:5km/h～10km/h，清洗人行道时，冲洗车须调整好水流幅宽，并配以人工洗刷路面，清洗被油污污染较为严重的路面时，可适当添加洗洁精等清洁液，反复冲洗，直至路面见本色</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繁华街区人行道每周彻底清洗少于两次，其余街区人行道每周彻底清洗少于一次，每少1次扣0.5分；特殊情况特殊路段没有每天清洗的每少一次扣0.5分；无在规定时间内冲洗的每次扣0.5分；无按指定车速行驶的发现一次扣0.5分；清洗行人道时,无按要求洗刷路面的一次扣0.5分；冲洗不干净,路面不见本色的发现一处扣0.5分；出现漏冲路段的发现一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一、人工清扫保洁(35分)</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每天定时洒水3次（早上8点、下午14点和晚上23点，周六日晚上推迟至23：30，雨天除外），30℃以上每天不少于3次，洒水车车速:≤10km/h,作业时应发送警示信号提醒路人,并控制适当的水压和高度,避免妨碍路人；不得倒车洒水，不得漏洒(漏冲),作业结束后,应做到地面、路缘石基本见本色,路面侧石、交通隔离带以及道路相关公共设施周围无泥沙和积水；发现洒漏沙石、油污、工程建设污染等和路障的地段，视实际需要进行降尘或冲洗，立即处理，并上报相关主管部门</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没按时洒水的发现少一次扣0.5分；每天洒水次数不够每少一次扣0.5分；没有按指定车速作业的发现一次扣0.5分；作业时没按要求操作的发现一次扣0.5分；作业结束后未达到要求的发现一次扣0.5分；发现洒漏沙石、油污、工程建设污染等和路障等情况无立即处理的一次扣1分；出现状况无上报相关主管部门的一次扣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清扫保洁应达到路面整洁、无杂草、无残留污水，明渠无垃圾堆积、排水畅通，狭窄内巷无卫生死角，排水口清洁、无沙土残积，路沿石、防蚊设施、废物箱、广告路灯等公共设施无明显污迹，行道树圈无垃圾杂物、陈旧落叶等要求，保洁率达到100%</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达到路面无残留污水、无杂草、明渠无垃圾堆积、排水畅通，狭窄内巷无卫生死角，排水口清洁、无沙土残积，公共设施无明显污迹，行道树圈无垃圾杂物、陈旧落叶等要求的发现一处扣0.2分；保洁率达不到100%的扣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bdr w:val="single" w:color="000000" w:sz="4" w:space="0"/>
                <w:lang w:bidi="ar"/>
              </w:rPr>
              <w:drawing>
                <wp:anchor distT="0" distB="0" distL="114300" distR="114300" simplePos="0" relativeHeight="251659264" behindDoc="0" locked="0" layoutInCell="1" allowOverlap="1">
                  <wp:simplePos x="0" y="0"/>
                  <wp:positionH relativeFrom="column">
                    <wp:posOffset>46355</wp:posOffset>
                  </wp:positionH>
                  <wp:positionV relativeFrom="paragraph">
                    <wp:posOffset>796925</wp:posOffset>
                  </wp:positionV>
                  <wp:extent cx="2134870" cy="335915"/>
                  <wp:effectExtent l="0" t="0" r="17780" b="6985"/>
                  <wp:wrapNone/>
                  <wp:docPr id="10" name="Picture_4"/>
                  <wp:cNvGraphicFramePr/>
                  <a:graphic xmlns:a="http://schemas.openxmlformats.org/drawingml/2006/main">
                    <a:graphicData uri="http://schemas.openxmlformats.org/drawingml/2006/picture">
                      <pic:pic xmlns:pic="http://schemas.openxmlformats.org/drawingml/2006/picture">
                        <pic:nvPicPr>
                          <pic:cNvPr id="10" name="Picture_4"/>
                          <pic:cNvPicPr/>
                        </pic:nvPicPr>
                        <pic:blipFill>
                          <a:blip r:embed="rId16"/>
                          <a:stretch>
                            <a:fillRect/>
                          </a:stretch>
                        </pic:blipFill>
                        <pic:spPr>
                          <a:xfrm>
                            <a:off x="0" y="0"/>
                            <a:ext cx="2134870" cy="335915"/>
                          </a:xfrm>
                          <a:prstGeom prst="rect">
                            <a:avLst/>
                          </a:prstGeom>
                          <a:noFill/>
                          <a:ln>
                            <a:noFill/>
                          </a:ln>
                        </pic:spPr>
                      </pic:pic>
                    </a:graphicData>
                  </a:graphic>
                </wp:anchor>
              </w:drawing>
            </w:r>
            <w:r>
              <w:rPr>
                <w:rFonts w:hint="eastAsia" w:ascii="宋体" w:hAnsi="宋体" w:cs="宋体"/>
                <w:color w:val="auto"/>
                <w:kern w:val="0"/>
                <w:szCs w:val="21"/>
                <w:highlight w:val="none"/>
                <w:lang w:bidi="ar"/>
              </w:rPr>
              <w:t>9、路面废弃物控制指标应符合下表规定，在同一单位长度内不得超过各单项废弃物总数的50%。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注：为方便实际操作，测算面积可适当调整，各类指标按比例折算</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路面废弃物控制指标不符合规定的发现一处扣0.2分，扣完为止.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10、人行天桥、人行过街地下通道、车行隧道的清扫保洁质量标准与连接的道路相同；栏杆、阶梯、扶手、墙面、地面、路面等应保持整洁、无乱张贴、乱画、垃圾和积存污水</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人行天桥、人行过街地下通道、车行隧道与其连接的道路；栏杆、阶梯、扶手、墙面、地面、路面等无保持整洁,有乱张贴、乱画、垃圾和积存污水现象的一处扣0.2分，扣完为止.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11、普扫、保洁要达到“六无六净一通”标准。</w:t>
            </w:r>
            <w:r>
              <w:rPr>
                <w:rStyle w:val="47"/>
                <w:rFonts w:hint="default"/>
                <w:color w:val="auto"/>
                <w:sz w:val="21"/>
                <w:szCs w:val="21"/>
                <w:highlight w:val="none"/>
                <w:lang w:bidi="ar"/>
              </w:rPr>
              <w:t>六无：</w:t>
            </w:r>
            <w:r>
              <w:rPr>
                <w:rFonts w:hint="eastAsia" w:ascii="宋体" w:hAnsi="宋体" w:cs="宋体"/>
                <w:color w:val="auto"/>
                <w:kern w:val="0"/>
                <w:szCs w:val="21"/>
                <w:highlight w:val="none"/>
                <w:lang w:bidi="ar"/>
              </w:rPr>
              <w:t>地面、路面无积泥(沙)积水，无果皮纸屑、烟头等废弃物，无香口糖迹、痰迹等污迹，无漏收垃圾堆，无往雨水井口、排水渠口、明渠、绿化带、果皮箱扫倒垃圾污物，无乱张贴广告、招纸、乱涂画、乱刻写等。</w:t>
            </w:r>
            <w:r>
              <w:rPr>
                <w:rStyle w:val="47"/>
                <w:rFonts w:hint="default"/>
                <w:color w:val="auto"/>
                <w:sz w:val="21"/>
                <w:szCs w:val="21"/>
                <w:highlight w:val="none"/>
                <w:lang w:bidi="ar"/>
              </w:rPr>
              <w:t>六净：</w:t>
            </w:r>
            <w:r>
              <w:rPr>
                <w:rFonts w:hint="eastAsia" w:ascii="宋体" w:hAnsi="宋体" w:cs="宋体"/>
                <w:color w:val="auto"/>
                <w:kern w:val="0"/>
                <w:szCs w:val="21"/>
                <w:highlight w:val="none"/>
                <w:lang w:bidi="ar"/>
              </w:rPr>
              <w:t>地面、路面、人行道净，路缘石净，墙基净，果皮箱净、公共设施净，雨水井口净、地下通道净，树穴绿化带净。</w:t>
            </w:r>
            <w:r>
              <w:rPr>
                <w:rStyle w:val="47"/>
                <w:rFonts w:hint="default"/>
                <w:color w:val="auto"/>
                <w:sz w:val="21"/>
                <w:szCs w:val="21"/>
                <w:highlight w:val="none"/>
                <w:lang w:bidi="ar"/>
              </w:rPr>
              <w:t>一通：</w:t>
            </w:r>
            <w:r>
              <w:rPr>
                <w:rFonts w:hint="eastAsia" w:ascii="宋体" w:hAnsi="宋体" w:cs="宋体"/>
                <w:color w:val="auto"/>
                <w:kern w:val="0"/>
                <w:szCs w:val="21"/>
                <w:highlight w:val="none"/>
                <w:lang w:bidi="ar"/>
              </w:rPr>
              <w:t>雨水井口、排水明渠通</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普扫、保洁无达到“六无六净一通”标准的发现一处扣0.2分，扣完为止.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12、道路两侧的建筑物外立面应无明显污迹，无残墙断壁、无乱张贴、乱拉挂的“六乱现象”，过时破损的宣传标语要及时修补或更换</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道路两侧的建筑物外立面保洁不到位有明显污迹，有乱张贴、乱拉挂等“六乱现象”的发现一处扣0.2分；过时破损的宣传标语无及时修补或更换的发现一处扣0.2分；扣完为止.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一、人工清扫保洁(35分)</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13、道路两侧的公交候车站、广告牌、路牌、邮筒、读报栏、管线等设施保持完好，无污迹、积尘、无乱张贴、无残旧破损</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道路两侧的公交候车站、广告牌、路牌、邮筒、读报栏、管线等设施有污迹、积尘，有乱张贴和残旧破损现象的发现一处扣0.2分，扣完为止.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清洁工人上班必须穿有安全反光标志的工作服，着装整洁，进行清扫时要按规范安全作业，遵守交通规则，留意周边环境，根据本路段的人、车情况，合理安排作业时间和方式；非普扫时间不使用大扫把；小心执扫，控制扬尘，避免妨碍行人，避免与路人发生矛盾</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清洁工人上班无穿有安全反光标志的工作服的一个扣1分；着装不整洁的一个扣0.5分；清扫时无按规范作业的一次扣0.5分；无安全作业的一次扣0.5分；扣完为止.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清洁工人出车前，应做好车辆例行保养，检查车容车况，确保车辆性能完好和车容整洁；作业时，按岗位责任制和岗位作业流程操作，请路人配合时要使用“你好、请、对不起、让一让、谢谢”等文明用语，虚心接受群众的意见</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出车前无做好车辆例行保养和检查车容车况的一次扣0.2分；使用性能差和车容不整洁车辆作业的一次扣0.2分；作业时，没有文明工作的一次扣0.2分；扣完为止.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16、上岗工作期间，禁止员工分拣垃圾或挑选垃圾收集，禁止任何作业车辆堆挂杂物或车身空隙堆塞任何与作业无关的物件。</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发现员工分拣垃圾或挑选垃圾收集的一次扣0.5分；发现作业车辆堆挂杂物或车身空隙堆塞任何与作业无关的物件的一次扣0.5分；扣完为止.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17、清洁工人在清扫和保洁时，应按车行线反方向清扫，特别在清扫中间护拦时要提高警觉，注意来车；清理主车道上的成堆的泥土时，应在清理点来车方向100米处设置醒目路障，并做好防护措施</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清洁工人在清扫和保洁特别在清扫中间护拦时，无按车行线反方向清扫，无注意来车的扣0.5分；清理主车道上的成堆的泥土时，无在清理点来车方向100米处设置醒目路障，并做好防护措施的一次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18、在从事地下通道、立交桥等车辆密集地段作业时，应设置警戒标志或选择在车辆较少的时间内清扫</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在地下通道、立交桥等车辆密集地段作业时，无设置警戒标志的一次扣0.5分；扣完为止.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19、保洁垃圾车、手推车不能太靠近车行线停放，不得横向占道，装载垃圾时，必须覆盖密闭，以防臭味外逾</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保洁垃圾车、手推车存在靠近车行线和横向占道等乱停放现象的一次扣0.5分；装载垃圾时没有覆盖密闭的一次扣0.5分；扣完为止.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车辆回场后，应将车辆停放在洗车站，将车辆和作业工具都进行彻底清洗，将清洗出的垃圾放入指定容器，保持洗车场地清洁；将车辆和作业工具清洗完后，使用人做好例保工作，仔细检查车容车况，工具性能，发现故障及时修理，并做好相关的例保记录，最后将车辆和作业工具按规定位置停放、摆放好</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车辆回场后，无将车辆停放在洗车站将车辆和作业工具都进行彻底清洗的一次扣0.5分；没有做好例保工作并进行相关记录的一次扣0.5分；没有将清洗检查保养好的车辆和作业工具按规定位置停放、摆放好的一次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二、机械清扫保洁(⒖分)</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1、道路机械清扫保洁时间从5：00-22：00，繁华街区每天全面巡回清扫至少两遍；其余街区每天全面巡回清扫至少一遍；分别在上午7：30和下午18：00完成清扫，其余时间为巡回保洁时间</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无按时完成全面清扫的扣0.5分；无按规定遍数的少一遍扣0.5分；出现漏扫地方或卫生质量差的扣0.5分；清扫保洁时间内人和车都不在岗的扣0.5分；扣扣完为止.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2、机械化清扫车辆出车前必须进行车辆性能检查，发现故障及时排除；加足水，并根据路面状况调整好机扫车侧刷和吸口，禁止侧刷、吸口不落地空跑，不得有漏扫现象，避免“干扫”，做到喷雾清扫不扬尘</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出车前无进行车辆性能检查,导致作业时出故障的一次扣0.5分；发生侧刷、吸口不落地空跑、漏扫、“干扫”无喷雾清扫的一次扣0.5分；扣完为止.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机械化清扫车辆出车作业时必须严格遵守交通规则，落实安全警示和防护措施,开警示灯和坏车灯（大车），禁止鸣笛，司机必须穿反光衣，礼让行车，注意行人的安全，不得防碍交通；正常车速为6-7公里/小时，最快速度不能超10公里/小时，不得超速</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没有遵守交通规则的一次扣1.5分；没有落实安全警示和防护措施、无开警示灯和坏车灯（大车）、鸣笛、司机及其工作人员无穿反光衣、无礼让行车、无注意行人安全、防碍交通的一次扣1分；没有按车速行驶的一次扣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4、清扫时注意观察路面清扫质量和路面障碍情况，对机扫车不能清除的大件垃圾或硬物，应及时下车清除，确保清扫质量和设备不受损坏</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对机扫车不能清除的大件垃圾或硬物无及时下车清除的一次扣0.5分；清扫时无注意观察路面障碍情况，导致清扫设备损坏扣0.5分；扣完为止.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5、道路的清扫、保洁质量标准必须符合以下要求：                                                                  ⑴路面基本见本色；                                                                                              ⑵快车道中间分隔带侧石垂直1米为宽度的任意100m</w:t>
            </w:r>
            <w:r>
              <w:rPr>
                <w:rStyle w:val="48"/>
                <w:rFonts w:hint="default"/>
                <w:color w:val="auto"/>
                <w:sz w:val="21"/>
                <w:szCs w:val="21"/>
                <w:highlight w:val="none"/>
                <w:lang w:bidi="ar"/>
              </w:rPr>
              <w:t>2</w:t>
            </w:r>
            <w:r>
              <w:rPr>
                <w:rFonts w:hint="eastAsia" w:ascii="宋体" w:hAnsi="宋体" w:cs="宋体"/>
                <w:color w:val="auto"/>
                <w:kern w:val="0"/>
                <w:szCs w:val="21"/>
                <w:highlight w:val="none"/>
                <w:lang w:bidi="ar"/>
              </w:rPr>
              <w:t xml:space="preserve"> 地面，沙泥石块不得超过0.2升；                                                                          ⑶慢车倒侧石垂直1米为宽度的任意100m</w:t>
            </w:r>
            <w:r>
              <w:rPr>
                <w:rStyle w:val="48"/>
                <w:rFonts w:hint="default"/>
                <w:color w:val="auto"/>
                <w:sz w:val="21"/>
                <w:szCs w:val="21"/>
                <w:highlight w:val="none"/>
                <w:lang w:bidi="ar"/>
              </w:rPr>
              <w:t xml:space="preserve">2 </w:t>
            </w:r>
            <w:r>
              <w:rPr>
                <w:rFonts w:hint="eastAsia" w:ascii="宋体" w:hAnsi="宋体" w:cs="宋体"/>
                <w:color w:val="auto"/>
                <w:kern w:val="0"/>
                <w:szCs w:val="21"/>
                <w:highlight w:val="none"/>
                <w:lang w:bidi="ar"/>
              </w:rPr>
              <w:t>地面，沙泥石块不得超过0.4升；                                               ⑷任意100m</w:t>
            </w:r>
            <w:r>
              <w:rPr>
                <w:rStyle w:val="48"/>
                <w:rFonts w:hint="default"/>
                <w:color w:val="auto"/>
                <w:sz w:val="21"/>
                <w:szCs w:val="21"/>
                <w:highlight w:val="none"/>
                <w:lang w:bidi="ar"/>
              </w:rPr>
              <w:t>2</w:t>
            </w:r>
            <w:r>
              <w:rPr>
                <w:rFonts w:hint="eastAsia" w:ascii="宋体" w:hAnsi="宋体" w:cs="宋体"/>
                <w:color w:val="auto"/>
                <w:kern w:val="0"/>
                <w:szCs w:val="21"/>
                <w:highlight w:val="none"/>
                <w:lang w:bidi="ar"/>
              </w:rPr>
              <w:t>地面,沙泥石块不超过0.2升；                                                                        ⑸任意300m</w:t>
            </w:r>
            <w:r>
              <w:rPr>
                <w:rStyle w:val="48"/>
                <w:rFonts w:hint="default"/>
                <w:color w:val="auto"/>
                <w:sz w:val="21"/>
                <w:szCs w:val="21"/>
                <w:highlight w:val="none"/>
                <w:lang w:bidi="ar"/>
              </w:rPr>
              <w:t>2</w:t>
            </w:r>
            <w:r>
              <w:rPr>
                <w:rFonts w:hint="eastAsia" w:ascii="宋体" w:hAnsi="宋体" w:cs="宋体"/>
                <w:color w:val="auto"/>
                <w:kern w:val="0"/>
                <w:szCs w:val="21"/>
                <w:highlight w:val="none"/>
                <w:lang w:bidi="ar"/>
              </w:rPr>
              <w:t>地面,胶袋、纸张、果皮等不超过3个（块）；                                                              ⑹任意300m</w:t>
            </w:r>
            <w:r>
              <w:rPr>
                <w:rStyle w:val="48"/>
                <w:rFonts w:hint="default"/>
                <w:color w:val="auto"/>
                <w:sz w:val="21"/>
                <w:szCs w:val="21"/>
                <w:highlight w:val="none"/>
                <w:lang w:bidi="ar"/>
              </w:rPr>
              <w:t>2</w:t>
            </w:r>
            <w:r>
              <w:rPr>
                <w:rFonts w:hint="eastAsia" w:ascii="宋体" w:hAnsi="宋体" w:cs="宋体"/>
                <w:color w:val="auto"/>
                <w:kern w:val="0"/>
                <w:szCs w:val="21"/>
                <w:highlight w:val="none"/>
                <w:lang w:bidi="ar"/>
              </w:rPr>
              <w:t>地面,烟头、痰迹不超过5个（处）；                                                              ⑺地面不得有人为积水.</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道路的清扫、保洁质量标准不符合要求的，发现一项扣0.2分；扣完为止.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6、清扫完毕，应检查车辆内垃圾是否卸清，并做好车辆保洁和维护，保持车容整洁，性能良好</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清扫完毕，车辆内垃圾无卸清一次扣0.25分；无做好车辆保洁和维护的一次扣0.25分；扣完为止.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7.清扫车辆收集的垃圾必须到指定地点倾倒，不得偷倒</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收集的垃圾无到指定地点倾倒的一次扣0.5分；存在偷倒的一次扣0.5分；扣完为止.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8、路面机械化清扫达到80%</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路面机械化清扫无达到80%的扣0.5分</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三、垃圾收集容器保洁维护(5分)</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1、垃圾收集容器包括收集箱、垃圾桶、果皮箱等。垃圾收集容器外观应整洁、无迹垢，每天至少清洁箱体一次，擦抹箱体表面，清除表面的污迹和“牛皮癣”</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每天没对全部或部分箱体至少清洁一次的扣0.5分，箱体表面存有污迹和“牛皮癣”的一个扣0.2分；扣完为止.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垃圾收集容器内垃圾要及时清走，一天清走垃圾不少于两次（上、下午各一次）。繁华街区一天三次，环卫工人每天晚班下班前全面清理完垃圾收集容器的垃圾，做到日产日清；垃圾量多的地方要根据情况定，不能有满溢、外观脏乱现象，并将产生的垃圾收集到指定地点</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垃圾收集容器内垃圾清走少于两次少一次的扣0.1分；繁华街区晚班下班前无全面清理完垃圾收集容器的垃圾，做到日产日清的一次扣0.2分；有满溢、外观脏乱现象的一处扣0.1分；无将垃圾收集到指定地点的发现一次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3、垃圾收集容器体光洁无明显积垢，箱体放置地面周围不得有垃圾抛落、垃圾堆积，无积水，无臭味</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箱体放置地面周围有垃圾抛落、垃圾堆积，有积水和臭味的发现一处扣0.1分；扣完为止.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4、垃圾收集容器应随时保持正常完好的状态，不能东倒西歪</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垃圾收集容器无保持正常完好的状态，东倒西歪的发现一个扣0.1分；扣完为止.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5、垃圾收集容器出现歪斜、松脱、不能使用和被盗等，要及时维修、拆卸、更换、补充和恢复，完好率不得低于98%</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对歪斜、松脱、不能使用和被盗等的垃圾收集容器，无及时维修、拆卸、更换、补充和恢复的一个扣0.2分；扣扣完为止.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6、每周至少两次大清洗、消毒箱体表面和内胆，并对箱体周围地面进行擦拖抹和清洗</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无每周至少两次大清洗箱体表面和内胆，无对箱体周围地面进行擦拖抹和清洗的少一次扣0.25分；扣扣完为止.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7、禁止使用非统一配置的垃圾收集容器，如竹箩、竹筐、纸箱等未密闭的垃圾收集容器；</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发现竹箩、竹筐、纸箱等非统一配置垃圾收集容器，一处扣0.1分；扣扣完为止.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8、禁止环卫工人在垃圾收集容器、垃圾收集站内翻捡废品</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发现环卫工人在垃圾收集容器、垃圾收集站内翻捡废品的一次扣0.1分；扣扣完为止.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四、排水井清理(5分)</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1、日常做好雨水井口、井盖、格栅疏水孔、排水明渠及有排水孔且具有活动盖板的暗渠口和防蚊闸的清理和疏通工作（清淤除外），保证排水功能正常，每月全面彻底清理不少于2次</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日常无做好雨水井口、井盖、格栅疏水孔、排水明渠、有排水孔且具有活动盖板的暗渠口、防蚊闸的清理和疏通工作，导致排水功能不正常的发现一处扣0.5分；每月全面彻底清理少于2次少一次扣1分；扣扣完为止.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遇到雨季、台风季节等情况，要及时检视和清理；因下雨天下水道排水不畅造成道路水浸，保洁人员不得擅自离岗（遇雷电时及时躲避），在确保人身安全前提下，及时清理排水口的树叶和垃圾等堵塞物，确保排水畅通</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遇到雨季、台风季节等情况，无及时检视和清理，下雨时下水道排水不畅造成道路水浸的一处扣0.2分；保洁人员擅自离岗的一次扣0.5分，水浸时无及时清理排水口的树叶和垃圾等堵塞物的一处扣1分；扣完为止.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当出现内涝情况时，即时启动应急处理方案，采取相应措施，人员和设备要在20分钟内全部到位，尽快摆齐警示标志，做好安全保护措施，与其他部门互相配合，安排专人通宵值班，24小时开机，随时掌控情况并汇报</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当内涝启动应急方案时，人员和设备不在20分钟内全部到位的扣1分；无尽快摆齐警示标志,做好安全保护措施的扣1分；无安排专人值班，24小时开机的扣0.5分；无随时掌控情况及时汇报的扣0.5分；扣完为止.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五、河涌、护坡、堤围保洁(5分)</w:t>
            </w:r>
          </w:p>
        </w:tc>
        <w:tc>
          <w:tcPr>
            <w:tcW w:w="3710" w:type="dxa"/>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1、巡查时间8：00-18：00（6级或6级以上大风、红色暴雨警告以上天气除外）,有专人负责保洁和管理</w:t>
            </w:r>
          </w:p>
        </w:tc>
        <w:tc>
          <w:tcPr>
            <w:tcW w:w="3226" w:type="dxa"/>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在规定巡查时间内，无专人负责保洁和管理的扣0.5分</w:t>
            </w:r>
          </w:p>
        </w:tc>
        <w:tc>
          <w:tcPr>
            <w:tcW w:w="52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2、每天根据卫生质量标准决定打捞水面漂浮垃圾和收集河涌护坡垃圾次数（河涌清淤除外）</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对超过卫生质量标准无及时打捞，发现扣0.5分</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3、水面无水浮莲等大件漂浮垃圾（≥1m</w:t>
            </w:r>
            <w:r>
              <w:rPr>
                <w:rStyle w:val="48"/>
                <w:rFonts w:hint="default"/>
                <w:color w:val="auto"/>
                <w:sz w:val="21"/>
                <w:szCs w:val="21"/>
                <w:highlight w:val="none"/>
                <w:lang w:bidi="ar"/>
              </w:rPr>
              <w:t>2</w:t>
            </w:r>
            <w:r>
              <w:rPr>
                <w:rFonts w:hint="eastAsia" w:ascii="宋体" w:hAnsi="宋体" w:cs="宋体"/>
                <w:color w:val="auto"/>
                <w:kern w:val="0"/>
                <w:szCs w:val="21"/>
                <w:highlight w:val="none"/>
                <w:lang w:bidi="ar"/>
              </w:rPr>
              <w:t>),小件零星垃圾两件之间最小间距≥20米</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水面存在水浮莲等大件漂浮垃圾和小件零星垃圾的一处扣0.1分；扣完为止.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4、做到河道畅通，岸坡整洁,无悬挂物、无垃圾杂物堆积,无漂浮物</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河道不畅通，岸坡不整洁，有悬挂物和漂浮物的一处扣0.2分；扣完为止.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5、汛期必须积极配合水利部门进行清疏、排灌</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汛期不积极配合水利部门进行清疏、排灌的扣0.3分</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0.3</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6、打捞、收集的垃圾要定点堆放,送指定地点处理,日产日清</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打捞、收集的垃圾无定点堆放的发现一处扣0.5分，无日产日清的扣0.5分；扣完为止.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7、垃圾清运后必须把场地清扫干净，无垃圾和杂物堆放</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垃圾清运后仍有垃圾和杂物堆放发现一处扣0.1分；扣完为止.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8、垃圾异味太大或有动物残体时要进行密封包装</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对垃圾异味太大和动物残体没有进行密封包装发现一处扣0.1分；扣完为止.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0.3</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9、河道内船只、垃圾车辆容貌整洁，外观无缺损，无残留垃圾</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河道内船只及垃圾车辆外观缺损扣0.1分；有残留垃圾的一处扣0.1分；扣完为止.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10、水上作业人员必须熟习水性，作业时要穿着救生衣，船上备用救生器材，落实有关安全措施</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水上作业人员不熟习水性的一个扣0.1分；作业时无穿着救生衣的一个扣0.1分；船上无备用救生器材的扣0.1分；扣完为止.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六、垃圾收集清运(15分)</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1、道路、临街店铺、住宅、公共场所等的垃圾收集与清扫保洁同步，要求每天上门收集不少于4次，上、下午各2次，所收集垃圾必须运到指定垃圾站（点）或收集车辆配合落实无缝接运，不得随意堆放</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道路、临街店铺、住宅、公共场所等的垃圾收集与清扫保洁无同步的扣0.5分；每天上门收集少于4次的扣0.5分；所收集垃圾无运到指定垃圾站（点）或无收集车辆配合落实无缝接运的扣0.5分；所收集垃圾随意堆放发现一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2、旧村内巷垃圾收集与清扫保洁同步，每天收集不少于2次，上午、下午各1次，所收集垃圾必须运到指定垃圾站（点）或收集车辆配合落实无缝接运，不得随意堆放</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旧村内巷垃圾收集与清扫保洁不同步的扣0.5分；每天收集少于2次的扣0.5分；所收集垃圾无运到指定垃圾站（点）或无收集车辆配合落实无缝接运的扣1分；所收集垃圾随意堆放发现一处扣0.5分；扣完为止.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3、绿化隔离带、公园广场、路旁绿地、行道树穴、渠化岛、草坪内的垃圾与保洁同步，根据垃圾量收集，每天不少于1次，所收集垃圾必须运到指定垃圾站（点）或收集车辆配合落实无缝接运，不得随意堆放</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绿化隔离带、公园广场、路旁绿地、行道树穴、渠化岛、草坪内的垃圾与保洁不同步的扣0.5分；所收集垃圾无运到指定垃圾站（点）或无收集车辆配合落实无缝接运的扣0.5分；所收集垃圾随意堆放发现一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4、河边、鱼塘边、山边、闲置地等垃圾收集与保洁同步，根据垃圾量而定，所收集垃圾必须运到指定垃圾站（点）或收集车辆配合落实无缝接运，不得随意堆放</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河边、鱼塘边、山边、闲置地等垃圾收集与保洁不同步的扣0.5分；所收集垃圾无运到指定垃圾站（点）或无收集车辆配合落实无缝接运的扣0.5分；扣完为止.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六、垃圾收集清运(15分)</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5、按指定户数、指定路线、指定的单位、厂企、桶装收集的店铺指定收集点每天至少上门收集垃圾一次，落实无缝接运，不得擅自设点及随意堆放</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无按指定户数、指定路线、指定的单位、厂企、店铺上门收集垃圾的一次扣0.5分；无特殊情况出现漏收的一次扣1分；擅自设点及随意堆放发现一处扣0.5分；扣完为止.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6、根据道路的宽度配备垃圾收集车辆，旧村按要求配置小型密闭自御垃圾收集车，车辆技术指标必须满足垃圾收集站收运设施正常使用的要求,禁止使用未报批的其他收集车辆</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旧村等狭窄道路无配备小型密闭垃圾收集机动车辆的扣0.5分，使用未报批的其他收集车辆的扣0.5分；扣完为止.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7、取得IC卡的垃圾运输车辆按指定路线运往镇指定转运站卸倒垃圾，入站后要服从站内工作人员的交通引导、安全卸载等指挥工作，不得随意偷倒</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取得IC卡的垃圾运输车辆不按指定路线运往镇指定转运站卸倒垃圾的一次扣0.5分，入站后不听指挥随意偷倒的扣0.5分；扣完为止.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8、禁止分拣垃圾，所有垃圾运输车辆加装密闭装置，全程密闭运输，车容整洁,外观无堆挂杂物,运输过程中垃圾不得扬、洒、拖挂，不得乱倒、乱卸、乱抛，不得有污水滴漏，以免造成二次污染</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有分拣垃圾现象的一次扣0.5分；全程输无密闭运输的，如后置式压缩车后盖打开行驶等，发现一次扣1分；车容不整洁,车身空隙塞有杂物或外观有堆挂杂物的一次扣0.5分；运输过程中垃圾存在扬、洒、拖挂，有污水滴漏的一次扣0.5分；发现乱倒、乱卸的一次扣.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9、保洁产生的垃圾要及时通过流动机械收集车或清洁工人通过手推车收集到附近指定转运站或垃圾收集点，落实无缝接运，确保保洁的质量与效率，不得擅自设点，不得裸露堆放</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流动机械收集车或手推车收集的垃圾无运至指定转运站或垃圾收集点的一次扣0.5分；垃圾裸露堆放的一次扣0.5分；扣完为止.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10、垃圾运输车辆只限于收集生活垃圾和固体废弃物，不得收运工业垃圾、渣土余泥、建筑垃圾，不得收运剧毒、易燃易爆、医疗等有危险性的特种垃圾</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垃圾运输车辆只限于收集生活垃圾和固体废弃物，发现收运工业垃圾、渣土余泥、建筑垃圾及剧毒、易燃易爆、医疗等有危险性的特种垃圾的一次扣0.5分；扣完为止.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11、密闭压缩式垃圾运输车收集垃圾时,必须严格遵守交通规则，亮警示灯,礼让行车，注意行人的安全，不得防碍交通；在辅道两旁沿路收集垃圾,出现的洒、漏垃圾要即时清理干净</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收集垃圾时,无亮警示灯,不礼让行车，不注意行人安全，防碍交通，违反交通规则的一次扣0.5分；收集垃圾时，出现洒、漏垃圾无即时清理干净的一次扣0.5分；扣完为止.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12、要求手推车、三轮车等垃圾收集专用车车辆性能良好，统一标识，外观无缺损、编号牌清晰，有密封设备且封盖严密，车容整洁，无残留垃圾、无陈旧积泥、无滋生蝇蛆</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手推车、三轮车等垃圾收集专用车性能差，无统一标识，外观缺损、编号牌不清晰的扣0.5分；无密封设备且封盖不严密的扣0.5分；有残留垃圾、陈旧积泥、滋生蝇蛆的扣0.5分；扣完为止.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13、安全、文明作业，尽量减少噪音扰民、防碍交通现象，禁止乱停乱放、随车配备清扫工具乱摆放，未按指定地点倾倒垃圾</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无安全、文明作业，有噪音扰民和防碍交通现象的扣0.5分；乱停乱放、清扫工具乱摆放的扣0.5分；未按指定地点倾倒垃圾的扣0.5分；扣完为止.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14、作业结束后必须及时把车辆、作业工具擦洗干净，并按指定位置停放好</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作业结束后无及时把车辆、作业工具擦洗干净的扣0.5分；无按指定位置停放好的扣0.5分；扣完为止.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七、公厕管理(5分)</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1、从7:00-23:00配专人全时段看管、保洁,不得离岗,厕所免费开放,公示投诉电话</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在规定时间无专人看管、保洁的扣0.5分；厕所有收费的扣0.5分；无公示投诉电话的扣0.5分；扣完为止.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2、指示牌、标志牌、《公厕服务承诺》、《公厕使用守则》设置规范、明显、完整</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无设置指示牌、标志牌、《公厕服务承诺》、《公厕使用守则》的扣0.5分；设置不规范、不明显、不完整扣0.5分；扣完为止.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3、无人为停水情况，保持水龙头和冲水器的出水量充足</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有人为停水情况扣0.1分；水龙头和冲水器的出水量不充足的一个扣0.1分；扣完为止.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0.3</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4、公厕内采光、照明和通风良好，无明显臭味</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公厕内采光、照明不够的一处扣0.1分；不通风，有明显臭味扣0.1分；扣完为止.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5、公厕内地面光洁,无积水</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公厕内地面不光亮洁静的扣0.2分；,有积水的扣0.3分；扣完为止.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6、内墙面、天花板、门窗、隔离板无积灰、污迹、蛛网，无乱涂乱画</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内墙面、天花板、门窗、隔离板有积灰、污迹、蛛网、乱涂乱画的一处扣0.1分；扣完为止.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7、蹲位整洁,大便槽两侧无粪便污物,槽内无积粪,洁净见底</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蹲位不整洁,大便槽两侧有粪便污物,槽内有积粪的一处扣0.1分；扣完为止.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8、下便槽(斗)无水锈、尿垢、垃圾、基本无臭味：沟眼、管道保持畅通</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下便槽(斗)有水锈、尿垢、垃圾、有臭味，沟眼、管道不畅通的一处扣0.1分；扣完为止.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0.3</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9、门窗、照明灯具、洗手器皿、镜子、冲水设备等完好，无积灰、污物</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门窗、照明灯具、洗手器皿、镜子、冲水设备等不完好，有积灰、污物的一处扣0.1分；扣完为止.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0.3</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10、公厕外环境整洁,无乱堆杂物,保持工具放置整齐，外墙面整洁</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公厕外环境不整洁,有乱堆杂物,工具放置不整齐，外墙面不整洁的一处扣0.1分；扣完为止.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11、定时喷洒灭蚊蝇、蟑螂药物，有效控制蝇蛆滋生,有真实的喷药时间和数量记录,并提供抽粪记录</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无定时喷洒灭蚊蝇、蟑螂药物，控制蝇蛆滋生,无真实的喷药时间和数量记录的扣0.1分；无提供抽粪记录的扣0.1分；扣完为止.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八、转运站和垃圾房管理 (5分)</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1、禁止使用露天垃圾池用于垃圾收集和转运</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2、使用露天垃圾池用于垃圾收集和转运的扣0.5分</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2、垃圾转运站开放时间为5：30-23：00，有专人管理</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无配专人管理的扣0.25分；开放时间内无人在岗作业的扣0.25分；扣完为止.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3、无积存垃圾，做到日产日清,在规定时间内完成垃圾转运工作，每天冲洗3次，早、午、晚各一次</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有积存垃圾，无做到日产日清的扣0.3分,无在规定时间内完成垃圾转运工作的扣0.3分，每天冲洗不到3次每少一次的扣0.1分；扣完为止.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4、站内及站外周边环境保持清洁干净，不得分拣垃圾，不得存放废旧物品，不得堆放杂物，劳动工具定点有序摆放</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站内及站外清洁不到位扣0.5分；有分拣垃圾现象扣0.3分；存放废旧物品和堆放杂物情况的扣0.3分；劳动工具不定点摆放或乱摆放的扣0.2分；扣完为止.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八、转运站和垃圾房管理(5分)</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5、沟渠畅通，无垃圾积聚、及时排清污水,每天冲洗3次，早、午、晚各一次</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沟渠有垃圾、污水积聚的扣0.3分；排水不畅通的扣0.2分；扣完为止.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6、车辆进出有序，合理安排垃圾安全卸载，不得争先恐后</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车辆进出争先恐后，无合理安排垃圾安全卸载的发现一次扣0.1分；扣完为止.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7、工作人员要熟悉机械、安全操作，负责管理维护设施完好无缺，每天清运完毕要做好冲洗保洁、性能检查等维护保养工作，确保明天的正常使用</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工作人员不熟悉机械操作安全上岗的扣0.3分；每天清运完毕无做好机械冲洗保洁的扣0.2分；无做好检查维护保养工作，确保明天能正常使用的扣0.1分；扣完为止.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8、当天工作完毕必须把站清理干净，站内外检查一遍后再关门上锁</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工作完毕无把站清理干净的扣0.3分；无做好站内外检查关门上锁的扣0.1分；扣完为止.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九、“牛皮癣”清理(5分)</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1、每天5：00-22：00清洁辖区范围内的乱张贴和乱涂画，根据工作量配足专业的专职人员和专业的清理工具</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没有在每天规定时间内清洁完成辖区范围内的乱张贴和乱涂画的扣0.5分；无根据工作量配足人员和专业的作业工具的扣0.5分；扣完为止.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2、辖区范围内的路面、路缘石、侧石、桥栏、护栏、墙壁、灯箱、灯柱、信号灯、电箱、公交车站、建筑物外墙、内街小巷、门闸、商铺卷闸门、树木、市政公共设施等可视范围内均无“牛皮癣” </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辖区范围可视范围内存在“牛皮癣” ，每发现一处扣0.2分；扣完为止.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3、质量监督员对管辖区域全面巡查，发现有乱张贴、乱涂画的必须在2小时内清理完毕，使其表面干净、整洁</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质量监督员对管辖区域无进行全面质量巡查的扣0.5分；发现乱张贴、乱涂画无在2小时内清理完毕的扣0.5分；扣完为止.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4.文明作业，将对群众的影响降到最低，接到群众投诉或相关单位通报的，必须在要求的时间内整改完毕，并及时回复</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接到投诉和通报，在要求的时间内未整改完毕，并及时回复的一笔扣0.1分；扣完为止.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5、“牛皮癣”清理作业方法：                                                                               ⑴所有张贴类“牛皮癣”须用“牛皮癣”清理机进行清理；                                                            ⑵镜面墙体如大理石、花岗岩、瓷砖、铝塑板等防水涂料等喷涂类“牛皮癣”，用喷壶装入药剂喷施在字体表面后进行擦洗，直至彻底清除；                                                                                    ⑶粗糙墙体如水泥、石材等喷涂类“牛皮癣”，在清洗不能解决时可调配相同颜色的涂料（或油漆）进行覆盖。</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无按“牛皮癣”清理方法进行清理，造成二次污染或更严重后果的一次扣0.1分；扣完为止.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十、绿化养护(5分)</w:t>
            </w:r>
          </w:p>
        </w:tc>
        <w:tc>
          <w:tcPr>
            <w:tcW w:w="3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① 草坪植物叶片色泽正常,无明显枯黄叶;其它植物新梢枝叶萌发正常,叶片大小、色泽基 本正常,无明显枯枝败叶。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② 乔木树冠基本完整,生长与开花结果正常;分枝基本不影响游览及观景。行道树的倾斜率小于 7%。乔木树杆无铁钉、木板等附着物。确保树木无遮挡交通设施情况。补植乔木必须做好支撑，并根据树木生长情况适时进行“松绑”处理。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③花灌木生长发育基本正常,木本地被覆盖率达 95%以上。</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④ 花坛、花带及绿篱基本无残缺,杂草覆盖率小于 5%,无死株、缺株。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⑤ 造型植物的修剪基本合理。规则式种植的造型植物,形状、体量大致一致;自然式种植的, 形状和体量基本符合设计和景观的要求。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⑥ 藤本植物生长基本正常,开花适时,牵引合理,覆盖率不低于 80%;定期及时修剪、清除、疏删老弱藤蔓。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⑦ 草本花卉基本正常,株型基本完整,开花时覆盖率达到 80%以上,杂草覆盖率小于 5%; 花后需修剪的,基本得到修剪。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⑧ 草坪绿色期不少于 230 天,覆盖率不小于 85%,杂草的覆盖率不超过 5%,草坪表面积水 在雨后24小时内排清。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⑨ 水生植物生长基本正常,开花适时。绿篱生长基本正常,无死株,无明显断垄,无高草杂草,无明显病虫害发生。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⑩病虫害得到控制,被害植株不超过 7%,被害叶片不超过植株叶片总量的 5%。同时使用安全有效方法防治红火蚁。</w:t>
            </w:r>
          </w:p>
        </w:tc>
        <w:tc>
          <w:tcPr>
            <w:tcW w:w="3226"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（1）植株生长不良、长势差，部分树干死亡，扣0.5分/株。植株重度损坏，扣0.3分/株；                      </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3226"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（2）缺乏修剪或修剪不适当，扣0.5分/株；枝叶遮挡交通灯或交通指示牌或路灯的，扣0.5分/株。                                                                             </w:t>
            </w: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3226"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（3）有枯枝、折枝、或棕榈科的干枯叶片未及时清理的，扣0.2分/株。</w:t>
            </w: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3226"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（4）树木根系生长覆盖路面未及时处理的，扣0.2分/处；树池或树池盖损坏、或树池盖不平整影响景观的，扣0.2分/穴。</w:t>
            </w: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3226"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（5）树体腐烂（或开口）部位未及时剔除、消毒、封口处理的，每株扣1.0分。</w:t>
            </w: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3226"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（6）护树设施、景观灯等固定框损坏树干的，扣0.2分/株。</w:t>
            </w: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3226"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（7）死亡、缺株未及时补种的，每处或每平方米扣0.3分；植株老化未及时更换的，每处或每平方米扣0.2分；黄土裸露的，累计每平方米扣0.2分。</w:t>
            </w: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3226"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（8）杂草过多未及时修剪清除的，每平方米扣0.2分。</w:t>
            </w: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3226"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（9）草坪未及时修剪、未正确控制草坪高度及修剪留茬高度的，每平方米扣0.1分，最高扣4分。                                               </w:t>
            </w: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3226"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（10）病虫害控制不及时，对树木叶片危害每株超过10%的，扣0.5分/株；蛀干性害虫危害未处理的扣0.5-1.0分/株；白蚁红火蚁等危害未处理的，视危害程度扣1.0-2.0分/株。</w:t>
            </w: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866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合计总得分（    ）＝总分（100）－合计总扣分（     ）</w:t>
            </w:r>
          </w:p>
        </w:tc>
      </w:tr>
      <w:tr>
        <w:tblPrEx>
          <w:tblCellMar>
            <w:top w:w="0" w:type="dxa"/>
            <w:left w:w="108" w:type="dxa"/>
            <w:bottom w:w="0" w:type="dxa"/>
            <w:right w:w="108" w:type="dxa"/>
          </w:tblCellMar>
        </w:tblPrEx>
        <w:trPr>
          <w:trHeight w:val="23" w:hRule="atLeast"/>
        </w:trPr>
        <w:tc>
          <w:tcPr>
            <w:tcW w:w="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1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22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1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22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1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22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104" w:type="dxa"/>
            <w:gridSpan w:val="2"/>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社区评分卫监签名:</w:t>
            </w:r>
          </w:p>
        </w:tc>
        <w:tc>
          <w:tcPr>
            <w:tcW w:w="3226" w:type="dxa"/>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社区环境办负责人签名(盖章):</w:t>
            </w:r>
          </w:p>
        </w:tc>
        <w:tc>
          <w:tcPr>
            <w:tcW w:w="52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1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22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1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22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1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22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104" w:type="dxa"/>
            <w:gridSpan w:val="2"/>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市场化公司现场陪同人员签名:</w:t>
            </w:r>
          </w:p>
        </w:tc>
        <w:tc>
          <w:tcPr>
            <w:tcW w:w="3750" w:type="dxa"/>
            <w:gridSpan w:val="2"/>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市场化公司负责人签名(盖章):</w:t>
            </w:r>
          </w:p>
        </w:tc>
        <w:tc>
          <w:tcPr>
            <w:tcW w:w="4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bl>
    <w:p>
      <w:pPr>
        <w:rPr>
          <w:rFonts w:ascii="宋体" w:hAnsi="宋体"/>
          <w:color w:val="auto"/>
          <w:sz w:val="24"/>
          <w:highlight w:val="none"/>
        </w:rPr>
      </w:pPr>
      <w:r>
        <w:rPr>
          <w:rFonts w:ascii="宋体" w:hAnsi="宋体"/>
          <w:color w:val="auto"/>
          <w:sz w:val="24"/>
          <w:highlight w:val="none"/>
        </w:rPr>
        <w:br w:type="page"/>
      </w:r>
    </w:p>
    <w:tbl>
      <w:tblPr>
        <w:tblStyle w:val="18"/>
        <w:tblW w:w="0" w:type="auto"/>
        <w:tblInd w:w="0" w:type="dxa"/>
        <w:tblLayout w:type="autofit"/>
        <w:tblCellMar>
          <w:top w:w="0" w:type="dxa"/>
          <w:left w:w="108" w:type="dxa"/>
          <w:bottom w:w="0" w:type="dxa"/>
          <w:right w:w="108" w:type="dxa"/>
        </w:tblCellMar>
      </w:tblPr>
      <w:tblGrid>
        <w:gridCol w:w="801"/>
        <w:gridCol w:w="431"/>
        <w:gridCol w:w="429"/>
        <w:gridCol w:w="429"/>
        <w:gridCol w:w="424"/>
        <w:gridCol w:w="424"/>
        <w:gridCol w:w="424"/>
        <w:gridCol w:w="424"/>
        <w:gridCol w:w="424"/>
        <w:gridCol w:w="579"/>
        <w:gridCol w:w="656"/>
        <w:gridCol w:w="640"/>
        <w:gridCol w:w="579"/>
        <w:gridCol w:w="579"/>
        <w:gridCol w:w="424"/>
        <w:gridCol w:w="424"/>
        <w:gridCol w:w="425"/>
      </w:tblGrid>
      <w:tr>
        <w:tblPrEx>
          <w:tblCellMar>
            <w:top w:w="0" w:type="dxa"/>
            <w:left w:w="108" w:type="dxa"/>
            <w:bottom w:w="0" w:type="dxa"/>
            <w:right w:w="108" w:type="dxa"/>
          </w:tblCellMar>
        </w:tblPrEx>
        <w:trPr>
          <w:trHeight w:val="480" w:hRule="atLeast"/>
        </w:trPr>
        <w:tc>
          <w:tcPr>
            <w:tcW w:w="0" w:type="auto"/>
            <w:tcBorders>
              <w:top w:val="nil"/>
              <w:left w:val="nil"/>
              <w:bottom w:val="single" w:color="000000" w:sz="4" w:space="0"/>
              <w:right w:val="nil"/>
            </w:tcBorders>
            <w:shd w:val="clear" w:color="auto" w:fill="auto"/>
            <w:noWrap/>
            <w:vAlign w:val="center"/>
          </w:tcPr>
          <w:p>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表1-2</w:t>
            </w:r>
          </w:p>
        </w:tc>
        <w:tc>
          <w:tcPr>
            <w:tcW w:w="0" w:type="auto"/>
            <w:gridSpan w:val="16"/>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长安镇</w:t>
            </w:r>
            <w:r>
              <w:rPr>
                <w:rFonts w:hint="eastAsia" w:ascii="宋体" w:hAnsi="宋体" w:cs="宋体"/>
                <w:b/>
                <w:bCs/>
                <w:color w:val="auto"/>
                <w:kern w:val="0"/>
                <w:szCs w:val="21"/>
                <w:highlight w:val="none"/>
                <w:u w:val="single"/>
                <w:lang w:bidi="ar"/>
              </w:rPr>
              <w:t xml:space="preserve">     </w:t>
            </w:r>
            <w:r>
              <w:rPr>
                <w:rFonts w:hint="eastAsia" w:ascii="宋体" w:hAnsi="宋体" w:cs="宋体"/>
                <w:b/>
                <w:bCs/>
                <w:color w:val="auto"/>
                <w:kern w:val="0"/>
                <w:szCs w:val="21"/>
                <w:highlight w:val="none"/>
                <w:lang w:bidi="ar"/>
              </w:rPr>
              <w:t>社区</w:t>
            </w:r>
            <w:r>
              <w:rPr>
                <w:rFonts w:hint="eastAsia" w:ascii="宋体" w:hAnsi="宋体" w:cs="宋体"/>
                <w:b/>
                <w:bCs/>
                <w:color w:val="auto"/>
                <w:kern w:val="0"/>
                <w:szCs w:val="21"/>
                <w:highlight w:val="none"/>
                <w:u w:val="single"/>
                <w:lang w:bidi="ar"/>
              </w:rPr>
              <w:t>　　</w:t>
            </w:r>
            <w:r>
              <w:rPr>
                <w:rFonts w:hint="eastAsia" w:ascii="宋体" w:hAnsi="宋体" w:cs="宋体"/>
                <w:b/>
                <w:bCs/>
                <w:color w:val="auto"/>
                <w:kern w:val="0"/>
                <w:szCs w:val="21"/>
                <w:highlight w:val="none"/>
                <w:lang w:bidi="ar"/>
              </w:rPr>
              <w:t>月环卫日检计分表</w:t>
            </w:r>
          </w:p>
        </w:tc>
      </w:tr>
      <w:tr>
        <w:tblPrEx>
          <w:tblCellMar>
            <w:top w:w="0" w:type="dxa"/>
            <w:left w:w="108" w:type="dxa"/>
            <w:bottom w:w="0" w:type="dxa"/>
            <w:right w:w="108" w:type="dxa"/>
          </w:tblCellMar>
        </w:tblPrEx>
        <w:trPr>
          <w:trHeight w:val="3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日期</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一队检查评分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二队检查评分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三队检查评分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总平均   得分</w:t>
            </w:r>
          </w:p>
        </w:tc>
      </w:tr>
      <w:tr>
        <w:tblPrEx>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检查路线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上午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下午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晚上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平均 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检查路线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上午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下午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晚上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平均 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检查路线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上午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下午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晚上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平均 得分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总平   均分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0" w:type="auto"/>
            <w:gridSpan w:val="4"/>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社区统计人员签名：</w:t>
            </w: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gridSpan w:val="2"/>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gridSpan w:val="5"/>
            <w:tcBorders>
              <w:top w:val="nil"/>
              <w:left w:val="nil"/>
              <w:bottom w:val="nil"/>
              <w:right w:val="nil"/>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社区环境办负责人签名(盖章):</w:t>
            </w: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r>
    </w:tbl>
    <w:p>
      <w:pPr>
        <w:pStyle w:val="3"/>
        <w:pageBreakBefore/>
        <w:rPr>
          <w:rFonts w:hAnsi="宋体" w:cs="宋体"/>
          <w:color w:val="auto"/>
          <w:sz w:val="24"/>
          <w:highlight w:val="none"/>
        </w:rPr>
      </w:pPr>
      <w:bookmarkStart w:id="143" w:name="_Toc152951861"/>
      <w:r>
        <w:rPr>
          <w:rFonts w:hint="eastAsia" w:hAnsi="宋体" w:cs="宋体"/>
          <w:color w:val="auto"/>
          <w:sz w:val="24"/>
          <w:highlight w:val="none"/>
        </w:rPr>
        <w:t>附件：2、长安镇</w:t>
      </w:r>
      <w:r>
        <w:rPr>
          <w:rFonts w:hint="eastAsia" w:hAnsi="宋体" w:cs="宋体"/>
          <w:color w:val="auto"/>
          <w:sz w:val="24"/>
          <w:highlight w:val="none"/>
          <w:lang w:eastAsia="zh-CN"/>
        </w:rPr>
        <w:t>新民</w:t>
      </w:r>
      <w:r>
        <w:rPr>
          <w:rFonts w:hint="eastAsia" w:hAnsi="宋体" w:cs="宋体"/>
          <w:color w:val="auto"/>
          <w:sz w:val="24"/>
          <w:highlight w:val="none"/>
        </w:rPr>
        <w:t>社区环卫管理架构人员配备评分表（半月检）</w:t>
      </w:r>
      <w:bookmarkEnd w:id="143"/>
    </w:p>
    <w:tbl>
      <w:tblPr>
        <w:tblStyle w:val="18"/>
        <w:tblW w:w="8575" w:type="dxa"/>
        <w:tblInd w:w="0" w:type="dxa"/>
        <w:tblLayout w:type="fixed"/>
        <w:tblCellMar>
          <w:top w:w="0" w:type="dxa"/>
          <w:left w:w="108" w:type="dxa"/>
          <w:bottom w:w="0" w:type="dxa"/>
          <w:right w:w="108" w:type="dxa"/>
        </w:tblCellMar>
      </w:tblPr>
      <w:tblGrid>
        <w:gridCol w:w="292"/>
        <w:gridCol w:w="292"/>
        <w:gridCol w:w="3497"/>
        <w:gridCol w:w="3645"/>
        <w:gridCol w:w="424"/>
        <w:gridCol w:w="425"/>
      </w:tblGrid>
      <w:tr>
        <w:tblPrEx>
          <w:tblCellMar>
            <w:top w:w="0" w:type="dxa"/>
            <w:left w:w="108" w:type="dxa"/>
            <w:bottom w:w="0" w:type="dxa"/>
            <w:right w:w="108" w:type="dxa"/>
          </w:tblCellMar>
        </w:tblPrEx>
        <w:trPr>
          <w:trHeight w:val="390" w:hRule="atLeast"/>
        </w:trPr>
        <w:tc>
          <w:tcPr>
            <w:tcW w:w="584" w:type="dxa"/>
            <w:gridSpan w:val="2"/>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表2</w:t>
            </w:r>
          </w:p>
        </w:tc>
        <w:tc>
          <w:tcPr>
            <w:tcW w:w="7991" w:type="dxa"/>
            <w:gridSpan w:val="4"/>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长安镇</w:t>
            </w:r>
            <w:r>
              <w:rPr>
                <w:rFonts w:hint="eastAsia" w:ascii="宋体" w:hAnsi="宋体" w:cs="宋体"/>
                <w:b/>
                <w:bCs/>
                <w:color w:val="auto"/>
                <w:kern w:val="0"/>
                <w:szCs w:val="21"/>
                <w:highlight w:val="none"/>
                <w:u w:val="single"/>
                <w:lang w:eastAsia="zh-CN" w:bidi="ar"/>
              </w:rPr>
              <w:t>新民</w:t>
            </w:r>
            <w:r>
              <w:rPr>
                <w:rFonts w:hint="eastAsia" w:ascii="宋体" w:hAnsi="宋体" w:cs="宋体"/>
                <w:b/>
                <w:bCs/>
                <w:color w:val="auto"/>
                <w:kern w:val="0"/>
                <w:szCs w:val="21"/>
                <w:highlight w:val="none"/>
                <w:lang w:bidi="ar"/>
              </w:rPr>
              <w:t>社区环卫管理架构人员配备评分表(半月检)</w:t>
            </w:r>
          </w:p>
        </w:tc>
      </w:tr>
      <w:tr>
        <w:tblPrEx>
          <w:tblCellMar>
            <w:top w:w="0" w:type="dxa"/>
            <w:left w:w="108" w:type="dxa"/>
            <w:bottom w:w="0" w:type="dxa"/>
            <w:right w:w="108" w:type="dxa"/>
          </w:tblCellMar>
        </w:tblPrEx>
        <w:trPr>
          <w:trHeight w:val="360" w:hRule="atLeast"/>
        </w:trPr>
        <w:tc>
          <w:tcPr>
            <w:tcW w:w="4081" w:type="dxa"/>
            <w:gridSpan w:val="3"/>
            <w:tcBorders>
              <w:top w:val="nil"/>
              <w:left w:val="nil"/>
              <w:bottom w:val="nil"/>
              <w:right w:val="nil"/>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总分:100分,得分:</w:t>
            </w:r>
          </w:p>
        </w:tc>
        <w:tc>
          <w:tcPr>
            <w:tcW w:w="4494" w:type="dxa"/>
            <w:gridSpan w:val="3"/>
            <w:tcBorders>
              <w:top w:val="nil"/>
              <w:left w:val="nil"/>
              <w:bottom w:val="nil"/>
              <w:right w:val="nil"/>
            </w:tcBorders>
            <w:shd w:val="clear" w:color="auto" w:fill="auto"/>
            <w:vAlign w:val="center"/>
          </w:tcPr>
          <w:p>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评分时间:   年  月   日</w:t>
            </w:r>
          </w:p>
        </w:tc>
      </w:tr>
      <w:tr>
        <w:tblPrEx>
          <w:tblCellMar>
            <w:top w:w="0" w:type="dxa"/>
            <w:left w:w="108" w:type="dxa"/>
            <w:bottom w:w="0" w:type="dxa"/>
            <w:right w:w="108" w:type="dxa"/>
          </w:tblCellMar>
        </w:tblPrEx>
        <w:trPr>
          <w:trHeight w:val="465" w:hRule="atLeast"/>
        </w:trPr>
        <w:tc>
          <w:tcPr>
            <w:tcW w:w="40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现场考核</w:t>
            </w:r>
          </w:p>
        </w:tc>
        <w:tc>
          <w:tcPr>
            <w:tcW w:w="36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扣分办法(提供资料证明)</w:t>
            </w:r>
          </w:p>
        </w:tc>
        <w:tc>
          <w:tcPr>
            <w:tcW w:w="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应得分</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检查扣分</w:t>
            </w:r>
          </w:p>
        </w:tc>
      </w:tr>
      <w:tr>
        <w:tblPrEx>
          <w:tblCellMar>
            <w:top w:w="0" w:type="dxa"/>
            <w:left w:w="108" w:type="dxa"/>
            <w:bottom w:w="0" w:type="dxa"/>
            <w:right w:w="108" w:type="dxa"/>
          </w:tblCellMar>
        </w:tblPrEx>
        <w:trPr>
          <w:trHeight w:val="435" w:hRule="atLeast"/>
        </w:trPr>
        <w:tc>
          <w:tcPr>
            <w:tcW w:w="5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项目内容</w:t>
            </w:r>
          </w:p>
        </w:tc>
        <w:tc>
          <w:tcPr>
            <w:tcW w:w="3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Cs w:val="21"/>
                <w:highlight w:val="none"/>
              </w:rPr>
            </w:pPr>
            <w:r>
              <w:rPr>
                <w:rFonts w:hint="eastAsia" w:ascii="宋体" w:hAnsi="宋体" w:cs="宋体"/>
                <w:color w:val="auto"/>
                <w:kern w:val="0"/>
                <w:szCs w:val="21"/>
                <w:highlight w:val="none"/>
                <w:lang w:bidi="ar"/>
              </w:rPr>
              <w:t>考核标准和依据</w:t>
            </w: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45"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(出现以下未提及事项均参照合同依据的法律法规和办法)</w:t>
            </w: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45" w:hRule="atLeast"/>
        </w:trPr>
        <w:tc>
          <w:tcPr>
            <w:tcW w:w="5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一、管理架构和制度(40分)</w:t>
            </w:r>
          </w:p>
        </w:tc>
        <w:tc>
          <w:tcPr>
            <w:tcW w:w="3497" w:type="dxa"/>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1、具备环卫统筹项目经营范围的营业执照和资质证件</w:t>
            </w:r>
          </w:p>
        </w:tc>
        <w:tc>
          <w:tcPr>
            <w:tcW w:w="3645"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无营业执照和资质证件的扣2分,少一件扣</w:t>
            </w:r>
            <w:r>
              <w:rPr>
                <w:rStyle w:val="49"/>
                <w:rFonts w:hint="default"/>
                <w:color w:val="auto"/>
                <w:sz w:val="21"/>
                <w:szCs w:val="21"/>
                <w:highlight w:val="none"/>
                <w:lang w:bidi="ar"/>
              </w:rPr>
              <w:t>2分；扣完为止.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545"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2、在中标所在地注册成立子公司，已申办营业执照、税务登记证、法人代码证等相关证件，在中标所在地开设了银行帐号，缴纳相关税金</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未在中标所在地注册成立子公司的扣2分；无营业执照、税务登记证、法人代码证等相关证件的扣</w:t>
            </w:r>
            <w:r>
              <w:rPr>
                <w:rStyle w:val="49"/>
                <w:rFonts w:hint="default"/>
                <w:color w:val="auto"/>
                <w:sz w:val="21"/>
                <w:szCs w:val="21"/>
                <w:highlight w:val="none"/>
                <w:lang w:bidi="ar"/>
              </w:rPr>
              <w:t>1分,少一件扣1分；未在中标所在地开设银行帐号的扣1分；无缴纳相关税金的1分；扣完为止.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290"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3、在承包地域范围内设有固定的办公场所和独立管理办公室、员工宿舍和饭堂、停放作业车辆的停车场、摆放作业工具和药物的货仓等；配齐日常的办公用品和设备</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未在承包地域范围内设有管理办公室、员工宿舍和饭堂、停车场、作业工具和药物货仓等的扣2分；无配齐日常的办公用品和设备的扣</w:t>
            </w:r>
            <w:r>
              <w:rPr>
                <w:rStyle w:val="49"/>
                <w:rFonts w:hint="default"/>
                <w:color w:val="auto"/>
                <w:sz w:val="21"/>
                <w:szCs w:val="21"/>
                <w:highlight w:val="none"/>
                <w:lang w:bidi="ar"/>
              </w:rPr>
              <w:t>2分,少一件扣2分；扣完为止.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815"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4、有完善的管理架构，按统筹项目内容分别设立相应的管理部门，各部门、各岗位有明确分工和职责，建立相应职责分工表，及时更新并存档</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未全部按统筹项目内容分别设立相应的管理部门、各部门设立相应的岗位的扣</w:t>
            </w:r>
            <w:r>
              <w:rPr>
                <w:rStyle w:val="49"/>
                <w:rFonts w:hint="default"/>
                <w:color w:val="auto"/>
                <w:sz w:val="21"/>
                <w:szCs w:val="21"/>
                <w:highlight w:val="none"/>
                <w:lang w:bidi="ar"/>
              </w:rPr>
              <w:t>1分，存在部分的扣1分；各部门、各岗位全部未有明确分工和职责的扣1分，存在部分的扣1分；未及时更新存档的扣1分；扣完为止.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750"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5、管理架构图、分工表、管理制度挂墙</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管理架构图片、分工表、管理制度全部或部分无挂墙的扣0.</w:t>
            </w:r>
            <w:r>
              <w:rPr>
                <w:rStyle w:val="49"/>
                <w:rFonts w:hint="default"/>
                <w:color w:val="auto"/>
                <w:sz w:val="21"/>
                <w:szCs w:val="21"/>
                <w:highlight w:val="none"/>
                <w:lang w:bidi="ar"/>
              </w:rPr>
              <w:t>5分.</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260"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6、有完善的管理制度，除国家、省、市相应的法律法规和镇制订的地方政策外，还有结合自己实际情况制订的规范和制度并存档</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除了国家、省、市相应的法律法规和镇制订的地方政策外，无结合自己实际情况制定自己的管理制度并存档的少一个扣0</w:t>
            </w:r>
            <w:r>
              <w:rPr>
                <w:rStyle w:val="49"/>
                <w:rFonts w:hint="default"/>
                <w:color w:val="auto"/>
                <w:sz w:val="21"/>
                <w:szCs w:val="21"/>
                <w:highlight w:val="none"/>
                <w:lang w:bidi="ar"/>
              </w:rPr>
              <w:t>.5分；扣完为止.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545"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制订了工作应急预案，详细说明在出现自然灾害、社区突发事件或遇到重要活动、突击检查、交通事故等情况时的人员分工、应对措施及报送制度等。如遇到突发事件，接到通知后要在20分钟内所有人员全部到位，</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未制定工作应急预案的扣2分；如遇到突发事件等未按制度启动预案的扣</w:t>
            </w:r>
            <w:r>
              <w:rPr>
                <w:rStyle w:val="49"/>
                <w:rFonts w:hint="default"/>
                <w:color w:val="auto"/>
                <w:sz w:val="21"/>
                <w:szCs w:val="21"/>
                <w:highlight w:val="none"/>
                <w:lang w:bidi="ar"/>
              </w:rPr>
              <w:t>2分；接到通知后未在20分钟内所有人员全部到位的扣2分；无在规定时间内处理完的扣2分；扣完为止.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070"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办公场所、员工宿舍、饭堂和货仓等地方要落实防火措施，配足性能良好的消防器材；落实安全用电措施，不得乱拉、乱挂、乱接电线，不使用非生产性大功率的电器，不得超线路负载使用电器；不得存放易燃、易爆、剧毒等危险品，落实相关安全措施</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未在办公场所、员工宿舍、饭堂和货仓等地方落实相关安全措施，</w:t>
            </w:r>
            <w:r>
              <w:rPr>
                <w:rStyle w:val="49"/>
                <w:rFonts w:hint="default"/>
                <w:color w:val="auto"/>
                <w:sz w:val="21"/>
                <w:szCs w:val="21"/>
                <w:highlight w:val="none"/>
                <w:lang w:bidi="ar"/>
              </w:rPr>
              <w:t>配足消防器材的扣0.5分；未落实安全用电措施，存在乱拉、乱挂、乱接电线的扣0.5分；使用非生产性大功率的电器或超线路负载使用电器的扣0.5分；存放易燃、易爆、剧毒等危险品的扣0.5分；扣完为止.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145"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制订安全生产制度，定期对员工进行安全生产教育，落实责任制，落实有关安全措施；明晰各部门各岗位的安全作业规范，要求“安全第一，预防为主”，把安全工作作为搞好生产的前提条件，事先采取确实有效的安全措施，确保生产任务完成。发生安全生产事故的，要即时上报</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未制订安全生产制度的扣2分；</w:t>
            </w:r>
            <w:r>
              <w:rPr>
                <w:rStyle w:val="49"/>
                <w:rFonts w:hint="default"/>
                <w:color w:val="auto"/>
                <w:sz w:val="21"/>
                <w:szCs w:val="21"/>
                <w:highlight w:val="none"/>
                <w:lang w:bidi="ar"/>
              </w:rPr>
              <w:t>无定期对员工进行安全生产教育的扣2分；无落实安全生产责任制的扣2分；无落实有关安全措施的扣4分；无明晰各部门各岗位安全作业规范的扣4分；发生安全生产事故的无即时上报的扣2分；扣完为止.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115" w:hRule="atLeast"/>
        </w:trPr>
        <w:tc>
          <w:tcPr>
            <w:tcW w:w="5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一、管理架构和制度(40分)</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制订培训制度，详细说明培训对象、培训内容、具体要求，培训达到的效果等等。对新入职员工进行岗前培训的内容要包括业务技能、质量标准、操作规程、安全生产、文明行为规范、交通规则、劳动合同法、社会治安条例等；对在岗期间经常出现问题的员工定期举行再培训教育。对每次培训要进行工作记录</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未制订培训制度的扣1分,</w:t>
            </w:r>
            <w:r>
              <w:rPr>
                <w:rStyle w:val="49"/>
                <w:rFonts w:hint="default"/>
                <w:color w:val="auto"/>
                <w:sz w:val="21"/>
                <w:szCs w:val="21"/>
                <w:highlight w:val="none"/>
                <w:lang w:bidi="ar"/>
              </w:rPr>
              <w:t>对新入职员工未进行相关培训的扣1分；对在岗期间经常出现问题的员工无定期举行再培训教育的扣1分；每次培训无进行工作记录的一次扣1分；扣完为止.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145"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制订投诉处理制度，介定通过来访、来信、来电登记转办单或其他部门反映，报刊、电视、网络等媒体曝光，经共同现场核实的都为有效投诉，要求对接到投诉的时间、渠道，被投诉地点、原因，处理的过程、处理结果、回复时间等都有专人负责组织人员处理，并跟踪落实做好记录</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未制订投诉处理制度的扣1分；无按流程安排收到投诉立即处理按时回复的扣1</w:t>
            </w:r>
            <w:r>
              <w:rPr>
                <w:rStyle w:val="49"/>
                <w:rFonts w:hint="default"/>
                <w:color w:val="auto"/>
                <w:sz w:val="21"/>
                <w:szCs w:val="21"/>
                <w:highlight w:val="none"/>
                <w:lang w:bidi="ar"/>
              </w:rPr>
              <w:t>分；无设工作人员专职负责的扣1分；处理投诉后一段时间内无跟踪处理成果的扣1分；未做好相关记录的扣1分；扣完为止.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005"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12、各部门、各岗位、各项工作活动有相应的工作登记记录、图片证明，记录和图片存档</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各部门、各岗位、</w:t>
            </w:r>
            <w:r>
              <w:rPr>
                <w:rStyle w:val="49"/>
                <w:rFonts w:hint="default"/>
                <w:color w:val="auto"/>
                <w:sz w:val="21"/>
                <w:szCs w:val="21"/>
                <w:highlight w:val="none"/>
                <w:lang w:bidi="ar"/>
              </w:rPr>
              <w:t>各项工作活动无登记相应的工作记录、图片证明，记录和图片存档的少一项扣0.5分；扣完为止.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960"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13、填报资料真实、准确、无误，和报送资料一致</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填报的资料存在不真实、不准确情况的扣1分；和报送的资料不一致的一次扣1分；扣完为止.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945"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14、无条件服从监督部门的监管、质量检查、日检评分、依据扣分等工作</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不配合监督部门监管、质量检查、日检评分、依据扣分等工作的一次扣0.5分；扣完为止.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750"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15、无条件配合监督部门要求协助解决的各类问题</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不配合监督部门要求协助解决的各类问题的一次扣0.5分；扣完为止.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260" w:hRule="atLeast"/>
        </w:trPr>
        <w:tc>
          <w:tcPr>
            <w:tcW w:w="5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二、人员配备和资金保障(60分)</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1、岗们人员数量及相应的设施设备配备数量不少于《长安镇各社区环卫统筹人员设备清单》要求的至少配备数量</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岗们人员数量及相应的设施设备配备数量少天《长安镇各社区环卫统筹人员设备清单》要求的至少配备数量，少一人或少一台设备扣12分，扣完为止。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380"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2、生产工人一人一岗且只能服务天本中标区域指定范围，不能出现借用借调其他区域或与其他区域共用等现象</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生产工人一人一岗且只能服务</w:t>
            </w:r>
            <w:r>
              <w:rPr>
                <w:rStyle w:val="49"/>
                <w:rFonts w:hint="default"/>
                <w:color w:val="auto"/>
                <w:sz w:val="21"/>
                <w:szCs w:val="21"/>
                <w:highlight w:val="none"/>
                <w:lang w:bidi="ar"/>
              </w:rPr>
              <w:t>于本中标区域指定范围，出现借用借调其他区域或与其他区域共用等现象，发现一次扣0.5分,扣完为止.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515"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3、在各服务半径范围内的中转站设置人员打卡或清点人数设备，安装摄像头及承担相应安装费用和维护费用（相关打卡设备需符合甲方要求），各服务半径范围内的作业人员每天必须定点打卡</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在各服务半径范围内的中转站设置人员打卡或清点人数设备，安装摄像头及承担相应安装费用和维护费用，一个点扣1分，服务半径范围内的作业人员每天必须定点打卡，少一人扣</w:t>
            </w:r>
            <w:r>
              <w:rPr>
                <w:rStyle w:val="49"/>
                <w:rFonts w:hint="default"/>
                <w:color w:val="auto"/>
                <w:sz w:val="21"/>
                <w:szCs w:val="21"/>
                <w:highlight w:val="none"/>
                <w:lang w:bidi="ar"/>
              </w:rPr>
              <w:t>1分；扣完为止.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590"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4、按职能部门数量分别建立人员名册，名册上要登记入职人员的姓名、性别、身份证号码、本地住址、联系电话号码、职务、工号、工作职责和范围，每本人员名册都相应附上清晰身份证复印件</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未按职能部门数量分别建立人员名册的扣1分；名册上登记的项目不齐或人员漏登记的扣1分；扣完为止.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275" w:hRule="atLeast"/>
        </w:trPr>
        <w:tc>
          <w:tcPr>
            <w:tcW w:w="5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二、人员配备和资金保障(6分)</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5、明确部门分工，按部门职责确定岗位明确人员分工。分别建立部门职责分工表和岗位职责分工表，并注明每个部门、每个岗位的人员名单，做到定员定岗定责</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无建立部门职责分工表和岗位职责分工表的扣1分，</w:t>
            </w:r>
            <w:r>
              <w:rPr>
                <w:rStyle w:val="49"/>
                <w:rFonts w:hint="default"/>
                <w:color w:val="auto"/>
                <w:sz w:val="21"/>
                <w:szCs w:val="21"/>
                <w:highlight w:val="none"/>
                <w:lang w:bidi="ar"/>
              </w:rPr>
              <w:t>无注明每个部门、每个岗位的人员名单，做到定员定岗定责的扣1分，扣完为止。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230"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6、有专业技能的岗位必须持有有效证件上岗，即司机必须持有效的驾驶证上岗，电工必须持有效的电工证上岗</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专业技能的岗位人员不具有相应有效证件的，发现一个扣1分，扣完为止.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425"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7、路面作业人员人均配有一套以上有反光标识的统一工作服，标有服务社区名称、工号和投诉电话，并设有专人负责着装监督。</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路面作业人员无人均配有一套以上有反光标识的统一工作服，工作服无标有服务社区名称、工号和投诉电话的一个扣1分，</w:t>
            </w:r>
            <w:r>
              <w:rPr>
                <w:rStyle w:val="49"/>
                <w:rFonts w:hint="default"/>
                <w:color w:val="auto"/>
                <w:sz w:val="21"/>
                <w:szCs w:val="21"/>
                <w:highlight w:val="none"/>
                <w:lang w:bidi="ar"/>
              </w:rPr>
              <w:t>无设有专人负责着装监督的一个扣1分；扣完为止。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200"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8、严禁弄虚作假，严禁利用工作便利从事超出合同条款的违规行为。各作业部门设立质量监督员全程跟进作业质量，确保达到规范质量标准。</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出现弄虚作假和利用工作便利从事超出合同条款的违规行为的扣1分。各作业部门无设立质量监督员全程跟进作业质量的扣</w:t>
            </w:r>
            <w:r>
              <w:rPr>
                <w:rStyle w:val="49"/>
                <w:rFonts w:hint="default"/>
                <w:color w:val="auto"/>
                <w:sz w:val="21"/>
                <w:szCs w:val="21"/>
                <w:highlight w:val="none"/>
                <w:lang w:bidi="ar"/>
              </w:rPr>
              <w:t>1分，扣完为止。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290"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9、如实做好日常各项工作记录，各类调查、验收表格必须如实填写，各部门要有专人负责监督检查、定期将记录存档。</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无如实做好日常各项工作记录的扣1分，无将各类调查、验收表格如实填写的扣</w:t>
            </w:r>
            <w:r>
              <w:rPr>
                <w:rStyle w:val="49"/>
                <w:rFonts w:hint="default"/>
                <w:color w:val="auto"/>
                <w:sz w:val="21"/>
                <w:szCs w:val="21"/>
                <w:highlight w:val="none"/>
                <w:lang w:bidi="ar"/>
              </w:rPr>
              <w:t>1分，各部门无专人负责监督检查、定期将记录存档的扣1分，扣完为止。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995"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按法律法规和员工签订雇用合同，按劳动法规向工人发放工资、加班费、高温补贴；按时支付员工工资和有关福利待遇；为员工购买社会养老、工伤、医疗、失业、意外等相关保险，为环卫工人、外勤人员投保团体意外保险。</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未按法律法规和员工签定雇佣合同的扣1分；未按劳动法规向工人发放工资、加班费、高温补贴、无按时支付员工工资和有关福利待遇的扣</w:t>
            </w:r>
            <w:r>
              <w:rPr>
                <w:rStyle w:val="49"/>
                <w:rFonts w:hint="default"/>
                <w:color w:val="auto"/>
                <w:sz w:val="21"/>
                <w:szCs w:val="21"/>
                <w:highlight w:val="none"/>
                <w:lang w:bidi="ar"/>
              </w:rPr>
              <w:t>1分；无为员工购买社会养老、工伤、医疗、失业、意外等相关保险，无为环卫工人、外勤人员投保团体意外保险的扣1分；扣完为止.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005"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11、交齐了履约保证金，在规定期限内及时补足保障资金</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未交齐了履约保证金的扣5分，在规定期限内未及时补足保障资金的扣5分；扣完为止.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90" w:hRule="atLeast"/>
        </w:trPr>
        <w:tc>
          <w:tcPr>
            <w:tcW w:w="40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合  计</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90" w:hRule="atLeast"/>
        </w:trPr>
        <w:tc>
          <w:tcPr>
            <w:tcW w:w="85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合计总得分（  ）＝总分（ 100 ）－合计总扣分（  ）</w:t>
            </w:r>
          </w:p>
        </w:tc>
      </w:tr>
      <w:tr>
        <w:tblPrEx>
          <w:tblCellMar>
            <w:top w:w="0" w:type="dxa"/>
            <w:left w:w="108" w:type="dxa"/>
            <w:bottom w:w="0" w:type="dxa"/>
            <w:right w:w="108" w:type="dxa"/>
          </w:tblCellMar>
        </w:tblPrEx>
        <w:trPr>
          <w:trHeight w:val="480" w:hRule="atLeast"/>
        </w:trPr>
        <w:tc>
          <w:tcPr>
            <w:tcW w:w="29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9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49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4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60" w:hRule="atLeast"/>
        </w:trPr>
        <w:tc>
          <w:tcPr>
            <w:tcW w:w="4081" w:type="dxa"/>
            <w:gridSpan w:val="3"/>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494" w:type="dxa"/>
            <w:gridSpan w:val="3"/>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570" w:hRule="atLeast"/>
        </w:trPr>
        <w:tc>
          <w:tcPr>
            <w:tcW w:w="29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9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49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4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65" w:hRule="atLeast"/>
        </w:trPr>
        <w:tc>
          <w:tcPr>
            <w:tcW w:w="4081" w:type="dxa"/>
            <w:gridSpan w:val="3"/>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社区环境办检查人员签名:</w:t>
            </w:r>
          </w:p>
        </w:tc>
        <w:tc>
          <w:tcPr>
            <w:tcW w:w="4494" w:type="dxa"/>
            <w:gridSpan w:val="3"/>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社区环境办负责人签名(盖章):</w:t>
            </w:r>
          </w:p>
        </w:tc>
      </w:tr>
      <w:tr>
        <w:tblPrEx>
          <w:tblCellMar>
            <w:top w:w="0" w:type="dxa"/>
            <w:left w:w="108" w:type="dxa"/>
            <w:bottom w:w="0" w:type="dxa"/>
            <w:right w:w="108" w:type="dxa"/>
          </w:tblCellMar>
        </w:tblPrEx>
        <w:trPr>
          <w:trHeight w:val="555" w:hRule="atLeast"/>
        </w:trPr>
        <w:tc>
          <w:tcPr>
            <w:tcW w:w="29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9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49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4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810" w:hRule="atLeast"/>
        </w:trPr>
        <w:tc>
          <w:tcPr>
            <w:tcW w:w="4081" w:type="dxa"/>
            <w:gridSpan w:val="3"/>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市场化公司陪检人员签名:</w:t>
            </w:r>
          </w:p>
        </w:tc>
        <w:tc>
          <w:tcPr>
            <w:tcW w:w="4494" w:type="dxa"/>
            <w:gridSpan w:val="3"/>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市场化公司负责人签名(盖章):</w:t>
            </w:r>
          </w:p>
        </w:tc>
      </w:tr>
    </w:tbl>
    <w:p>
      <w:pPr>
        <w:rPr>
          <w:color w:val="auto"/>
          <w:highlight w:val="none"/>
        </w:rPr>
      </w:pPr>
    </w:p>
    <w:p>
      <w:pPr>
        <w:pStyle w:val="3"/>
        <w:pageBreakBefore/>
        <w:rPr>
          <w:rFonts w:hAnsi="宋体" w:cs="宋体"/>
          <w:color w:val="auto"/>
          <w:sz w:val="24"/>
          <w:highlight w:val="none"/>
        </w:rPr>
      </w:pPr>
      <w:bookmarkStart w:id="144" w:name="_Toc152951862"/>
      <w:r>
        <w:rPr>
          <w:rFonts w:hint="eastAsia" w:hAnsi="宋体" w:cs="宋体"/>
          <w:color w:val="auto"/>
          <w:sz w:val="24"/>
          <w:highlight w:val="none"/>
        </w:rPr>
        <w:t>附件：3、长安镇</w:t>
      </w:r>
      <w:r>
        <w:rPr>
          <w:rFonts w:hint="eastAsia" w:hAnsi="宋体" w:cs="宋体"/>
          <w:color w:val="auto"/>
          <w:sz w:val="24"/>
          <w:highlight w:val="none"/>
          <w:lang w:eastAsia="zh-CN"/>
        </w:rPr>
        <w:t>新民</w:t>
      </w:r>
      <w:r>
        <w:rPr>
          <w:rFonts w:hint="eastAsia" w:hAnsi="宋体" w:cs="宋体"/>
          <w:color w:val="auto"/>
          <w:sz w:val="24"/>
          <w:highlight w:val="none"/>
        </w:rPr>
        <w:t>社区环卫设施设备车辆配备评分表（半月检）</w:t>
      </w:r>
      <w:bookmarkEnd w:id="144"/>
    </w:p>
    <w:tbl>
      <w:tblPr>
        <w:tblStyle w:val="18"/>
        <w:tblW w:w="8613" w:type="dxa"/>
        <w:tblInd w:w="0" w:type="dxa"/>
        <w:tblLayout w:type="fixed"/>
        <w:tblCellMar>
          <w:top w:w="0" w:type="dxa"/>
          <w:left w:w="108" w:type="dxa"/>
          <w:bottom w:w="0" w:type="dxa"/>
          <w:right w:w="108" w:type="dxa"/>
        </w:tblCellMar>
      </w:tblPr>
      <w:tblGrid>
        <w:gridCol w:w="579"/>
        <w:gridCol w:w="236"/>
        <w:gridCol w:w="3564"/>
        <w:gridCol w:w="3388"/>
        <w:gridCol w:w="423"/>
        <w:gridCol w:w="423"/>
      </w:tblGrid>
      <w:tr>
        <w:tblPrEx>
          <w:tblCellMar>
            <w:top w:w="0" w:type="dxa"/>
            <w:left w:w="108" w:type="dxa"/>
            <w:bottom w:w="0" w:type="dxa"/>
            <w:right w:w="108" w:type="dxa"/>
          </w:tblCellMar>
        </w:tblPrEx>
        <w:trPr>
          <w:trHeight w:val="465" w:hRule="atLeast"/>
        </w:trPr>
        <w:tc>
          <w:tcPr>
            <w:tcW w:w="581" w:type="dxa"/>
            <w:tcBorders>
              <w:top w:val="nil"/>
              <w:left w:val="nil"/>
              <w:bottom w:val="nil"/>
              <w:right w:val="nil"/>
            </w:tcBorders>
            <w:shd w:val="clear" w:color="auto" w:fill="auto"/>
            <w:noWrap/>
            <w:vAlign w:val="center"/>
          </w:tcPr>
          <w:p>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表3</w:t>
            </w:r>
          </w:p>
        </w:tc>
        <w:tc>
          <w:tcPr>
            <w:tcW w:w="222" w:type="dxa"/>
            <w:tcBorders>
              <w:top w:val="nil"/>
              <w:left w:val="nil"/>
              <w:bottom w:val="nil"/>
              <w:right w:val="nil"/>
            </w:tcBorders>
            <w:shd w:val="clear" w:color="auto" w:fill="auto"/>
            <w:noWrap/>
            <w:vAlign w:val="center"/>
          </w:tcPr>
          <w:p>
            <w:pPr>
              <w:rPr>
                <w:rFonts w:ascii="宋体" w:hAnsi="宋体" w:cs="宋体"/>
                <w:b/>
                <w:bCs/>
                <w:color w:val="auto"/>
                <w:szCs w:val="21"/>
                <w:highlight w:val="none"/>
              </w:rPr>
            </w:pPr>
          </w:p>
        </w:tc>
        <w:tc>
          <w:tcPr>
            <w:tcW w:w="7810" w:type="dxa"/>
            <w:gridSpan w:val="4"/>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长安镇</w:t>
            </w:r>
            <w:r>
              <w:rPr>
                <w:rFonts w:hint="eastAsia" w:ascii="宋体" w:hAnsi="宋体" w:cs="宋体"/>
                <w:b/>
                <w:bCs/>
                <w:color w:val="auto"/>
                <w:kern w:val="0"/>
                <w:szCs w:val="21"/>
                <w:highlight w:val="none"/>
                <w:u w:val="single"/>
                <w:lang w:eastAsia="zh-CN" w:bidi="ar"/>
              </w:rPr>
              <w:t>新民</w:t>
            </w:r>
            <w:r>
              <w:rPr>
                <w:rFonts w:hint="eastAsia" w:ascii="宋体" w:hAnsi="宋体" w:cs="宋体"/>
                <w:b/>
                <w:bCs/>
                <w:color w:val="auto"/>
                <w:kern w:val="0"/>
                <w:szCs w:val="21"/>
                <w:highlight w:val="none"/>
                <w:lang w:bidi="ar"/>
              </w:rPr>
              <w:t>社区环卫设施设备车辆配备评分表(半月检)</w:t>
            </w:r>
          </w:p>
        </w:tc>
      </w:tr>
      <w:tr>
        <w:tblPrEx>
          <w:tblCellMar>
            <w:top w:w="0" w:type="dxa"/>
            <w:left w:w="108" w:type="dxa"/>
            <w:bottom w:w="0" w:type="dxa"/>
            <w:right w:w="108" w:type="dxa"/>
          </w:tblCellMar>
        </w:tblPrEx>
        <w:trPr>
          <w:trHeight w:val="345" w:hRule="atLeast"/>
        </w:trPr>
        <w:tc>
          <w:tcPr>
            <w:tcW w:w="4373" w:type="dxa"/>
            <w:gridSpan w:val="3"/>
            <w:tcBorders>
              <w:top w:val="nil"/>
              <w:left w:val="nil"/>
              <w:bottom w:val="nil"/>
              <w:right w:val="nil"/>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总分:100分,得分:</w:t>
            </w:r>
          </w:p>
        </w:tc>
        <w:tc>
          <w:tcPr>
            <w:tcW w:w="4240" w:type="dxa"/>
            <w:gridSpan w:val="3"/>
            <w:tcBorders>
              <w:top w:val="nil"/>
              <w:left w:val="nil"/>
              <w:bottom w:val="nil"/>
              <w:right w:val="nil"/>
            </w:tcBorders>
            <w:shd w:val="clear" w:color="auto" w:fill="auto"/>
            <w:vAlign w:val="center"/>
          </w:tcPr>
          <w:p>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评分时间:     年  月   日</w:t>
            </w:r>
          </w:p>
        </w:tc>
      </w:tr>
      <w:tr>
        <w:tblPrEx>
          <w:tblCellMar>
            <w:top w:w="0" w:type="dxa"/>
            <w:left w:w="108" w:type="dxa"/>
            <w:bottom w:w="0" w:type="dxa"/>
            <w:right w:w="108" w:type="dxa"/>
          </w:tblCellMar>
        </w:tblPrEx>
        <w:trPr>
          <w:trHeight w:val="720" w:hRule="atLeast"/>
        </w:trPr>
        <w:tc>
          <w:tcPr>
            <w:tcW w:w="43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现场考核</w:t>
            </w:r>
          </w:p>
        </w:tc>
        <w:tc>
          <w:tcPr>
            <w:tcW w:w="33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扣分办法(检查资料证明)</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应得分</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检查扣分</w:t>
            </w:r>
          </w:p>
        </w:tc>
      </w:tr>
      <w:tr>
        <w:tblPrEx>
          <w:tblCellMar>
            <w:top w:w="0" w:type="dxa"/>
            <w:left w:w="108" w:type="dxa"/>
            <w:bottom w:w="0" w:type="dxa"/>
            <w:right w:w="108" w:type="dxa"/>
          </w:tblCellMar>
        </w:tblPrEx>
        <w:trPr>
          <w:trHeight w:val="465" w:hRule="atLeast"/>
        </w:trPr>
        <w:tc>
          <w:tcPr>
            <w:tcW w:w="8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项目内容</w:t>
            </w:r>
          </w:p>
        </w:tc>
        <w:tc>
          <w:tcPr>
            <w:tcW w:w="3570" w:type="dxa"/>
            <w:tcBorders>
              <w:top w:val="single" w:color="000000" w:sz="4" w:space="0"/>
              <w:left w:val="single" w:color="000000" w:sz="4" w:space="0"/>
              <w:bottom w:val="nil"/>
              <w:right w:val="single" w:color="000000" w:sz="4" w:space="0"/>
            </w:tcBorders>
            <w:shd w:val="clear" w:color="auto" w:fill="auto"/>
            <w:noWrap/>
            <w:vAlign w:val="bottom"/>
          </w:tcPr>
          <w:p>
            <w:pPr>
              <w:widowControl/>
              <w:jc w:val="center"/>
              <w:textAlignment w:val="bottom"/>
              <w:rPr>
                <w:rFonts w:ascii="宋体" w:hAnsi="宋体" w:cs="宋体"/>
                <w:color w:val="auto"/>
                <w:szCs w:val="21"/>
                <w:highlight w:val="none"/>
              </w:rPr>
            </w:pPr>
            <w:r>
              <w:rPr>
                <w:rFonts w:hint="eastAsia" w:ascii="宋体" w:hAnsi="宋体" w:cs="宋体"/>
                <w:color w:val="auto"/>
                <w:kern w:val="0"/>
                <w:szCs w:val="21"/>
                <w:highlight w:val="none"/>
                <w:lang w:bidi="ar"/>
              </w:rPr>
              <w:t>考核标准和依据</w:t>
            </w:r>
          </w:p>
        </w:tc>
        <w:tc>
          <w:tcPr>
            <w:tcW w:w="33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8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357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(出现以下未提及事项均参照合同依据的法律法规和办法)</w:t>
            </w:r>
          </w:p>
        </w:tc>
        <w:tc>
          <w:tcPr>
            <w:tcW w:w="33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62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设施设备车辆配备情况</w:t>
            </w:r>
          </w:p>
        </w:tc>
        <w:tc>
          <w:tcPr>
            <w:tcW w:w="222" w:type="dxa"/>
            <w:tcBorders>
              <w:top w:val="single" w:color="000000" w:sz="4" w:space="0"/>
              <w:left w:val="nil"/>
              <w:bottom w:val="nil"/>
              <w:right w:val="single" w:color="000000" w:sz="4" w:space="0"/>
            </w:tcBorders>
            <w:shd w:val="clear" w:color="auto" w:fill="auto"/>
            <w:textDirection w:val="tbRlV"/>
            <w:vAlign w:val="center"/>
          </w:tcPr>
          <w:p>
            <w:pPr>
              <w:rPr>
                <w:rFonts w:ascii="宋体" w:hAnsi="宋体" w:cs="宋体"/>
                <w:b/>
                <w:bCs/>
                <w:color w:val="auto"/>
                <w:szCs w:val="21"/>
                <w:highlight w:val="none"/>
              </w:rPr>
            </w:pPr>
          </w:p>
        </w:tc>
        <w:tc>
          <w:tcPr>
            <w:tcW w:w="3570" w:type="dxa"/>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1、各部门各岗位使用的办工设备、作业工具、环卫车辆、药物等设施设备要配备足够，车辆和相关设备的配备数以现有数为参考且不少于现有数，能满足相应的作业需求，确保相应的工作质量</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检查登记资料及现场情况，办工设备、作业工具、环卫车辆、药物等设施设备全部未配备足够的扣10分,每缺少一件设施设备设的扣2分；扣完为止.</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02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222" w:type="dxa"/>
            <w:tcBorders>
              <w:top w:val="nil"/>
              <w:left w:val="nil"/>
              <w:bottom w:val="nil"/>
              <w:right w:val="single" w:color="000000" w:sz="4" w:space="0"/>
            </w:tcBorders>
            <w:shd w:val="clear" w:color="auto" w:fill="auto"/>
            <w:textDirection w:val="tbRlV"/>
            <w:vAlign w:val="center"/>
          </w:tcPr>
          <w:p>
            <w:pPr>
              <w:rPr>
                <w:rFonts w:ascii="宋体" w:hAnsi="宋体" w:cs="宋体"/>
                <w:b/>
                <w:bCs/>
                <w:color w:val="auto"/>
                <w:szCs w:val="21"/>
                <w:highlight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2、所有设施设备的配置不得低于标书所列明的标准</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已购买的施设备的配置低于标书所列明的标准的发现一种设施或设备的扣2分；扣完为止。</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515"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222" w:type="dxa"/>
            <w:tcBorders>
              <w:top w:val="nil"/>
              <w:left w:val="nil"/>
              <w:bottom w:val="nil"/>
              <w:right w:val="single" w:color="000000" w:sz="4" w:space="0"/>
            </w:tcBorders>
            <w:shd w:val="clear" w:color="auto" w:fill="auto"/>
            <w:textDirection w:val="tbRlV"/>
            <w:vAlign w:val="center"/>
          </w:tcPr>
          <w:p>
            <w:pPr>
              <w:rPr>
                <w:rFonts w:ascii="宋体" w:hAnsi="宋体" w:cs="宋体"/>
                <w:b/>
                <w:bCs/>
                <w:color w:val="auto"/>
                <w:szCs w:val="21"/>
                <w:highlight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3、设施设备是全新购买，以中标日期后购买的设施设备为有效；环卫车辆等设备登记的所有人和地址是在东莞市长安镇注册成立的子公司名称和地址</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检查相关证明资料，存在全部或部分设施设备不是全新购买的扣2分；不是中标日期后购买的扣2分；环卫车辆等设备登记的所有人和地址不是在东莞市长安镇注册成立的子公司名称和地址的扣5分；扣完为止.</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29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222" w:type="dxa"/>
            <w:tcBorders>
              <w:top w:val="nil"/>
              <w:left w:val="nil"/>
              <w:bottom w:val="nil"/>
              <w:right w:val="single" w:color="000000" w:sz="4" w:space="0"/>
            </w:tcBorders>
            <w:shd w:val="clear" w:color="auto" w:fill="auto"/>
            <w:textDirection w:val="tbRlV"/>
            <w:vAlign w:val="center"/>
          </w:tcPr>
          <w:p>
            <w:pPr>
              <w:rPr>
                <w:rFonts w:ascii="宋体" w:hAnsi="宋体" w:cs="宋体"/>
                <w:b/>
                <w:bCs/>
                <w:color w:val="auto"/>
                <w:szCs w:val="21"/>
                <w:highlight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4、标书配备的设施设备只服务于本中标区域指定范围，不能借用借调给中标区域外的其他区域或与中标区域外的其他区域共用</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存在全部或部分的设施设备不是服务于本中标区域指定范围的扣10分；借用借调给中标区域外的其他区域或与中标区域外的其他区域共用的扣10分；扣完为止.</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55"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222" w:type="dxa"/>
            <w:tcBorders>
              <w:top w:val="nil"/>
              <w:left w:val="nil"/>
              <w:bottom w:val="nil"/>
              <w:right w:val="single" w:color="000000" w:sz="4" w:space="0"/>
            </w:tcBorders>
            <w:shd w:val="clear" w:color="auto" w:fill="auto"/>
            <w:textDirection w:val="tbRlV"/>
            <w:vAlign w:val="center"/>
          </w:tcPr>
          <w:p>
            <w:pPr>
              <w:rPr>
                <w:rFonts w:ascii="宋体" w:hAnsi="宋体" w:cs="宋体"/>
                <w:b/>
                <w:bCs/>
                <w:color w:val="auto"/>
                <w:szCs w:val="21"/>
                <w:highlight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定期召开车辆安全例会,落实《环卫车辆驾驶员安全管理制度》,做到"管理有规范,维护有周期,检查有标准,安全有体系",坚持每周对车辆的紧固、润滑、卫生、电器等进行检查,发现隐患及时进行修理，每天作业完毕在设定的地点对车辆进行清洗干净和检查，确保明天的正常使用；并登记相关检查清洗记录</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没有定期召开车辆安全例会的扣1分,每天作业完毕没有在设定的地点对车辆进行清洗干净和检查的扣2分,无登记相关检查清洗记录的扣2分；扣完为止.</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305"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222" w:type="dxa"/>
            <w:tcBorders>
              <w:top w:val="nil"/>
              <w:left w:val="nil"/>
              <w:bottom w:val="nil"/>
              <w:right w:val="single" w:color="000000" w:sz="4" w:space="0"/>
            </w:tcBorders>
            <w:shd w:val="clear" w:color="auto" w:fill="auto"/>
            <w:textDirection w:val="tbRlV"/>
            <w:vAlign w:val="center"/>
          </w:tcPr>
          <w:p>
            <w:pPr>
              <w:rPr>
                <w:rFonts w:ascii="宋体" w:hAnsi="宋体" w:cs="宋体"/>
                <w:b/>
                <w:bCs/>
                <w:color w:val="auto"/>
                <w:szCs w:val="21"/>
                <w:highlight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6、每月至少一次组织司机学习《道路交通管理法》，强化安全意识，利用电视录像，典型事故案例分析或请交警同志讲课等形式，对驾驶员进行教育；并登记相关记录</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没有每月组织司机学习,强化安全意识的扣1分；没有登记学习内容、参加人员等相关资料的每次扣1分；扣完为止.</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98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222" w:type="dxa"/>
            <w:tcBorders>
              <w:top w:val="nil"/>
              <w:left w:val="nil"/>
              <w:bottom w:val="nil"/>
              <w:right w:val="single" w:color="000000" w:sz="4" w:space="0"/>
            </w:tcBorders>
            <w:shd w:val="clear" w:color="auto" w:fill="auto"/>
            <w:textDirection w:val="tbRlV"/>
            <w:vAlign w:val="center"/>
          </w:tcPr>
          <w:p>
            <w:pPr>
              <w:rPr>
                <w:rFonts w:ascii="宋体" w:hAnsi="宋体" w:cs="宋体"/>
                <w:b/>
                <w:bCs/>
                <w:color w:val="auto"/>
                <w:szCs w:val="21"/>
                <w:highlight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7、所有车辆行驶必须严格遵守交通规则，按标准要求贴上荧光标识；车身标明社区名称、车（压缩箱）编号、投诉电话及宣传标语，没报批存档的车辆不得使用</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车辆登记资料及图册，车辆存在违反交通规则情况的一车扣1分；没有按标准要求贴上荧光标识的一车扣1分；车身没有标明社区名称、车（压缩箱）编号、投诉电话及宣传标语的一车扣1分；使用没有报批车辆的一车扣1分；扣完为止.</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025"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222" w:type="dxa"/>
            <w:tcBorders>
              <w:top w:val="nil"/>
              <w:left w:val="nil"/>
              <w:bottom w:val="nil"/>
              <w:right w:val="single" w:color="000000" w:sz="4" w:space="0"/>
            </w:tcBorders>
            <w:shd w:val="clear" w:color="auto" w:fill="auto"/>
            <w:textDirection w:val="tbRlV"/>
            <w:vAlign w:val="center"/>
          </w:tcPr>
          <w:p>
            <w:pPr>
              <w:rPr>
                <w:rFonts w:ascii="宋体" w:hAnsi="宋体" w:cs="宋体"/>
                <w:b/>
                <w:bCs/>
                <w:color w:val="auto"/>
                <w:szCs w:val="21"/>
                <w:highlight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所有车辆密闭性良好，车身无脏物、无污水滴漏、、车容整洁、车况良好;车身无破损、锈迹，定期检修刷漆翻新，有胶条封边的手推车及三轮车至少三个月更换胶条一次，垃圾运输车至少半年更换胶条一次，扫路车等其他车辆至少一年更换胶条一次。以上内容要有相关记录</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车辆外观及资料，发现车身附有脏物、车容不整洁、密闭性差、散发臭味、污水滴漏等情况的一辆车扣5分；车况差、车身破损、有锈迹、无定期检修刷漆翻新无相关记录的一次扣5分，各类车辆无按要求定期更换接口胶条并无相关记录的一次扣5分；扣完为止.</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20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设备车辆配备情况</w:t>
            </w:r>
          </w:p>
        </w:tc>
        <w:tc>
          <w:tcPr>
            <w:tcW w:w="222" w:type="dxa"/>
            <w:tcBorders>
              <w:top w:val="nil"/>
              <w:left w:val="nil"/>
              <w:bottom w:val="nil"/>
              <w:right w:val="single" w:color="000000" w:sz="4" w:space="0"/>
            </w:tcBorders>
            <w:shd w:val="clear" w:color="auto" w:fill="auto"/>
            <w:textDirection w:val="tbRlV"/>
            <w:vAlign w:val="center"/>
          </w:tcPr>
          <w:p>
            <w:pPr>
              <w:rPr>
                <w:rFonts w:ascii="宋体" w:hAnsi="宋体" w:cs="宋体"/>
                <w:b/>
                <w:bCs/>
                <w:color w:val="auto"/>
                <w:szCs w:val="21"/>
                <w:highlight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9、所有机动车辆安装GPS定位跟踪动态监控系统，与联网系统接轨；在中标地域范围内按指定路线行驶</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存在全部或部分车辆没有安装GPS定位跟踪动态监控系统的扣3分；没有在中标地域范围内按指定路线行驶的扣2分；扣完为止.</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35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222" w:type="dxa"/>
            <w:tcBorders>
              <w:top w:val="nil"/>
              <w:left w:val="nil"/>
              <w:bottom w:val="nil"/>
              <w:right w:val="single" w:color="000000" w:sz="4" w:space="0"/>
            </w:tcBorders>
            <w:shd w:val="clear" w:color="auto" w:fill="auto"/>
            <w:textDirection w:val="tbRlV"/>
            <w:vAlign w:val="center"/>
          </w:tcPr>
          <w:p>
            <w:pPr>
              <w:rPr>
                <w:rFonts w:ascii="宋体" w:hAnsi="宋体" w:cs="宋体"/>
                <w:b/>
                <w:bCs/>
                <w:color w:val="auto"/>
                <w:szCs w:val="21"/>
                <w:highlight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10、对所有进入镇垃圾转运站倾倒垃圾的垃圾运输车辆安装入站IC卡（一个车牌号码对应一张IC卡），未取得核发IC卡的车辆不允许进入站内</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存在全部或部分进入镇垃圾转运站的垃圾运输车辆没有安装入站IC卡的扣5分；未取得核发IC卡的车辆未经审批闯入站内的扣5分；扣完为止.</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305"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222" w:type="dxa"/>
            <w:tcBorders>
              <w:top w:val="nil"/>
              <w:left w:val="nil"/>
              <w:bottom w:val="nil"/>
              <w:right w:val="single" w:color="000000" w:sz="4" w:space="0"/>
            </w:tcBorders>
            <w:shd w:val="clear" w:color="auto" w:fill="auto"/>
            <w:textDirection w:val="tbRlV"/>
            <w:vAlign w:val="center"/>
          </w:tcPr>
          <w:p>
            <w:pPr>
              <w:rPr>
                <w:rFonts w:ascii="宋体" w:hAnsi="宋体" w:cs="宋体"/>
                <w:b/>
                <w:bCs/>
                <w:color w:val="auto"/>
                <w:szCs w:val="21"/>
                <w:highlight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11、垃圾称磅单设专人统一收集，次日及时送社区指定人员留存，协助镇和社区做好垃圾清运管理工作，在规定时间内完成垃圾量数据核对工作</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没设专人统一收集垃圾称磅单的扣2分；次日没有及时送社区指定人员留存，影响社区没在规定时间内完成垃圾量数据核对的扣5分；扣完为止.</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245"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222" w:type="dxa"/>
            <w:tcBorders>
              <w:top w:val="nil"/>
              <w:left w:val="nil"/>
              <w:bottom w:val="nil"/>
              <w:right w:val="single" w:color="000000" w:sz="4" w:space="0"/>
            </w:tcBorders>
            <w:shd w:val="clear" w:color="auto" w:fill="auto"/>
            <w:textDirection w:val="tbRlV"/>
            <w:vAlign w:val="center"/>
          </w:tcPr>
          <w:p>
            <w:pPr>
              <w:rPr>
                <w:rFonts w:ascii="宋体" w:hAnsi="宋体" w:cs="宋体"/>
                <w:b/>
                <w:bCs/>
                <w:color w:val="auto"/>
                <w:szCs w:val="21"/>
                <w:highlight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12、做好车辆备案，按职能部门分别设立环卫设施设备资产登记本，按要求拍照存档，设专人管理</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没有做好车辆备案的扣2分；没有按职能部门分别设立环卫设施设备资产登记本的扣2分，没有设专人管理的扣2分；扣完为止.</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945"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222" w:type="dxa"/>
            <w:tcBorders>
              <w:top w:val="nil"/>
              <w:left w:val="nil"/>
              <w:bottom w:val="nil"/>
              <w:right w:val="single" w:color="000000" w:sz="4" w:space="0"/>
            </w:tcBorders>
            <w:shd w:val="clear" w:color="auto" w:fill="auto"/>
            <w:textDirection w:val="tbRlV"/>
            <w:vAlign w:val="center"/>
          </w:tcPr>
          <w:p>
            <w:pPr>
              <w:rPr>
                <w:rFonts w:ascii="宋体" w:hAnsi="宋体" w:cs="宋体"/>
                <w:b/>
                <w:bCs/>
                <w:color w:val="auto"/>
                <w:szCs w:val="21"/>
                <w:highlight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13、环卫机动车辆要证照齐全，按期办理保险、年审缴费等相关手续</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环卫机动车辆要证照不全的扣2分；没有按期办理保险、年审缴费等相关手续的扣2分；扣完为止.</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915"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222" w:type="dxa"/>
            <w:tcBorders>
              <w:top w:val="nil"/>
              <w:left w:val="nil"/>
              <w:bottom w:val="nil"/>
              <w:right w:val="single" w:color="000000" w:sz="4" w:space="0"/>
            </w:tcBorders>
            <w:shd w:val="clear" w:color="auto" w:fill="auto"/>
            <w:textDirection w:val="tbRlV"/>
            <w:vAlign w:val="center"/>
          </w:tcPr>
          <w:p>
            <w:pPr>
              <w:rPr>
                <w:rFonts w:ascii="宋体" w:hAnsi="宋体" w:cs="宋体"/>
                <w:b/>
                <w:bCs/>
                <w:color w:val="auto"/>
                <w:szCs w:val="21"/>
                <w:highlight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14、上门收集、清运垃圾要按指定用户名单、上门收集次数、指定桶数收集、并按指定运输路线行驶</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上门收集、清运垃圾没有按指定用户名单、上门收集次数、指定桶数收集、无按指定运输路线行驶的发现一次扣2分，扣完为止.</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305"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222" w:type="dxa"/>
            <w:tcBorders>
              <w:top w:val="nil"/>
              <w:left w:val="nil"/>
              <w:bottom w:val="nil"/>
              <w:right w:val="single" w:color="000000" w:sz="4" w:space="0"/>
            </w:tcBorders>
            <w:shd w:val="clear" w:color="auto" w:fill="auto"/>
            <w:textDirection w:val="tbRlV"/>
            <w:vAlign w:val="center"/>
          </w:tcPr>
          <w:p>
            <w:pPr>
              <w:rPr>
                <w:rFonts w:ascii="宋体" w:hAnsi="宋体" w:cs="宋体"/>
                <w:b/>
                <w:bCs/>
                <w:color w:val="auto"/>
                <w:szCs w:val="21"/>
                <w:highlight w:val="none"/>
              </w:rPr>
            </w:pPr>
          </w:p>
        </w:tc>
        <w:tc>
          <w:tcPr>
            <w:tcW w:w="3570"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15、垃圾桶、果皮箱等设备的数量不变（以移交数量为准），从承包后第二年开始每年更新数量不少于移交数量的20%，完好率不得低于98%，有相关的清洁工作记录</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垃圾桶、果皮箱数量每减少一只扣1分；无按时间要求及时更新的扣1分，完好率低于98%的扣1分,无清洁记录的少一次扣1分；扣完为止.</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3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合  计</w:t>
            </w:r>
          </w:p>
        </w:tc>
        <w:tc>
          <w:tcPr>
            <w:tcW w:w="3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6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合计总得分（   ）＝总分（ 100 ）－合计总扣分（   ）</w:t>
            </w:r>
          </w:p>
        </w:tc>
      </w:tr>
      <w:tr>
        <w:tblPrEx>
          <w:tblCellMar>
            <w:top w:w="0" w:type="dxa"/>
            <w:left w:w="108" w:type="dxa"/>
            <w:bottom w:w="0" w:type="dxa"/>
            <w:right w:w="108" w:type="dxa"/>
          </w:tblCellMar>
        </w:tblPrEx>
        <w:trPr>
          <w:trHeight w:val="510" w:hRule="atLeast"/>
        </w:trPr>
        <w:tc>
          <w:tcPr>
            <w:tcW w:w="58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2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57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3"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3"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810" w:hRule="atLeast"/>
        </w:trPr>
        <w:tc>
          <w:tcPr>
            <w:tcW w:w="58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2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57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3"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3"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4373" w:type="dxa"/>
            <w:gridSpan w:val="3"/>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社区环境办检查人员签名:</w:t>
            </w:r>
          </w:p>
        </w:tc>
        <w:tc>
          <w:tcPr>
            <w:tcW w:w="4240" w:type="dxa"/>
            <w:gridSpan w:val="3"/>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社区环境办负责人签名(盖章):</w:t>
            </w:r>
          </w:p>
        </w:tc>
      </w:tr>
      <w:tr>
        <w:tblPrEx>
          <w:tblCellMar>
            <w:top w:w="0" w:type="dxa"/>
            <w:left w:w="108" w:type="dxa"/>
            <w:bottom w:w="0" w:type="dxa"/>
            <w:right w:w="108" w:type="dxa"/>
          </w:tblCellMar>
        </w:tblPrEx>
        <w:trPr>
          <w:trHeight w:val="885" w:hRule="atLeast"/>
        </w:trPr>
        <w:tc>
          <w:tcPr>
            <w:tcW w:w="58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2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57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3"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3"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05" w:hRule="atLeast"/>
        </w:trPr>
        <w:tc>
          <w:tcPr>
            <w:tcW w:w="4373" w:type="dxa"/>
            <w:gridSpan w:val="3"/>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市场化公司陪检人员签名:</w:t>
            </w:r>
          </w:p>
        </w:tc>
        <w:tc>
          <w:tcPr>
            <w:tcW w:w="4240" w:type="dxa"/>
            <w:gridSpan w:val="3"/>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市场化公司负责人签名(盖章):</w:t>
            </w:r>
          </w:p>
        </w:tc>
      </w:tr>
    </w:tbl>
    <w:p>
      <w:pPr>
        <w:pStyle w:val="2"/>
        <w:tabs>
          <w:tab w:val="left" w:pos="567"/>
        </w:tabs>
        <w:spacing w:line="360" w:lineRule="auto"/>
        <w:rPr>
          <w:color w:val="auto"/>
          <w:highlight w:val="none"/>
        </w:rPr>
      </w:pPr>
    </w:p>
    <w:p>
      <w:pPr>
        <w:pStyle w:val="3"/>
        <w:pageBreakBefore/>
        <w:rPr>
          <w:rFonts w:hAnsi="宋体" w:cs="宋体"/>
          <w:color w:val="auto"/>
          <w:sz w:val="24"/>
          <w:highlight w:val="none"/>
        </w:rPr>
      </w:pPr>
      <w:bookmarkStart w:id="145" w:name="_Toc152951863"/>
      <w:r>
        <w:rPr>
          <w:rFonts w:hint="eastAsia" w:hAnsi="宋体" w:cs="宋体"/>
          <w:color w:val="auto"/>
          <w:sz w:val="24"/>
          <w:highlight w:val="none"/>
        </w:rPr>
        <w:t>附件：4、长安镇</w:t>
      </w:r>
      <w:r>
        <w:rPr>
          <w:rFonts w:hint="eastAsia" w:hAnsi="宋体" w:cs="宋体"/>
          <w:color w:val="auto"/>
          <w:sz w:val="24"/>
          <w:highlight w:val="none"/>
          <w:lang w:eastAsia="zh-CN"/>
        </w:rPr>
        <w:t>新民</w:t>
      </w:r>
      <w:r>
        <w:rPr>
          <w:rFonts w:hint="eastAsia" w:hAnsi="宋体" w:cs="宋体"/>
          <w:color w:val="auto"/>
          <w:sz w:val="24"/>
          <w:highlight w:val="none"/>
        </w:rPr>
        <w:t>社区环卫月考核检查评分表</w:t>
      </w:r>
      <w:bookmarkEnd w:id="145"/>
    </w:p>
    <w:tbl>
      <w:tblPr>
        <w:tblStyle w:val="18"/>
        <w:tblW w:w="0" w:type="auto"/>
        <w:tblInd w:w="0" w:type="dxa"/>
        <w:tblLayout w:type="fixed"/>
        <w:tblCellMar>
          <w:top w:w="0" w:type="dxa"/>
          <w:left w:w="108" w:type="dxa"/>
          <w:bottom w:w="0" w:type="dxa"/>
          <w:right w:w="108" w:type="dxa"/>
        </w:tblCellMar>
      </w:tblPr>
      <w:tblGrid>
        <w:gridCol w:w="888"/>
        <w:gridCol w:w="4797"/>
        <w:gridCol w:w="1970"/>
        <w:gridCol w:w="432"/>
        <w:gridCol w:w="429"/>
      </w:tblGrid>
      <w:tr>
        <w:tblPrEx>
          <w:tblCellMar>
            <w:top w:w="0" w:type="dxa"/>
            <w:left w:w="108" w:type="dxa"/>
            <w:bottom w:w="0" w:type="dxa"/>
            <w:right w:w="108" w:type="dxa"/>
          </w:tblCellMar>
        </w:tblPrEx>
        <w:trPr>
          <w:trHeight w:val="525" w:hRule="atLeast"/>
        </w:trPr>
        <w:tc>
          <w:tcPr>
            <w:tcW w:w="8516" w:type="dxa"/>
            <w:gridSpan w:val="5"/>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长安镇环卫月考核现场检查评分表</w:t>
            </w:r>
          </w:p>
        </w:tc>
      </w:tr>
      <w:tr>
        <w:tblPrEx>
          <w:tblCellMar>
            <w:top w:w="0" w:type="dxa"/>
            <w:left w:w="108" w:type="dxa"/>
            <w:bottom w:w="0" w:type="dxa"/>
            <w:right w:w="108" w:type="dxa"/>
          </w:tblCellMar>
        </w:tblPrEx>
        <w:trPr>
          <w:trHeight w:val="465" w:hRule="atLeast"/>
        </w:trPr>
        <w:tc>
          <w:tcPr>
            <w:tcW w:w="888" w:type="dxa"/>
            <w:tcBorders>
              <w:top w:val="nil"/>
              <w:left w:val="nil"/>
              <w:bottom w:val="nil"/>
              <w:right w:val="nil"/>
            </w:tcBorders>
            <w:shd w:val="clear" w:color="auto" w:fill="auto"/>
            <w:noWrap/>
            <w:vAlign w:val="center"/>
          </w:tcPr>
          <w:p>
            <w:pPr>
              <w:rPr>
                <w:rFonts w:ascii="宋体" w:hAnsi="宋体" w:cs="宋体"/>
                <w:b/>
                <w:bCs/>
                <w:color w:val="auto"/>
                <w:szCs w:val="21"/>
                <w:highlight w:val="none"/>
              </w:rPr>
            </w:pPr>
          </w:p>
        </w:tc>
        <w:tc>
          <w:tcPr>
            <w:tcW w:w="7199" w:type="dxa"/>
            <w:gridSpan w:val="3"/>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auto"/>
                <w:szCs w:val="21"/>
                <w:highlight w:val="none"/>
              </w:rPr>
            </w:pPr>
            <w:r>
              <w:rPr>
                <w:rStyle w:val="50"/>
                <w:rFonts w:hint="eastAsia" w:ascii="宋体" w:hAnsi="宋体" w:eastAsia="宋体" w:cs="宋体"/>
                <w:color w:val="auto"/>
                <w:sz w:val="21"/>
                <w:szCs w:val="21"/>
                <w:highlight w:val="none"/>
                <w:lang w:bidi="ar"/>
              </w:rPr>
              <w:t xml:space="preserve">     </w:t>
            </w:r>
            <w:r>
              <w:rPr>
                <w:rFonts w:hint="eastAsia" w:ascii="宋体" w:hAnsi="宋体" w:cs="宋体"/>
                <w:b/>
                <w:bCs/>
                <w:color w:val="auto"/>
                <w:kern w:val="0"/>
                <w:szCs w:val="21"/>
                <w:highlight w:val="none"/>
                <w:lang w:bidi="ar"/>
              </w:rPr>
              <w:t>社区</w:t>
            </w:r>
            <w:r>
              <w:rPr>
                <w:rStyle w:val="50"/>
                <w:rFonts w:hint="eastAsia" w:ascii="宋体" w:hAnsi="宋体" w:eastAsia="宋体" w:cs="宋体"/>
                <w:color w:val="auto"/>
                <w:sz w:val="21"/>
                <w:szCs w:val="21"/>
                <w:highlight w:val="none"/>
                <w:lang w:bidi="ar"/>
              </w:rPr>
              <w:t xml:space="preserve">     </w:t>
            </w:r>
            <w:r>
              <w:rPr>
                <w:rFonts w:hint="eastAsia" w:ascii="宋体" w:hAnsi="宋体" w:cs="宋体"/>
                <w:b/>
                <w:bCs/>
                <w:color w:val="auto"/>
                <w:kern w:val="0"/>
                <w:szCs w:val="21"/>
                <w:highlight w:val="none"/>
                <w:lang w:bidi="ar"/>
              </w:rPr>
              <w:t>年</w:t>
            </w:r>
            <w:r>
              <w:rPr>
                <w:rStyle w:val="50"/>
                <w:rFonts w:hint="eastAsia" w:ascii="宋体" w:hAnsi="宋体" w:eastAsia="宋体" w:cs="宋体"/>
                <w:color w:val="auto"/>
                <w:sz w:val="21"/>
                <w:szCs w:val="21"/>
                <w:highlight w:val="none"/>
                <w:lang w:bidi="ar"/>
              </w:rPr>
              <w:t xml:space="preserve">   </w:t>
            </w:r>
            <w:r>
              <w:rPr>
                <w:rFonts w:hint="eastAsia" w:ascii="宋体" w:hAnsi="宋体" w:cs="宋体"/>
                <w:b/>
                <w:bCs/>
                <w:color w:val="auto"/>
                <w:kern w:val="0"/>
                <w:szCs w:val="21"/>
                <w:highlight w:val="none"/>
                <w:lang w:bidi="ar"/>
              </w:rPr>
              <w:t>月</w:t>
            </w:r>
          </w:p>
        </w:tc>
        <w:tc>
          <w:tcPr>
            <w:tcW w:w="429" w:type="dxa"/>
            <w:tcBorders>
              <w:top w:val="nil"/>
              <w:left w:val="nil"/>
              <w:bottom w:val="nil"/>
              <w:right w:val="nil"/>
            </w:tcBorders>
            <w:shd w:val="clear" w:color="auto" w:fill="auto"/>
            <w:noWrap/>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360" w:hRule="atLeast"/>
        </w:trPr>
        <w:tc>
          <w:tcPr>
            <w:tcW w:w="5685" w:type="dxa"/>
            <w:gridSpan w:val="2"/>
            <w:tcBorders>
              <w:top w:val="nil"/>
              <w:left w:val="nil"/>
              <w:bottom w:val="single" w:color="000000" w:sz="4" w:space="0"/>
              <w:right w:val="nil"/>
            </w:tcBorders>
            <w:shd w:val="clear" w:color="auto" w:fill="auto"/>
            <w:noWrap/>
            <w:vAlign w:val="center"/>
          </w:tcPr>
          <w:p>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总分100分</w:t>
            </w:r>
          </w:p>
        </w:tc>
        <w:tc>
          <w:tcPr>
            <w:tcW w:w="2831" w:type="dxa"/>
            <w:gridSpan w:val="3"/>
            <w:tcBorders>
              <w:top w:val="nil"/>
              <w:left w:val="nil"/>
              <w:bottom w:val="single" w:color="000000" w:sz="4" w:space="0"/>
              <w:right w:val="nil"/>
            </w:tcBorders>
            <w:shd w:val="clear" w:color="auto" w:fill="auto"/>
            <w:noWrap/>
            <w:vAlign w:val="center"/>
          </w:tcPr>
          <w:p>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年  月  日</w:t>
            </w:r>
          </w:p>
        </w:tc>
      </w:tr>
      <w:tr>
        <w:tblPrEx>
          <w:tblCellMar>
            <w:top w:w="0" w:type="dxa"/>
            <w:left w:w="108" w:type="dxa"/>
            <w:bottom w:w="0" w:type="dxa"/>
            <w:right w:w="108" w:type="dxa"/>
          </w:tblCellMar>
        </w:tblPrEx>
        <w:trPr>
          <w:trHeight w:val="312"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检查   项目</w:t>
            </w:r>
          </w:p>
        </w:tc>
        <w:tc>
          <w:tcPr>
            <w:tcW w:w="4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检查标准</w:t>
            </w:r>
          </w:p>
        </w:tc>
        <w:tc>
          <w:tcPr>
            <w:tcW w:w="1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地点</w:t>
            </w:r>
          </w:p>
        </w:tc>
        <w:tc>
          <w:tcPr>
            <w:tcW w:w="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扣分项目</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r>
      <w:tr>
        <w:tblPrEx>
          <w:tblCellMar>
            <w:top w:w="0" w:type="dxa"/>
            <w:left w:w="108" w:type="dxa"/>
            <w:bottom w:w="0" w:type="dxa"/>
            <w:right w:w="108" w:type="dxa"/>
          </w:tblCellMar>
        </w:tblPrEx>
        <w:trPr>
          <w:trHeight w:val="465"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restart"/>
            <w:tcBorders>
              <w:top w:val="single" w:color="000000" w:sz="4" w:space="0"/>
              <w:left w:val="single" w:color="000000" w:sz="4" w:space="0"/>
              <w:bottom w:val="nil"/>
              <w:right w:val="nil"/>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1、清扫保洁情况  (30分）</w:t>
            </w:r>
          </w:p>
        </w:tc>
        <w:tc>
          <w:tcPr>
            <w:tcW w:w="4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 xml:space="preserve">（1）道路、公共场所早上七点前未完成普扫；                                          （2）未及时进行旧村、河塘河涌水面、绿化带、建筑外立面保洁；                                                             （3）使用露天垃圾池；                        （4）使用竹箩、非密闭垃圾收集容器，垃圾桶、果皮箱、收集箱摆放不整齐，外观脏乱差；         </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（5）排水井口、井盖无及时清理周边垃圾</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 xml:space="preserve">（6）未按规定上门收集垃圾的。                （7）存在生活垃圾和建筑垃圾堆积、卫生死角；    </w:t>
            </w:r>
            <w:r>
              <w:rPr>
                <w:rFonts w:hint="eastAsia" w:ascii="宋体" w:hAnsi="宋体" w:cs="宋体"/>
                <w:b/>
                <w:bCs/>
                <w:color w:val="auto"/>
                <w:kern w:val="0"/>
                <w:szCs w:val="21"/>
                <w:highlight w:val="none"/>
                <w:lang w:bidi="ar"/>
              </w:rPr>
              <w:br w:type="textWrapping"/>
            </w:r>
            <w:r>
              <w:rPr>
                <w:rStyle w:val="51"/>
                <w:rFonts w:hint="eastAsia" w:ascii="宋体" w:hAnsi="宋体" w:eastAsia="宋体" w:cs="宋体"/>
                <w:color w:val="auto"/>
                <w:sz w:val="21"/>
                <w:szCs w:val="21"/>
                <w:highlight w:val="none"/>
                <w:lang w:bidi="ar"/>
              </w:rPr>
              <w:t>现场发现以上情况，每例扣</w:t>
            </w:r>
            <w:r>
              <w:rPr>
                <w:rStyle w:val="52"/>
                <w:rFonts w:hint="eastAsia" w:ascii="宋体" w:hAnsi="宋体" w:eastAsia="宋体" w:cs="宋体"/>
                <w:color w:val="auto"/>
                <w:sz w:val="21"/>
                <w:szCs w:val="21"/>
                <w:highlight w:val="none"/>
                <w:lang w:bidi="ar"/>
              </w:rPr>
              <w:t>1</w:t>
            </w:r>
            <w:r>
              <w:rPr>
                <w:rStyle w:val="51"/>
                <w:rFonts w:hint="eastAsia" w:ascii="宋体" w:hAnsi="宋体" w:eastAsia="宋体" w:cs="宋体"/>
                <w:color w:val="auto"/>
                <w:sz w:val="21"/>
                <w:szCs w:val="21"/>
                <w:highlight w:val="none"/>
                <w:lang w:bidi="ar"/>
              </w:rPr>
              <w:t>分，共发现 （ ）例，扣完此项分为止。</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nil"/>
              <w:right w:val="nil"/>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nil"/>
              <w:right w:val="nil"/>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nil"/>
              <w:right w:val="nil"/>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nil"/>
              <w:right w:val="nil"/>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50" w:hRule="atLeast"/>
        </w:trPr>
        <w:tc>
          <w:tcPr>
            <w:tcW w:w="888" w:type="dxa"/>
            <w:vMerge w:val="continue"/>
            <w:tcBorders>
              <w:top w:val="single" w:color="000000" w:sz="4" w:space="0"/>
              <w:left w:val="single" w:color="000000" w:sz="4" w:space="0"/>
              <w:bottom w:val="nil"/>
              <w:right w:val="nil"/>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restart"/>
            <w:tcBorders>
              <w:top w:val="single" w:color="000000" w:sz="4" w:space="0"/>
              <w:left w:val="single" w:color="000000" w:sz="4" w:space="0"/>
              <w:bottom w:val="nil"/>
              <w:right w:val="nil"/>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2、环卫作业情况  (10分）</w:t>
            </w:r>
          </w:p>
        </w:tc>
        <w:tc>
          <w:tcPr>
            <w:tcW w:w="4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 xml:space="preserve">（1）垃圾运输车、环卫手推车未密闭；               </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 xml:space="preserve">（2）环卫作业车辆车容不整，外观脏乱差，有污水滴漏、垃圾抛洒等现象；       </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 xml:space="preserve">（3）环卫工人作业未穿着环卫反光衣。 </w:t>
            </w:r>
            <w:r>
              <w:rPr>
                <w:rFonts w:hint="eastAsia" w:ascii="宋体" w:hAnsi="宋体" w:cs="宋体"/>
                <w:b/>
                <w:bCs/>
                <w:color w:val="auto"/>
                <w:kern w:val="0"/>
                <w:szCs w:val="21"/>
                <w:highlight w:val="none"/>
                <w:lang w:bidi="ar"/>
              </w:rPr>
              <w:br w:type="textWrapping"/>
            </w:r>
            <w:r>
              <w:rPr>
                <w:rStyle w:val="51"/>
                <w:rFonts w:hint="eastAsia" w:ascii="宋体" w:hAnsi="宋体" w:eastAsia="宋体" w:cs="宋体"/>
                <w:color w:val="auto"/>
                <w:sz w:val="21"/>
                <w:szCs w:val="21"/>
                <w:highlight w:val="none"/>
                <w:lang w:bidi="ar"/>
              </w:rPr>
              <w:t>现场发现以上情况，每例扣</w:t>
            </w:r>
            <w:r>
              <w:rPr>
                <w:rStyle w:val="52"/>
                <w:rFonts w:hint="eastAsia" w:ascii="宋体" w:hAnsi="宋体" w:eastAsia="宋体" w:cs="宋体"/>
                <w:color w:val="auto"/>
                <w:sz w:val="21"/>
                <w:szCs w:val="21"/>
                <w:highlight w:val="none"/>
                <w:lang w:bidi="ar"/>
              </w:rPr>
              <w:t>1</w:t>
            </w:r>
            <w:r>
              <w:rPr>
                <w:rStyle w:val="51"/>
                <w:rFonts w:hint="eastAsia" w:ascii="宋体" w:hAnsi="宋体" w:eastAsia="宋体" w:cs="宋体"/>
                <w:color w:val="auto"/>
                <w:sz w:val="21"/>
                <w:szCs w:val="21"/>
                <w:highlight w:val="none"/>
                <w:lang w:bidi="ar"/>
              </w:rPr>
              <w:t>分，共发现  （ ）例，扣完此项分为止</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nil"/>
              <w:right w:val="nil"/>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nil"/>
              <w:right w:val="nil"/>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nil"/>
              <w:right w:val="nil"/>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 xml:space="preserve"> 3、“三边”（路边、山边、水边）情况      (10分)</w:t>
            </w:r>
          </w:p>
        </w:tc>
        <w:tc>
          <w:tcPr>
            <w:tcW w:w="479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（1）“三边”（路边、山边、水边）积存垃圾未清理；</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（2）“三边”（路边、山边、水边）堆放淤泥渣土；</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（3）“三边”（路边、山边、水边）有焚烧生活垃圾现象；</w:t>
            </w:r>
            <w:r>
              <w:rPr>
                <w:rFonts w:hint="eastAsia" w:ascii="宋体" w:hAnsi="宋体" w:cs="宋体"/>
                <w:b/>
                <w:bCs/>
                <w:color w:val="auto"/>
                <w:kern w:val="0"/>
                <w:szCs w:val="21"/>
                <w:highlight w:val="none"/>
                <w:lang w:bidi="ar"/>
              </w:rPr>
              <w:br w:type="textWrapping"/>
            </w:r>
            <w:r>
              <w:rPr>
                <w:rStyle w:val="51"/>
                <w:rFonts w:hint="eastAsia" w:ascii="宋体" w:hAnsi="宋体" w:eastAsia="宋体" w:cs="宋体"/>
                <w:color w:val="auto"/>
                <w:sz w:val="21"/>
                <w:szCs w:val="21"/>
                <w:highlight w:val="none"/>
                <w:lang w:bidi="ar"/>
              </w:rPr>
              <w:t>现场发现以上情况，每例扣1分,共发现(    )处，扣完此项分止。</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 xml:space="preserve">4、垃圾桶（箱）的配备及保洁工作（10分) </w:t>
            </w:r>
          </w:p>
        </w:tc>
        <w:tc>
          <w:tcPr>
            <w:tcW w:w="4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 xml:space="preserve"> 商业、金融街道每50-100m设置一个；主干路、次干路、有辅道的快速路每100-200m设置一个；支路、有人行道的快速路每200-400m设置一个；①垃圾桶（箱）残破；</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②垃圾桶（箱）表面有明显的污迹；</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 xml:space="preserve">③未按标准配置垃圾桶（箱） </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④周边环境“脏乱差”。</w:t>
            </w:r>
            <w:r>
              <w:rPr>
                <w:rFonts w:hint="eastAsia" w:ascii="宋体" w:hAnsi="宋体" w:cs="宋体"/>
                <w:b/>
                <w:bCs/>
                <w:color w:val="auto"/>
                <w:kern w:val="0"/>
                <w:szCs w:val="21"/>
                <w:highlight w:val="none"/>
                <w:lang w:bidi="ar"/>
              </w:rPr>
              <w:br w:type="textWrapping"/>
            </w:r>
            <w:r>
              <w:rPr>
                <w:rStyle w:val="51"/>
                <w:rFonts w:hint="eastAsia" w:ascii="宋体" w:hAnsi="宋体" w:eastAsia="宋体" w:cs="宋体"/>
                <w:color w:val="auto"/>
                <w:sz w:val="21"/>
                <w:szCs w:val="21"/>
                <w:highlight w:val="none"/>
                <w:lang w:bidi="ar"/>
              </w:rPr>
              <w:t>现场发现以上情况，每例扣1分,共发现(    )处，扣完此项分止。</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5、公厕管理情况(10分）</w:t>
            </w:r>
          </w:p>
        </w:tc>
        <w:tc>
          <w:tcPr>
            <w:tcW w:w="479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 xml:space="preserve">（1）公共厕所内有异味；                            （2）显眼位置未设置统一编号、标识；                                              （3）设备有损坏；                              （4）无管理人员在岗保洁、管理；    </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（5）公厕不开放使用；　　　　　　　　　　　　　（6）公厕存在收费现象。</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 xml:space="preserve">（7） 辖区内所属公厕未达到国家二类标准。                      </w:t>
            </w:r>
            <w:r>
              <w:rPr>
                <w:rStyle w:val="51"/>
                <w:rFonts w:hint="eastAsia" w:ascii="宋体" w:hAnsi="宋体" w:eastAsia="宋体" w:cs="宋体"/>
                <w:color w:val="auto"/>
                <w:sz w:val="21"/>
                <w:szCs w:val="21"/>
                <w:highlight w:val="none"/>
                <w:lang w:bidi="ar"/>
              </w:rPr>
              <w:t>现场发现以上情况，每例扣</w:t>
            </w:r>
            <w:r>
              <w:rPr>
                <w:rStyle w:val="52"/>
                <w:rFonts w:hint="eastAsia" w:ascii="宋体" w:hAnsi="宋体" w:eastAsia="宋体" w:cs="宋体"/>
                <w:color w:val="auto"/>
                <w:sz w:val="21"/>
                <w:szCs w:val="21"/>
                <w:highlight w:val="none"/>
                <w:lang w:bidi="ar"/>
              </w:rPr>
              <w:t>1</w:t>
            </w:r>
            <w:r>
              <w:rPr>
                <w:rStyle w:val="51"/>
                <w:rFonts w:hint="eastAsia" w:ascii="宋体" w:hAnsi="宋体" w:eastAsia="宋体" w:cs="宋体"/>
                <w:color w:val="auto"/>
                <w:sz w:val="21"/>
                <w:szCs w:val="21"/>
                <w:highlight w:val="none"/>
                <w:lang w:bidi="ar"/>
              </w:rPr>
              <w:t>分，共发现（ ）例，扣完此项分为止</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10" w:hRule="atLeast"/>
        </w:trPr>
        <w:tc>
          <w:tcPr>
            <w:tcW w:w="88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6、转运站管理情况(5分）</w:t>
            </w:r>
          </w:p>
        </w:tc>
        <w:tc>
          <w:tcPr>
            <w:tcW w:w="4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 xml:space="preserve">（1）转运站内有异味；                           （2）无统一编号和规章制度；                            （3）设备未密闭，存在露天垃圾池；                             </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（4）无管理人员在岗保洁、管理；                    （5）周边环境“脏乱差”；</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 xml:space="preserve">（6） 垃圾转运站（含收集点）无配备水电。                            </w:t>
            </w:r>
            <w:r>
              <w:rPr>
                <w:rStyle w:val="51"/>
                <w:rFonts w:hint="eastAsia" w:ascii="宋体" w:hAnsi="宋体" w:eastAsia="宋体" w:cs="宋体"/>
                <w:color w:val="auto"/>
                <w:sz w:val="21"/>
                <w:szCs w:val="21"/>
                <w:highlight w:val="none"/>
                <w:lang w:bidi="ar"/>
              </w:rPr>
              <w:t xml:space="preserve">现场发现以上情况，每例扣1分，共发现（ ）例，扣完此项分为止。           </w:t>
            </w:r>
            <w:r>
              <w:rPr>
                <w:rStyle w:val="52"/>
                <w:rFonts w:hint="eastAsia" w:ascii="宋体" w:hAnsi="宋体" w:eastAsia="宋体" w:cs="宋体"/>
                <w:color w:val="auto"/>
                <w:sz w:val="21"/>
                <w:szCs w:val="21"/>
                <w:highlight w:val="none"/>
                <w:lang w:bidi="ar"/>
              </w:rPr>
              <w:t xml:space="preserve">              </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nil"/>
              <w:left w:val="nil"/>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 xml:space="preserve">7、“牛皮癣”管理情况（15分）   </w:t>
            </w:r>
            <w:r>
              <w:rPr>
                <w:rStyle w:val="53"/>
                <w:rFonts w:hint="default" w:ascii="宋体" w:eastAsia="宋体" w:cs="宋体"/>
                <w:color w:val="auto"/>
                <w:sz w:val="21"/>
                <w:szCs w:val="21"/>
                <w:highlight w:val="none"/>
                <w:lang w:bidi="ar"/>
              </w:rPr>
              <w:t xml:space="preserve">                                                 </w:t>
            </w:r>
          </w:p>
        </w:tc>
        <w:tc>
          <w:tcPr>
            <w:tcW w:w="4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路面、市政设施、灯箱、灯柱、电箱、护栏、墙壁、公交车站、内街小巷、商铺卷闸门等可视范围内有“牛皮癣”的。</w:t>
            </w:r>
            <w:r>
              <w:rPr>
                <w:rStyle w:val="51"/>
                <w:rFonts w:hint="eastAsia" w:ascii="宋体" w:hAnsi="宋体" w:eastAsia="宋体" w:cs="宋体"/>
                <w:color w:val="auto"/>
                <w:sz w:val="21"/>
                <w:szCs w:val="21"/>
                <w:highlight w:val="none"/>
                <w:lang w:bidi="ar"/>
              </w:rPr>
              <w:br w:type="textWrapping"/>
            </w:r>
            <w:r>
              <w:rPr>
                <w:rStyle w:val="51"/>
                <w:rFonts w:hint="eastAsia" w:ascii="宋体" w:hAnsi="宋体" w:eastAsia="宋体" w:cs="宋体"/>
                <w:color w:val="auto"/>
                <w:sz w:val="21"/>
                <w:szCs w:val="21"/>
                <w:highlight w:val="none"/>
                <w:lang w:bidi="ar"/>
              </w:rPr>
              <w:t>现场发现以上情况，每例扣</w:t>
            </w:r>
            <w:r>
              <w:rPr>
                <w:rStyle w:val="52"/>
                <w:rFonts w:hint="eastAsia" w:ascii="宋体" w:hAnsi="宋体" w:eastAsia="宋体" w:cs="宋体"/>
                <w:color w:val="auto"/>
                <w:sz w:val="21"/>
                <w:szCs w:val="21"/>
                <w:highlight w:val="none"/>
                <w:lang w:bidi="ar"/>
              </w:rPr>
              <w:t>1.5</w:t>
            </w:r>
            <w:r>
              <w:rPr>
                <w:rStyle w:val="51"/>
                <w:rFonts w:hint="eastAsia" w:ascii="宋体" w:hAnsi="宋体" w:eastAsia="宋体" w:cs="宋体"/>
                <w:color w:val="auto"/>
                <w:sz w:val="21"/>
                <w:szCs w:val="21"/>
                <w:highlight w:val="none"/>
                <w:lang w:bidi="ar"/>
              </w:rPr>
              <w:t>分，共发现（  )例，扣完此项分为止。</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8、绿化养护（5分）</w:t>
            </w:r>
          </w:p>
        </w:tc>
        <w:tc>
          <w:tcPr>
            <w:tcW w:w="4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（1）植株生长不良、长势差，部分树干死亡，植株重度损坏。                                                          （2）缺乏修剪或修剪不适当，枝叶遮挡交通灯或交通指示牌或路灯的。</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（3）病虫害控制不及时。</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（4）有枯枝、折枝、或棕榈科的干枯叶片未及时清理的。</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（5）树木根系生长覆盖路面未及时处理的，树池或树池盖损坏、或树池盖不平整影响景观的。</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（6）树体腐烂（或开口）部位未及时剔除、消毒、封口处理的。</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（7）护树设施、景观灯等固定框损坏树干的，残花、枯萎的黄叶和黄蒂（梗）未及时清除，未及时修剪影响景观的。</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（8）死亡、缺株未及时补种的。</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（9）草坪杂草过多又无法净化或草坪衰老，未及时更新或重建的。                                                             （10）草坪未及时修剪、未正确控制草坪高度及修剪留茬高度的。                                                                              （11）黄土裸露的。</w:t>
            </w:r>
            <w:r>
              <w:rPr>
                <w:rFonts w:hint="eastAsia" w:ascii="宋体" w:hAnsi="宋体" w:cs="宋体"/>
                <w:b/>
                <w:bCs/>
                <w:color w:val="auto"/>
                <w:kern w:val="0"/>
                <w:szCs w:val="21"/>
                <w:highlight w:val="none"/>
                <w:lang w:bidi="ar"/>
              </w:rPr>
              <w:br w:type="textWrapping"/>
            </w:r>
            <w:r>
              <w:rPr>
                <w:rStyle w:val="51"/>
                <w:rFonts w:hint="eastAsia" w:ascii="宋体" w:hAnsi="宋体" w:eastAsia="宋体" w:cs="宋体"/>
                <w:color w:val="auto"/>
                <w:sz w:val="21"/>
                <w:szCs w:val="21"/>
                <w:highlight w:val="none"/>
                <w:lang w:bidi="ar"/>
              </w:rPr>
              <w:t>现场发现以上情况，每例扣0.5分，共发现（  )例，扣完此项分为止。</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 xml:space="preserve">9、每月重点工作配合（5分） </w:t>
            </w:r>
            <w:r>
              <w:rPr>
                <w:rStyle w:val="53"/>
                <w:rFonts w:hint="default" w:ascii="宋体" w:eastAsia="宋体" w:cs="宋体"/>
                <w:color w:val="auto"/>
                <w:sz w:val="21"/>
                <w:szCs w:val="21"/>
                <w:highlight w:val="none"/>
                <w:lang w:bidi="ar"/>
              </w:rPr>
              <w:t xml:space="preserve">                                                </w:t>
            </w:r>
          </w:p>
        </w:tc>
        <w:tc>
          <w:tcPr>
            <w:tcW w:w="4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（1）每日督导办函整改不到位扣0.5分；                 （2）重点工作督导问题整改不到位，情节严重扣0.5分；                                                                                   （3）重点工作督导问题不整改，情节严重扣1分；</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（4）未按时参加会议的、不按时上报资料的、未经请示同意不参加学习培训的扣1分；</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（5）卫生收费日常工作不配合：如不按规范流程操作，不按时交资料，处理态度恶劣，其他不配合事项等扣1分；</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（6）垃圾处理日常工作不配合：如不按规范流程操作，不按时交资料，处理态度恶劣，其他不配合事项等扣1分。</w:t>
            </w:r>
          </w:p>
        </w:tc>
        <w:tc>
          <w:tcPr>
            <w:tcW w:w="2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2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2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2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2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2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12"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2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50" w:hRule="atLeast"/>
        </w:trPr>
        <w:tc>
          <w:tcPr>
            <w:tcW w:w="5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总合计</w:t>
            </w: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88" w:type="dxa"/>
            <w:tcBorders>
              <w:top w:val="nil"/>
              <w:left w:val="nil"/>
              <w:bottom w:val="nil"/>
              <w:right w:val="nil"/>
            </w:tcBorders>
            <w:shd w:val="clear" w:color="auto" w:fill="auto"/>
            <w:vAlign w:val="center"/>
          </w:tcPr>
          <w:p>
            <w:pPr>
              <w:jc w:val="center"/>
              <w:rPr>
                <w:rFonts w:ascii="宋体" w:hAnsi="宋体" w:cs="宋体"/>
                <w:b/>
                <w:bCs/>
                <w:color w:val="auto"/>
                <w:szCs w:val="21"/>
                <w:highlight w:val="none"/>
              </w:rPr>
            </w:pPr>
          </w:p>
        </w:tc>
        <w:tc>
          <w:tcPr>
            <w:tcW w:w="4797" w:type="dxa"/>
            <w:tcBorders>
              <w:top w:val="nil"/>
              <w:left w:val="nil"/>
              <w:bottom w:val="nil"/>
              <w:right w:val="nil"/>
            </w:tcBorders>
            <w:shd w:val="clear" w:color="auto" w:fill="auto"/>
            <w:vAlign w:val="center"/>
          </w:tcPr>
          <w:p>
            <w:pPr>
              <w:jc w:val="center"/>
              <w:rPr>
                <w:rFonts w:ascii="宋体" w:hAnsi="宋体" w:cs="宋体"/>
                <w:b/>
                <w:bCs/>
                <w:color w:val="auto"/>
                <w:szCs w:val="21"/>
                <w:highlight w:val="none"/>
              </w:rPr>
            </w:pPr>
          </w:p>
        </w:tc>
        <w:tc>
          <w:tcPr>
            <w:tcW w:w="1970" w:type="dxa"/>
            <w:tcBorders>
              <w:top w:val="nil"/>
              <w:left w:val="nil"/>
              <w:bottom w:val="nil"/>
              <w:right w:val="nil"/>
            </w:tcBorders>
            <w:shd w:val="clear" w:color="auto" w:fill="auto"/>
            <w:vAlign w:val="center"/>
          </w:tcPr>
          <w:p>
            <w:pPr>
              <w:rPr>
                <w:rFonts w:ascii="宋体" w:hAnsi="宋体" w:cs="宋体"/>
                <w:color w:val="auto"/>
                <w:szCs w:val="21"/>
                <w:highlight w:val="none"/>
              </w:rPr>
            </w:pPr>
          </w:p>
        </w:tc>
        <w:tc>
          <w:tcPr>
            <w:tcW w:w="432" w:type="dxa"/>
            <w:tcBorders>
              <w:top w:val="nil"/>
              <w:left w:val="nil"/>
              <w:bottom w:val="nil"/>
              <w:right w:val="nil"/>
            </w:tcBorders>
            <w:shd w:val="clear" w:color="auto" w:fill="auto"/>
            <w:vAlign w:val="center"/>
          </w:tcPr>
          <w:p>
            <w:pPr>
              <w:rPr>
                <w:rFonts w:ascii="宋体" w:hAnsi="宋体" w:cs="宋体"/>
                <w:color w:val="auto"/>
                <w:szCs w:val="21"/>
                <w:highlight w:val="none"/>
              </w:rPr>
            </w:pPr>
          </w:p>
        </w:tc>
        <w:tc>
          <w:tcPr>
            <w:tcW w:w="429" w:type="dxa"/>
            <w:tcBorders>
              <w:top w:val="nil"/>
              <w:left w:val="nil"/>
              <w:bottom w:val="nil"/>
              <w:right w:val="nil"/>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90" w:hRule="atLeast"/>
        </w:trPr>
        <w:tc>
          <w:tcPr>
            <w:tcW w:w="5685" w:type="dxa"/>
            <w:gridSpan w:val="2"/>
            <w:tcBorders>
              <w:top w:val="nil"/>
              <w:left w:val="nil"/>
              <w:bottom w:val="nil"/>
              <w:right w:val="nil"/>
            </w:tcBorders>
            <w:shd w:val="clear" w:color="auto" w:fill="auto"/>
            <w:noWrap/>
            <w:vAlign w:val="center"/>
          </w:tcPr>
          <w:p>
            <w:pPr>
              <w:jc w:val="center"/>
              <w:rPr>
                <w:rFonts w:ascii="宋体" w:hAnsi="宋体" w:cs="宋体"/>
                <w:color w:val="auto"/>
                <w:szCs w:val="21"/>
                <w:highlight w:val="none"/>
              </w:rPr>
            </w:pPr>
          </w:p>
        </w:tc>
        <w:tc>
          <w:tcPr>
            <w:tcW w:w="2831" w:type="dxa"/>
            <w:gridSpan w:val="3"/>
            <w:tcBorders>
              <w:top w:val="nil"/>
              <w:left w:val="nil"/>
              <w:bottom w:val="nil"/>
              <w:right w:val="nil"/>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88" w:type="dxa"/>
            <w:tcBorders>
              <w:top w:val="nil"/>
              <w:left w:val="nil"/>
              <w:bottom w:val="nil"/>
              <w:right w:val="nil"/>
            </w:tcBorders>
            <w:shd w:val="clear" w:color="auto" w:fill="auto"/>
            <w:noWrap/>
            <w:vAlign w:val="bottom"/>
          </w:tcPr>
          <w:p>
            <w:pPr>
              <w:rPr>
                <w:rFonts w:ascii="宋体" w:hAnsi="宋体" w:cs="宋体"/>
                <w:color w:val="auto"/>
                <w:szCs w:val="21"/>
                <w:highlight w:val="none"/>
              </w:rPr>
            </w:pPr>
          </w:p>
        </w:tc>
        <w:tc>
          <w:tcPr>
            <w:tcW w:w="4797" w:type="dxa"/>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社区环境办检查人员签名：</w:t>
            </w:r>
          </w:p>
        </w:tc>
        <w:tc>
          <w:tcPr>
            <w:tcW w:w="1970" w:type="dxa"/>
            <w:tcBorders>
              <w:top w:val="nil"/>
              <w:left w:val="nil"/>
              <w:bottom w:val="nil"/>
              <w:right w:val="nil"/>
            </w:tcBorders>
            <w:shd w:val="clear" w:color="auto" w:fill="auto"/>
            <w:noWrap/>
            <w:vAlign w:val="bottom"/>
          </w:tcPr>
          <w:p>
            <w:pPr>
              <w:widowControl/>
              <w:textAlignment w:val="bottom"/>
              <w:rPr>
                <w:rFonts w:ascii="宋体" w:hAnsi="宋体" w:cs="宋体"/>
                <w:color w:val="auto"/>
                <w:szCs w:val="21"/>
                <w:highlight w:val="none"/>
              </w:rPr>
            </w:pPr>
            <w:r>
              <w:rPr>
                <w:rFonts w:hint="eastAsia" w:ascii="宋体" w:hAnsi="宋体" w:cs="宋体"/>
                <w:color w:val="auto"/>
                <w:kern w:val="0"/>
                <w:szCs w:val="21"/>
                <w:highlight w:val="none"/>
                <w:lang w:bidi="ar"/>
              </w:rPr>
              <w:t xml:space="preserve">          市场化检查人员签名：</w:t>
            </w:r>
          </w:p>
        </w:tc>
        <w:tc>
          <w:tcPr>
            <w:tcW w:w="43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9"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88" w:type="dxa"/>
            <w:tcBorders>
              <w:top w:val="nil"/>
              <w:left w:val="nil"/>
              <w:bottom w:val="nil"/>
              <w:right w:val="nil"/>
            </w:tcBorders>
            <w:shd w:val="clear" w:color="auto" w:fill="auto"/>
            <w:noWrap/>
            <w:vAlign w:val="bottom"/>
          </w:tcPr>
          <w:p>
            <w:pPr>
              <w:rPr>
                <w:rFonts w:ascii="宋体" w:hAnsi="宋体" w:cs="宋体"/>
                <w:color w:val="auto"/>
                <w:szCs w:val="21"/>
                <w:highlight w:val="none"/>
              </w:rPr>
            </w:pPr>
          </w:p>
        </w:tc>
        <w:tc>
          <w:tcPr>
            <w:tcW w:w="479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70" w:type="dxa"/>
            <w:tcBorders>
              <w:top w:val="nil"/>
              <w:left w:val="nil"/>
              <w:bottom w:val="nil"/>
              <w:right w:val="nil"/>
            </w:tcBorders>
            <w:shd w:val="clear" w:color="auto" w:fill="auto"/>
            <w:noWrap/>
            <w:vAlign w:val="bottom"/>
          </w:tcPr>
          <w:p>
            <w:pPr>
              <w:rPr>
                <w:rFonts w:ascii="宋体" w:hAnsi="宋体" w:cs="宋体"/>
                <w:color w:val="auto"/>
                <w:szCs w:val="21"/>
                <w:highlight w:val="none"/>
              </w:rPr>
            </w:pPr>
          </w:p>
        </w:tc>
        <w:tc>
          <w:tcPr>
            <w:tcW w:w="432" w:type="dxa"/>
            <w:tcBorders>
              <w:top w:val="nil"/>
              <w:left w:val="nil"/>
              <w:bottom w:val="nil"/>
              <w:right w:val="nil"/>
            </w:tcBorders>
            <w:shd w:val="clear" w:color="auto" w:fill="auto"/>
            <w:noWrap/>
            <w:vAlign w:val="bottom"/>
          </w:tcPr>
          <w:p>
            <w:pPr>
              <w:rPr>
                <w:rFonts w:ascii="宋体" w:hAnsi="宋体" w:cs="宋体"/>
                <w:color w:val="auto"/>
                <w:szCs w:val="21"/>
                <w:highlight w:val="none"/>
              </w:rPr>
            </w:pPr>
          </w:p>
        </w:tc>
        <w:tc>
          <w:tcPr>
            <w:tcW w:w="429" w:type="dxa"/>
            <w:tcBorders>
              <w:top w:val="nil"/>
              <w:left w:val="nil"/>
              <w:bottom w:val="nil"/>
              <w:right w:val="nil"/>
            </w:tcBorders>
            <w:shd w:val="clear" w:color="auto" w:fill="auto"/>
            <w:noWrap/>
            <w:vAlign w:val="bottom"/>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88" w:type="dxa"/>
            <w:tcBorders>
              <w:top w:val="nil"/>
              <w:left w:val="nil"/>
              <w:bottom w:val="nil"/>
              <w:right w:val="nil"/>
            </w:tcBorders>
            <w:shd w:val="clear" w:color="auto" w:fill="auto"/>
            <w:noWrap/>
            <w:vAlign w:val="bottom"/>
          </w:tcPr>
          <w:p>
            <w:pPr>
              <w:rPr>
                <w:rFonts w:ascii="宋体" w:hAnsi="宋体" w:cs="宋体"/>
                <w:color w:val="auto"/>
                <w:szCs w:val="21"/>
                <w:highlight w:val="none"/>
              </w:rPr>
            </w:pPr>
          </w:p>
        </w:tc>
        <w:tc>
          <w:tcPr>
            <w:tcW w:w="479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70" w:type="dxa"/>
            <w:tcBorders>
              <w:top w:val="nil"/>
              <w:left w:val="nil"/>
              <w:bottom w:val="nil"/>
              <w:right w:val="nil"/>
            </w:tcBorders>
            <w:shd w:val="clear" w:color="auto" w:fill="auto"/>
            <w:noWrap/>
            <w:vAlign w:val="bottom"/>
          </w:tcPr>
          <w:p>
            <w:pPr>
              <w:rPr>
                <w:rFonts w:ascii="宋体" w:hAnsi="宋体" w:cs="宋体"/>
                <w:color w:val="auto"/>
                <w:szCs w:val="21"/>
                <w:highlight w:val="none"/>
              </w:rPr>
            </w:pPr>
          </w:p>
        </w:tc>
        <w:tc>
          <w:tcPr>
            <w:tcW w:w="432" w:type="dxa"/>
            <w:tcBorders>
              <w:top w:val="nil"/>
              <w:left w:val="nil"/>
              <w:bottom w:val="nil"/>
              <w:right w:val="nil"/>
            </w:tcBorders>
            <w:shd w:val="clear" w:color="auto" w:fill="auto"/>
            <w:noWrap/>
            <w:vAlign w:val="bottom"/>
          </w:tcPr>
          <w:p>
            <w:pPr>
              <w:rPr>
                <w:rFonts w:ascii="宋体" w:hAnsi="宋体" w:cs="宋体"/>
                <w:color w:val="auto"/>
                <w:szCs w:val="21"/>
                <w:highlight w:val="none"/>
              </w:rPr>
            </w:pPr>
          </w:p>
        </w:tc>
        <w:tc>
          <w:tcPr>
            <w:tcW w:w="429" w:type="dxa"/>
            <w:tcBorders>
              <w:top w:val="nil"/>
              <w:left w:val="nil"/>
              <w:bottom w:val="nil"/>
              <w:right w:val="nil"/>
            </w:tcBorders>
            <w:shd w:val="clear" w:color="auto" w:fill="auto"/>
            <w:noWrap/>
            <w:vAlign w:val="bottom"/>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88" w:type="dxa"/>
            <w:tcBorders>
              <w:top w:val="nil"/>
              <w:left w:val="nil"/>
              <w:bottom w:val="nil"/>
              <w:right w:val="nil"/>
            </w:tcBorders>
            <w:shd w:val="clear" w:color="auto" w:fill="auto"/>
            <w:noWrap/>
            <w:vAlign w:val="bottom"/>
          </w:tcPr>
          <w:p>
            <w:pPr>
              <w:rPr>
                <w:rFonts w:ascii="宋体" w:hAnsi="宋体" w:cs="宋体"/>
                <w:color w:val="auto"/>
                <w:szCs w:val="21"/>
                <w:highlight w:val="none"/>
              </w:rPr>
            </w:pPr>
          </w:p>
        </w:tc>
        <w:tc>
          <w:tcPr>
            <w:tcW w:w="479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70" w:type="dxa"/>
            <w:tcBorders>
              <w:top w:val="nil"/>
              <w:left w:val="nil"/>
              <w:bottom w:val="nil"/>
              <w:right w:val="nil"/>
            </w:tcBorders>
            <w:shd w:val="clear" w:color="auto" w:fill="auto"/>
            <w:noWrap/>
            <w:vAlign w:val="bottom"/>
          </w:tcPr>
          <w:p>
            <w:pPr>
              <w:rPr>
                <w:rFonts w:ascii="宋体" w:hAnsi="宋体" w:cs="宋体"/>
                <w:color w:val="auto"/>
                <w:szCs w:val="21"/>
                <w:highlight w:val="none"/>
              </w:rPr>
            </w:pPr>
          </w:p>
        </w:tc>
        <w:tc>
          <w:tcPr>
            <w:tcW w:w="432" w:type="dxa"/>
            <w:tcBorders>
              <w:top w:val="nil"/>
              <w:left w:val="nil"/>
              <w:bottom w:val="nil"/>
              <w:right w:val="nil"/>
            </w:tcBorders>
            <w:shd w:val="clear" w:color="auto" w:fill="auto"/>
            <w:noWrap/>
            <w:vAlign w:val="bottom"/>
          </w:tcPr>
          <w:p>
            <w:pPr>
              <w:rPr>
                <w:rFonts w:ascii="宋体" w:hAnsi="宋体" w:cs="宋体"/>
                <w:color w:val="auto"/>
                <w:szCs w:val="21"/>
                <w:highlight w:val="none"/>
              </w:rPr>
            </w:pPr>
          </w:p>
        </w:tc>
        <w:tc>
          <w:tcPr>
            <w:tcW w:w="429" w:type="dxa"/>
            <w:tcBorders>
              <w:top w:val="nil"/>
              <w:left w:val="nil"/>
              <w:bottom w:val="nil"/>
              <w:right w:val="nil"/>
            </w:tcBorders>
            <w:shd w:val="clear" w:color="auto" w:fill="auto"/>
            <w:noWrap/>
            <w:vAlign w:val="bottom"/>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915" w:hRule="atLeast"/>
        </w:trPr>
        <w:tc>
          <w:tcPr>
            <w:tcW w:w="888" w:type="dxa"/>
            <w:tcBorders>
              <w:top w:val="nil"/>
              <w:left w:val="nil"/>
              <w:bottom w:val="nil"/>
              <w:right w:val="nil"/>
            </w:tcBorders>
            <w:shd w:val="clear" w:color="auto" w:fill="auto"/>
            <w:noWrap/>
            <w:vAlign w:val="bottom"/>
          </w:tcPr>
          <w:p>
            <w:pPr>
              <w:rPr>
                <w:rFonts w:ascii="宋体" w:hAnsi="宋体" w:cs="宋体"/>
                <w:color w:val="auto"/>
                <w:szCs w:val="21"/>
                <w:highlight w:val="none"/>
              </w:rPr>
            </w:pPr>
          </w:p>
        </w:tc>
        <w:tc>
          <w:tcPr>
            <w:tcW w:w="4797" w:type="dxa"/>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社区环境办主任签名：（盖章）</w:t>
            </w:r>
          </w:p>
        </w:tc>
        <w:tc>
          <w:tcPr>
            <w:tcW w:w="2402" w:type="dxa"/>
            <w:gridSpan w:val="2"/>
            <w:tcBorders>
              <w:top w:val="nil"/>
              <w:left w:val="nil"/>
              <w:bottom w:val="nil"/>
              <w:right w:val="nil"/>
            </w:tcBorders>
            <w:shd w:val="clear" w:color="auto" w:fill="auto"/>
            <w:noWrap/>
            <w:vAlign w:val="center"/>
          </w:tcPr>
          <w:p>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市场化公司负责人签名：（盖章）</w:t>
            </w:r>
          </w:p>
        </w:tc>
        <w:tc>
          <w:tcPr>
            <w:tcW w:w="429" w:type="dxa"/>
            <w:tcBorders>
              <w:top w:val="nil"/>
              <w:left w:val="nil"/>
              <w:bottom w:val="nil"/>
              <w:right w:val="nil"/>
            </w:tcBorders>
            <w:shd w:val="clear" w:color="auto" w:fill="auto"/>
            <w:noWrap/>
            <w:vAlign w:val="bottom"/>
          </w:tcPr>
          <w:p>
            <w:pPr>
              <w:rPr>
                <w:rFonts w:ascii="宋体" w:hAnsi="宋体" w:cs="宋体"/>
                <w:color w:val="auto"/>
                <w:szCs w:val="21"/>
                <w:highlight w:val="none"/>
              </w:rPr>
            </w:pPr>
          </w:p>
        </w:tc>
      </w:tr>
    </w:tbl>
    <w:p>
      <w:pPr>
        <w:spacing w:line="360" w:lineRule="auto"/>
        <w:rPr>
          <w:rFonts w:ascii="宋体" w:hAnsi="宋体" w:cs="宋体"/>
          <w:color w:val="auto"/>
          <w:sz w:val="24"/>
          <w:highlight w:val="none"/>
        </w:rPr>
      </w:pPr>
    </w:p>
    <w:p>
      <w:pPr>
        <w:pStyle w:val="2"/>
        <w:tabs>
          <w:tab w:val="left" w:pos="567"/>
        </w:tabs>
        <w:rPr>
          <w:color w:val="auto"/>
          <w:highlight w:val="none"/>
        </w:rPr>
      </w:pPr>
    </w:p>
    <w:p>
      <w:pPr>
        <w:rPr>
          <w:rFonts w:ascii="宋体" w:hAnsi="宋体" w:cs="宋体"/>
          <w:color w:val="auto"/>
          <w:sz w:val="24"/>
          <w:highlight w:val="none"/>
        </w:rPr>
      </w:pPr>
      <w:r>
        <w:rPr>
          <w:rFonts w:ascii="宋体" w:hAnsi="宋体" w:cs="宋体"/>
          <w:color w:val="auto"/>
          <w:sz w:val="24"/>
          <w:highlight w:val="none"/>
        </w:rPr>
        <w:br w:type="page"/>
      </w:r>
    </w:p>
    <w:tbl>
      <w:tblPr>
        <w:tblStyle w:val="18"/>
        <w:tblW w:w="5000" w:type="pct"/>
        <w:tblInd w:w="0" w:type="dxa"/>
        <w:tblLayout w:type="autofit"/>
        <w:tblCellMar>
          <w:top w:w="0" w:type="dxa"/>
          <w:left w:w="108" w:type="dxa"/>
          <w:bottom w:w="0" w:type="dxa"/>
          <w:right w:w="108" w:type="dxa"/>
        </w:tblCellMar>
      </w:tblPr>
      <w:tblGrid>
        <w:gridCol w:w="468"/>
        <w:gridCol w:w="468"/>
        <w:gridCol w:w="468"/>
        <w:gridCol w:w="468"/>
        <w:gridCol w:w="468"/>
        <w:gridCol w:w="468"/>
        <w:gridCol w:w="342"/>
        <w:gridCol w:w="468"/>
        <w:gridCol w:w="468"/>
        <w:gridCol w:w="468"/>
        <w:gridCol w:w="468"/>
        <w:gridCol w:w="468"/>
        <w:gridCol w:w="342"/>
        <w:gridCol w:w="468"/>
        <w:gridCol w:w="468"/>
        <w:gridCol w:w="468"/>
        <w:gridCol w:w="468"/>
        <w:gridCol w:w="469"/>
        <w:gridCol w:w="343"/>
      </w:tblGrid>
      <w:tr>
        <w:tblPrEx>
          <w:tblCellMar>
            <w:top w:w="0" w:type="dxa"/>
            <w:left w:w="108" w:type="dxa"/>
            <w:bottom w:w="0" w:type="dxa"/>
            <w:right w:w="108" w:type="dxa"/>
          </w:tblCellMar>
        </w:tblPrEx>
        <w:trPr>
          <w:trHeight w:val="1080" w:hRule="atLeast"/>
        </w:trPr>
        <w:tc>
          <w:tcPr>
            <w:tcW w:w="5000" w:type="pct"/>
            <w:gridSpan w:val="19"/>
            <w:tcBorders>
              <w:top w:val="nil"/>
              <w:left w:val="nil"/>
              <w:bottom w:val="nil"/>
              <w:right w:val="nil"/>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长安镇</w:t>
            </w:r>
            <w:r>
              <w:rPr>
                <w:rFonts w:hint="eastAsia" w:ascii="宋体" w:hAnsi="宋体" w:cs="宋体"/>
                <w:color w:val="auto"/>
                <w:kern w:val="0"/>
                <w:szCs w:val="21"/>
                <w:highlight w:val="none"/>
                <w:u w:val="single"/>
                <w:lang w:eastAsia="zh-CN" w:bidi="ar"/>
              </w:rPr>
              <w:t>新民</w:t>
            </w:r>
            <w:r>
              <w:rPr>
                <w:rFonts w:hint="eastAsia" w:ascii="宋体" w:hAnsi="宋体" w:cs="宋体"/>
                <w:color w:val="auto"/>
                <w:kern w:val="0"/>
                <w:szCs w:val="21"/>
                <w:highlight w:val="none"/>
                <w:lang w:bidi="ar"/>
              </w:rPr>
              <w:t>社区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月环卫作业项目现场检查评分明细表</w:t>
            </w:r>
          </w:p>
        </w:tc>
      </w:tr>
      <w:tr>
        <w:tblPrEx>
          <w:tblCellMar>
            <w:top w:w="0" w:type="dxa"/>
            <w:left w:w="108" w:type="dxa"/>
            <w:bottom w:w="0" w:type="dxa"/>
            <w:right w:w="108" w:type="dxa"/>
          </w:tblCellMar>
        </w:tblPrEx>
        <w:trPr>
          <w:trHeight w:val="360" w:hRule="atLeast"/>
        </w:trPr>
        <w:tc>
          <w:tcPr>
            <w:tcW w:w="5000" w:type="pct"/>
            <w:gridSpan w:val="19"/>
            <w:tcBorders>
              <w:top w:val="nil"/>
              <w:left w:val="nil"/>
              <w:bottom w:val="nil"/>
              <w:right w:val="nil"/>
            </w:tcBorders>
            <w:shd w:val="clear" w:color="auto" w:fill="auto"/>
            <w:noWrap/>
            <w:vAlign w:val="center"/>
          </w:tcPr>
          <w:p>
            <w:pPr>
              <w:rPr>
                <w:rFonts w:ascii="宋体" w:hAnsi="宋体" w:cs="宋体"/>
                <w:color w:val="auto"/>
                <w:szCs w:val="21"/>
                <w:highlight w:val="none"/>
              </w:rPr>
            </w:pPr>
            <w:r>
              <w:rPr>
                <w:rFonts w:hint="eastAsia" w:ascii="宋体" w:hAnsi="宋体" w:cs="宋体"/>
                <w:color w:val="auto"/>
                <w:kern w:val="0"/>
                <w:szCs w:val="21"/>
                <w:highlight w:val="none"/>
                <w:lang w:bidi="ar"/>
              </w:rPr>
              <w:t>表4-2</w:t>
            </w:r>
          </w:p>
        </w:tc>
      </w:tr>
      <w:tr>
        <w:tblPrEx>
          <w:tblCellMar>
            <w:top w:w="0" w:type="dxa"/>
            <w:left w:w="108" w:type="dxa"/>
            <w:bottom w:w="0" w:type="dxa"/>
            <w:right w:w="108" w:type="dxa"/>
          </w:tblCellMar>
        </w:tblPrEx>
        <w:trPr>
          <w:trHeight w:val="375" w:hRule="atLeast"/>
        </w:trPr>
        <w:tc>
          <w:tcPr>
            <w:tcW w:w="5000" w:type="pct"/>
            <w:gridSpan w:val="19"/>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日期:     年   月    日</w:t>
            </w:r>
          </w:p>
        </w:tc>
      </w:tr>
      <w:tr>
        <w:tblPrEx>
          <w:tblCellMar>
            <w:top w:w="0" w:type="dxa"/>
            <w:left w:w="108" w:type="dxa"/>
            <w:bottom w:w="0" w:type="dxa"/>
            <w:right w:w="108" w:type="dxa"/>
          </w:tblCellMar>
        </w:tblPrEx>
        <w:trPr>
          <w:trHeight w:val="555" w:hRule="atLeast"/>
        </w:trPr>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社区</w:t>
            </w:r>
          </w:p>
        </w:tc>
        <w:tc>
          <w:tcPr>
            <w:tcW w:w="147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社区领导评分明细</w:t>
            </w:r>
          </w:p>
        </w:tc>
        <w:tc>
          <w:tcPr>
            <w:tcW w:w="1474"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环境办评分明细</w:t>
            </w:r>
          </w:p>
        </w:tc>
        <w:tc>
          <w:tcPr>
            <w:tcW w:w="1474"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市场化公司（作参考）</w:t>
            </w:r>
          </w:p>
        </w:tc>
      </w:tr>
      <w:tr>
        <w:tblPrEx>
          <w:tblCellMar>
            <w:top w:w="0" w:type="dxa"/>
            <w:left w:w="108" w:type="dxa"/>
            <w:bottom w:w="0" w:type="dxa"/>
            <w:right w:w="108" w:type="dxa"/>
          </w:tblCellMar>
        </w:tblPrEx>
        <w:trPr>
          <w:trHeight w:val="630" w:hRule="atLeast"/>
        </w:trPr>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280" w:type="pct"/>
            <w:gridSpan w:val="5"/>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实际评分明细</w:t>
            </w:r>
          </w:p>
        </w:tc>
        <w:tc>
          <w:tcPr>
            <w:tcW w:w="191"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实际平均分</w:t>
            </w:r>
          </w:p>
        </w:tc>
        <w:tc>
          <w:tcPr>
            <w:tcW w:w="1282" w:type="pct"/>
            <w:gridSpan w:val="5"/>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实际评分明细</w:t>
            </w:r>
          </w:p>
        </w:tc>
        <w:tc>
          <w:tcPr>
            <w:tcW w:w="191"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实际平均分</w:t>
            </w:r>
          </w:p>
        </w:tc>
        <w:tc>
          <w:tcPr>
            <w:tcW w:w="1282" w:type="pct"/>
            <w:gridSpan w:val="5"/>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实际评分明细</w:t>
            </w:r>
          </w:p>
        </w:tc>
        <w:tc>
          <w:tcPr>
            <w:tcW w:w="191"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实际平均分</w:t>
            </w:r>
          </w:p>
        </w:tc>
      </w:tr>
      <w:tr>
        <w:tblPrEx>
          <w:tblCellMar>
            <w:top w:w="0" w:type="dxa"/>
            <w:left w:w="108" w:type="dxa"/>
            <w:bottom w:w="0" w:type="dxa"/>
            <w:right w:w="108" w:type="dxa"/>
          </w:tblCellMar>
        </w:tblPrEx>
        <w:trPr>
          <w:trHeight w:val="630" w:hRule="atLeast"/>
        </w:trPr>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日检</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人员</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暗防</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投诉</w:t>
            </w:r>
          </w:p>
        </w:tc>
        <w:tc>
          <w:tcPr>
            <w:tcW w:w="1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日检</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人员</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暗防</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投诉</w:t>
            </w:r>
          </w:p>
        </w:tc>
        <w:tc>
          <w:tcPr>
            <w:tcW w:w="1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日检</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人员</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暗防</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投诉</w:t>
            </w:r>
          </w:p>
        </w:tc>
        <w:tc>
          <w:tcPr>
            <w:tcW w:w="1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780" w:hRule="atLeast"/>
        </w:trPr>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10" w:hRule="atLeast"/>
        </w:trPr>
        <w:tc>
          <w:tcPr>
            <w:tcW w:w="5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5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5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585" w:hRule="atLeast"/>
        </w:trPr>
        <w:tc>
          <w:tcPr>
            <w:tcW w:w="1347" w:type="pct"/>
            <w:gridSpan w:val="4"/>
            <w:tcBorders>
              <w:top w:val="nil"/>
              <w:left w:val="nil"/>
              <w:bottom w:val="nil"/>
              <w:right w:val="nil"/>
            </w:tcBorders>
            <w:shd w:val="clear" w:color="auto" w:fill="auto"/>
            <w:noWrap/>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lang w:bidi="ar"/>
              </w:rPr>
              <w:t>统计人员签名：</w:t>
            </w: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217" w:type="pct"/>
            <w:gridSpan w:val="5"/>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部门负责人签名：</w:t>
            </w: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5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5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5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5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217" w:type="pct"/>
            <w:gridSpan w:val="5"/>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分管领导签名：</w:t>
            </w: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bl>
    <w:p>
      <w:pPr>
        <w:rPr>
          <w:rFonts w:ascii="宋体" w:hAnsi="宋体"/>
          <w:color w:val="auto"/>
          <w:sz w:val="24"/>
          <w:highlight w:val="none"/>
        </w:rPr>
      </w:pPr>
    </w:p>
    <w:p>
      <w:pPr>
        <w:pStyle w:val="2"/>
        <w:tabs>
          <w:tab w:val="left" w:pos="567"/>
        </w:tabs>
        <w:rPr>
          <w:color w:val="auto"/>
          <w:highlight w:val="none"/>
        </w:rPr>
      </w:pPr>
    </w:p>
    <w:p>
      <w:pPr>
        <w:pStyle w:val="2"/>
        <w:tabs>
          <w:tab w:val="left" w:pos="567"/>
        </w:tabs>
        <w:rPr>
          <w:color w:val="auto"/>
          <w:highlight w:val="none"/>
        </w:rPr>
      </w:pPr>
      <w:r>
        <w:rPr>
          <w:color w:val="auto"/>
          <w:highlight w:val="none"/>
        </w:rPr>
        <w:br w:type="page"/>
      </w:r>
    </w:p>
    <w:tbl>
      <w:tblPr>
        <w:tblStyle w:val="18"/>
        <w:tblW w:w="5000" w:type="pct"/>
        <w:tblInd w:w="0" w:type="dxa"/>
        <w:tblLayout w:type="fixed"/>
        <w:tblCellMar>
          <w:top w:w="0" w:type="dxa"/>
          <w:left w:w="108" w:type="dxa"/>
          <w:bottom w:w="0" w:type="dxa"/>
          <w:right w:w="108" w:type="dxa"/>
        </w:tblCellMar>
      </w:tblPr>
      <w:tblGrid>
        <w:gridCol w:w="326"/>
        <w:gridCol w:w="503"/>
        <w:gridCol w:w="299"/>
        <w:gridCol w:w="339"/>
        <w:gridCol w:w="298"/>
        <w:gridCol w:w="341"/>
        <w:gridCol w:w="300"/>
        <w:gridCol w:w="341"/>
        <w:gridCol w:w="298"/>
        <w:gridCol w:w="341"/>
        <w:gridCol w:w="298"/>
        <w:gridCol w:w="341"/>
        <w:gridCol w:w="298"/>
        <w:gridCol w:w="341"/>
        <w:gridCol w:w="298"/>
        <w:gridCol w:w="341"/>
        <w:gridCol w:w="300"/>
        <w:gridCol w:w="342"/>
        <w:gridCol w:w="298"/>
        <w:gridCol w:w="341"/>
        <w:gridCol w:w="298"/>
        <w:gridCol w:w="341"/>
        <w:gridCol w:w="298"/>
        <w:gridCol w:w="341"/>
        <w:gridCol w:w="298"/>
        <w:gridCol w:w="356"/>
      </w:tblGrid>
      <w:tr>
        <w:tblPrEx>
          <w:tblCellMar>
            <w:top w:w="0" w:type="dxa"/>
            <w:left w:w="108" w:type="dxa"/>
            <w:bottom w:w="0" w:type="dxa"/>
            <w:right w:w="108" w:type="dxa"/>
          </w:tblCellMar>
        </w:tblPrEx>
        <w:trPr>
          <w:trHeight w:val="620" w:hRule="atLeast"/>
        </w:trPr>
        <w:tc>
          <w:tcPr>
            <w:tcW w:w="5000" w:type="pct"/>
            <w:gridSpan w:val="26"/>
            <w:tcBorders>
              <w:top w:val="nil"/>
              <w:left w:val="nil"/>
              <w:bottom w:val="nil"/>
              <w:right w:val="nil"/>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长安镇</w:t>
            </w:r>
            <w:r>
              <w:rPr>
                <w:rFonts w:hint="eastAsia" w:ascii="宋体" w:hAnsi="宋体" w:cs="宋体"/>
                <w:color w:val="auto"/>
                <w:kern w:val="0"/>
                <w:szCs w:val="21"/>
                <w:highlight w:val="none"/>
                <w:u w:val="single"/>
                <w:lang w:eastAsia="zh-CN" w:bidi="ar"/>
              </w:rPr>
              <w:t>新民</w:t>
            </w:r>
            <w:r>
              <w:rPr>
                <w:rFonts w:hint="eastAsia" w:ascii="宋体" w:hAnsi="宋体" w:cs="宋体"/>
                <w:color w:val="auto"/>
                <w:kern w:val="0"/>
                <w:szCs w:val="21"/>
                <w:highlight w:val="none"/>
                <w:lang w:bidi="ar"/>
              </w:rPr>
              <w:t>社区环卫投诉处理评分统计表</w:t>
            </w:r>
          </w:p>
        </w:tc>
      </w:tr>
      <w:tr>
        <w:tblPrEx>
          <w:tblCellMar>
            <w:top w:w="0" w:type="dxa"/>
            <w:left w:w="108" w:type="dxa"/>
            <w:bottom w:w="0" w:type="dxa"/>
            <w:right w:w="108" w:type="dxa"/>
          </w:tblCellMar>
        </w:tblPrEx>
        <w:trPr>
          <w:trHeight w:val="285" w:hRule="atLeast"/>
        </w:trPr>
        <w:tc>
          <w:tcPr>
            <w:tcW w:w="5000" w:type="pct"/>
            <w:gridSpan w:val="26"/>
            <w:tcBorders>
              <w:top w:val="nil"/>
              <w:left w:val="nil"/>
              <w:bottom w:val="nil"/>
              <w:right w:val="nil"/>
            </w:tcBorders>
            <w:shd w:val="clear" w:color="auto" w:fill="auto"/>
            <w:noWrap/>
            <w:vAlign w:val="center"/>
          </w:tcPr>
          <w:p>
            <w:pPr>
              <w:rPr>
                <w:rFonts w:ascii="宋体" w:hAnsi="宋体" w:cs="宋体"/>
                <w:color w:val="auto"/>
                <w:szCs w:val="21"/>
                <w:highlight w:val="none"/>
              </w:rPr>
            </w:pPr>
            <w:r>
              <w:rPr>
                <w:rFonts w:hint="eastAsia" w:ascii="宋体" w:hAnsi="宋体" w:cs="宋体"/>
                <w:color w:val="auto"/>
                <w:kern w:val="0"/>
                <w:szCs w:val="21"/>
                <w:highlight w:val="none"/>
                <w:lang w:bidi="ar"/>
              </w:rPr>
              <w:t>表4-3</w:t>
            </w:r>
          </w:p>
        </w:tc>
      </w:tr>
      <w:tr>
        <w:tblPrEx>
          <w:tblCellMar>
            <w:top w:w="0" w:type="dxa"/>
            <w:left w:w="108" w:type="dxa"/>
            <w:bottom w:w="0" w:type="dxa"/>
            <w:right w:w="108" w:type="dxa"/>
          </w:tblCellMar>
        </w:tblPrEx>
        <w:trPr>
          <w:trHeight w:val="375" w:hRule="atLeast"/>
        </w:trPr>
        <w:tc>
          <w:tcPr>
            <w:tcW w:w="5000" w:type="pct"/>
            <w:gridSpan w:val="26"/>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日期:     年  月  日</w:t>
            </w:r>
          </w:p>
        </w:tc>
      </w:tr>
      <w:tr>
        <w:tblPrEx>
          <w:tblCellMar>
            <w:top w:w="0" w:type="dxa"/>
            <w:left w:w="108" w:type="dxa"/>
            <w:bottom w:w="0" w:type="dxa"/>
            <w:right w:w="108" w:type="dxa"/>
          </w:tblCellMar>
        </w:tblPrEx>
        <w:trPr>
          <w:trHeight w:val="520" w:hRule="atLeast"/>
        </w:trPr>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社区  名称</w:t>
            </w:r>
          </w:p>
        </w:tc>
        <w:tc>
          <w:tcPr>
            <w:tcW w:w="4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一月</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二月</w:t>
            </w:r>
          </w:p>
        </w:tc>
        <w:tc>
          <w:tcPr>
            <w:tcW w:w="3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三月</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四月</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五月</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六月</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七月</w:t>
            </w:r>
          </w:p>
        </w:tc>
        <w:tc>
          <w:tcPr>
            <w:tcW w:w="3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八月</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九月</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十月</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十一月</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十二月</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全年投诉合计（笔）</w:t>
            </w:r>
          </w:p>
        </w:tc>
      </w:tr>
      <w:tr>
        <w:tblPrEx>
          <w:tblCellMar>
            <w:top w:w="0" w:type="dxa"/>
            <w:left w:w="108" w:type="dxa"/>
            <w:bottom w:w="0" w:type="dxa"/>
            <w:right w:w="108" w:type="dxa"/>
          </w:tblCellMar>
        </w:tblPrEx>
        <w:trPr>
          <w:trHeight w:val="198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（笔）</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得分（总分5分）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（笔）</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得分（总分5分）</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（笔）</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得分（总分5分）</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（笔）</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得分（总分5分）</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（笔）</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得分（总分5分）</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（笔）</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得分（总分5分）</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（笔）</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得分（总分5分）</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（笔）</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得分（总分5分）</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（笔）</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得分（总分5分）</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（笔）</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得分（总分5分）</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（笔）</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得分（总分5分）</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（笔）</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得分（总分5分）</w:t>
            </w: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19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9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19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9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19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9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19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9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19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222" w:type="pct"/>
            <w:gridSpan w:val="6"/>
            <w:tcBorders>
              <w:top w:val="nil"/>
              <w:left w:val="nil"/>
              <w:bottom w:val="nil"/>
              <w:right w:val="nil"/>
            </w:tcBorders>
            <w:shd w:val="clear" w:color="auto" w:fill="auto"/>
            <w:noWrap/>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lang w:bidi="ar"/>
              </w:rPr>
              <w:t>统计人员签名：</w:t>
            </w: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302" w:type="pct"/>
            <w:gridSpan w:val="7"/>
            <w:tcBorders>
              <w:top w:val="nil"/>
              <w:left w:val="nil"/>
              <w:bottom w:val="nil"/>
              <w:right w:val="nil"/>
            </w:tcBorders>
            <w:shd w:val="clear" w:color="auto" w:fill="auto"/>
            <w:noWrap/>
            <w:vAlign w:val="center"/>
          </w:tcPr>
          <w:p>
            <w:pPr>
              <w:rPr>
                <w:rFonts w:ascii="宋体" w:hAnsi="宋体" w:cs="宋体"/>
                <w:color w:val="auto"/>
                <w:szCs w:val="21"/>
                <w:highlight w:val="none"/>
              </w:rPr>
            </w:pPr>
            <w:r>
              <w:rPr>
                <w:rFonts w:hint="eastAsia" w:ascii="宋体" w:hAnsi="宋体" w:cs="宋体"/>
                <w:color w:val="auto"/>
                <w:kern w:val="0"/>
                <w:szCs w:val="21"/>
                <w:highlight w:val="none"/>
                <w:lang w:bidi="ar"/>
              </w:rPr>
              <w:t>部门负责人签名：</w:t>
            </w: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19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9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19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9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19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9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19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222" w:type="pct"/>
            <w:gridSpan w:val="6"/>
            <w:tcBorders>
              <w:top w:val="nil"/>
              <w:left w:val="nil"/>
              <w:bottom w:val="nil"/>
              <w:right w:val="nil"/>
            </w:tcBorders>
            <w:shd w:val="clear" w:color="auto" w:fill="auto"/>
            <w:noWrap/>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lang w:bidi="ar"/>
              </w:rPr>
              <w:t>复核人员签名：</w:t>
            </w: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127" w:type="pct"/>
            <w:gridSpan w:val="6"/>
            <w:tcBorders>
              <w:top w:val="nil"/>
              <w:left w:val="nil"/>
              <w:bottom w:val="nil"/>
              <w:right w:val="nil"/>
            </w:tcBorders>
            <w:shd w:val="clear" w:color="auto" w:fill="auto"/>
            <w:noWrap/>
            <w:vAlign w:val="center"/>
          </w:tcPr>
          <w:p>
            <w:pPr>
              <w:rPr>
                <w:rFonts w:ascii="宋体" w:hAnsi="宋体" w:cs="宋体"/>
                <w:color w:val="auto"/>
                <w:szCs w:val="21"/>
                <w:highlight w:val="none"/>
              </w:rPr>
            </w:pPr>
            <w:r>
              <w:rPr>
                <w:rFonts w:hint="eastAsia" w:ascii="宋体" w:hAnsi="宋体" w:cs="宋体"/>
                <w:color w:val="auto"/>
                <w:kern w:val="0"/>
                <w:szCs w:val="21"/>
                <w:highlight w:val="none"/>
                <w:lang w:bidi="ar"/>
              </w:rPr>
              <w:t>分管领导签名：</w:t>
            </w: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bl>
    <w:p>
      <w:pPr>
        <w:pStyle w:val="2"/>
        <w:tabs>
          <w:tab w:val="left" w:pos="567"/>
        </w:tabs>
        <w:rPr>
          <w:color w:val="auto"/>
          <w:highlight w:val="none"/>
        </w:rPr>
      </w:pPr>
    </w:p>
    <w:p>
      <w:pPr>
        <w:rPr>
          <w:rFonts w:ascii="宋体" w:hAnsi="宋体"/>
          <w:color w:val="auto"/>
          <w:sz w:val="24"/>
          <w:highlight w:val="none"/>
        </w:rPr>
      </w:pPr>
    </w:p>
    <w:p>
      <w:pPr>
        <w:pStyle w:val="2"/>
        <w:tabs>
          <w:tab w:val="left" w:pos="567"/>
        </w:tabs>
        <w:rPr>
          <w:color w:val="auto"/>
          <w:highlight w:val="none"/>
        </w:rPr>
      </w:pPr>
      <w:r>
        <w:rPr>
          <w:color w:val="auto"/>
          <w:highlight w:val="none"/>
        </w:rPr>
        <w:br w:type="page"/>
      </w:r>
    </w:p>
    <w:tbl>
      <w:tblPr>
        <w:tblStyle w:val="18"/>
        <w:tblW w:w="5000" w:type="pct"/>
        <w:tblInd w:w="0" w:type="dxa"/>
        <w:tblLayout w:type="autofit"/>
        <w:tblCellMar>
          <w:top w:w="0" w:type="dxa"/>
          <w:left w:w="108" w:type="dxa"/>
          <w:bottom w:w="0" w:type="dxa"/>
          <w:right w:w="108" w:type="dxa"/>
        </w:tblCellMar>
      </w:tblPr>
      <w:tblGrid>
        <w:gridCol w:w="260"/>
        <w:gridCol w:w="351"/>
        <w:gridCol w:w="306"/>
        <w:gridCol w:w="351"/>
        <w:gridCol w:w="306"/>
        <w:gridCol w:w="352"/>
        <w:gridCol w:w="307"/>
        <w:gridCol w:w="352"/>
        <w:gridCol w:w="307"/>
        <w:gridCol w:w="352"/>
        <w:gridCol w:w="307"/>
        <w:gridCol w:w="352"/>
        <w:gridCol w:w="307"/>
        <w:gridCol w:w="352"/>
        <w:gridCol w:w="307"/>
        <w:gridCol w:w="352"/>
        <w:gridCol w:w="307"/>
        <w:gridCol w:w="352"/>
        <w:gridCol w:w="307"/>
        <w:gridCol w:w="352"/>
        <w:gridCol w:w="307"/>
        <w:gridCol w:w="352"/>
        <w:gridCol w:w="307"/>
        <w:gridCol w:w="352"/>
        <w:gridCol w:w="307"/>
        <w:gridCol w:w="352"/>
      </w:tblGrid>
      <w:tr>
        <w:tblPrEx>
          <w:tblCellMar>
            <w:top w:w="0" w:type="dxa"/>
            <w:left w:w="108" w:type="dxa"/>
            <w:bottom w:w="0" w:type="dxa"/>
            <w:right w:w="108" w:type="dxa"/>
          </w:tblCellMar>
        </w:tblPrEx>
        <w:trPr>
          <w:trHeight w:val="620" w:hRule="atLeast"/>
        </w:trPr>
        <w:tc>
          <w:tcPr>
            <w:tcW w:w="5000" w:type="pct"/>
            <w:gridSpan w:val="26"/>
            <w:tcBorders>
              <w:top w:val="nil"/>
              <w:left w:val="nil"/>
              <w:bottom w:val="nil"/>
              <w:right w:val="nil"/>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长安镇</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u w:val="single"/>
                <w:lang w:eastAsia="zh-CN" w:bidi="ar"/>
              </w:rPr>
              <w:t>新民</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社区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月环卫明查暗访评分统计表</w:t>
            </w:r>
          </w:p>
        </w:tc>
      </w:tr>
      <w:tr>
        <w:tblPrEx>
          <w:tblCellMar>
            <w:top w:w="0" w:type="dxa"/>
            <w:left w:w="108" w:type="dxa"/>
            <w:bottom w:w="0" w:type="dxa"/>
            <w:right w:w="108" w:type="dxa"/>
          </w:tblCellMar>
        </w:tblPrEx>
        <w:trPr>
          <w:trHeight w:val="285" w:hRule="atLeast"/>
        </w:trPr>
        <w:tc>
          <w:tcPr>
            <w:tcW w:w="5000" w:type="pct"/>
            <w:gridSpan w:val="26"/>
            <w:tcBorders>
              <w:top w:val="nil"/>
              <w:left w:val="nil"/>
              <w:bottom w:val="nil"/>
              <w:right w:val="nil"/>
            </w:tcBorders>
            <w:shd w:val="clear" w:color="auto" w:fill="auto"/>
            <w:noWrap/>
            <w:vAlign w:val="center"/>
          </w:tcPr>
          <w:p>
            <w:pPr>
              <w:rPr>
                <w:rFonts w:ascii="宋体" w:hAnsi="宋体" w:cs="宋体"/>
                <w:color w:val="auto"/>
                <w:szCs w:val="21"/>
                <w:highlight w:val="none"/>
              </w:rPr>
            </w:pPr>
            <w:r>
              <w:rPr>
                <w:rFonts w:hint="eastAsia" w:ascii="宋体" w:hAnsi="宋体" w:cs="宋体"/>
                <w:color w:val="auto"/>
                <w:kern w:val="0"/>
                <w:szCs w:val="21"/>
                <w:highlight w:val="none"/>
                <w:lang w:bidi="ar"/>
              </w:rPr>
              <w:t>表4-4</w:t>
            </w:r>
          </w:p>
        </w:tc>
      </w:tr>
      <w:tr>
        <w:tblPrEx>
          <w:tblCellMar>
            <w:top w:w="0" w:type="dxa"/>
            <w:left w:w="108" w:type="dxa"/>
            <w:bottom w:w="0" w:type="dxa"/>
            <w:right w:w="108" w:type="dxa"/>
          </w:tblCellMar>
        </w:tblPrEx>
        <w:trPr>
          <w:trHeight w:val="375" w:hRule="atLeast"/>
        </w:trPr>
        <w:tc>
          <w:tcPr>
            <w:tcW w:w="5000" w:type="pct"/>
            <w:gridSpan w:val="26"/>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日期:    年    月     日</w:t>
            </w:r>
          </w:p>
        </w:tc>
      </w:tr>
      <w:tr>
        <w:tblPrEx>
          <w:tblCellMar>
            <w:top w:w="0" w:type="dxa"/>
            <w:left w:w="108" w:type="dxa"/>
            <w:bottom w:w="0" w:type="dxa"/>
            <w:right w:w="108" w:type="dxa"/>
          </w:tblCellMar>
        </w:tblPrEx>
        <w:trPr>
          <w:trHeight w:val="540" w:hRule="atLeast"/>
        </w:trPr>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社区  名称</w:t>
            </w:r>
          </w:p>
        </w:tc>
        <w:tc>
          <w:tcPr>
            <w:tcW w:w="3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一月</w:t>
            </w:r>
          </w:p>
        </w:tc>
        <w:tc>
          <w:tcPr>
            <w:tcW w:w="3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二月</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三月</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四月</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五月</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六月</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七月</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八月</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九月</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十月</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十一月</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十二月</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全年明查暗访合计（笔）</w:t>
            </w:r>
          </w:p>
        </w:tc>
      </w:tr>
      <w:tr>
        <w:tblPrEx>
          <w:tblCellMar>
            <w:top w:w="0" w:type="dxa"/>
            <w:left w:w="108" w:type="dxa"/>
            <w:bottom w:w="0" w:type="dxa"/>
            <w:right w:w="108" w:type="dxa"/>
          </w:tblCellMar>
        </w:tblPrEx>
        <w:trPr>
          <w:trHeight w:val="198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明查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暗访（笔）</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5分）</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明查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暗访（笔）</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5分）</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明查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暗访（笔）</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5分）</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明查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暗访（笔）</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5分）</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明查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暗访（笔）</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5分）</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明查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暗访（笔）</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5分）</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明查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暗访（笔）</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5分）</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明查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暗访（笔）</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5分）</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明查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暗访（笔）</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5分）</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明查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暗访（笔）</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5分）</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明查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暗访（笔）</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5分）</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明查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暗访（笔）</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5分）</w:t>
            </w: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720"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15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15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15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15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15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158" w:type="pct"/>
            <w:gridSpan w:val="6"/>
            <w:tcBorders>
              <w:top w:val="nil"/>
              <w:left w:val="nil"/>
              <w:bottom w:val="nil"/>
              <w:right w:val="nil"/>
            </w:tcBorders>
            <w:shd w:val="clear" w:color="auto" w:fill="auto"/>
            <w:noWrap/>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lang w:bidi="ar"/>
              </w:rPr>
              <w:t>统计人员签名：</w:t>
            </w: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160" w:type="pct"/>
            <w:gridSpan w:val="6"/>
            <w:tcBorders>
              <w:top w:val="nil"/>
              <w:left w:val="nil"/>
              <w:bottom w:val="nil"/>
              <w:right w:val="nil"/>
            </w:tcBorders>
            <w:shd w:val="clear" w:color="auto" w:fill="auto"/>
            <w:noWrap/>
            <w:vAlign w:val="center"/>
          </w:tcPr>
          <w:p>
            <w:pPr>
              <w:rPr>
                <w:rFonts w:ascii="宋体" w:hAnsi="宋体" w:cs="宋体"/>
                <w:color w:val="auto"/>
                <w:szCs w:val="21"/>
                <w:highlight w:val="none"/>
              </w:rPr>
            </w:pPr>
            <w:r>
              <w:rPr>
                <w:rFonts w:hint="eastAsia" w:ascii="宋体" w:hAnsi="宋体" w:cs="宋体"/>
                <w:color w:val="auto"/>
                <w:kern w:val="0"/>
                <w:szCs w:val="21"/>
                <w:highlight w:val="none"/>
                <w:lang w:bidi="ar"/>
              </w:rPr>
              <w:t>部门负责人签名：</w:t>
            </w: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15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15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15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15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158" w:type="pct"/>
            <w:gridSpan w:val="6"/>
            <w:tcBorders>
              <w:top w:val="nil"/>
              <w:left w:val="nil"/>
              <w:bottom w:val="nil"/>
              <w:right w:val="nil"/>
            </w:tcBorders>
            <w:shd w:val="clear" w:color="auto" w:fill="auto"/>
            <w:noWrap/>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lang w:bidi="ar"/>
              </w:rPr>
              <w:t>复核人员签名：</w:t>
            </w: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954" w:type="pct"/>
            <w:gridSpan w:val="5"/>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分管领导签名：</w:t>
            </w: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bl>
    <w:p>
      <w:pPr>
        <w:pStyle w:val="2"/>
        <w:tabs>
          <w:tab w:val="left" w:pos="567"/>
        </w:tabs>
        <w:rPr>
          <w:color w:val="auto"/>
          <w:highlight w:val="none"/>
        </w:rPr>
      </w:pPr>
      <w:r>
        <w:rPr>
          <w:rFonts w:hint="eastAsia"/>
          <w:color w:val="auto"/>
          <w:highlight w:val="none"/>
        </w:rPr>
        <w:t xml:space="preserve"> </w:t>
      </w:r>
    </w:p>
    <w:p>
      <w:pPr>
        <w:rPr>
          <w:rFonts w:ascii="宋体" w:hAnsi="宋体"/>
          <w:color w:val="auto"/>
          <w:sz w:val="24"/>
          <w:highlight w:val="none"/>
        </w:rPr>
      </w:pPr>
      <w:r>
        <w:rPr>
          <w:rFonts w:ascii="宋体" w:hAnsi="宋体"/>
          <w:color w:val="auto"/>
          <w:sz w:val="24"/>
          <w:highlight w:val="none"/>
        </w:rPr>
        <w:br w:type="page"/>
      </w:r>
    </w:p>
    <w:tbl>
      <w:tblPr>
        <w:tblStyle w:val="18"/>
        <w:tblW w:w="5000" w:type="pct"/>
        <w:tblInd w:w="0" w:type="dxa"/>
        <w:tblLayout w:type="autofit"/>
        <w:tblCellMar>
          <w:top w:w="0" w:type="dxa"/>
          <w:left w:w="108" w:type="dxa"/>
          <w:bottom w:w="0" w:type="dxa"/>
          <w:right w:w="108" w:type="dxa"/>
        </w:tblCellMar>
      </w:tblPr>
      <w:tblGrid>
        <w:gridCol w:w="629"/>
        <w:gridCol w:w="1686"/>
        <w:gridCol w:w="942"/>
        <w:gridCol w:w="760"/>
        <w:gridCol w:w="917"/>
        <w:gridCol w:w="676"/>
        <w:gridCol w:w="768"/>
        <w:gridCol w:w="749"/>
        <w:gridCol w:w="655"/>
        <w:gridCol w:w="734"/>
      </w:tblGrid>
      <w:tr>
        <w:tblPrEx>
          <w:tblCellMar>
            <w:top w:w="0" w:type="dxa"/>
            <w:left w:w="108" w:type="dxa"/>
            <w:bottom w:w="0" w:type="dxa"/>
            <w:right w:w="108" w:type="dxa"/>
          </w:tblCellMar>
        </w:tblPrEx>
        <w:trPr>
          <w:trHeight w:val="720" w:hRule="atLeast"/>
        </w:trPr>
        <w:tc>
          <w:tcPr>
            <w:tcW w:w="5000" w:type="pct"/>
            <w:gridSpan w:val="10"/>
            <w:tcBorders>
              <w:top w:val="nil"/>
              <w:left w:val="nil"/>
              <w:bottom w:val="nil"/>
              <w:right w:val="nil"/>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长安镇</w:t>
            </w:r>
            <w:r>
              <w:rPr>
                <w:rFonts w:hint="eastAsia" w:ascii="宋体" w:hAnsi="宋体" w:cs="宋体"/>
                <w:color w:val="auto"/>
                <w:kern w:val="0"/>
                <w:szCs w:val="21"/>
                <w:highlight w:val="none"/>
                <w:u w:val="single"/>
                <w:lang w:eastAsia="zh-CN" w:bidi="ar"/>
              </w:rPr>
              <w:t>新民</w:t>
            </w:r>
            <w:r>
              <w:rPr>
                <w:rFonts w:hint="eastAsia" w:ascii="宋体" w:hAnsi="宋体" w:cs="宋体"/>
                <w:color w:val="auto"/>
                <w:kern w:val="0"/>
                <w:szCs w:val="21"/>
                <w:highlight w:val="none"/>
                <w:lang w:bidi="ar"/>
              </w:rPr>
              <w:t>社区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月环卫作业项目现场检查评分汇总表（30分）</w:t>
            </w:r>
          </w:p>
        </w:tc>
      </w:tr>
      <w:tr>
        <w:tblPrEx>
          <w:tblCellMar>
            <w:top w:w="0" w:type="dxa"/>
            <w:left w:w="108" w:type="dxa"/>
            <w:bottom w:w="0" w:type="dxa"/>
            <w:right w:w="108" w:type="dxa"/>
          </w:tblCellMar>
        </w:tblPrEx>
        <w:trPr>
          <w:trHeight w:val="285" w:hRule="atLeast"/>
        </w:trPr>
        <w:tc>
          <w:tcPr>
            <w:tcW w:w="5000" w:type="pct"/>
            <w:gridSpan w:val="10"/>
            <w:tcBorders>
              <w:top w:val="nil"/>
              <w:left w:val="nil"/>
              <w:bottom w:val="nil"/>
              <w:right w:val="nil"/>
            </w:tcBorders>
            <w:shd w:val="clear" w:color="auto" w:fill="auto"/>
            <w:noWrap/>
            <w:vAlign w:val="center"/>
          </w:tcPr>
          <w:p>
            <w:pPr>
              <w:rPr>
                <w:rFonts w:ascii="宋体" w:hAnsi="宋体" w:cs="宋体"/>
                <w:color w:val="auto"/>
                <w:szCs w:val="21"/>
                <w:highlight w:val="none"/>
              </w:rPr>
            </w:pPr>
            <w:r>
              <w:rPr>
                <w:rFonts w:hint="eastAsia" w:ascii="宋体" w:hAnsi="宋体" w:cs="宋体"/>
                <w:color w:val="auto"/>
                <w:kern w:val="0"/>
                <w:szCs w:val="21"/>
                <w:highlight w:val="none"/>
                <w:lang w:bidi="ar"/>
              </w:rPr>
              <w:t>表4-5</w:t>
            </w:r>
          </w:p>
        </w:tc>
      </w:tr>
      <w:tr>
        <w:tblPrEx>
          <w:tblCellMar>
            <w:top w:w="0" w:type="dxa"/>
            <w:left w:w="108" w:type="dxa"/>
            <w:bottom w:w="0" w:type="dxa"/>
            <w:right w:w="108" w:type="dxa"/>
          </w:tblCellMar>
        </w:tblPrEx>
        <w:trPr>
          <w:trHeight w:val="375" w:hRule="atLeast"/>
        </w:trPr>
        <w:tc>
          <w:tcPr>
            <w:tcW w:w="5000" w:type="pct"/>
            <w:gridSpan w:val="10"/>
            <w:tcBorders>
              <w:top w:val="nil"/>
              <w:left w:val="nil"/>
              <w:bottom w:val="nil"/>
              <w:right w:val="nil"/>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日期:    年   月   日</w:t>
            </w:r>
          </w:p>
        </w:tc>
      </w:tr>
      <w:tr>
        <w:tblPrEx>
          <w:tblCellMar>
            <w:top w:w="0" w:type="dxa"/>
            <w:left w:w="108" w:type="dxa"/>
            <w:bottom w:w="0" w:type="dxa"/>
            <w:right w:w="108" w:type="dxa"/>
          </w:tblCellMar>
        </w:tblPrEx>
        <w:trPr>
          <w:trHeight w:val="690" w:hRule="atLeast"/>
        </w:trPr>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社区</w:t>
            </w:r>
          </w:p>
        </w:tc>
        <w:tc>
          <w:tcPr>
            <w:tcW w:w="27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月考核现场检查（20分）</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投诉处理得分（5分）</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明查暗访得分 （5分）</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月考核  总分</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备注</w:t>
            </w:r>
          </w:p>
        </w:tc>
      </w:tr>
      <w:tr>
        <w:tblPrEx>
          <w:tblCellMar>
            <w:top w:w="0" w:type="dxa"/>
            <w:left w:w="108" w:type="dxa"/>
            <w:bottom w:w="0" w:type="dxa"/>
            <w:right w:w="108" w:type="dxa"/>
          </w:tblCellMar>
        </w:tblPrEx>
        <w:trPr>
          <w:trHeight w:val="480"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3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社区领导评名占60%（12分）</w:t>
            </w:r>
          </w:p>
        </w:tc>
        <w:tc>
          <w:tcPr>
            <w:tcW w:w="10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环境办评分占40%（8分）</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合计得分</w:t>
            </w: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85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实际平均分</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按12分换算得分</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实际平均分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按8分换算得分</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82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39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6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78"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7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6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1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39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6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78"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7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6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1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39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6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78"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7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6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1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39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60" w:type="pct"/>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统计人员签名：</w:t>
            </w:r>
          </w:p>
        </w:tc>
        <w:tc>
          <w:tcPr>
            <w:tcW w:w="578"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7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229" w:type="pct"/>
            <w:gridSpan w:val="5"/>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部门负责人签名：</w:t>
            </w:r>
          </w:p>
        </w:tc>
      </w:tr>
      <w:tr>
        <w:tblPrEx>
          <w:tblCellMar>
            <w:top w:w="0" w:type="dxa"/>
            <w:left w:w="108" w:type="dxa"/>
            <w:bottom w:w="0" w:type="dxa"/>
            <w:right w:w="108" w:type="dxa"/>
          </w:tblCellMar>
        </w:tblPrEx>
        <w:trPr>
          <w:trHeight w:val="375" w:hRule="atLeast"/>
        </w:trPr>
        <w:tc>
          <w:tcPr>
            <w:tcW w:w="39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6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78"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7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6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1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39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6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78"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7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6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1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39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6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78"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7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6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1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39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11" w:type="pct"/>
            <w:gridSpan w:val="3"/>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复核人员签名：</w:t>
            </w:r>
          </w:p>
        </w:tc>
        <w:tc>
          <w:tcPr>
            <w:tcW w:w="56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229" w:type="pct"/>
            <w:gridSpan w:val="5"/>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分管领导签名：</w:t>
            </w:r>
          </w:p>
        </w:tc>
      </w:tr>
    </w:tbl>
    <w:p>
      <w:pPr>
        <w:rPr>
          <w:rFonts w:ascii="宋体" w:hAnsi="宋体"/>
          <w:color w:val="auto"/>
          <w:szCs w:val="21"/>
          <w:highlight w:val="none"/>
        </w:rPr>
      </w:pPr>
      <w:r>
        <w:rPr>
          <w:rFonts w:hint="eastAsia" w:ascii="宋体" w:hAnsi="宋体"/>
          <w:color w:val="auto"/>
          <w:szCs w:val="21"/>
          <w:highlight w:val="none"/>
        </w:rPr>
        <w:t xml:space="preserve"> </w:t>
      </w:r>
    </w:p>
    <w:p>
      <w:pPr>
        <w:pStyle w:val="3"/>
        <w:pageBreakBefore/>
        <w:spacing w:line="360" w:lineRule="auto"/>
        <w:rPr>
          <w:rFonts w:hAnsi="宋体" w:cs="仿宋_GB2312"/>
          <w:color w:val="auto"/>
          <w:sz w:val="24"/>
          <w:highlight w:val="none"/>
        </w:rPr>
      </w:pPr>
      <w:bookmarkStart w:id="146" w:name="_Toc152951864"/>
      <w:r>
        <w:rPr>
          <w:rFonts w:hint="eastAsia" w:hAnsi="宋体" w:cs="仿宋_GB2312"/>
          <w:color w:val="auto"/>
          <w:sz w:val="24"/>
          <w:highlight w:val="none"/>
        </w:rPr>
        <w:t>附件：5、长安镇</w:t>
      </w:r>
      <w:r>
        <w:rPr>
          <w:rFonts w:hint="eastAsia" w:hAnsi="宋体" w:cs="仿宋_GB2312"/>
          <w:color w:val="auto"/>
          <w:sz w:val="24"/>
          <w:highlight w:val="none"/>
          <w:lang w:eastAsia="zh-CN"/>
        </w:rPr>
        <w:t>新民</w:t>
      </w:r>
      <w:r>
        <w:rPr>
          <w:rFonts w:hint="eastAsia" w:hAnsi="宋体" w:cs="仿宋_GB2312"/>
          <w:color w:val="auto"/>
          <w:sz w:val="24"/>
          <w:highlight w:val="none"/>
        </w:rPr>
        <w:t>社区*年*月环卫工作项目考核评分结果汇总及扣分扣费情况表</w:t>
      </w:r>
      <w:bookmarkEnd w:id="146"/>
    </w:p>
    <w:tbl>
      <w:tblPr>
        <w:tblStyle w:val="18"/>
        <w:tblW w:w="8554" w:type="dxa"/>
        <w:tblInd w:w="0" w:type="dxa"/>
        <w:tblLayout w:type="fixed"/>
        <w:tblCellMar>
          <w:top w:w="0" w:type="dxa"/>
          <w:left w:w="108" w:type="dxa"/>
          <w:bottom w:w="0" w:type="dxa"/>
          <w:right w:w="108" w:type="dxa"/>
        </w:tblCellMar>
      </w:tblPr>
      <w:tblGrid>
        <w:gridCol w:w="560"/>
        <w:gridCol w:w="563"/>
        <w:gridCol w:w="708"/>
        <w:gridCol w:w="877"/>
        <w:gridCol w:w="915"/>
        <w:gridCol w:w="666"/>
        <w:gridCol w:w="542"/>
        <w:gridCol w:w="625"/>
        <w:gridCol w:w="375"/>
        <w:gridCol w:w="542"/>
        <w:gridCol w:w="521"/>
        <w:gridCol w:w="830"/>
        <w:gridCol w:w="830"/>
      </w:tblGrid>
      <w:tr>
        <w:tblPrEx>
          <w:tblCellMar>
            <w:top w:w="0" w:type="dxa"/>
            <w:left w:w="108" w:type="dxa"/>
            <w:bottom w:w="0" w:type="dxa"/>
            <w:right w:w="108" w:type="dxa"/>
          </w:tblCellMar>
        </w:tblPrEx>
        <w:trPr>
          <w:trHeight w:val="700" w:hRule="atLeast"/>
        </w:trPr>
        <w:tc>
          <w:tcPr>
            <w:tcW w:w="8554" w:type="dxa"/>
            <w:gridSpan w:val="13"/>
            <w:tcBorders>
              <w:top w:val="nil"/>
              <w:left w:val="nil"/>
              <w:bottom w:val="nil"/>
              <w:right w:val="nil"/>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长安镇</w:t>
            </w:r>
            <w:r>
              <w:rPr>
                <w:rFonts w:hint="eastAsia" w:ascii="宋体" w:hAnsi="宋体" w:cs="宋体"/>
                <w:color w:val="auto"/>
                <w:kern w:val="0"/>
                <w:szCs w:val="21"/>
                <w:highlight w:val="none"/>
                <w:u w:val="single"/>
                <w:lang w:eastAsia="zh-CN" w:bidi="ar"/>
              </w:rPr>
              <w:t>新民</w:t>
            </w:r>
            <w:r>
              <w:rPr>
                <w:rFonts w:hint="eastAsia" w:ascii="宋体" w:hAnsi="宋体" w:cs="宋体"/>
                <w:color w:val="auto"/>
                <w:kern w:val="0"/>
                <w:szCs w:val="21"/>
                <w:highlight w:val="none"/>
                <w:lang w:bidi="ar"/>
              </w:rPr>
              <w:t>社区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年</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月环卫作业项目考核评分结果汇总及扣分扣费情况表</w:t>
            </w:r>
          </w:p>
        </w:tc>
      </w:tr>
      <w:tr>
        <w:tblPrEx>
          <w:tblCellMar>
            <w:top w:w="0" w:type="dxa"/>
            <w:left w:w="108" w:type="dxa"/>
            <w:bottom w:w="0" w:type="dxa"/>
            <w:right w:w="108" w:type="dxa"/>
          </w:tblCellMar>
        </w:tblPrEx>
        <w:trPr>
          <w:trHeight w:val="375" w:hRule="atLeast"/>
        </w:trPr>
        <w:tc>
          <w:tcPr>
            <w:tcW w:w="8554" w:type="dxa"/>
            <w:gridSpan w:val="13"/>
            <w:tcBorders>
              <w:top w:val="nil"/>
              <w:left w:val="nil"/>
              <w:bottom w:val="single" w:color="000000" w:sz="4" w:space="0"/>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单位（盖章）                                            日期:      年     月   日</w:t>
            </w:r>
          </w:p>
        </w:tc>
      </w:tr>
      <w:tr>
        <w:tblPrEx>
          <w:tblCellMar>
            <w:top w:w="0" w:type="dxa"/>
            <w:left w:w="108" w:type="dxa"/>
            <w:bottom w:w="0" w:type="dxa"/>
            <w:right w:w="108" w:type="dxa"/>
          </w:tblCellMar>
        </w:tblPrEx>
        <w:trPr>
          <w:trHeight w:val="495" w:hRule="atLeast"/>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社区名称</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承包公司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名称</w:t>
            </w:r>
          </w:p>
        </w:tc>
        <w:tc>
          <w:tcPr>
            <w:tcW w:w="52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环卫作业项目总分100分</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总扣分（分）</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总扣减费用（元）</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月支付费用（元）</w:t>
            </w:r>
          </w:p>
        </w:tc>
      </w:tr>
      <w:tr>
        <w:tblPrEx>
          <w:tblCellMar>
            <w:top w:w="0" w:type="dxa"/>
            <w:left w:w="108" w:type="dxa"/>
            <w:bottom w:w="0" w:type="dxa"/>
            <w:right w:w="108" w:type="dxa"/>
          </w:tblCellMar>
        </w:tblPrEx>
        <w:trPr>
          <w:trHeight w:val="57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日检（50分）</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半月检（20分）</w:t>
            </w:r>
          </w:p>
        </w:tc>
        <w:tc>
          <w:tcPr>
            <w:tcW w:w="1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月检（30分）</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各项合计得分</w:t>
            </w:r>
          </w:p>
        </w:tc>
        <w:tc>
          <w:tcPr>
            <w:tcW w:w="5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承包公司得分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72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当月日检平均分</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管理架构、制度、人员配备等两次平均得分（10分）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车辆配备两次平均得分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（10分）</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月考核现场评分（20分）</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投诉处理（5分）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明查暗访（5分）</w:t>
            </w: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8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542"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56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08"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7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91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6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2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56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08"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7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91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6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2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56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08"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7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91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6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2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1831" w:type="dxa"/>
            <w:gridSpan w:val="3"/>
            <w:tcBorders>
              <w:top w:val="nil"/>
              <w:left w:val="nil"/>
              <w:bottom w:val="nil"/>
              <w:right w:val="nil"/>
            </w:tcBorders>
            <w:shd w:val="clear" w:color="auto" w:fill="auto"/>
            <w:noWrap/>
            <w:vAlign w:val="center"/>
          </w:tcPr>
          <w:p>
            <w:pPr>
              <w:rPr>
                <w:rFonts w:ascii="宋体" w:hAnsi="宋体" w:cs="宋体"/>
                <w:color w:val="auto"/>
                <w:szCs w:val="21"/>
                <w:highlight w:val="none"/>
              </w:rPr>
            </w:pPr>
            <w:r>
              <w:rPr>
                <w:rFonts w:hint="eastAsia" w:ascii="宋体" w:hAnsi="宋体" w:cs="宋体"/>
                <w:color w:val="auto"/>
                <w:kern w:val="0"/>
                <w:szCs w:val="21"/>
                <w:highlight w:val="none"/>
                <w:lang w:bidi="ar"/>
              </w:rPr>
              <w:t>统计人员签名：</w:t>
            </w:r>
          </w:p>
        </w:tc>
        <w:tc>
          <w:tcPr>
            <w:tcW w:w="87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91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6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2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56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08"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7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91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6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84" w:type="dxa"/>
            <w:gridSpan w:val="4"/>
            <w:tcBorders>
              <w:top w:val="nil"/>
              <w:left w:val="nil"/>
              <w:bottom w:val="nil"/>
              <w:right w:val="nil"/>
            </w:tcBorders>
            <w:shd w:val="clear" w:color="auto" w:fill="auto"/>
            <w:noWrap/>
            <w:vAlign w:val="center"/>
          </w:tcPr>
          <w:p>
            <w:pPr>
              <w:rPr>
                <w:rFonts w:ascii="宋体" w:hAnsi="宋体" w:cs="宋体"/>
                <w:color w:val="auto"/>
                <w:szCs w:val="21"/>
                <w:highlight w:val="none"/>
              </w:rPr>
            </w:pPr>
            <w:r>
              <w:rPr>
                <w:rFonts w:hint="eastAsia" w:ascii="宋体" w:hAnsi="宋体" w:cs="宋体"/>
                <w:color w:val="auto"/>
                <w:kern w:val="0"/>
                <w:szCs w:val="21"/>
                <w:highlight w:val="none"/>
                <w:lang w:bidi="ar"/>
              </w:rPr>
              <w:t>分管领导签名：</w:t>
            </w:r>
          </w:p>
        </w:tc>
        <w:tc>
          <w:tcPr>
            <w:tcW w:w="5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56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08"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7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91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6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2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56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08"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7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91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6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2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1831" w:type="dxa"/>
            <w:gridSpan w:val="3"/>
            <w:tcBorders>
              <w:top w:val="nil"/>
              <w:left w:val="nil"/>
              <w:bottom w:val="nil"/>
              <w:right w:val="nil"/>
            </w:tcBorders>
            <w:shd w:val="clear" w:color="auto" w:fill="auto"/>
            <w:noWrap/>
            <w:vAlign w:val="center"/>
          </w:tcPr>
          <w:p>
            <w:pPr>
              <w:rPr>
                <w:rFonts w:ascii="宋体" w:hAnsi="宋体" w:cs="宋体"/>
                <w:color w:val="auto"/>
                <w:szCs w:val="21"/>
                <w:highlight w:val="none"/>
              </w:rPr>
            </w:pPr>
            <w:r>
              <w:rPr>
                <w:rFonts w:hint="eastAsia" w:ascii="宋体" w:hAnsi="宋体" w:cs="宋体"/>
                <w:color w:val="auto"/>
                <w:kern w:val="0"/>
                <w:szCs w:val="21"/>
                <w:highlight w:val="none"/>
                <w:lang w:bidi="ar"/>
              </w:rPr>
              <w:t>复核人员签名：</w:t>
            </w:r>
          </w:p>
        </w:tc>
        <w:tc>
          <w:tcPr>
            <w:tcW w:w="87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91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6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2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56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08"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7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91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6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2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56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08"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7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91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6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2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56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08"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7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91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6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2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56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08"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7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91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6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2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05" w:hRule="atLeast"/>
        </w:trPr>
        <w:tc>
          <w:tcPr>
            <w:tcW w:w="1831" w:type="dxa"/>
            <w:gridSpan w:val="3"/>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部门负责人签名：</w:t>
            </w:r>
          </w:p>
        </w:tc>
        <w:tc>
          <w:tcPr>
            <w:tcW w:w="87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91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6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84" w:type="dxa"/>
            <w:gridSpan w:val="4"/>
            <w:tcBorders>
              <w:top w:val="nil"/>
              <w:left w:val="nil"/>
              <w:bottom w:val="nil"/>
              <w:right w:val="nil"/>
            </w:tcBorders>
            <w:shd w:val="clear" w:color="auto" w:fill="auto"/>
            <w:noWrap/>
            <w:vAlign w:val="center"/>
          </w:tcPr>
          <w:p>
            <w:pPr>
              <w:rPr>
                <w:rFonts w:ascii="宋体" w:hAnsi="宋体" w:cs="宋体"/>
                <w:color w:val="auto"/>
                <w:szCs w:val="21"/>
                <w:highlight w:val="none"/>
              </w:rPr>
            </w:pPr>
            <w:r>
              <w:rPr>
                <w:rFonts w:hint="eastAsia" w:ascii="宋体" w:hAnsi="宋体" w:cs="宋体"/>
                <w:color w:val="auto"/>
                <w:kern w:val="0"/>
                <w:szCs w:val="21"/>
                <w:highlight w:val="none"/>
                <w:lang w:bidi="ar"/>
              </w:rPr>
              <w:t>社区负责人签名：</w:t>
            </w:r>
          </w:p>
        </w:tc>
        <w:tc>
          <w:tcPr>
            <w:tcW w:w="5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bl>
    <w:p>
      <w:pPr>
        <w:pStyle w:val="2"/>
        <w:tabs>
          <w:tab w:val="left" w:pos="567"/>
        </w:tabs>
        <w:rPr>
          <w:color w:val="auto"/>
          <w:sz w:val="21"/>
          <w:szCs w:val="21"/>
          <w:highlight w:val="none"/>
        </w:rPr>
      </w:pPr>
    </w:p>
    <w:p>
      <w:pPr>
        <w:rPr>
          <w:rFonts w:ascii="宋体" w:hAnsi="宋体"/>
          <w:color w:val="auto"/>
          <w:sz w:val="24"/>
          <w:highlight w:val="none"/>
        </w:rPr>
      </w:pPr>
      <w:r>
        <w:rPr>
          <w:rFonts w:hint="eastAsia" w:ascii="宋体" w:hAnsi="宋体"/>
          <w:color w:val="auto"/>
          <w:sz w:val="24"/>
          <w:highlight w:val="none"/>
        </w:rPr>
        <w:t xml:space="preserve"> </w:t>
      </w:r>
    </w:p>
    <w:p>
      <w:pPr>
        <w:pStyle w:val="3"/>
        <w:pageBreakBefore/>
        <w:spacing w:line="360" w:lineRule="auto"/>
        <w:rPr>
          <w:rFonts w:hAnsi="宋体" w:cs="仿宋_GB2312"/>
          <w:color w:val="auto"/>
          <w:sz w:val="24"/>
          <w:highlight w:val="none"/>
        </w:rPr>
      </w:pPr>
      <w:bookmarkStart w:id="147" w:name="_Toc152951865"/>
      <w:r>
        <w:rPr>
          <w:rFonts w:hint="eastAsia" w:hAnsi="宋体" w:cs="仿宋_GB2312"/>
          <w:color w:val="auto"/>
          <w:sz w:val="24"/>
          <w:highlight w:val="none"/>
        </w:rPr>
        <w:t>附件：6、*年长安镇</w:t>
      </w:r>
      <w:r>
        <w:rPr>
          <w:rFonts w:hint="eastAsia" w:hAnsi="宋体" w:cs="仿宋_GB2312"/>
          <w:color w:val="auto"/>
          <w:sz w:val="24"/>
          <w:highlight w:val="none"/>
          <w:lang w:eastAsia="zh-CN"/>
        </w:rPr>
        <w:t>新民</w:t>
      </w:r>
      <w:r>
        <w:rPr>
          <w:rFonts w:hint="eastAsia" w:hAnsi="宋体" w:cs="仿宋_GB2312"/>
          <w:color w:val="auto"/>
          <w:sz w:val="24"/>
          <w:highlight w:val="none"/>
        </w:rPr>
        <w:t>社区环卫年终考核评分表</w:t>
      </w:r>
      <w:bookmarkEnd w:id="147"/>
    </w:p>
    <w:tbl>
      <w:tblPr>
        <w:tblStyle w:val="18"/>
        <w:tblW w:w="5000" w:type="pct"/>
        <w:tblInd w:w="0" w:type="dxa"/>
        <w:tblLayout w:type="autofit"/>
        <w:tblCellMar>
          <w:top w:w="0" w:type="dxa"/>
          <w:left w:w="108" w:type="dxa"/>
          <w:bottom w:w="0" w:type="dxa"/>
          <w:right w:w="108" w:type="dxa"/>
        </w:tblCellMar>
      </w:tblPr>
      <w:tblGrid>
        <w:gridCol w:w="567"/>
        <w:gridCol w:w="694"/>
        <w:gridCol w:w="627"/>
        <w:gridCol w:w="624"/>
        <w:gridCol w:w="624"/>
        <w:gridCol w:w="624"/>
        <w:gridCol w:w="624"/>
        <w:gridCol w:w="624"/>
        <w:gridCol w:w="624"/>
        <w:gridCol w:w="633"/>
        <w:gridCol w:w="626"/>
        <w:gridCol w:w="626"/>
        <w:gridCol w:w="654"/>
        <w:gridCol w:w="345"/>
      </w:tblGrid>
      <w:tr>
        <w:tblPrEx>
          <w:tblCellMar>
            <w:top w:w="0" w:type="dxa"/>
            <w:left w:w="108" w:type="dxa"/>
            <w:bottom w:w="0" w:type="dxa"/>
            <w:right w:w="108" w:type="dxa"/>
          </w:tblCellMar>
        </w:tblPrEx>
        <w:trPr>
          <w:trHeight w:val="680" w:hRule="atLeast"/>
        </w:trPr>
        <w:tc>
          <w:tcPr>
            <w:tcW w:w="5000" w:type="pct"/>
            <w:gridSpan w:val="14"/>
            <w:tcBorders>
              <w:top w:val="nil"/>
              <w:left w:val="nil"/>
              <w:bottom w:val="nil"/>
              <w:right w:val="nil"/>
            </w:tcBorders>
            <w:shd w:val="clear" w:color="auto" w:fill="auto"/>
            <w:noWrap/>
            <w:vAlign w:val="center"/>
          </w:tcPr>
          <w:p>
            <w:pPr>
              <w:widowControl/>
              <w:jc w:val="center"/>
              <w:textAlignment w:val="center"/>
              <w:rPr>
                <w:rFonts w:ascii="宋体" w:hAnsi="宋体" w:cs="宋体"/>
                <w:color w:val="auto"/>
                <w:szCs w:val="21"/>
                <w:highlight w:val="none"/>
                <w:u w:val="single"/>
              </w:rPr>
            </w:pPr>
            <w:r>
              <w:rPr>
                <w:rFonts w:hint="eastAsia" w:ascii="宋体" w:hAnsi="宋体" w:cs="宋体"/>
                <w:color w:val="auto"/>
                <w:kern w:val="0"/>
                <w:szCs w:val="21"/>
                <w:highlight w:val="none"/>
                <w:u w:val="single"/>
                <w:lang w:bidi="ar"/>
              </w:rPr>
              <w:t xml:space="preserve">            年长安镇</w:t>
            </w:r>
            <w:r>
              <w:rPr>
                <w:rFonts w:hint="eastAsia" w:ascii="宋体" w:hAnsi="宋体" w:cs="宋体"/>
                <w:color w:val="auto"/>
                <w:kern w:val="0"/>
                <w:szCs w:val="21"/>
                <w:highlight w:val="none"/>
                <w:u w:val="single"/>
                <w:lang w:eastAsia="zh-CN" w:bidi="ar"/>
              </w:rPr>
              <w:t>新民</w:t>
            </w:r>
            <w:r>
              <w:rPr>
                <w:rFonts w:hint="eastAsia" w:ascii="宋体" w:hAnsi="宋体" w:cs="宋体"/>
                <w:color w:val="auto"/>
                <w:kern w:val="0"/>
                <w:szCs w:val="21"/>
                <w:highlight w:val="none"/>
                <w:u w:val="single"/>
                <w:lang w:bidi="ar"/>
              </w:rPr>
              <w:t>社区环卫年终考核评分表</w:t>
            </w:r>
          </w:p>
        </w:tc>
      </w:tr>
      <w:tr>
        <w:tblPrEx>
          <w:tblCellMar>
            <w:top w:w="0" w:type="dxa"/>
            <w:left w:w="108" w:type="dxa"/>
            <w:bottom w:w="0" w:type="dxa"/>
            <w:right w:w="108" w:type="dxa"/>
          </w:tblCellMar>
        </w:tblPrEx>
        <w:trPr>
          <w:trHeight w:val="285" w:hRule="atLeast"/>
        </w:trPr>
        <w:tc>
          <w:tcPr>
            <w:tcW w:w="740" w:type="pct"/>
            <w:gridSpan w:val="2"/>
            <w:tcBorders>
              <w:top w:val="nil"/>
              <w:left w:val="nil"/>
              <w:bottom w:val="nil"/>
              <w:right w:val="nil"/>
            </w:tcBorders>
            <w:shd w:val="clear" w:color="auto" w:fill="auto"/>
            <w:noWrap/>
            <w:vAlign w:val="center"/>
          </w:tcPr>
          <w:p>
            <w:pPr>
              <w:rPr>
                <w:rFonts w:ascii="宋体" w:hAnsi="宋体" w:cs="宋体"/>
                <w:color w:val="auto"/>
                <w:szCs w:val="21"/>
                <w:highlight w:val="none"/>
              </w:rPr>
            </w:pPr>
            <w:r>
              <w:rPr>
                <w:rFonts w:hint="eastAsia" w:ascii="宋体" w:hAnsi="宋体" w:cs="宋体"/>
                <w:color w:val="auto"/>
                <w:kern w:val="0"/>
                <w:szCs w:val="21"/>
                <w:highlight w:val="none"/>
                <w:lang w:bidi="ar"/>
              </w:rPr>
              <w:t>表6</w:t>
            </w: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jc w:val="cente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8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4796" w:type="pct"/>
            <w:gridSpan w:val="13"/>
            <w:tcBorders>
              <w:top w:val="nil"/>
              <w:left w:val="nil"/>
              <w:bottom w:val="single" w:color="000000" w:sz="4" w:space="0"/>
              <w:right w:val="nil"/>
            </w:tcBorders>
            <w:shd w:val="clear" w:color="auto" w:fill="auto"/>
            <w:noWrap/>
            <w:vAlign w:val="center"/>
          </w:tcPr>
          <w:p>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日期:    年   月    日</w:t>
            </w:r>
          </w:p>
        </w:tc>
        <w:tc>
          <w:tcPr>
            <w:tcW w:w="20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1455" w:hRule="atLeast"/>
        </w:trPr>
        <w:tc>
          <w:tcPr>
            <w:tcW w:w="327"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社区名称</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一月月检平均得分</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二月月检平均得分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三月月检平均得分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四月月检平均得分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五月月检平均得分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六月月检平均得分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七月月检平均得分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八月月检平均得分</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九月月检平均得分</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十月月检平均得分</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十一月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月检平均得分</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十二月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月检平均得分</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年终平均得分</w:t>
            </w:r>
          </w:p>
        </w:tc>
      </w:tr>
      <w:tr>
        <w:tblPrEx>
          <w:tblCellMar>
            <w:top w:w="0" w:type="dxa"/>
            <w:left w:w="108" w:type="dxa"/>
            <w:bottom w:w="0" w:type="dxa"/>
            <w:right w:w="108" w:type="dxa"/>
          </w:tblCellMar>
        </w:tblPrEx>
        <w:trPr>
          <w:trHeight w:val="99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10" w:hRule="atLeast"/>
        </w:trPr>
        <w:tc>
          <w:tcPr>
            <w:tcW w:w="4796" w:type="pct"/>
            <w:gridSpan w:val="13"/>
            <w:tcBorders>
              <w:top w:val="single" w:color="000000" w:sz="4" w:space="0"/>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注：每月填写分数是指参评人员在当月“月考核现场检查评表”打分的平均分数。总分100分。</w:t>
            </w:r>
          </w:p>
        </w:tc>
        <w:tc>
          <w:tcPr>
            <w:tcW w:w="20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32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1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jc w:val="cente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8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32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1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jc w:val="cente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8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32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1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jc w:val="cente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8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1108" w:type="pct"/>
            <w:gridSpan w:val="3"/>
            <w:tcBorders>
              <w:top w:val="nil"/>
              <w:left w:val="nil"/>
              <w:bottom w:val="nil"/>
              <w:right w:val="nil"/>
            </w:tcBorders>
            <w:shd w:val="clear" w:color="auto" w:fill="auto"/>
            <w:noWrap/>
            <w:vAlign w:val="center"/>
          </w:tcPr>
          <w:p>
            <w:pPr>
              <w:rPr>
                <w:rFonts w:ascii="宋体" w:hAnsi="宋体" w:cs="宋体"/>
                <w:color w:val="auto"/>
                <w:szCs w:val="21"/>
                <w:highlight w:val="none"/>
              </w:rPr>
            </w:pPr>
            <w:r>
              <w:rPr>
                <w:rFonts w:hint="eastAsia" w:ascii="宋体" w:hAnsi="宋体" w:cs="宋体"/>
                <w:color w:val="auto"/>
                <w:kern w:val="0"/>
                <w:szCs w:val="21"/>
                <w:highlight w:val="none"/>
                <w:lang w:bidi="ar"/>
              </w:rPr>
              <w:t>统计人员签名：</w:t>
            </w: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jc w:val="cente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104" w:type="pct"/>
            <w:gridSpan w:val="3"/>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部门负责人签名：</w:t>
            </w: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8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32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1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jc w:val="cente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8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32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1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jc w:val="cente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8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32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1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jc w:val="cente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8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1108" w:type="pct"/>
            <w:gridSpan w:val="3"/>
            <w:tcBorders>
              <w:top w:val="nil"/>
              <w:left w:val="nil"/>
              <w:bottom w:val="nil"/>
              <w:right w:val="nil"/>
            </w:tcBorders>
            <w:shd w:val="clear" w:color="auto" w:fill="auto"/>
            <w:noWrap/>
            <w:vAlign w:val="center"/>
          </w:tcPr>
          <w:p>
            <w:pPr>
              <w:rPr>
                <w:rFonts w:ascii="宋体" w:hAnsi="宋体" w:cs="宋体"/>
                <w:color w:val="auto"/>
                <w:szCs w:val="21"/>
                <w:highlight w:val="none"/>
              </w:rPr>
            </w:pPr>
            <w:r>
              <w:rPr>
                <w:rFonts w:hint="eastAsia" w:ascii="宋体" w:hAnsi="宋体" w:cs="宋体"/>
                <w:color w:val="auto"/>
                <w:kern w:val="0"/>
                <w:szCs w:val="21"/>
                <w:highlight w:val="none"/>
                <w:lang w:bidi="ar"/>
              </w:rPr>
              <w:t>复核人员签名：</w:t>
            </w: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jc w:val="cente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104" w:type="pct"/>
            <w:gridSpan w:val="3"/>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分管领导签名：</w:t>
            </w: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8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bl>
    <w:p>
      <w:pPr>
        <w:pStyle w:val="2"/>
        <w:tabs>
          <w:tab w:val="left" w:pos="567"/>
        </w:tabs>
        <w:rPr>
          <w:color w:val="auto"/>
          <w:kern w:val="0"/>
          <w:sz w:val="21"/>
          <w:szCs w:val="21"/>
          <w:highlight w:val="none"/>
        </w:rPr>
      </w:pPr>
    </w:p>
    <w:p>
      <w:pPr>
        <w:rPr>
          <w:color w:val="auto"/>
          <w:highlight w:val="none"/>
        </w:rPr>
      </w:pPr>
    </w:p>
    <w:p>
      <w:pPr>
        <w:widowControl/>
        <w:spacing w:line="360" w:lineRule="auto"/>
        <w:rPr>
          <w:rFonts w:ascii="宋体" w:hAnsi="宋体" w:cs="宋体"/>
          <w:b/>
          <w:color w:val="auto"/>
          <w:szCs w:val="21"/>
          <w:highlight w:val="none"/>
        </w:rPr>
      </w:pPr>
    </w:p>
    <w:p>
      <w:pPr>
        <w:pStyle w:val="2"/>
        <w:rPr>
          <w:color w:val="auto"/>
          <w:highlight w:val="none"/>
          <w:lang w:val="en-US"/>
        </w:rPr>
      </w:pPr>
    </w:p>
    <w:p>
      <w:pPr>
        <w:rPr>
          <w:rFonts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pPr>
        <w:pStyle w:val="2"/>
        <w:spacing w:before="0" w:line="360" w:lineRule="auto"/>
        <w:ind w:left="638" w:leftChars="304"/>
        <w:rPr>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pPr>
        <w:rPr>
          <w:color w:val="auto"/>
          <w:highlight w:val="none"/>
        </w:rPr>
      </w:pPr>
      <w:bookmarkStart w:id="148" w:name="_Toc28584"/>
      <w:r>
        <w:rPr>
          <w:rFonts w:hint="eastAsia"/>
          <w:color w:val="auto"/>
          <w:highlight w:val="none"/>
        </w:rPr>
        <w:br w:type="page"/>
      </w:r>
    </w:p>
    <w:p>
      <w:pPr>
        <w:pStyle w:val="3"/>
        <w:numPr>
          <w:ilvl w:val="0"/>
          <w:numId w:val="1"/>
        </w:numPr>
        <w:rPr>
          <w:color w:val="auto"/>
          <w:highlight w:val="none"/>
        </w:rPr>
      </w:pPr>
      <w:r>
        <w:rPr>
          <w:rFonts w:hint="eastAsia"/>
          <w:color w:val="auto"/>
          <w:highlight w:val="none"/>
        </w:rPr>
        <w:t>详细评审</w:t>
      </w:r>
      <w:bookmarkEnd w:id="148"/>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174"/>
        <w:gridCol w:w="719"/>
        <w:gridCol w:w="5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02" w:type="pct"/>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689" w:type="pct"/>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422" w:type="pct"/>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3485" w:type="pct"/>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30分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402" w:type="pct"/>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689" w:type="pct"/>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体系认证</w:t>
            </w:r>
          </w:p>
        </w:tc>
        <w:tc>
          <w:tcPr>
            <w:tcW w:w="422" w:type="pct"/>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3485" w:type="pct"/>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en-US" w:eastAsia="zh-CN" w:bidi="ar-SA"/>
              </w:rPr>
              <w:t xml:space="preserve">具有由国家认证认可监督管理部门批准设立的认证机构颁发并在有效期内质量管理体系认证证书、环境管理体系认证证书、职业健康安全管理体系证书的，每项证书2分，满分6分。 </w:t>
            </w:r>
          </w:p>
          <w:p>
            <w:pPr>
              <w:pStyle w:val="26"/>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注：须提供有效期内的证书复印件加盖</w:t>
            </w:r>
            <w:r>
              <w:rPr>
                <w:rFonts w:hint="eastAsia" w:asci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en-US" w:eastAsia="zh-CN" w:bidi="ar-SA"/>
              </w:rPr>
              <w:t>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402" w:type="pct"/>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689" w:type="pct"/>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相关业绩</w:t>
            </w:r>
          </w:p>
        </w:tc>
        <w:tc>
          <w:tcPr>
            <w:tcW w:w="422" w:type="pct"/>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20</w:t>
            </w:r>
          </w:p>
        </w:tc>
        <w:tc>
          <w:tcPr>
            <w:tcW w:w="3485" w:type="pct"/>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投标人承接的环卫保洁或垃圾收集或垃圾清运</w:t>
            </w:r>
            <w:r>
              <w:rPr>
                <w:rFonts w:hint="eastAsia" w:ascii="宋体" w:eastAsia="宋体" w:cs="宋体"/>
                <w:color w:val="auto"/>
                <w:kern w:val="2"/>
                <w:sz w:val="21"/>
                <w:szCs w:val="21"/>
                <w:highlight w:val="none"/>
                <w:lang w:val="en-US" w:eastAsia="zh-CN" w:bidi="ar-SA"/>
              </w:rPr>
              <w:t>或绿化养护</w:t>
            </w:r>
            <w:r>
              <w:rPr>
                <w:rFonts w:hint="eastAsia" w:ascii="宋体" w:hAnsi="宋体" w:eastAsia="宋体" w:cs="宋体"/>
                <w:color w:val="auto"/>
                <w:kern w:val="2"/>
                <w:sz w:val="21"/>
                <w:szCs w:val="21"/>
                <w:highlight w:val="none"/>
                <w:lang w:val="en-US" w:eastAsia="zh-CN" w:bidi="ar-SA"/>
              </w:rPr>
              <w:t>类或公厕管养类业绩，每提供一个得</w:t>
            </w:r>
            <w:r>
              <w:rPr>
                <w:rFonts w:hint="eastAsia" w:ascii="宋体" w:eastAsia="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分，最高得</w:t>
            </w:r>
            <w:r>
              <w:rPr>
                <w:rFonts w:hint="eastAsia" w:ascii="宋体" w:eastAsia="宋体" w:cs="宋体"/>
                <w:color w:val="auto"/>
                <w:kern w:val="2"/>
                <w:sz w:val="21"/>
                <w:szCs w:val="21"/>
                <w:highlight w:val="none"/>
                <w:lang w:val="en-US" w:eastAsia="zh-CN" w:bidi="ar-SA"/>
              </w:rPr>
              <w:t>20</w:t>
            </w:r>
            <w:r>
              <w:rPr>
                <w:rFonts w:hint="eastAsia" w:ascii="宋体" w:hAnsi="宋体" w:eastAsia="宋体" w:cs="宋体"/>
                <w:color w:val="auto"/>
                <w:kern w:val="2"/>
                <w:sz w:val="21"/>
                <w:szCs w:val="21"/>
                <w:highlight w:val="none"/>
                <w:lang w:val="en-US" w:eastAsia="zh-CN" w:bidi="ar-SA"/>
              </w:rPr>
              <w:t>分。</w:t>
            </w:r>
          </w:p>
          <w:p>
            <w:pPr>
              <w:pStyle w:val="26"/>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kern w:val="2"/>
                <w:sz w:val="21"/>
                <w:szCs w:val="21"/>
                <w:highlight w:val="none"/>
                <w:lang w:val="en-US" w:eastAsia="zh-CN" w:bidi="ar-SA"/>
              </w:rPr>
              <w:t>注：须提供合同扫描件并加盖投标人公章。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402" w:type="pct"/>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689" w:type="pct"/>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服务便利性</w:t>
            </w:r>
          </w:p>
        </w:tc>
        <w:tc>
          <w:tcPr>
            <w:tcW w:w="422" w:type="pct"/>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34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根据投标人提供的服务响应时间承诺进行评分。</w:t>
            </w:r>
          </w:p>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投标人承诺在接到采购人通知后</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小时内到现场，得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投标人承诺在接到采购人通知后</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小时内到现场，得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投标人承诺在接到采购人通知后</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小时内到现场，得1分；</w:t>
            </w:r>
          </w:p>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投标人承诺在接到采购人通知后超过</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小时到现场，不得分。</w:t>
            </w:r>
          </w:p>
          <w:p>
            <w:pPr>
              <w:pStyle w:val="26"/>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ascii="宋体" w:eastAsia="宋体" w:cs="宋体"/>
                <w:color w:val="auto"/>
                <w:sz w:val="21"/>
                <w:szCs w:val="21"/>
                <w:highlight w:val="none"/>
                <w:lang w:val="zh-CN"/>
              </w:rPr>
            </w:pPr>
            <w:r>
              <w:rPr>
                <w:rFonts w:hint="eastAsia" w:ascii="宋体" w:eastAsia="宋体" w:cs="宋体"/>
                <w:bCs/>
                <w:color w:val="auto"/>
                <w:sz w:val="21"/>
                <w:szCs w:val="21"/>
                <w:highlight w:val="none"/>
              </w:rPr>
              <w:t>提供服务承诺书并加盖投标人公章。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60分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689" w:type="pct"/>
            <w:tcBorders>
              <w:top w:val="single" w:color="auto" w:sz="4" w:space="0"/>
              <w:left w:val="single" w:color="auto" w:sz="4" w:space="0"/>
              <w:bottom w:val="single" w:color="auto" w:sz="4" w:space="0"/>
              <w:right w:val="single" w:color="auto" w:sz="4" w:space="0"/>
            </w:tcBorders>
            <w:vAlign w:val="center"/>
          </w:tcPr>
          <w:p>
            <w:pPr>
              <w:pStyle w:val="26"/>
              <w:spacing w:line="360" w:lineRule="exact"/>
              <w:ind w:firstLine="0" w:firstLineChars="0"/>
              <w:jc w:val="center"/>
              <w:rPr>
                <w:rFonts w:asci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对项目实施区域及项目内容的熟悉程度</w:t>
            </w:r>
          </w:p>
        </w:tc>
        <w:tc>
          <w:tcPr>
            <w:tcW w:w="4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eastAsia="宋体" w:cs="宋体"/>
                <w:color w:val="auto"/>
                <w:sz w:val="21"/>
                <w:szCs w:val="21"/>
                <w:highlight w:val="none"/>
                <w:lang w:eastAsia="zh-CN"/>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5</w:t>
            </w:r>
          </w:p>
        </w:tc>
        <w:tc>
          <w:tcPr>
            <w:tcW w:w="3485"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根据投标人的对项目的熟悉程度进行综合评分：</w:t>
            </w:r>
          </w:p>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1.投标人熟悉了解本次采购项目实施区域环境现状，对本项目服务内容熟悉，非常了解本项目服务重点，能详细说明辖区内的工作难点、重点，完全贴合项目需求，得15分；</w:t>
            </w:r>
          </w:p>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2.投标人对本次采购项目实施区域环境现状较为清楚，对本项目服务内容熟悉，了解本项目服务重点，能概述辖区内的工作难点、重点 ，基本贴合项目需求，得10分； </w:t>
            </w:r>
          </w:p>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3.投标人对本次采购项目实施区域环境现状了解欠缺，对本项目服务内容不够熟悉，对本项目服务重点不够了解，不能说明辖区内的工作难点、重点，部分贴合项目需求，得5分； </w:t>
            </w:r>
          </w:p>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4.投标人对本次采购项目实施区域环境现状不了解，对本项目服务内容不熟悉，对本项目服务重点不了解，不能说明辖区内的工作难点、重点，未能贴合项目需求，得1分；  </w:t>
            </w:r>
          </w:p>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5.未提供相关方案的，不得分。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02" w:type="pct"/>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689" w:type="pct"/>
            <w:tcBorders>
              <w:top w:val="single" w:color="auto" w:sz="4" w:space="0"/>
              <w:left w:val="single" w:color="auto" w:sz="4" w:space="0"/>
              <w:bottom w:val="single" w:color="auto" w:sz="4" w:space="0"/>
              <w:right w:val="single" w:color="auto" w:sz="4" w:space="0"/>
            </w:tcBorders>
            <w:vAlign w:val="center"/>
          </w:tcPr>
          <w:p>
            <w:pPr>
              <w:pStyle w:val="26"/>
              <w:spacing w:line="360" w:lineRule="exact"/>
              <w:ind w:firstLine="0" w:firstLineChars="0"/>
              <w:jc w:val="center"/>
              <w:rPr>
                <w:rFonts w:asci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环卫绿化保洁实施方案</w:t>
            </w:r>
          </w:p>
        </w:tc>
        <w:tc>
          <w:tcPr>
            <w:tcW w:w="4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eastAsia="宋体" w:cs="宋体"/>
                <w:color w:val="auto"/>
                <w:sz w:val="21"/>
                <w:szCs w:val="21"/>
                <w:highlight w:val="none"/>
                <w:lang w:eastAsia="zh-CN"/>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5</w:t>
            </w:r>
          </w:p>
        </w:tc>
        <w:tc>
          <w:tcPr>
            <w:tcW w:w="3485"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根据投标人提供的环卫绿化保洁实施方案（包含但不仅限于清扫保洁、洒水冲洗、绿化养护、垃圾收集容器清洗保洁、公共厕所管理与保洁及水域绿地保洁等环卫绿化保洁作业等）进行综合评分： </w:t>
            </w:r>
          </w:p>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1.清扫保洁、洒水冲洗、绿化养护</w:t>
            </w:r>
            <w:r>
              <w:rPr>
                <w:rFonts w:hint="eastAsia" w:ascii="宋体" w:hAnsi="宋体" w:eastAsia="宋体" w:cs="宋体"/>
                <w:bCs/>
                <w:color w:val="auto"/>
                <w:sz w:val="21"/>
                <w:szCs w:val="21"/>
                <w:highlight w:val="none"/>
                <w:lang w:val="zh-CN" w:eastAsia="zh-CN"/>
              </w:rPr>
              <w:t>准备工作十分充分，</w:t>
            </w:r>
            <w:r>
              <w:rPr>
                <w:rFonts w:hint="eastAsia" w:ascii="宋体" w:hAnsi="宋体" w:eastAsia="宋体" w:cs="宋体"/>
                <w:bCs/>
                <w:color w:val="auto"/>
                <w:sz w:val="21"/>
                <w:szCs w:val="21"/>
                <w:highlight w:val="none"/>
                <w:lang w:val="en-US" w:eastAsia="zh-CN"/>
              </w:rPr>
              <w:t>生活垃圾收集至转运站（收集点）</w:t>
            </w:r>
            <w:r>
              <w:rPr>
                <w:rFonts w:hint="eastAsia" w:ascii="宋体" w:hAnsi="宋体" w:eastAsia="宋体" w:cs="宋体"/>
                <w:bCs/>
                <w:color w:val="auto"/>
                <w:sz w:val="21"/>
                <w:szCs w:val="21"/>
                <w:highlight w:val="none"/>
                <w:lang w:val="zh-CN" w:eastAsia="zh-CN"/>
              </w:rPr>
              <w:t>方案非常具体可行、科学合理、详细明确，</w:t>
            </w:r>
            <w:r>
              <w:rPr>
                <w:rFonts w:hint="eastAsia" w:ascii="宋体" w:hAnsi="宋体" w:eastAsia="宋体" w:cs="宋体"/>
                <w:bCs/>
                <w:color w:val="auto"/>
                <w:sz w:val="21"/>
                <w:szCs w:val="21"/>
                <w:highlight w:val="none"/>
                <w:lang w:val="en-US" w:eastAsia="zh-CN"/>
              </w:rPr>
              <w:t>水域绿地保洁等保洁作业</w:t>
            </w:r>
            <w:r>
              <w:rPr>
                <w:rFonts w:hint="eastAsia" w:ascii="宋体" w:hAnsi="宋体" w:eastAsia="宋体" w:cs="宋体"/>
                <w:bCs/>
                <w:color w:val="auto"/>
                <w:sz w:val="21"/>
                <w:szCs w:val="21"/>
                <w:highlight w:val="none"/>
                <w:lang w:val="zh-CN" w:eastAsia="zh-CN"/>
              </w:rPr>
              <w:t>安排非常合理，得</w:t>
            </w:r>
            <w:r>
              <w:rPr>
                <w:rFonts w:hint="eastAsia" w:ascii="宋体" w:hAns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val="zh-CN" w:eastAsia="zh-CN"/>
              </w:rPr>
              <w:t>分；</w:t>
            </w:r>
          </w:p>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2.清扫保洁、洒水冲洗、绿化养护</w:t>
            </w:r>
            <w:r>
              <w:rPr>
                <w:rFonts w:hint="eastAsia" w:ascii="宋体" w:hAnsi="宋体" w:eastAsia="宋体" w:cs="宋体"/>
                <w:bCs/>
                <w:color w:val="auto"/>
                <w:sz w:val="21"/>
                <w:szCs w:val="21"/>
                <w:highlight w:val="none"/>
                <w:lang w:val="zh-CN" w:eastAsia="zh-CN"/>
              </w:rPr>
              <w:t>准备工作充分，</w:t>
            </w:r>
            <w:r>
              <w:rPr>
                <w:rFonts w:hint="eastAsia" w:ascii="宋体" w:hAnsi="宋体" w:eastAsia="宋体" w:cs="宋体"/>
                <w:bCs/>
                <w:color w:val="auto"/>
                <w:sz w:val="21"/>
                <w:szCs w:val="21"/>
                <w:highlight w:val="none"/>
                <w:lang w:val="en-US" w:eastAsia="zh-CN"/>
              </w:rPr>
              <w:t>垃圾收集容器清洗保洁、公共厕所管理与保洁</w:t>
            </w:r>
            <w:r>
              <w:rPr>
                <w:rFonts w:hint="eastAsia" w:ascii="宋体" w:hAnsi="宋体" w:eastAsia="宋体" w:cs="宋体"/>
                <w:bCs/>
                <w:color w:val="auto"/>
                <w:sz w:val="21"/>
                <w:szCs w:val="21"/>
                <w:highlight w:val="none"/>
                <w:lang w:val="zh-CN" w:eastAsia="zh-CN"/>
              </w:rPr>
              <w:t>方案较具体可行、合理、详细明确，</w:t>
            </w:r>
            <w:r>
              <w:rPr>
                <w:rFonts w:hint="eastAsia" w:ascii="宋体" w:hAnsi="宋体" w:eastAsia="宋体" w:cs="宋体"/>
                <w:bCs/>
                <w:color w:val="auto"/>
                <w:sz w:val="21"/>
                <w:szCs w:val="21"/>
                <w:highlight w:val="none"/>
                <w:lang w:val="en-US" w:eastAsia="zh-CN"/>
              </w:rPr>
              <w:t>水域绿地保洁等保洁作业</w:t>
            </w:r>
            <w:r>
              <w:rPr>
                <w:rFonts w:hint="eastAsia" w:ascii="宋体" w:hAnsi="宋体" w:eastAsia="宋体" w:cs="宋体"/>
                <w:bCs/>
                <w:color w:val="auto"/>
                <w:sz w:val="21"/>
                <w:szCs w:val="21"/>
                <w:highlight w:val="none"/>
                <w:lang w:val="zh-CN" w:eastAsia="zh-CN"/>
              </w:rPr>
              <w:t>安排较合理，得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eastAsia="zh-CN"/>
              </w:rPr>
              <w:t>分；</w:t>
            </w:r>
          </w:p>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3.清扫保洁、洒水冲洗、绿化养护</w:t>
            </w:r>
            <w:r>
              <w:rPr>
                <w:rFonts w:hint="eastAsia" w:ascii="宋体" w:hAnsi="宋体" w:eastAsia="宋体" w:cs="宋体"/>
                <w:bCs/>
                <w:color w:val="auto"/>
                <w:sz w:val="21"/>
                <w:szCs w:val="21"/>
                <w:highlight w:val="none"/>
                <w:lang w:val="zh-CN" w:eastAsia="zh-CN"/>
              </w:rPr>
              <w:t>准备工作方案可行性一般，</w:t>
            </w:r>
            <w:r>
              <w:rPr>
                <w:rFonts w:hint="eastAsia" w:ascii="宋体" w:hAnsi="宋体" w:eastAsia="宋体" w:cs="宋体"/>
                <w:bCs/>
                <w:color w:val="auto"/>
                <w:sz w:val="21"/>
                <w:szCs w:val="21"/>
                <w:highlight w:val="none"/>
                <w:lang w:val="en-US" w:eastAsia="zh-CN"/>
              </w:rPr>
              <w:t>垃圾收集容器清洗保洁、公共厕所管理与保洁</w:t>
            </w:r>
            <w:r>
              <w:rPr>
                <w:rFonts w:hint="eastAsia" w:ascii="宋体" w:hAnsi="宋体" w:eastAsia="宋体" w:cs="宋体"/>
                <w:bCs/>
                <w:color w:val="auto"/>
                <w:sz w:val="21"/>
                <w:szCs w:val="21"/>
                <w:highlight w:val="none"/>
                <w:lang w:val="zh-CN" w:eastAsia="zh-CN"/>
              </w:rPr>
              <w:t>方案可行性一般，详细度一般，</w:t>
            </w:r>
            <w:r>
              <w:rPr>
                <w:rFonts w:hint="eastAsia" w:ascii="宋体" w:hAnsi="宋体" w:eastAsia="宋体" w:cs="宋体"/>
                <w:bCs/>
                <w:color w:val="auto"/>
                <w:sz w:val="21"/>
                <w:szCs w:val="21"/>
                <w:highlight w:val="none"/>
                <w:lang w:val="en-US" w:eastAsia="zh-CN"/>
              </w:rPr>
              <w:t>水域绿地保洁等环卫保洁作业</w:t>
            </w:r>
            <w:r>
              <w:rPr>
                <w:rFonts w:hint="eastAsia" w:ascii="宋体" w:hAnsi="宋体" w:eastAsia="宋体" w:cs="宋体"/>
                <w:bCs/>
                <w:color w:val="auto"/>
                <w:sz w:val="21"/>
                <w:szCs w:val="21"/>
                <w:highlight w:val="none"/>
                <w:lang w:val="zh-CN" w:eastAsia="zh-CN"/>
              </w:rPr>
              <w:t>安排合理性一般，得</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eastAsia="zh-CN"/>
              </w:rPr>
              <w:t>分；</w:t>
            </w:r>
          </w:p>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4.清扫保洁、洒水冲洗、绿化养护</w:t>
            </w:r>
            <w:r>
              <w:rPr>
                <w:rFonts w:hint="eastAsia" w:ascii="宋体" w:hAnsi="宋体" w:eastAsia="宋体" w:cs="宋体"/>
                <w:bCs/>
                <w:color w:val="auto"/>
                <w:sz w:val="21"/>
                <w:szCs w:val="21"/>
                <w:highlight w:val="none"/>
                <w:lang w:val="zh-CN" w:eastAsia="zh-CN"/>
              </w:rPr>
              <w:t>准备工作方案不充分，</w:t>
            </w:r>
            <w:r>
              <w:rPr>
                <w:rFonts w:hint="eastAsia" w:ascii="宋体" w:hAnsi="宋体" w:eastAsia="宋体" w:cs="宋体"/>
                <w:bCs/>
                <w:color w:val="auto"/>
                <w:sz w:val="21"/>
                <w:szCs w:val="21"/>
                <w:highlight w:val="none"/>
                <w:lang w:val="en-US" w:eastAsia="zh-CN"/>
              </w:rPr>
              <w:t>垃圾收集容器清洗保洁、公共厕所管理与保洁</w:t>
            </w:r>
            <w:r>
              <w:rPr>
                <w:rFonts w:hint="eastAsia" w:ascii="宋体" w:hAnsi="宋体" w:eastAsia="宋体" w:cs="宋体"/>
                <w:bCs/>
                <w:color w:val="auto"/>
                <w:sz w:val="21"/>
                <w:szCs w:val="21"/>
                <w:highlight w:val="none"/>
                <w:lang w:val="zh-CN" w:eastAsia="zh-CN"/>
              </w:rPr>
              <w:t>方案可行性差，</w:t>
            </w:r>
            <w:r>
              <w:rPr>
                <w:rFonts w:hint="eastAsia" w:ascii="宋体" w:hAnsi="宋体" w:eastAsia="宋体" w:cs="宋体"/>
                <w:bCs/>
                <w:color w:val="auto"/>
                <w:sz w:val="21"/>
                <w:szCs w:val="21"/>
                <w:highlight w:val="none"/>
                <w:lang w:val="en-US" w:eastAsia="zh-CN"/>
              </w:rPr>
              <w:t>水域绿地保洁等保洁作业</w:t>
            </w:r>
            <w:r>
              <w:rPr>
                <w:rFonts w:hint="eastAsia" w:ascii="宋体" w:hAnsi="宋体" w:eastAsia="宋体" w:cs="宋体"/>
                <w:bCs/>
                <w:color w:val="auto"/>
                <w:sz w:val="21"/>
                <w:szCs w:val="21"/>
                <w:highlight w:val="none"/>
                <w:lang w:val="zh-CN" w:eastAsia="zh-CN"/>
              </w:rPr>
              <w:t>安排不合理，得1分；</w:t>
            </w:r>
          </w:p>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5.未提供对应方案，不得分。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02" w:type="pct"/>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689" w:type="pct"/>
            <w:tcBorders>
              <w:top w:val="single" w:color="auto" w:sz="4" w:space="0"/>
              <w:left w:val="single" w:color="auto" w:sz="4" w:space="0"/>
              <w:bottom w:val="single" w:color="auto" w:sz="4" w:space="0"/>
              <w:right w:val="single" w:color="auto" w:sz="4" w:space="0"/>
            </w:tcBorders>
            <w:vAlign w:val="center"/>
          </w:tcPr>
          <w:p>
            <w:pPr>
              <w:pStyle w:val="26"/>
              <w:spacing w:line="360" w:lineRule="exact"/>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质量保障方案</w:t>
            </w:r>
          </w:p>
        </w:tc>
        <w:tc>
          <w:tcPr>
            <w:tcW w:w="4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宋体" w:eastAsia="宋体" w:cs="宋体"/>
                <w:color w:val="auto"/>
                <w:sz w:val="21"/>
                <w:szCs w:val="21"/>
                <w:highlight w:val="none"/>
              </w:rPr>
            </w:pPr>
            <w:r>
              <w:rPr>
                <w:rFonts w:hint="eastAsia" w:ascii="宋体" w:hAnsi="宋体" w:eastAsia="宋体" w:cs="宋体"/>
                <w:color w:val="auto"/>
                <w:kern w:val="2"/>
                <w:sz w:val="21"/>
                <w:szCs w:val="21"/>
                <w:highlight w:val="none"/>
              </w:rPr>
              <w:t>10</w:t>
            </w:r>
          </w:p>
        </w:tc>
        <w:tc>
          <w:tcPr>
            <w:tcW w:w="34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根据投标人针对本项目提供的质量保障方案，包括但不限于质量目标、质量管理制度、质量控制措施等进行综合评分： </w:t>
            </w:r>
          </w:p>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1.质量管理制度十分全面、具体，质量目标十分明确，有十分完整的质量保障方案、科学合理，质量控制措施针对性强、切实可行，得10分；</w:t>
            </w:r>
          </w:p>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2.质量管理制度较全面、具体，质量目标较明确，有较完整的质量保障方案、较合理，质量控制措施针对性较强、切实可行，得6分；</w:t>
            </w:r>
          </w:p>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3.质量管理制度基本全面，质量目标基本明确，质量保障方案较简单，合理性一般，质量控制措施针对性一般、基本可行，得3分；</w:t>
            </w:r>
          </w:p>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4.质量管理制度不全面，质量目标不明确，质量保障方案不完整、合理性差，合理性差质量控制措施无针对性、不可行，得1分； </w:t>
            </w:r>
          </w:p>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5.未提供相关方案的，不得分。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02" w:type="pct"/>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689" w:type="pct"/>
            <w:tcBorders>
              <w:top w:val="single" w:color="auto" w:sz="4" w:space="0"/>
              <w:left w:val="single" w:color="auto" w:sz="4" w:space="0"/>
              <w:bottom w:val="single" w:color="auto" w:sz="4" w:space="0"/>
              <w:right w:val="single" w:color="auto" w:sz="4" w:space="0"/>
            </w:tcBorders>
            <w:vAlign w:val="center"/>
          </w:tcPr>
          <w:p>
            <w:pPr>
              <w:pStyle w:val="26"/>
              <w:spacing w:line="360" w:lineRule="exact"/>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应急处置方案</w:t>
            </w:r>
          </w:p>
        </w:tc>
        <w:tc>
          <w:tcPr>
            <w:tcW w:w="4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7</w:t>
            </w:r>
          </w:p>
        </w:tc>
        <w:tc>
          <w:tcPr>
            <w:tcW w:w="34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根据投标人针对台风、暴雨等天气影响，重大接待任务，重大节假日或活动等特殊情况提供应急处置方案（包括传达机制、人员和设备调配、责任分工、恶劣天气应急、市容环境治理支援、传达机制、应急人员等）进行评审： </w:t>
            </w:r>
          </w:p>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1.应急处置方案中针对台风、暴雨等天气影响，重大接待任务，重大节假日或活动等特殊情况制定的应急处置方案，传达机制有效、人员和设备调配合理、责任分工明确的，得7分；</w:t>
            </w:r>
          </w:p>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2.应急处置方案中针对台风、暴雨等天气影响，重大接待任务，重大节假日或活动等特殊情况制定的应急处置方案，传达机制较有效、人员和设备调配较合理、责任分工较明确的，得4分；</w:t>
            </w:r>
          </w:p>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3.应急处置方案中针对台风、暴雨等天气影响，重大接待任务，重大节假日或活动等特殊情况制定的应急处置方案，传达机制一般、人员和设备调配一般、责任分工一般的，得2分； </w:t>
            </w:r>
          </w:p>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4.应急处置方案中针对台风、暴雨等天气影响，重大接待任务，重大节假日或活动等特殊情况制定的应急处置方案，传达机制一般、人员和设备调配不合理、责任分工不明确的，得1分。 </w:t>
            </w:r>
          </w:p>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5.未提供对应方案，不得分。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02" w:type="pct"/>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689" w:type="pct"/>
            <w:tcBorders>
              <w:top w:val="single" w:color="auto" w:sz="4" w:space="0"/>
              <w:left w:val="single" w:color="auto" w:sz="4" w:space="0"/>
              <w:bottom w:val="single" w:color="auto" w:sz="4" w:space="0"/>
              <w:right w:val="single" w:color="auto" w:sz="4" w:space="0"/>
            </w:tcBorders>
            <w:vAlign w:val="center"/>
          </w:tcPr>
          <w:p>
            <w:pPr>
              <w:pStyle w:val="26"/>
              <w:spacing w:line="360" w:lineRule="exact"/>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工作人员培训及管理</w:t>
            </w:r>
          </w:p>
        </w:tc>
        <w:tc>
          <w:tcPr>
            <w:tcW w:w="4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rPr>
              <w:t>7</w:t>
            </w:r>
          </w:p>
        </w:tc>
        <w:tc>
          <w:tcPr>
            <w:tcW w:w="34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根据投标人针对本项目提供的工作人员培训及管理方案，包括但不限于培训目标、培训计划、培训内容以及人员管理制度、奖惩规定、绩效考核等进行综合评分： </w:t>
            </w:r>
          </w:p>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1.工作人员培训方案非常完整、详细，能十分有效提高工作人员的积极性和专业性，具体培训计划、录用考核以及处罚标准完整可行，人员管理方案科学合理，能保障项目高效运作，得7分； </w:t>
            </w:r>
          </w:p>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2.工作人员培训方案比较完整、详细，能有效提高工作人员的积极性和专业性，培训计划、录用考核以及处罚标准基本完整可行，人员管理方案较科学合理，能较好满足项目需求，得4分；</w:t>
            </w:r>
          </w:p>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3.工作人员培训方案基本完整，工作人员的积极性和专业性一般，培训计划、录用考核以及处罚标准简单，人员管理方案合理性一般，能基本满足项目需求，得2分；</w:t>
            </w:r>
          </w:p>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4.工作人员培训方案不完整，工作人员的积极性和专业性较差，培训计划、录用考核以及处罚标准简单，人员管理方案合理性差，无法满足项目需求，得1分；</w:t>
            </w:r>
          </w:p>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5.未提供对应方案，不得分。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02" w:type="pct"/>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689" w:type="pct"/>
            <w:tcBorders>
              <w:top w:val="single" w:color="auto" w:sz="4" w:space="0"/>
              <w:left w:val="single" w:color="auto" w:sz="4" w:space="0"/>
              <w:bottom w:val="single" w:color="auto" w:sz="4" w:space="0"/>
              <w:right w:val="single" w:color="auto" w:sz="4" w:space="0"/>
            </w:tcBorders>
            <w:vAlign w:val="center"/>
          </w:tcPr>
          <w:p>
            <w:pPr>
              <w:pStyle w:val="26"/>
              <w:spacing w:line="360" w:lineRule="exact"/>
              <w:ind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SA"/>
              </w:rPr>
              <w:t>人员工资及福利保障方案</w:t>
            </w:r>
          </w:p>
        </w:tc>
        <w:tc>
          <w:tcPr>
            <w:tcW w:w="4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6</w:t>
            </w:r>
          </w:p>
        </w:tc>
        <w:tc>
          <w:tcPr>
            <w:tcW w:w="3485"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根据投标人提供的人员工资及福利保障方案，包括但不限于薪资构成、员工福利等进行评审： </w:t>
            </w:r>
          </w:p>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1.人员工资及福利保障方案完整合理，详细，可行性强，薪资构成合理明确，员工福利丰富，得6分； </w:t>
            </w:r>
          </w:p>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2.人员工资及福利保障方案基本完整，可行性一般，薪资构成基本合理明确，员工福利较简单，得3分； </w:t>
            </w:r>
          </w:p>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3.人员工资及福利保障方案简陋，可行性差，薪资构成不合理明确，员工福利差，得1分； </w:t>
            </w:r>
          </w:p>
          <w:p>
            <w:pPr>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4.未提供对应方案，不得分。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（2）投标人根据以上评分要求提供的</w:t>
            </w:r>
            <w:r>
              <w:rPr>
                <w:rFonts w:hint="eastAsia" w:ascii="宋体" w:hAnsi="宋体" w:eastAsia="宋体"/>
                <w:b/>
                <w:color w:val="auto"/>
                <w:sz w:val="21"/>
                <w:szCs w:val="21"/>
                <w:highlight w:val="none"/>
                <w:lang w:eastAsia="zh-CN"/>
              </w:rPr>
              <w:t>投标材料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eastAsia="宋体" w:cs="宋体"/>
                <w:color w:val="auto"/>
                <w:sz w:val="21"/>
                <w:szCs w:val="21"/>
                <w:highlight w:val="none"/>
              </w:rPr>
            </w:pP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3</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10分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402" w:type="pct"/>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6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投标总价</w:t>
            </w:r>
          </w:p>
        </w:tc>
        <w:tc>
          <w:tcPr>
            <w:tcW w:w="4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10</w:t>
            </w:r>
          </w:p>
        </w:tc>
        <w:tc>
          <w:tcPr>
            <w:tcW w:w="34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价格分计算方法：满足招标文件要求且投标价格最低的投标报价为评标基准价，其价格分为满分。其他投标人的价格分统一按照下列公式计算：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投标报价得分=(评标基准价／投标报价)×价格权值</w:t>
            </w:r>
          </w:p>
        </w:tc>
      </w:tr>
    </w:tbl>
    <w:p>
      <w:pPr>
        <w:rPr>
          <w:color w:val="auto"/>
          <w:highlight w:val="none"/>
        </w:rPr>
      </w:pPr>
      <w:r>
        <w:rPr>
          <w:color w:val="auto"/>
          <w:highlight w:val="none"/>
        </w:rPr>
        <w:br w:type="page"/>
      </w:r>
    </w:p>
    <w:p>
      <w:pPr>
        <w:pStyle w:val="3"/>
        <w:numPr>
          <w:ilvl w:val="0"/>
          <w:numId w:val="1"/>
        </w:numPr>
        <w:rPr>
          <w:color w:val="auto"/>
          <w:highlight w:val="none"/>
        </w:rPr>
      </w:pPr>
      <w:bookmarkStart w:id="149" w:name="_Toc32522"/>
      <w:r>
        <w:rPr>
          <w:rFonts w:hint="eastAsia"/>
          <w:color w:val="auto"/>
          <w:highlight w:val="none"/>
        </w:rPr>
        <w:t>合同文本参考格式</w:t>
      </w:r>
      <w:bookmarkEnd w:id="149"/>
    </w:p>
    <w:p>
      <w:pPr>
        <w:jc w:val="center"/>
        <w:outlineLvl w:val="1"/>
        <w:rPr>
          <w:color w:val="auto"/>
          <w:sz w:val="18"/>
          <w:szCs w:val="21"/>
          <w:highlight w:val="none"/>
        </w:rPr>
      </w:pPr>
      <w:bookmarkStart w:id="150" w:name="_Toc1541"/>
      <w:r>
        <w:rPr>
          <w:rFonts w:hint="eastAsia" w:ascii="宋体" w:hAnsi="宋体" w:cs="宋体"/>
          <w:b/>
          <w:bCs/>
          <w:color w:val="auto"/>
          <w:sz w:val="22"/>
          <w:szCs w:val="22"/>
          <w:highlight w:val="none"/>
        </w:rPr>
        <w:t>（本格式编排在招标文件中，供投标人参考，投标时不需填写）</w:t>
      </w:r>
      <w:bookmarkEnd w:id="150"/>
    </w:p>
    <w:p>
      <w:pPr>
        <w:suppressAutoHyphens/>
        <w:spacing w:line="600" w:lineRule="exact"/>
        <w:jc w:val="center"/>
        <w:rPr>
          <w:rFonts w:ascii="Calibri" w:hAnsi="宋体" w:cs="Times New Roman"/>
          <w:color w:val="auto"/>
          <w:sz w:val="44"/>
          <w:szCs w:val="44"/>
          <w:highlight w:val="none"/>
        </w:rPr>
      </w:pPr>
    </w:p>
    <w:p>
      <w:pPr>
        <w:suppressAutoHyphens/>
        <w:spacing w:line="600" w:lineRule="exact"/>
        <w:jc w:val="center"/>
        <w:rPr>
          <w:rFonts w:ascii="Calibri" w:hAnsi="宋体" w:cs="Times New Roman"/>
          <w:color w:val="auto"/>
          <w:sz w:val="44"/>
          <w:szCs w:val="44"/>
          <w:highlight w:val="none"/>
        </w:rPr>
      </w:pPr>
    </w:p>
    <w:p>
      <w:pPr>
        <w:suppressAutoHyphens/>
        <w:spacing w:line="600" w:lineRule="exact"/>
        <w:jc w:val="center"/>
        <w:rPr>
          <w:rFonts w:ascii="Calibri" w:hAnsi="宋体" w:cs="Times New Roman"/>
          <w:color w:val="auto"/>
          <w:sz w:val="44"/>
          <w:szCs w:val="44"/>
          <w:highlight w:val="none"/>
        </w:rPr>
      </w:pPr>
      <w:r>
        <w:rPr>
          <w:rFonts w:hint="eastAsia" w:ascii="Calibri" w:hAnsi="宋体" w:cs="Times New Roman"/>
          <w:color w:val="auto"/>
          <w:sz w:val="44"/>
          <w:szCs w:val="44"/>
          <w:highlight w:val="none"/>
        </w:rPr>
        <w:t>东莞市长安镇</w:t>
      </w:r>
      <w:r>
        <w:rPr>
          <w:rFonts w:hint="eastAsia" w:ascii="Calibri" w:hAnsi="宋体" w:cs="Times New Roman"/>
          <w:color w:val="auto"/>
          <w:sz w:val="44"/>
          <w:szCs w:val="44"/>
          <w:highlight w:val="none"/>
          <w:lang w:eastAsia="zh-CN"/>
        </w:rPr>
        <w:t>新民</w:t>
      </w:r>
      <w:r>
        <w:rPr>
          <w:rFonts w:hint="eastAsia" w:ascii="Calibri" w:hAnsi="宋体" w:cs="Times New Roman"/>
          <w:color w:val="auto"/>
          <w:sz w:val="44"/>
          <w:szCs w:val="44"/>
          <w:highlight w:val="none"/>
        </w:rPr>
        <w:t>社区环卫保洁服务项目合同</w:t>
      </w:r>
    </w:p>
    <w:p>
      <w:pPr>
        <w:suppressAutoHyphens/>
        <w:jc w:val="both"/>
        <w:rPr>
          <w:rFonts w:ascii="仿宋_GB2312" w:hAnsi="仿宋_GB2312" w:eastAsia="仿宋_GB2312" w:cs="仿宋_GB2312"/>
          <w:color w:val="auto"/>
          <w:sz w:val="28"/>
          <w:szCs w:val="28"/>
          <w:highlight w:val="none"/>
        </w:rPr>
      </w:pPr>
    </w:p>
    <w:p>
      <w:pPr>
        <w:suppressAutoHyphens/>
        <w:jc w:val="both"/>
        <w:rPr>
          <w:rFonts w:ascii="仿宋_GB2312" w:hAnsi="仿宋_GB2312" w:eastAsia="仿宋_GB2312" w:cs="仿宋_GB2312"/>
          <w:color w:val="auto"/>
          <w:sz w:val="28"/>
          <w:szCs w:val="28"/>
          <w:highlight w:val="none"/>
        </w:rPr>
      </w:pPr>
    </w:p>
    <w:p>
      <w:pPr>
        <w:suppressAutoHyphens/>
        <w:jc w:val="both"/>
        <w:rPr>
          <w:rFonts w:ascii="仿宋_GB2312" w:hAnsi="仿宋_GB2312" w:eastAsia="仿宋_GB2312" w:cs="仿宋_GB2312"/>
          <w:color w:val="auto"/>
          <w:sz w:val="28"/>
          <w:szCs w:val="28"/>
          <w:highlight w:val="none"/>
        </w:rPr>
      </w:pPr>
    </w:p>
    <w:p>
      <w:pPr>
        <w:suppressAutoHyphens/>
        <w:jc w:val="both"/>
        <w:rPr>
          <w:rFonts w:ascii="仿宋_GB2312" w:hAnsi="仿宋_GB2312" w:eastAsia="仿宋_GB2312" w:cs="仿宋_GB2312"/>
          <w:color w:val="auto"/>
          <w:sz w:val="28"/>
          <w:szCs w:val="28"/>
          <w:highlight w:val="none"/>
        </w:rPr>
      </w:pPr>
    </w:p>
    <w:p>
      <w:pPr>
        <w:suppressAutoHyphens/>
        <w:jc w:val="both"/>
        <w:rPr>
          <w:rFonts w:ascii="仿宋_GB2312" w:hAnsi="仿宋_GB2312" w:eastAsia="仿宋_GB2312" w:cs="仿宋_GB2312"/>
          <w:color w:val="auto"/>
          <w:sz w:val="28"/>
          <w:szCs w:val="28"/>
          <w:highlight w:val="none"/>
        </w:rPr>
      </w:pPr>
    </w:p>
    <w:p>
      <w:pPr>
        <w:suppressAutoHyphens/>
        <w:jc w:val="both"/>
        <w:rPr>
          <w:rFonts w:ascii="仿宋_GB2312" w:hAnsi="仿宋_GB2312" w:eastAsia="仿宋_GB2312" w:cs="仿宋_GB2312"/>
          <w:color w:val="auto"/>
          <w:sz w:val="28"/>
          <w:szCs w:val="28"/>
          <w:highlight w:val="none"/>
        </w:rPr>
      </w:pPr>
    </w:p>
    <w:p>
      <w:pPr>
        <w:suppressAutoHyphens/>
        <w:jc w:val="both"/>
        <w:rPr>
          <w:rFonts w:ascii="仿宋_GB2312" w:hAnsi="仿宋_GB2312" w:eastAsia="仿宋_GB2312" w:cs="仿宋_GB2312"/>
          <w:color w:val="auto"/>
          <w:sz w:val="28"/>
          <w:szCs w:val="28"/>
          <w:highlight w:val="none"/>
        </w:rPr>
      </w:pPr>
    </w:p>
    <w:p>
      <w:pPr>
        <w:suppressAutoHyphens/>
        <w:jc w:val="both"/>
        <w:rPr>
          <w:rFonts w:ascii="仿宋_GB2312" w:hAnsi="仿宋_GB2312" w:eastAsia="仿宋_GB2312" w:cs="仿宋_GB2312"/>
          <w:color w:val="auto"/>
          <w:sz w:val="28"/>
          <w:szCs w:val="28"/>
          <w:highlight w:val="none"/>
        </w:rPr>
      </w:pPr>
    </w:p>
    <w:p>
      <w:pPr>
        <w:suppressAutoHyphens/>
        <w:jc w:val="both"/>
        <w:rPr>
          <w:rFonts w:ascii="仿宋_GB2312" w:hAnsi="仿宋_GB2312" w:eastAsia="仿宋_GB2312" w:cs="仿宋_GB2312"/>
          <w:color w:val="auto"/>
          <w:sz w:val="28"/>
          <w:szCs w:val="28"/>
          <w:highlight w:val="none"/>
        </w:rPr>
      </w:pPr>
    </w:p>
    <w:p>
      <w:pPr>
        <w:suppressAutoHyphens/>
        <w:jc w:val="both"/>
        <w:rPr>
          <w:rFonts w:ascii="仿宋_GB2312" w:hAnsi="仿宋_GB2312" w:eastAsia="仿宋_GB2312" w:cs="仿宋_GB2312"/>
          <w:color w:val="auto"/>
          <w:sz w:val="28"/>
          <w:szCs w:val="28"/>
          <w:highlight w:val="none"/>
        </w:rPr>
      </w:pPr>
    </w:p>
    <w:p>
      <w:pPr>
        <w:suppressAutoHyphens/>
        <w:spacing w:line="1000" w:lineRule="exact"/>
        <w:ind w:firstLine="640" w:firstLineChars="200"/>
        <w:jc w:val="both"/>
        <w:rPr>
          <w:rFonts w:ascii="宋体" w:hAnsi="宋体" w:cs="宋体"/>
          <w:color w:val="auto"/>
          <w:sz w:val="32"/>
          <w:szCs w:val="32"/>
          <w:highlight w:val="none"/>
        </w:rPr>
      </w:pPr>
      <w:r>
        <w:rPr>
          <w:rFonts w:hint="eastAsia" w:ascii="宋体" w:hAnsi="宋体" w:cs="宋体"/>
          <w:color w:val="auto"/>
          <w:sz w:val="32"/>
          <w:szCs w:val="32"/>
          <w:highlight w:val="none"/>
        </w:rPr>
        <w:t>项目名称：</w:t>
      </w:r>
      <w:r>
        <w:rPr>
          <w:rFonts w:hint="eastAsia" w:ascii="宋体" w:hAnsi="宋体" w:cs="宋体"/>
          <w:color w:val="auto"/>
          <w:sz w:val="32"/>
          <w:szCs w:val="32"/>
          <w:highlight w:val="none"/>
          <w:u w:val="single"/>
        </w:rPr>
        <w:t xml:space="preserve"> 东莞市长安镇</w:t>
      </w:r>
      <w:r>
        <w:rPr>
          <w:rFonts w:hint="eastAsia" w:ascii="宋体" w:hAnsi="宋体" w:cs="宋体"/>
          <w:color w:val="auto"/>
          <w:sz w:val="32"/>
          <w:szCs w:val="32"/>
          <w:highlight w:val="none"/>
          <w:u w:val="single"/>
          <w:lang w:eastAsia="zh-CN"/>
        </w:rPr>
        <w:t>新民</w:t>
      </w:r>
      <w:r>
        <w:rPr>
          <w:rFonts w:hint="eastAsia" w:ascii="宋体" w:hAnsi="宋体" w:cs="宋体"/>
          <w:color w:val="auto"/>
          <w:sz w:val="32"/>
          <w:szCs w:val="32"/>
          <w:highlight w:val="none"/>
          <w:u w:val="single"/>
        </w:rPr>
        <w:t xml:space="preserve">社区环卫保洁服务项目  </w:t>
      </w:r>
    </w:p>
    <w:p>
      <w:pPr>
        <w:suppressAutoHyphens/>
        <w:spacing w:line="1000" w:lineRule="exact"/>
        <w:ind w:firstLine="640" w:firstLineChars="200"/>
        <w:jc w:val="both"/>
        <w:rPr>
          <w:rFonts w:ascii="宋体" w:hAnsi="宋体" w:cs="宋体"/>
          <w:color w:val="auto"/>
          <w:sz w:val="32"/>
          <w:szCs w:val="32"/>
          <w:highlight w:val="none"/>
          <w:u w:val="single"/>
        </w:rPr>
      </w:pPr>
      <w:r>
        <w:rPr>
          <w:rFonts w:hint="eastAsia" w:ascii="宋体" w:hAnsi="宋体" w:cs="宋体"/>
          <w:color w:val="auto"/>
          <w:sz w:val="32"/>
          <w:szCs w:val="32"/>
          <w:highlight w:val="none"/>
        </w:rPr>
        <w:t>发包方：</w:t>
      </w:r>
      <w:r>
        <w:rPr>
          <w:rFonts w:hint="eastAsia" w:ascii="宋体" w:hAnsi="宋体" w:cs="宋体"/>
          <w:color w:val="auto"/>
          <w:sz w:val="32"/>
          <w:szCs w:val="32"/>
          <w:highlight w:val="none"/>
          <w:u w:val="single"/>
        </w:rPr>
        <w:tab/>
      </w:r>
      <w:r>
        <w:rPr>
          <w:rFonts w:hint="eastAsia" w:ascii="宋体" w:hAnsi="宋体" w:cs="宋体"/>
          <w:color w:val="auto"/>
          <w:sz w:val="32"/>
          <w:szCs w:val="32"/>
          <w:highlight w:val="none"/>
          <w:u w:val="single"/>
        </w:rPr>
        <w:t>东莞市长安镇</w:t>
      </w:r>
      <w:r>
        <w:rPr>
          <w:rFonts w:hint="eastAsia" w:ascii="宋体" w:hAnsi="宋体" w:cs="宋体"/>
          <w:color w:val="auto"/>
          <w:sz w:val="32"/>
          <w:szCs w:val="32"/>
          <w:highlight w:val="none"/>
          <w:u w:val="single"/>
          <w:lang w:eastAsia="zh-CN"/>
        </w:rPr>
        <w:t>新民</w:t>
      </w:r>
      <w:r>
        <w:rPr>
          <w:rFonts w:hint="eastAsia" w:ascii="宋体" w:hAnsi="宋体" w:cs="宋体"/>
          <w:color w:val="auto"/>
          <w:sz w:val="32"/>
          <w:szCs w:val="32"/>
          <w:highlight w:val="none"/>
          <w:u w:val="single"/>
        </w:rPr>
        <w:t xml:space="preserve">社区居民委员会  </w:t>
      </w:r>
    </w:p>
    <w:p>
      <w:pPr>
        <w:spacing w:line="1000" w:lineRule="exact"/>
        <w:ind w:firstLine="640" w:firstLineChars="200"/>
        <w:rPr>
          <w:rFonts w:ascii="Times New Roman" w:hAnsi="Times New Roman"/>
          <w:color w:val="auto"/>
          <w:highlight w:val="none"/>
        </w:rPr>
        <w:sectPr>
          <w:pgSz w:w="11906" w:h="16838"/>
          <w:pgMar w:top="1440" w:right="1803" w:bottom="1440" w:left="1803" w:header="851" w:footer="992" w:gutter="0"/>
          <w:cols w:space="720" w:num="1"/>
          <w:docGrid w:type="lines" w:linePitch="312" w:charSpace="0"/>
        </w:sectPr>
      </w:pPr>
      <w:r>
        <w:rPr>
          <w:rFonts w:hint="eastAsia" w:ascii="宋体" w:hAnsi="宋体" w:cs="宋体"/>
          <w:color w:val="auto"/>
          <w:sz w:val="32"/>
          <w:szCs w:val="32"/>
          <w:highlight w:val="none"/>
        </w:rPr>
        <w:t>承包方：</w:t>
      </w:r>
      <w:r>
        <w:rPr>
          <w:rFonts w:hint="eastAsia" w:ascii="宋体" w:hAnsi="宋体" w:cs="宋体"/>
          <w:color w:val="auto"/>
          <w:sz w:val="32"/>
          <w:szCs w:val="32"/>
          <w:highlight w:val="none"/>
          <w:u w:val="single"/>
        </w:rPr>
        <w:tab/>
      </w:r>
      <w:r>
        <w:rPr>
          <w:rFonts w:hint="eastAsia" w:ascii="宋体" w:hAnsi="宋体" w:cs="宋体"/>
          <w:color w:val="auto"/>
          <w:sz w:val="32"/>
          <w:szCs w:val="32"/>
          <w:highlight w:val="none"/>
          <w:u w:val="single"/>
        </w:rPr>
        <w:tab/>
      </w:r>
      <w:r>
        <w:rPr>
          <w:rFonts w:hint="eastAsia" w:ascii="宋体" w:hAnsi="宋体" w:cs="宋体"/>
          <w:color w:val="auto"/>
          <w:sz w:val="32"/>
          <w:szCs w:val="32"/>
          <w:highlight w:val="none"/>
          <w:u w:val="single"/>
        </w:rPr>
        <w:t xml:space="preserve">                  </w:t>
      </w:r>
    </w:p>
    <w:p>
      <w:pPr>
        <w:suppressAutoHyphens/>
        <w:jc w:val="both"/>
        <w:rPr>
          <w:rFonts w:ascii="宋体" w:hAnsi="宋体" w:cs="宋体"/>
          <w:color w:val="auto"/>
          <w:highlight w:val="none"/>
          <w:u w:val="single"/>
        </w:rPr>
      </w:pPr>
      <w:r>
        <w:rPr>
          <w:rFonts w:hint="eastAsia" w:ascii="宋体" w:hAnsi="宋体" w:cs="宋体"/>
          <w:color w:val="auto"/>
          <w:highlight w:val="none"/>
        </w:rPr>
        <w:t>甲方：</w:t>
      </w:r>
      <w:r>
        <w:rPr>
          <w:rFonts w:hint="eastAsia" w:ascii="宋体" w:hAnsi="宋体" w:cs="宋体"/>
          <w:color w:val="auto"/>
          <w:highlight w:val="none"/>
          <w:u w:val="single"/>
        </w:rPr>
        <w:t xml:space="preserve">  东莞市长安镇</w:t>
      </w:r>
      <w:r>
        <w:rPr>
          <w:rFonts w:hint="eastAsia" w:ascii="宋体" w:hAnsi="宋体" w:cs="宋体"/>
          <w:color w:val="auto"/>
          <w:highlight w:val="none"/>
          <w:u w:val="single"/>
          <w:lang w:eastAsia="zh-CN"/>
        </w:rPr>
        <w:t>新民</w:t>
      </w:r>
      <w:r>
        <w:rPr>
          <w:rFonts w:hint="eastAsia" w:ascii="宋体" w:hAnsi="宋体" w:cs="宋体"/>
          <w:color w:val="auto"/>
          <w:highlight w:val="none"/>
          <w:u w:val="single"/>
        </w:rPr>
        <w:t xml:space="preserve">社区居民委员会   </w:t>
      </w:r>
    </w:p>
    <w:p>
      <w:pPr>
        <w:suppressAutoHyphens/>
        <w:jc w:val="both"/>
        <w:rPr>
          <w:rFonts w:ascii="宋体" w:hAnsi="宋体" w:cs="宋体"/>
          <w:color w:val="auto"/>
          <w:highlight w:val="none"/>
          <w:u w:val="single"/>
        </w:rPr>
      </w:pPr>
      <w:r>
        <w:rPr>
          <w:rFonts w:hint="eastAsia" w:ascii="宋体" w:hAnsi="宋体" w:cs="宋体"/>
          <w:color w:val="auto"/>
          <w:highlight w:val="none"/>
        </w:rPr>
        <w:t>乙方：</w:t>
      </w:r>
      <w:r>
        <w:rPr>
          <w:rFonts w:hint="eastAsia" w:ascii="宋体" w:hAnsi="宋体" w:cs="宋体"/>
          <w:color w:val="auto"/>
          <w:highlight w:val="none"/>
          <w:u w:val="single"/>
        </w:rPr>
        <w:t xml:space="preserve">                                   </w:t>
      </w:r>
    </w:p>
    <w:p>
      <w:pPr>
        <w:suppressAutoHyphens/>
        <w:jc w:val="both"/>
        <w:rPr>
          <w:rFonts w:ascii="宋体" w:hAnsi="宋体" w:cs="宋体"/>
          <w:color w:val="auto"/>
          <w:highlight w:val="none"/>
        </w:rPr>
      </w:pPr>
    </w:p>
    <w:p>
      <w:pPr>
        <w:suppressAutoHyphens/>
        <w:spacing w:after="156" w:afterLines="50"/>
        <w:ind w:firstLine="420" w:firstLineChars="200"/>
        <w:jc w:val="both"/>
        <w:rPr>
          <w:rFonts w:ascii="宋体" w:hAnsi="宋体" w:cs="宋体"/>
          <w:color w:val="auto"/>
          <w:highlight w:val="none"/>
        </w:rPr>
      </w:pPr>
      <w:r>
        <w:rPr>
          <w:rFonts w:hint="eastAsia" w:ascii="宋体" w:hAnsi="宋体" w:cs="宋体"/>
          <w:color w:val="auto"/>
          <w:highlight w:val="none"/>
        </w:rPr>
        <w:t>受甲方委托，</w:t>
      </w:r>
      <w:r>
        <w:rPr>
          <w:rFonts w:hint="eastAsia" w:ascii="宋体" w:hAnsi="宋体" w:cs="宋体"/>
          <w:color w:val="auto"/>
          <w:highlight w:val="none"/>
          <w:u w:val="single"/>
        </w:rPr>
        <w:t xml:space="preserve"> 国顺招标有限公司 组织对 东莞市长安镇</w:t>
      </w:r>
      <w:r>
        <w:rPr>
          <w:rFonts w:hint="eastAsia" w:ascii="宋体" w:hAnsi="宋体" w:cs="宋体"/>
          <w:color w:val="auto"/>
          <w:highlight w:val="none"/>
          <w:u w:val="single"/>
          <w:lang w:eastAsia="zh-CN"/>
        </w:rPr>
        <w:t>新民</w:t>
      </w:r>
      <w:r>
        <w:rPr>
          <w:rFonts w:hint="eastAsia" w:ascii="宋体" w:hAnsi="宋体" w:cs="宋体"/>
          <w:color w:val="auto"/>
          <w:highlight w:val="none"/>
          <w:u w:val="single"/>
        </w:rPr>
        <w:t xml:space="preserve">社区环卫保洁服务项目 </w:t>
      </w:r>
      <w:r>
        <w:rPr>
          <w:rFonts w:hint="eastAsia" w:ascii="宋体" w:hAnsi="宋体" w:cs="宋体"/>
          <w:color w:val="auto"/>
          <w:highlight w:val="none"/>
        </w:rPr>
        <w:t>（采购编号：GSDG2023-04</w:t>
      </w:r>
      <w:r>
        <w:rPr>
          <w:rFonts w:hint="eastAsia" w:ascii="宋体" w:hAnsi="宋体" w:cs="宋体"/>
          <w:color w:val="auto"/>
          <w:highlight w:val="none"/>
          <w:lang w:val="en-US" w:eastAsia="zh-CN"/>
        </w:rPr>
        <w:t>6</w:t>
      </w:r>
      <w:r>
        <w:rPr>
          <w:rFonts w:hint="eastAsia" w:ascii="宋体" w:hAnsi="宋体" w:cs="宋体"/>
          <w:color w:val="auto"/>
          <w:highlight w:val="none"/>
        </w:rPr>
        <w:t>C）进行招标采购，于</w:t>
      </w:r>
      <w:r>
        <w:rPr>
          <w:rFonts w:hint="eastAsia" w:ascii="宋体" w:hAnsi="宋体" w:cs="宋体"/>
          <w:color w:val="auto"/>
          <w:highlight w:val="none"/>
          <w:u w:val="single"/>
        </w:rPr>
        <w:t xml:space="preserve"> 20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日经公开招标后确定由乙方为中标供应商。按照《中华人民共和国民法典》等规定，经双方协商一致，订立本合同。</w:t>
      </w:r>
    </w:p>
    <w:p>
      <w:pPr>
        <w:suppressAutoHyphens/>
        <w:spacing w:before="93" w:beforeLines="30" w:after="93" w:afterLines="30"/>
        <w:jc w:val="both"/>
        <w:rPr>
          <w:rFonts w:ascii="宋体" w:hAnsi="宋体" w:cs="宋体"/>
          <w:b/>
          <w:bCs/>
          <w:color w:val="auto"/>
          <w:highlight w:val="none"/>
        </w:rPr>
      </w:pPr>
      <w:r>
        <w:rPr>
          <w:rFonts w:hint="eastAsia" w:ascii="宋体" w:hAnsi="宋体" w:cs="宋体"/>
          <w:b/>
          <w:bCs/>
          <w:color w:val="auto"/>
          <w:highlight w:val="none"/>
        </w:rPr>
        <w:t>一、项目名称</w:t>
      </w:r>
    </w:p>
    <w:p>
      <w:pPr>
        <w:suppressAutoHyphens/>
        <w:ind w:firstLine="420" w:firstLineChars="200"/>
        <w:jc w:val="both"/>
        <w:rPr>
          <w:rFonts w:ascii="宋体" w:hAnsi="宋体" w:cs="宋体"/>
          <w:color w:val="auto"/>
          <w:highlight w:val="none"/>
        </w:rPr>
      </w:pPr>
      <w:r>
        <w:rPr>
          <w:rFonts w:hint="eastAsia" w:ascii="宋体" w:hAnsi="宋体" w:cs="宋体"/>
          <w:color w:val="auto"/>
          <w:highlight w:val="none"/>
        </w:rPr>
        <w:t>东莞市长安镇</w:t>
      </w:r>
      <w:r>
        <w:rPr>
          <w:rFonts w:hint="eastAsia" w:ascii="宋体" w:hAnsi="宋体" w:cs="宋体"/>
          <w:color w:val="auto"/>
          <w:highlight w:val="none"/>
          <w:lang w:eastAsia="zh-CN"/>
        </w:rPr>
        <w:t>新民</w:t>
      </w:r>
      <w:r>
        <w:rPr>
          <w:rFonts w:hint="eastAsia" w:ascii="宋体" w:hAnsi="宋体" w:cs="宋体"/>
          <w:color w:val="auto"/>
          <w:highlight w:val="none"/>
        </w:rPr>
        <w:t>社区环卫保洁服务项目。</w:t>
      </w:r>
    </w:p>
    <w:p>
      <w:pPr>
        <w:suppressAutoHyphens/>
        <w:spacing w:before="93" w:beforeLines="30" w:after="93" w:afterLines="30"/>
        <w:jc w:val="both"/>
        <w:rPr>
          <w:rFonts w:ascii="宋体" w:hAnsi="宋体" w:cs="宋体"/>
          <w:b/>
          <w:bCs/>
          <w:color w:val="auto"/>
          <w:highlight w:val="none"/>
        </w:rPr>
      </w:pPr>
    </w:p>
    <w:p>
      <w:pPr>
        <w:suppressAutoHyphens/>
        <w:spacing w:before="93" w:beforeLines="30" w:after="93" w:afterLines="30"/>
        <w:jc w:val="both"/>
        <w:rPr>
          <w:rFonts w:ascii="宋体" w:hAnsi="宋体" w:cs="宋体"/>
          <w:b/>
          <w:bCs/>
          <w:color w:val="auto"/>
          <w:highlight w:val="none"/>
        </w:rPr>
      </w:pPr>
      <w:r>
        <w:rPr>
          <w:rFonts w:hint="eastAsia" w:ascii="宋体" w:hAnsi="宋体" w:cs="宋体"/>
          <w:b/>
          <w:bCs/>
          <w:color w:val="auto"/>
          <w:highlight w:val="none"/>
        </w:rPr>
        <w:t>二、合同组成</w:t>
      </w:r>
    </w:p>
    <w:p>
      <w:pPr>
        <w:suppressAutoHyphens/>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招标文件、投标文件、中标通知书及附件均为本合同的有效组成部分，本合同书及本合同的各有效组成部分就同一事项规定不一致的，以对乙方要求最高者或最为严格者为准。（如乙方在投标文件中承诺的设备多于招标文件中要求乙方投入的设备的，以乙方在投标文件中的承诺为准；又如乙方在投标文件中承诺的道路冲洗频次高于招标文件中要求的道路冲洗频次的，以乙方在投标文件中的承诺为准；其他诸如此类情形均按该原则解释）。</w:t>
      </w:r>
    </w:p>
    <w:p>
      <w:pPr>
        <w:suppressAutoHyphens/>
        <w:spacing w:before="93" w:beforeLines="30" w:after="93" w:afterLines="30"/>
        <w:jc w:val="both"/>
        <w:rPr>
          <w:rFonts w:ascii="宋体" w:hAnsi="宋体" w:cs="宋体"/>
          <w:b/>
          <w:bCs/>
          <w:color w:val="auto"/>
          <w:highlight w:val="none"/>
        </w:rPr>
      </w:pPr>
    </w:p>
    <w:p>
      <w:pPr>
        <w:suppressAutoHyphens/>
        <w:spacing w:before="93" w:beforeLines="30" w:after="93" w:afterLines="30"/>
        <w:jc w:val="both"/>
        <w:rPr>
          <w:rFonts w:ascii="宋体" w:hAnsi="宋体" w:cs="宋体"/>
          <w:b/>
          <w:bCs/>
          <w:color w:val="auto"/>
          <w:highlight w:val="none"/>
        </w:rPr>
      </w:pPr>
      <w:r>
        <w:rPr>
          <w:rFonts w:hint="eastAsia" w:ascii="宋体" w:hAnsi="宋体" w:cs="宋体"/>
          <w:b/>
          <w:bCs/>
          <w:color w:val="auto"/>
          <w:highlight w:val="none"/>
        </w:rPr>
        <w:t>三、服务范围</w:t>
      </w:r>
    </w:p>
    <w:p>
      <w:pPr>
        <w:overflowPunct w:val="0"/>
        <w:autoSpaceDE w:val="0"/>
        <w:autoSpaceDN w:val="0"/>
        <w:spacing w:before="156" w:beforeLines="50" w:after="156" w:afterLines="50" w:line="360" w:lineRule="auto"/>
        <w:textAlignment w:val="baseline"/>
        <w:rPr>
          <w:rFonts w:ascii="宋体" w:hAnsi="宋体" w:cs="宋体"/>
          <w:b/>
          <w:color w:val="auto"/>
          <w:szCs w:val="21"/>
          <w:highlight w:val="none"/>
        </w:rPr>
      </w:pPr>
      <w:r>
        <w:rPr>
          <w:rFonts w:hint="eastAsia" w:ascii="宋体" w:hAnsi="宋体" w:cs="宋体"/>
          <w:b/>
          <w:color w:val="auto"/>
          <w:szCs w:val="21"/>
          <w:highlight w:val="none"/>
        </w:rPr>
        <w:t>（一）服务范围及内容</w:t>
      </w:r>
    </w:p>
    <w:p>
      <w:pPr>
        <w:widowControl/>
        <w:adjustRightInd w:val="0"/>
        <w:snapToGrid w:val="0"/>
        <w:spacing w:line="360" w:lineRule="auto"/>
        <w:ind w:firstLine="420" w:firstLineChars="200"/>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主要包含新民社区区域范围面积内的清扫保洁、绿化保洁、冲洗降尘、“牛皮癣”清理（3米以下）、雨水井清理、生活垃圾收集至转运站（收集点）、环卫器具清洗管理等环卫保洁作业内容，以及</w:t>
      </w:r>
      <w:r>
        <w:rPr>
          <w:rFonts w:hint="eastAsia" w:ascii="宋体" w:hAnsi="宋体" w:cs="宋体"/>
          <w:color w:val="auto"/>
          <w:szCs w:val="21"/>
          <w:highlight w:val="none"/>
          <w:lang w:bidi="zh-CN"/>
        </w:rPr>
        <w:t>绿化养护、</w:t>
      </w:r>
      <w:r>
        <w:rPr>
          <w:rFonts w:hint="eastAsia" w:ascii="宋体" w:hAnsi="宋体" w:cs="宋体"/>
          <w:color w:val="auto"/>
          <w:szCs w:val="21"/>
          <w:highlight w:val="none"/>
          <w:lang w:val="zh-CN" w:bidi="zh-CN"/>
        </w:rPr>
        <w:t>中转站管养、公厕管养、水面保洁等内容。保洁面积约551428.52平方米。共计</w:t>
      </w:r>
      <w:r>
        <w:rPr>
          <w:rFonts w:hint="eastAsia" w:ascii="宋体" w:hAnsi="宋体" w:cs="宋体"/>
          <w:color w:val="auto"/>
          <w:szCs w:val="21"/>
          <w:highlight w:val="none"/>
          <w:lang w:val="en-US" w:bidi="zh-CN"/>
        </w:rPr>
        <w:t>2</w:t>
      </w:r>
      <w:r>
        <w:rPr>
          <w:rFonts w:hint="eastAsia" w:ascii="宋体" w:hAnsi="宋体" w:cs="宋体"/>
          <w:color w:val="auto"/>
          <w:szCs w:val="21"/>
          <w:highlight w:val="none"/>
          <w:lang w:val="zh-CN" w:bidi="zh-CN"/>
        </w:rPr>
        <w:t>个公厕，</w:t>
      </w:r>
      <w:r>
        <w:rPr>
          <w:rFonts w:hint="eastAsia" w:ascii="宋体" w:hAnsi="宋体" w:cs="宋体"/>
          <w:color w:val="auto"/>
          <w:szCs w:val="21"/>
          <w:highlight w:val="none"/>
          <w:lang w:val="en-US" w:bidi="zh-CN"/>
        </w:rPr>
        <w:t>1</w:t>
      </w:r>
      <w:r>
        <w:rPr>
          <w:rFonts w:hint="eastAsia" w:ascii="宋体" w:hAnsi="宋体" w:cs="宋体"/>
          <w:color w:val="auto"/>
          <w:szCs w:val="21"/>
          <w:highlight w:val="none"/>
          <w:lang w:val="zh-CN" w:bidi="zh-CN"/>
        </w:rPr>
        <w:t>个中转站。河涌</w:t>
      </w:r>
      <w:r>
        <w:rPr>
          <w:rFonts w:hint="eastAsia" w:ascii="宋体" w:hAnsi="宋体" w:cs="宋体"/>
          <w:color w:val="auto"/>
          <w:szCs w:val="21"/>
          <w:highlight w:val="none"/>
          <w:lang w:val="en-US" w:bidi="zh-CN"/>
        </w:rPr>
        <w:t>5</w:t>
      </w:r>
      <w:r>
        <w:rPr>
          <w:rFonts w:hint="eastAsia" w:ascii="宋体" w:hAnsi="宋体" w:cs="宋体"/>
          <w:color w:val="auto"/>
          <w:szCs w:val="21"/>
          <w:highlight w:val="none"/>
          <w:lang w:val="zh-CN" w:bidi="zh-CN"/>
        </w:rPr>
        <w:t>段。</w:t>
      </w:r>
    </w:p>
    <w:p>
      <w:pPr>
        <w:widowControl/>
        <w:adjustRightInd w:val="0"/>
        <w:snapToGrid w:val="0"/>
        <w:spacing w:line="360" w:lineRule="auto"/>
        <w:ind w:firstLine="420" w:firstLineChars="200"/>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具体工作内容包括：</w:t>
      </w:r>
    </w:p>
    <w:p>
      <w:pPr>
        <w:widowControl/>
        <w:adjustRightInd w:val="0"/>
        <w:snapToGrid w:val="0"/>
        <w:spacing w:line="360" w:lineRule="auto"/>
        <w:ind w:firstLine="420" w:firstLineChars="200"/>
        <w:rPr>
          <w:color w:val="auto"/>
          <w:highlight w:val="none"/>
          <w:lang w:val="zh-CN"/>
        </w:rPr>
      </w:pPr>
      <w:r>
        <w:rPr>
          <w:rFonts w:hint="eastAsia"/>
          <w:color w:val="auto"/>
          <w:highlight w:val="none"/>
          <w:lang w:val="zh-CN"/>
        </w:rPr>
        <w:t>1、道路保洁。社区公共区域内的道路（含地面和地下人行道、人行天桥、车行隧道等）和公共场所（含公园广场、步行街、过往车辆洒落物等）清扫保洁，以及冲洗、清洗、洒水降尘作业。</w:t>
      </w:r>
    </w:p>
    <w:p>
      <w:pPr>
        <w:widowControl/>
        <w:adjustRightInd w:val="0"/>
        <w:snapToGrid w:val="0"/>
        <w:spacing w:line="360" w:lineRule="auto"/>
        <w:ind w:firstLine="420" w:firstLineChars="200"/>
        <w:rPr>
          <w:color w:val="auto"/>
          <w:highlight w:val="none"/>
          <w:lang w:val="zh-CN"/>
        </w:rPr>
      </w:pPr>
      <w:r>
        <w:rPr>
          <w:rFonts w:hint="eastAsia"/>
          <w:color w:val="auto"/>
          <w:highlight w:val="none"/>
          <w:lang w:val="zh-CN"/>
        </w:rPr>
        <w:t>2、水面保洁。含社区地域范围内所有池塘等水面区域保洁，包括水面区域内水草的清理和垃圾、水面漂浮物的打捞和清理等相关水面保洁工作内容。</w:t>
      </w:r>
    </w:p>
    <w:p>
      <w:pPr>
        <w:widowControl/>
        <w:adjustRightInd w:val="0"/>
        <w:snapToGrid w:val="0"/>
        <w:spacing w:line="360" w:lineRule="auto"/>
        <w:ind w:firstLine="420" w:firstLineChars="200"/>
        <w:rPr>
          <w:color w:val="auto"/>
          <w:highlight w:val="none"/>
          <w:lang w:val="zh-CN"/>
        </w:rPr>
      </w:pPr>
      <w:r>
        <w:rPr>
          <w:rFonts w:hint="eastAsia"/>
          <w:color w:val="auto"/>
          <w:highlight w:val="none"/>
          <w:lang w:val="zh-CN"/>
        </w:rPr>
        <w:t>3、河道保洁。社区范围内的河道清扫保洁（含河道左右两岸各往外延伸6米范围内的区域保洁）。</w:t>
      </w:r>
    </w:p>
    <w:p>
      <w:pPr>
        <w:widowControl/>
        <w:adjustRightInd w:val="0"/>
        <w:snapToGrid w:val="0"/>
        <w:spacing w:line="360" w:lineRule="auto"/>
        <w:ind w:firstLine="420" w:firstLineChars="200"/>
        <w:rPr>
          <w:color w:val="auto"/>
          <w:highlight w:val="none"/>
          <w:lang w:val="zh-CN"/>
        </w:rPr>
      </w:pPr>
      <w:r>
        <w:rPr>
          <w:rFonts w:hint="eastAsia"/>
          <w:color w:val="auto"/>
          <w:highlight w:val="none"/>
          <w:lang w:val="zh-CN"/>
        </w:rPr>
        <w:t>4、绿化保洁（含绿地）。各社区范围内的所有绿化（含绿地保洁）作业保洁内容，绿化带垃圾清理，保持绿化地无枯枝、干叶、杂物、无烟蒂、无其他非绿地装饰品的放置，确保绿化地美观整洁。</w:t>
      </w:r>
    </w:p>
    <w:p>
      <w:pPr>
        <w:widowControl/>
        <w:adjustRightInd w:val="0"/>
        <w:snapToGrid w:val="0"/>
        <w:spacing w:line="360" w:lineRule="auto"/>
        <w:ind w:firstLine="420" w:firstLineChars="200"/>
        <w:rPr>
          <w:color w:val="auto"/>
          <w:highlight w:val="none"/>
          <w:lang w:val="zh-CN"/>
        </w:rPr>
      </w:pPr>
      <w:r>
        <w:rPr>
          <w:rFonts w:hint="eastAsia"/>
          <w:color w:val="auto"/>
          <w:highlight w:val="none"/>
          <w:lang w:val="zh-CN"/>
        </w:rPr>
        <w:t>5、绿化养护。人民涌两岸绿道范围内行道树和绿化带植物施肥、病害处理、淋水、苗木修剪等工作内容。该部分工作涉及的费用已包含在环卫保洁总费用中，甲方不在另行支付费用。</w:t>
      </w:r>
    </w:p>
    <w:p>
      <w:pPr>
        <w:widowControl/>
        <w:adjustRightInd w:val="0"/>
        <w:snapToGrid w:val="0"/>
        <w:spacing w:line="360" w:lineRule="auto"/>
        <w:ind w:firstLine="420" w:firstLineChars="200"/>
        <w:rPr>
          <w:rFonts w:hint="default"/>
          <w:color w:val="auto"/>
          <w:highlight w:val="none"/>
          <w:lang w:val="en-US"/>
        </w:rPr>
      </w:pPr>
      <w:r>
        <w:rPr>
          <w:rFonts w:hint="eastAsia"/>
          <w:color w:val="auto"/>
          <w:highlight w:val="none"/>
        </w:rPr>
        <w:t>6、</w:t>
      </w:r>
      <w:r>
        <w:rPr>
          <w:rFonts w:hint="eastAsia"/>
          <w:color w:val="auto"/>
          <w:highlight w:val="none"/>
          <w:lang w:val="zh-CN"/>
        </w:rPr>
        <w:t>立面保洁。外立面3米范围内的“牛皮癣”清理（含3米）。</w:t>
      </w:r>
    </w:p>
    <w:p>
      <w:pPr>
        <w:widowControl/>
        <w:adjustRightInd w:val="0"/>
        <w:snapToGrid w:val="0"/>
        <w:spacing w:line="360" w:lineRule="auto"/>
        <w:ind w:firstLine="420" w:firstLineChars="200"/>
        <w:rPr>
          <w:color w:val="auto"/>
          <w:highlight w:val="none"/>
          <w:lang w:val="zh-CN"/>
        </w:rPr>
      </w:pPr>
      <w:r>
        <w:rPr>
          <w:rFonts w:hint="eastAsia"/>
          <w:color w:val="auto"/>
          <w:highlight w:val="none"/>
        </w:rPr>
        <w:t>7</w:t>
      </w:r>
      <w:r>
        <w:rPr>
          <w:rFonts w:hint="eastAsia"/>
          <w:color w:val="auto"/>
          <w:highlight w:val="none"/>
          <w:lang w:val="zh-CN"/>
        </w:rPr>
        <w:t>、社区公厕管养与保洁；包括公厕的管养维护，每座公共厕所要实施专人管理，专职保洁管理人员不少于2人，实行轮班制，保洁管理时间不少于16小时，巡回对厕所及其5米范围内周边环境进行清扫、冲洗、消毒，管养及维护，并定期清理化粪池。公共厕所免费开放、公共厕所内设施完好无损，免费提供卫生纸、洗手液，“星级公厕”提供便民服务。</w:t>
      </w:r>
    </w:p>
    <w:p>
      <w:pPr>
        <w:widowControl/>
        <w:adjustRightInd w:val="0"/>
        <w:snapToGrid w:val="0"/>
        <w:spacing w:line="360" w:lineRule="auto"/>
        <w:ind w:firstLine="420" w:firstLineChars="200"/>
        <w:rPr>
          <w:color w:val="auto"/>
          <w:highlight w:val="none"/>
          <w:lang w:val="zh-CN"/>
        </w:rPr>
      </w:pPr>
      <w:r>
        <w:rPr>
          <w:rFonts w:hint="eastAsia"/>
          <w:color w:val="auto"/>
          <w:highlight w:val="none"/>
        </w:rPr>
        <w:t>8</w:t>
      </w:r>
      <w:r>
        <w:rPr>
          <w:rFonts w:hint="eastAsia"/>
          <w:color w:val="auto"/>
          <w:highlight w:val="none"/>
          <w:lang w:val="zh-CN"/>
        </w:rPr>
        <w:t>、社区中转站管养与保洁。包括中转站的运营维护，每座中转站要实施专人管理，专职保洁管理人员不少于2人，实行轮班制，保洁管理时间不少于16小时；中转站运行期间必须开启除臭设施；垃圾转运站内生活垃圾必须日产日清，因特殊情况不能日清必须落实除臭措施，严禁在站外堆积。优化设置垃圾收集点。</w:t>
      </w:r>
    </w:p>
    <w:p>
      <w:pPr>
        <w:widowControl/>
        <w:adjustRightInd w:val="0"/>
        <w:snapToGrid w:val="0"/>
        <w:spacing w:line="360" w:lineRule="auto"/>
        <w:ind w:firstLine="420" w:firstLineChars="200"/>
        <w:rPr>
          <w:color w:val="auto"/>
          <w:highlight w:val="none"/>
          <w:lang w:val="zh-CN"/>
        </w:rPr>
      </w:pPr>
      <w:r>
        <w:rPr>
          <w:rFonts w:hint="eastAsia"/>
          <w:color w:val="auto"/>
          <w:highlight w:val="none"/>
        </w:rPr>
        <w:t>9</w:t>
      </w:r>
      <w:r>
        <w:rPr>
          <w:rFonts w:hint="eastAsia"/>
          <w:color w:val="auto"/>
          <w:highlight w:val="none"/>
          <w:lang w:val="zh-CN"/>
        </w:rPr>
        <w:t>、社区清扫保洁范围内所有果皮箱、垃圾桶、垃圾收集点的清掏、保洁、维护、维修、丢失（损坏）补齐等，确保果皮箱（桶）、垃圾收集点内垃圾日产日清无积压，外壳清洁，摆放整齐。路面垃圾、果皮箱垃圾、660L以下垃圾桶垃圾由环卫工人使用手推车或三轮车收集运至社区中转站。</w:t>
      </w:r>
    </w:p>
    <w:p>
      <w:pPr>
        <w:widowControl/>
        <w:adjustRightInd w:val="0"/>
        <w:snapToGrid w:val="0"/>
        <w:spacing w:line="360" w:lineRule="auto"/>
        <w:ind w:firstLine="420" w:firstLineChars="200"/>
        <w:rPr>
          <w:color w:val="auto"/>
          <w:highlight w:val="none"/>
          <w:lang w:val="zh-CN"/>
        </w:rPr>
      </w:pPr>
      <w:r>
        <w:rPr>
          <w:rFonts w:hint="eastAsia"/>
          <w:color w:val="auto"/>
          <w:highlight w:val="none"/>
        </w:rPr>
        <w:t>10</w:t>
      </w:r>
      <w:r>
        <w:rPr>
          <w:rFonts w:hint="eastAsia"/>
          <w:color w:val="auto"/>
          <w:highlight w:val="none"/>
          <w:lang w:val="zh-CN"/>
        </w:rPr>
        <w:t>、社区清扫保洁范围内所有环卫作业设施设备、市政设施、公共设施、收集容器、沙井、交通护栏、道路两侧休闲椅、康体娱乐设施、雕塑、灯杆、道路两侧路牌、邮筒、读报栏、站亭、广告牌等设备的清理冲洗保洁。</w:t>
      </w:r>
    </w:p>
    <w:p>
      <w:pPr>
        <w:widowControl/>
        <w:adjustRightInd w:val="0"/>
        <w:snapToGrid w:val="0"/>
        <w:spacing w:line="360" w:lineRule="auto"/>
        <w:ind w:firstLine="420" w:firstLineChars="200"/>
        <w:rPr>
          <w:color w:val="auto"/>
          <w:highlight w:val="none"/>
          <w:lang w:val="zh-CN"/>
        </w:rPr>
      </w:pPr>
      <w:r>
        <w:rPr>
          <w:rFonts w:hint="eastAsia"/>
          <w:color w:val="auto"/>
          <w:highlight w:val="none"/>
          <w:lang w:val="zh-CN"/>
        </w:rPr>
        <w:t>1</w:t>
      </w:r>
      <w:r>
        <w:rPr>
          <w:rFonts w:hint="eastAsia"/>
          <w:color w:val="auto"/>
          <w:highlight w:val="none"/>
        </w:rPr>
        <w:t>1</w:t>
      </w:r>
      <w:r>
        <w:rPr>
          <w:rFonts w:hint="eastAsia"/>
          <w:color w:val="auto"/>
          <w:highlight w:val="none"/>
          <w:lang w:val="zh-CN"/>
        </w:rPr>
        <w:t>、各社区区域内规定的其他环卫保洁内容。包括但不限于大件垃圾、园林废弃物等垃圾的收运清理。</w:t>
      </w:r>
    </w:p>
    <w:p>
      <w:pPr>
        <w:widowControl/>
        <w:adjustRightInd w:val="0"/>
        <w:snapToGrid w:val="0"/>
        <w:spacing w:line="360" w:lineRule="auto"/>
        <w:ind w:firstLine="420" w:firstLineChars="200"/>
        <w:rPr>
          <w:color w:val="auto"/>
          <w:highlight w:val="none"/>
          <w:lang w:val="zh-CN"/>
        </w:rPr>
      </w:pPr>
      <w:r>
        <w:rPr>
          <w:rFonts w:hint="eastAsia"/>
          <w:color w:val="auto"/>
          <w:highlight w:val="none"/>
          <w:lang w:val="zh-CN"/>
        </w:rPr>
        <w:t>1</w:t>
      </w:r>
      <w:r>
        <w:rPr>
          <w:rFonts w:hint="eastAsia"/>
          <w:color w:val="auto"/>
          <w:highlight w:val="none"/>
        </w:rPr>
        <w:t>2</w:t>
      </w:r>
      <w:r>
        <w:rPr>
          <w:rFonts w:hint="eastAsia"/>
          <w:color w:val="auto"/>
          <w:highlight w:val="none"/>
          <w:lang w:val="zh-CN"/>
        </w:rPr>
        <w:t>、生活垃圾收运。包括两条线的收运：生活垃圾的直接收运和中转收运。直接收运指将社区范围内的工厂企业、物业小区、路面660L垃圾桶垃圾及公共场所等场所垃圾由后置压缩车直接收集运至红花坑中转站；中转收运指将社区垃圾中转站垃圾由勾臂车压缩运至红花坑转运站。</w:t>
      </w:r>
    </w:p>
    <w:p>
      <w:pPr>
        <w:widowControl/>
        <w:adjustRightInd w:val="0"/>
        <w:snapToGrid w:val="0"/>
        <w:spacing w:line="360" w:lineRule="auto"/>
        <w:ind w:firstLine="420" w:firstLineChars="200"/>
        <w:rPr>
          <w:color w:val="auto"/>
          <w:highlight w:val="none"/>
          <w:lang w:val="zh-CN"/>
        </w:rPr>
      </w:pPr>
      <w:r>
        <w:rPr>
          <w:rFonts w:hint="eastAsia"/>
          <w:color w:val="auto"/>
          <w:highlight w:val="none"/>
          <w:lang w:val="zh-CN"/>
        </w:rPr>
        <w:t>1</w:t>
      </w:r>
      <w:r>
        <w:rPr>
          <w:rFonts w:hint="eastAsia"/>
          <w:color w:val="auto"/>
          <w:highlight w:val="none"/>
        </w:rPr>
        <w:t>3</w:t>
      </w:r>
      <w:r>
        <w:rPr>
          <w:rFonts w:hint="eastAsia"/>
          <w:color w:val="auto"/>
          <w:highlight w:val="none"/>
          <w:lang w:val="zh-CN"/>
        </w:rPr>
        <w:t>、有害垃圾收运。包括社区有害垃圾收集站的管养和维护，以及在社区范围内的有害垃圾存放点收取有害垃圾。负责每天有害垃圾的清点，统计，登记造册，做好有害垃圾的清运台账，每月提交至城管部门。每天工作结束后清理消毒有害垃圾回收车。具体根据实际情况进行合理调配。有害垃圾及时运输至指定终端处置点，由处置单位接收，中途不混入其它垃圾或水等非有害垃圾。</w:t>
      </w:r>
    </w:p>
    <w:p>
      <w:pPr>
        <w:widowControl/>
        <w:adjustRightInd w:val="0"/>
        <w:snapToGrid w:val="0"/>
        <w:spacing w:line="360" w:lineRule="auto"/>
        <w:ind w:firstLine="420" w:firstLineChars="200"/>
        <w:rPr>
          <w:color w:val="auto"/>
          <w:highlight w:val="none"/>
          <w:lang w:val="zh-CN"/>
        </w:rPr>
      </w:pPr>
      <w:r>
        <w:rPr>
          <w:rFonts w:hint="eastAsia"/>
          <w:color w:val="auto"/>
          <w:highlight w:val="none"/>
          <w:lang w:val="zh-CN"/>
        </w:rPr>
        <w:t>（一）长安镇</w:t>
      </w:r>
      <w:r>
        <w:rPr>
          <w:rFonts w:hint="eastAsia"/>
          <w:color w:val="auto"/>
          <w:highlight w:val="none"/>
          <w:lang w:val="en-US" w:eastAsia="zh-CN"/>
        </w:rPr>
        <w:t>新民</w:t>
      </w:r>
      <w:r>
        <w:rPr>
          <w:rFonts w:hint="eastAsia"/>
          <w:color w:val="auto"/>
          <w:highlight w:val="none"/>
          <w:lang w:val="zh-CN"/>
        </w:rPr>
        <w:t>社区道路环卫保洁测量面积统计表。具体如下：</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316"/>
        <w:gridCol w:w="951"/>
        <w:gridCol w:w="789"/>
        <w:gridCol w:w="1275"/>
        <w:gridCol w:w="1169"/>
        <w:gridCol w:w="1169"/>
        <w:gridCol w:w="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000" w:type="pct"/>
            <w:gridSpan w:val="8"/>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长安镇新民社区道路环卫保洁测量面积统计表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0" w:type="pct"/>
            <w:gridSpan w:val="8"/>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(五条主干道除外)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6" w:type="pct"/>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35" w:type="pct"/>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路段名称</w:t>
            </w:r>
          </w:p>
        </w:tc>
        <w:tc>
          <w:tcPr>
            <w:tcW w:w="651" w:type="pct"/>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道路长度(m)</w:t>
            </w:r>
          </w:p>
        </w:tc>
        <w:tc>
          <w:tcPr>
            <w:tcW w:w="573" w:type="pct"/>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道路宽度(m)</w:t>
            </w:r>
          </w:p>
        </w:tc>
        <w:tc>
          <w:tcPr>
            <w:tcW w:w="719" w:type="pct"/>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机动车道面积(㎡)</w:t>
            </w:r>
          </w:p>
        </w:tc>
        <w:tc>
          <w:tcPr>
            <w:tcW w:w="659" w:type="pct"/>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人行道面积(㎡)</w:t>
            </w:r>
          </w:p>
        </w:tc>
        <w:tc>
          <w:tcPr>
            <w:tcW w:w="660" w:type="pct"/>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清扫总面积(㎡)</w:t>
            </w:r>
          </w:p>
        </w:tc>
        <w:tc>
          <w:tcPr>
            <w:tcW w:w="244" w:type="pct"/>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(1-1)新民路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2061.17</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33.68</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31287.18</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30947.9</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65776.39</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(1-2)艾特诺厂前路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153</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15.48</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1095.2</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1209.13</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2304.33</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(1-3)兴隆路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950.34</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16.38</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9640.22</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6452.44</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16863.77</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(1-4)初馨香氛厂前路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3651.35</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3651.35</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(1-5)祥兴街</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435.65</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14.81</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3864.14</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2721.91</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6586.05</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(1-6)兴隆路东侧巷道</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1343.58</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1343.58</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(1-8)兴盛路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659</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31.26</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9407.01</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18144.14</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29244.93</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(1-9)新源巷</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1594.94</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1692.9</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(1-11)兴民路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277.44</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19.09</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3241.63</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1667.37</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5324.28</w:t>
            </w:r>
          </w:p>
        </w:tc>
        <w:tc>
          <w:tcPr>
            <w:tcW w:w="244" w:type="pct"/>
            <w:noWrap/>
            <w:vAlign w:val="center"/>
          </w:tcPr>
          <w:p>
            <w:pPr>
              <w:widowControl/>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(1-12)祥和街</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611.57</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20.12</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5204.11</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4900.22</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11137.22</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(1-13)美高厂南侧巷道</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936.17</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936.17</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(1-14)祥和街北侧巷道</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156.43</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20</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3132.01</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3132.01</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(1-20)睦邻路口</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610.77</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610.77</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(1-24)新民路东巷</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172.83</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1952.01</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1952.01</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(2-3)顺和路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1073.92</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24.65</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14066.4</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10744.98</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24811.38</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(2-4)新星路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393.6</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21.79</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5473.23</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2552.96</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9171.3</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(2-5)祥盛街</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353.16</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20.59</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1566.71</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2342.03</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9107.31</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(2-6)福荣街</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4887.23</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8731.82</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(2-7)明和纸厂前路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85.12</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19.74</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1214.71</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1646.97</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(2-8)冠钧厂前路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78.51</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11.1</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649.63</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649.63</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880.92</w:t>
            </w:r>
          </w:p>
        </w:tc>
        <w:tc>
          <w:tcPr>
            <w:tcW w:w="244" w:type="pct"/>
            <w:noWrap/>
            <w:vAlign w:val="center"/>
          </w:tcPr>
          <w:p>
            <w:pPr>
              <w:widowControl/>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(2-11)裕民街</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1110.15</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13.8</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7624.5</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9796.53</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17421.03</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(3-1)陆丰东街</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625.81</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11.09</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4048.75</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2708.02</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6756.77</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(3-3)陆丰西街</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648.11</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10.43</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4302.56</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2993.62</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7296.18</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(3-6)新丰路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568.81</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22.43</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9151.99</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5995.43</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14932.49</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(3-11)同荣路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1160.44</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35.51</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28762.576</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28762.58</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(3-12)南水景路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4070.89</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4070.89</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(3-13)北水景路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1680.88</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1680.88</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(3-15)堤围路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187.67</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14.5</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1645.2</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837.33</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2482.53</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(3-16)新民排渠绿道</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344.13</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9.93</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3361.26</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3361.26</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(4-1)兴发路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641.44</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39.66</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19090.25</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13543.39</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37940.35</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235" w:type="pct"/>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(4-2)新丰路</w:t>
            </w:r>
          </w:p>
        </w:tc>
        <w:tc>
          <w:tcPr>
            <w:tcW w:w="651"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293.57</w:t>
            </w:r>
          </w:p>
        </w:tc>
        <w:tc>
          <w:tcPr>
            <w:tcW w:w="57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23.77</w:t>
            </w:r>
          </w:p>
        </w:tc>
        <w:tc>
          <w:tcPr>
            <w:tcW w:w="71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3678.88</w:t>
            </w:r>
          </w:p>
        </w:tc>
        <w:tc>
          <w:tcPr>
            <w:tcW w:w="659"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2456.27</w:t>
            </w:r>
          </w:p>
        </w:tc>
        <w:tc>
          <w:tcPr>
            <w:tcW w:w="660"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6135.15</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91" w:type="pct"/>
            <w:gridSpan w:val="2"/>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 计</w:t>
            </w:r>
          </w:p>
        </w:tc>
        <w:tc>
          <w:tcPr>
            <w:tcW w:w="651"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573"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9" w:type="pct"/>
            <w:noWrap/>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164410.936</w:t>
            </w:r>
          </w:p>
        </w:tc>
        <w:tc>
          <w:tcPr>
            <w:tcW w:w="659" w:type="pct"/>
            <w:noWrap/>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148488.33</w:t>
            </w:r>
          </w:p>
        </w:tc>
        <w:tc>
          <w:tcPr>
            <w:tcW w:w="660" w:type="pct"/>
            <w:noWrap/>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335745.57</w:t>
            </w:r>
          </w:p>
        </w:tc>
        <w:tc>
          <w:tcPr>
            <w:tcW w:w="244" w:type="pct"/>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bl>
    <w:p>
      <w:pPr>
        <w:bidi w:val="0"/>
        <w:rPr>
          <w:color w:val="auto"/>
          <w:highlight w:val="none"/>
        </w:r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813"/>
        <w:gridCol w:w="1010"/>
        <w:gridCol w:w="1025"/>
        <w:gridCol w:w="1304"/>
        <w:gridCol w:w="963"/>
        <w:gridCol w:w="1205"/>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000" w:type="pct"/>
            <w:gridSpan w:val="8"/>
            <w:noWrap/>
            <w:vAlign w:val="center"/>
          </w:tcPr>
          <w:p>
            <w:pPr>
              <w:widowControl/>
              <w:jc w:val="center"/>
              <w:rPr>
                <w:rFonts w:ascii="华康简标题宋" w:hAnsi="华康简标题宋" w:cs="宋体"/>
                <w:b/>
                <w:bCs/>
                <w:color w:val="auto"/>
                <w:sz w:val="21"/>
                <w:szCs w:val="21"/>
                <w:highlight w:val="none"/>
              </w:rPr>
            </w:pPr>
            <w:r>
              <w:rPr>
                <w:rFonts w:hAnsi="宋体" w:cs="宋体"/>
                <w:b/>
                <w:bCs/>
                <w:color w:val="auto"/>
                <w:sz w:val="21"/>
                <w:szCs w:val="21"/>
                <w:highlight w:val="none"/>
              </w:rPr>
              <w:t>长安镇</w:t>
            </w:r>
            <w:r>
              <w:rPr>
                <w:rFonts w:hint="eastAsia" w:hAnsi="宋体" w:cs="宋体"/>
                <w:b/>
                <w:bCs/>
                <w:color w:val="auto"/>
                <w:sz w:val="21"/>
                <w:szCs w:val="21"/>
                <w:highlight w:val="none"/>
              </w:rPr>
              <w:t>新民</w:t>
            </w:r>
            <w:r>
              <w:rPr>
                <w:rFonts w:hAnsi="宋体" w:cs="宋体"/>
                <w:b/>
                <w:bCs/>
                <w:color w:val="auto"/>
                <w:sz w:val="21"/>
                <w:szCs w:val="21"/>
                <w:highlight w:val="none"/>
              </w:rPr>
              <w:t>社区工业园区环卫保洁测量面积统计表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0" w:type="pct"/>
            <w:gridSpan w:val="8"/>
            <w:noWrap/>
            <w:vAlign w:val="center"/>
          </w:tcPr>
          <w:p>
            <w:pPr>
              <w:widowControl/>
              <w:jc w:val="center"/>
              <w:rPr>
                <w:rFonts w:ascii="华康简标题宋" w:hAnsi="华康简标题宋" w:cs="宋体"/>
                <w:b/>
                <w:bCs/>
                <w:color w:val="auto"/>
                <w:sz w:val="21"/>
                <w:szCs w:val="21"/>
                <w:highlight w:val="none"/>
              </w:rPr>
            </w:pPr>
            <w:r>
              <w:rPr>
                <w:rFonts w:ascii="华康简标题宋" w:hAnsi="华康简标题宋" w:cs="宋体"/>
                <w:b/>
                <w:bCs/>
                <w:color w:val="auto"/>
                <w:sz w:val="21"/>
                <w:szCs w:val="21"/>
                <w:highlight w:val="none"/>
              </w:rPr>
              <w:t>(围闭式工业园除外)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序号</w:t>
            </w:r>
          </w:p>
        </w:tc>
        <w:tc>
          <w:tcPr>
            <w:tcW w:w="1066"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工业园区路段名称</w:t>
            </w:r>
          </w:p>
        </w:tc>
        <w:tc>
          <w:tcPr>
            <w:tcW w:w="59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道路长度(m)</w:t>
            </w:r>
          </w:p>
        </w:tc>
        <w:tc>
          <w:tcPr>
            <w:tcW w:w="604"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道路宽度(m)</w:t>
            </w:r>
          </w:p>
        </w:tc>
        <w:tc>
          <w:tcPr>
            <w:tcW w:w="767"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机动车道面积(㎡)</w:t>
            </w:r>
          </w:p>
        </w:tc>
        <w:tc>
          <w:tcPr>
            <w:tcW w:w="567"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人行道面积(㎡)</w:t>
            </w:r>
          </w:p>
        </w:tc>
        <w:tc>
          <w:tcPr>
            <w:tcW w:w="709"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清扫总面积(㎡)</w:t>
            </w:r>
          </w:p>
        </w:tc>
        <w:tc>
          <w:tcPr>
            <w:tcW w:w="457"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35"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w:t>
            </w:r>
          </w:p>
        </w:tc>
        <w:tc>
          <w:tcPr>
            <w:tcW w:w="1066" w:type="pct"/>
            <w:noWrap/>
            <w:vAlign w:val="center"/>
          </w:tcPr>
          <w:p>
            <w:pPr>
              <w:jc w:val="center"/>
              <w:rPr>
                <w:rFonts w:hAnsi="宋体" w:cs="宋体"/>
                <w:color w:val="auto"/>
                <w:sz w:val="21"/>
                <w:szCs w:val="21"/>
                <w:highlight w:val="none"/>
              </w:rPr>
            </w:pPr>
          </w:p>
        </w:tc>
        <w:tc>
          <w:tcPr>
            <w:tcW w:w="595" w:type="pct"/>
            <w:noWrap/>
            <w:vAlign w:val="center"/>
          </w:tcPr>
          <w:p>
            <w:pPr>
              <w:jc w:val="center"/>
              <w:rPr>
                <w:rFonts w:hAnsi="宋体" w:cs="宋体"/>
                <w:color w:val="auto"/>
                <w:sz w:val="21"/>
                <w:szCs w:val="21"/>
                <w:highlight w:val="none"/>
              </w:rPr>
            </w:pPr>
          </w:p>
        </w:tc>
        <w:tc>
          <w:tcPr>
            <w:tcW w:w="604" w:type="pct"/>
            <w:noWrap/>
            <w:vAlign w:val="center"/>
          </w:tcPr>
          <w:p>
            <w:pPr>
              <w:jc w:val="center"/>
              <w:rPr>
                <w:rFonts w:hAnsi="宋体" w:cs="宋体"/>
                <w:color w:val="auto"/>
                <w:sz w:val="21"/>
                <w:szCs w:val="21"/>
                <w:highlight w:val="none"/>
              </w:rPr>
            </w:pPr>
          </w:p>
        </w:tc>
        <w:tc>
          <w:tcPr>
            <w:tcW w:w="767" w:type="pct"/>
            <w:noWrap/>
            <w:vAlign w:val="center"/>
          </w:tcPr>
          <w:p>
            <w:pPr>
              <w:jc w:val="center"/>
              <w:rPr>
                <w:rFonts w:hAnsi="宋体" w:cs="宋体"/>
                <w:color w:val="auto"/>
                <w:sz w:val="21"/>
                <w:szCs w:val="21"/>
                <w:highlight w:val="none"/>
              </w:rPr>
            </w:pPr>
          </w:p>
        </w:tc>
        <w:tc>
          <w:tcPr>
            <w:tcW w:w="567" w:type="pct"/>
            <w:noWrap/>
            <w:vAlign w:val="center"/>
          </w:tcPr>
          <w:p>
            <w:pPr>
              <w:jc w:val="center"/>
              <w:rPr>
                <w:rFonts w:hAnsi="宋体" w:cs="宋体"/>
                <w:color w:val="auto"/>
                <w:sz w:val="21"/>
                <w:szCs w:val="21"/>
                <w:highlight w:val="none"/>
              </w:rPr>
            </w:pPr>
          </w:p>
        </w:tc>
        <w:tc>
          <w:tcPr>
            <w:tcW w:w="709" w:type="pct"/>
            <w:noWrap/>
            <w:vAlign w:val="center"/>
          </w:tcPr>
          <w:p>
            <w:pPr>
              <w:jc w:val="center"/>
              <w:rPr>
                <w:rFonts w:hAnsi="宋体" w:cs="宋体"/>
                <w:color w:val="auto"/>
                <w:sz w:val="21"/>
                <w:szCs w:val="21"/>
                <w:highlight w:val="none"/>
              </w:rPr>
            </w:pPr>
          </w:p>
        </w:tc>
        <w:tc>
          <w:tcPr>
            <w:tcW w:w="4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5"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　</w:t>
            </w:r>
          </w:p>
        </w:tc>
        <w:tc>
          <w:tcPr>
            <w:tcW w:w="1066"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合 计</w:t>
            </w:r>
          </w:p>
        </w:tc>
        <w:tc>
          <w:tcPr>
            <w:tcW w:w="595"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0</w:t>
            </w:r>
          </w:p>
        </w:tc>
        <w:tc>
          <w:tcPr>
            <w:tcW w:w="604"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0</w:t>
            </w:r>
          </w:p>
        </w:tc>
        <w:tc>
          <w:tcPr>
            <w:tcW w:w="767"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0</w:t>
            </w:r>
          </w:p>
        </w:tc>
        <w:tc>
          <w:tcPr>
            <w:tcW w:w="567"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0</w:t>
            </w:r>
          </w:p>
        </w:tc>
        <w:tc>
          <w:tcPr>
            <w:tcW w:w="709"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0</w:t>
            </w:r>
          </w:p>
        </w:tc>
        <w:tc>
          <w:tcPr>
            <w:tcW w:w="4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0</w:t>
            </w:r>
          </w:p>
        </w:tc>
      </w:tr>
    </w:tbl>
    <w:p>
      <w:pPr>
        <w:bidi w:val="0"/>
        <w:rPr>
          <w:color w:val="auto"/>
          <w:highlight w:val="none"/>
        </w:r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3176"/>
        <w:gridCol w:w="1814"/>
        <w:gridCol w:w="1394"/>
        <w:gridCol w:w="974"/>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000" w:type="pct"/>
            <w:gridSpan w:val="6"/>
            <w:noWrap/>
            <w:vAlign w:val="center"/>
          </w:tcPr>
          <w:p>
            <w:pPr>
              <w:widowControl/>
              <w:jc w:val="center"/>
              <w:textAlignment w:val="center"/>
              <w:rPr>
                <w:rFonts w:hAnsi="宋体" w:cs="宋体"/>
                <w:b/>
                <w:bCs/>
                <w:color w:val="auto"/>
                <w:sz w:val="21"/>
                <w:szCs w:val="21"/>
                <w:highlight w:val="none"/>
              </w:rPr>
            </w:pPr>
            <w:r>
              <w:rPr>
                <w:rFonts w:hint="eastAsia" w:hAnsi="宋体" w:cs="宋体"/>
                <w:b/>
                <w:bCs/>
                <w:color w:val="auto"/>
                <w:sz w:val="21"/>
                <w:szCs w:val="21"/>
                <w:highlight w:val="none"/>
              </w:rPr>
              <w:t>长安镇新民社区公园、广场环卫保洁测量面积统计表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1" w:type="pct"/>
            <w:noWrap w:val="0"/>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rPr>
              <w:t>序号</w:t>
            </w:r>
          </w:p>
        </w:tc>
        <w:tc>
          <w:tcPr>
            <w:tcW w:w="1887" w:type="pct"/>
            <w:noWrap w:val="0"/>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rPr>
              <w:t>公园、广场名称</w:t>
            </w:r>
          </w:p>
        </w:tc>
        <w:tc>
          <w:tcPr>
            <w:tcW w:w="1030"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rPr>
              <w:t>清扫保洁面积(㎡)</w:t>
            </w:r>
          </w:p>
        </w:tc>
        <w:tc>
          <w:tcPr>
            <w:tcW w:w="801"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rPr>
              <w:t>绿化面积(㎡)</w:t>
            </w:r>
          </w:p>
        </w:tc>
        <w:tc>
          <w:tcPr>
            <w:tcW w:w="577"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rPr>
              <w:t>合计(㎡)</w:t>
            </w:r>
          </w:p>
        </w:tc>
        <w:tc>
          <w:tcPr>
            <w:tcW w:w="474" w:type="pct"/>
            <w:noWrap w:val="0"/>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31" w:type="pct"/>
            <w:shd w:val="clear" w:color="auto" w:fill="auto"/>
            <w:noWrap w:val="0"/>
            <w:vAlign w:val="top"/>
          </w:tcPr>
          <w:p>
            <w:pPr>
              <w:rPr>
                <w:color w:val="auto"/>
                <w:sz w:val="21"/>
                <w:szCs w:val="21"/>
                <w:highlight w:val="none"/>
              </w:rPr>
            </w:pPr>
            <w:r>
              <w:rPr>
                <w:rFonts w:hint="eastAsia"/>
                <w:color w:val="auto"/>
                <w:sz w:val="21"/>
                <w:szCs w:val="21"/>
                <w:highlight w:val="none"/>
              </w:rPr>
              <w:t>1</w:t>
            </w:r>
          </w:p>
        </w:tc>
        <w:tc>
          <w:tcPr>
            <w:tcW w:w="1887" w:type="pct"/>
            <w:shd w:val="clear" w:color="auto" w:fill="auto"/>
            <w:noWrap/>
            <w:vAlign w:val="center"/>
          </w:tcPr>
          <w:p>
            <w:pPr>
              <w:widowControl/>
              <w:textAlignment w:val="center"/>
              <w:rPr>
                <w:color w:val="auto"/>
                <w:sz w:val="21"/>
                <w:szCs w:val="21"/>
                <w:highlight w:val="none"/>
              </w:rPr>
            </w:pPr>
            <w:r>
              <w:rPr>
                <w:rFonts w:hint="eastAsia" w:hAnsi="宋体" w:cs="宋体"/>
                <w:color w:val="auto"/>
                <w:sz w:val="21"/>
                <w:szCs w:val="21"/>
                <w:highlight w:val="none"/>
                <w:lang w:bidi="ar"/>
              </w:rPr>
              <w:t>(1-21)兴盛路公园</w:t>
            </w:r>
          </w:p>
        </w:tc>
        <w:tc>
          <w:tcPr>
            <w:tcW w:w="1030" w:type="pct"/>
            <w:shd w:val="clear" w:color="auto" w:fill="auto"/>
            <w:noWrap/>
            <w:vAlign w:val="center"/>
          </w:tcPr>
          <w:p>
            <w:pPr>
              <w:widowControl/>
              <w:jc w:val="center"/>
              <w:textAlignment w:val="center"/>
              <w:rPr>
                <w:color w:val="auto"/>
                <w:sz w:val="21"/>
                <w:szCs w:val="21"/>
                <w:highlight w:val="none"/>
              </w:rPr>
            </w:pPr>
            <w:r>
              <w:rPr>
                <w:rFonts w:hint="eastAsia" w:hAnsi="宋体" w:cs="宋体"/>
                <w:color w:val="auto"/>
                <w:sz w:val="21"/>
                <w:szCs w:val="21"/>
                <w:highlight w:val="none"/>
                <w:lang w:bidi="ar"/>
              </w:rPr>
              <w:t>1261.67</w:t>
            </w:r>
          </w:p>
        </w:tc>
        <w:tc>
          <w:tcPr>
            <w:tcW w:w="801" w:type="pct"/>
            <w:shd w:val="clear" w:color="auto" w:fill="auto"/>
            <w:noWrap/>
            <w:vAlign w:val="center"/>
          </w:tcPr>
          <w:p>
            <w:pPr>
              <w:widowControl/>
              <w:jc w:val="center"/>
              <w:textAlignment w:val="center"/>
              <w:rPr>
                <w:color w:val="auto"/>
                <w:sz w:val="21"/>
                <w:szCs w:val="21"/>
                <w:highlight w:val="none"/>
              </w:rPr>
            </w:pPr>
            <w:r>
              <w:rPr>
                <w:rFonts w:hint="eastAsia" w:hAnsi="宋体" w:cs="宋体"/>
                <w:color w:val="auto"/>
                <w:sz w:val="21"/>
                <w:szCs w:val="21"/>
                <w:highlight w:val="none"/>
                <w:lang w:bidi="ar"/>
              </w:rPr>
              <w:t>511.69</w:t>
            </w:r>
          </w:p>
        </w:tc>
        <w:tc>
          <w:tcPr>
            <w:tcW w:w="577" w:type="pct"/>
            <w:shd w:val="clear" w:color="auto" w:fill="auto"/>
            <w:noWrap/>
            <w:vAlign w:val="center"/>
          </w:tcPr>
          <w:p>
            <w:pPr>
              <w:widowControl/>
              <w:jc w:val="center"/>
              <w:textAlignment w:val="center"/>
              <w:rPr>
                <w:color w:val="auto"/>
                <w:sz w:val="21"/>
                <w:szCs w:val="21"/>
                <w:highlight w:val="none"/>
              </w:rPr>
            </w:pPr>
            <w:r>
              <w:rPr>
                <w:rFonts w:hint="eastAsia" w:hAnsi="宋体" w:cs="宋体"/>
                <w:color w:val="auto"/>
                <w:sz w:val="21"/>
                <w:szCs w:val="21"/>
                <w:highlight w:val="none"/>
                <w:lang w:bidi="ar"/>
              </w:rPr>
              <w:t>1773.36</w:t>
            </w:r>
          </w:p>
        </w:tc>
        <w:tc>
          <w:tcPr>
            <w:tcW w:w="474" w:type="pct"/>
            <w:shd w:val="clear" w:color="auto" w:fill="FFFFFF"/>
            <w:noWrap w:val="0"/>
            <w:vAlign w:val="center"/>
          </w:tcPr>
          <w:p>
            <w:pPr>
              <w:widowControl/>
              <w:jc w:val="center"/>
              <w:textAlignment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31" w:type="pct"/>
            <w:noWrap w:val="0"/>
            <w:vAlign w:val="top"/>
          </w:tcPr>
          <w:p>
            <w:pPr>
              <w:rPr>
                <w:color w:val="auto"/>
                <w:sz w:val="21"/>
                <w:szCs w:val="21"/>
                <w:highlight w:val="none"/>
              </w:rPr>
            </w:pPr>
            <w:r>
              <w:rPr>
                <w:rFonts w:hint="eastAsia"/>
                <w:color w:val="auto"/>
                <w:sz w:val="21"/>
                <w:szCs w:val="21"/>
                <w:highlight w:val="none"/>
              </w:rPr>
              <w:t>2</w:t>
            </w:r>
          </w:p>
        </w:tc>
        <w:tc>
          <w:tcPr>
            <w:tcW w:w="1887" w:type="pct"/>
            <w:noWrap w:val="0"/>
            <w:vAlign w:val="center"/>
          </w:tcPr>
          <w:p>
            <w:pPr>
              <w:widowControl/>
              <w:textAlignment w:val="center"/>
              <w:rPr>
                <w:color w:val="auto"/>
                <w:sz w:val="21"/>
                <w:szCs w:val="21"/>
                <w:highlight w:val="none"/>
              </w:rPr>
            </w:pPr>
            <w:r>
              <w:rPr>
                <w:rFonts w:hint="eastAsia" w:hAnsi="宋体" w:cs="宋体"/>
                <w:color w:val="auto"/>
                <w:sz w:val="21"/>
                <w:szCs w:val="21"/>
                <w:highlight w:val="none"/>
                <w:lang w:bidi="ar"/>
              </w:rPr>
              <w:t>(1-26)兴民路街心公园</w:t>
            </w:r>
          </w:p>
        </w:tc>
        <w:tc>
          <w:tcPr>
            <w:tcW w:w="1030" w:type="pct"/>
            <w:noWrap/>
            <w:vAlign w:val="center"/>
          </w:tcPr>
          <w:p>
            <w:pPr>
              <w:widowControl/>
              <w:jc w:val="center"/>
              <w:textAlignment w:val="center"/>
              <w:rPr>
                <w:color w:val="auto"/>
                <w:sz w:val="21"/>
                <w:szCs w:val="21"/>
                <w:highlight w:val="none"/>
              </w:rPr>
            </w:pPr>
            <w:r>
              <w:rPr>
                <w:rFonts w:hint="eastAsia" w:hAnsi="宋体" w:cs="宋体"/>
                <w:color w:val="auto"/>
                <w:sz w:val="21"/>
                <w:szCs w:val="21"/>
                <w:highlight w:val="none"/>
                <w:lang w:bidi="ar"/>
              </w:rPr>
              <w:t>1178.63</w:t>
            </w:r>
          </w:p>
        </w:tc>
        <w:tc>
          <w:tcPr>
            <w:tcW w:w="801" w:type="pct"/>
            <w:noWrap/>
            <w:vAlign w:val="center"/>
          </w:tcPr>
          <w:p>
            <w:pPr>
              <w:widowControl/>
              <w:jc w:val="center"/>
              <w:textAlignment w:val="center"/>
              <w:rPr>
                <w:color w:val="auto"/>
                <w:sz w:val="21"/>
                <w:szCs w:val="21"/>
                <w:highlight w:val="none"/>
              </w:rPr>
            </w:pPr>
            <w:r>
              <w:rPr>
                <w:rFonts w:hint="eastAsia" w:hAnsi="宋体" w:cs="宋体"/>
                <w:color w:val="auto"/>
                <w:sz w:val="21"/>
                <w:szCs w:val="21"/>
                <w:highlight w:val="none"/>
                <w:lang w:bidi="ar"/>
              </w:rPr>
              <w:t>1178.63</w:t>
            </w:r>
          </w:p>
        </w:tc>
        <w:tc>
          <w:tcPr>
            <w:tcW w:w="577" w:type="pct"/>
            <w:noWrap/>
            <w:vAlign w:val="center"/>
          </w:tcPr>
          <w:p>
            <w:pPr>
              <w:widowControl/>
              <w:jc w:val="center"/>
              <w:textAlignment w:val="center"/>
              <w:rPr>
                <w:color w:val="auto"/>
                <w:sz w:val="21"/>
                <w:szCs w:val="21"/>
                <w:highlight w:val="none"/>
              </w:rPr>
            </w:pPr>
            <w:r>
              <w:rPr>
                <w:rFonts w:hint="eastAsia" w:hAnsi="宋体" w:cs="宋体"/>
                <w:color w:val="auto"/>
                <w:sz w:val="21"/>
                <w:szCs w:val="21"/>
                <w:highlight w:val="none"/>
                <w:lang w:bidi="ar"/>
              </w:rPr>
              <w:t>1178.63</w:t>
            </w:r>
          </w:p>
        </w:tc>
        <w:tc>
          <w:tcPr>
            <w:tcW w:w="474" w:type="pct"/>
            <w:noWrap w:val="0"/>
            <w:vAlign w:val="center"/>
          </w:tcPr>
          <w:p>
            <w:pPr>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31" w:type="pct"/>
            <w:noWrap w:val="0"/>
            <w:vAlign w:val="top"/>
          </w:tcPr>
          <w:p>
            <w:pPr>
              <w:rPr>
                <w:color w:val="auto"/>
                <w:sz w:val="21"/>
                <w:szCs w:val="21"/>
                <w:highlight w:val="none"/>
              </w:rPr>
            </w:pPr>
            <w:r>
              <w:rPr>
                <w:rFonts w:hint="eastAsia"/>
                <w:color w:val="auto"/>
                <w:sz w:val="21"/>
                <w:szCs w:val="21"/>
                <w:highlight w:val="none"/>
              </w:rPr>
              <w:t>3</w:t>
            </w:r>
          </w:p>
        </w:tc>
        <w:tc>
          <w:tcPr>
            <w:tcW w:w="1887" w:type="pct"/>
            <w:noWrap w:val="0"/>
            <w:vAlign w:val="center"/>
          </w:tcPr>
          <w:p>
            <w:pPr>
              <w:widowControl/>
              <w:textAlignment w:val="center"/>
              <w:rPr>
                <w:color w:val="auto"/>
                <w:sz w:val="21"/>
                <w:szCs w:val="21"/>
                <w:highlight w:val="none"/>
              </w:rPr>
            </w:pPr>
            <w:r>
              <w:rPr>
                <w:rFonts w:hint="eastAsia" w:hAnsi="宋体" w:cs="宋体"/>
                <w:color w:val="auto"/>
                <w:sz w:val="21"/>
                <w:szCs w:val="21"/>
                <w:highlight w:val="none"/>
                <w:lang w:bidi="ar"/>
              </w:rPr>
              <w:t>(2-15)居委会对面公园</w:t>
            </w:r>
          </w:p>
        </w:tc>
        <w:tc>
          <w:tcPr>
            <w:tcW w:w="1030" w:type="pct"/>
            <w:noWrap/>
            <w:vAlign w:val="center"/>
          </w:tcPr>
          <w:p>
            <w:pPr>
              <w:widowControl/>
              <w:jc w:val="center"/>
              <w:textAlignment w:val="center"/>
              <w:rPr>
                <w:color w:val="auto"/>
                <w:sz w:val="21"/>
                <w:szCs w:val="21"/>
                <w:highlight w:val="none"/>
              </w:rPr>
            </w:pPr>
            <w:r>
              <w:rPr>
                <w:rFonts w:hint="eastAsia" w:hAnsi="宋体" w:cs="宋体"/>
                <w:color w:val="auto"/>
                <w:sz w:val="21"/>
                <w:szCs w:val="21"/>
                <w:highlight w:val="none"/>
                <w:lang w:bidi="ar"/>
              </w:rPr>
              <w:t>897.64</w:t>
            </w:r>
          </w:p>
        </w:tc>
        <w:tc>
          <w:tcPr>
            <w:tcW w:w="801" w:type="pct"/>
            <w:noWrap/>
            <w:vAlign w:val="center"/>
          </w:tcPr>
          <w:p>
            <w:pPr>
              <w:widowControl/>
              <w:jc w:val="center"/>
              <w:textAlignment w:val="center"/>
              <w:rPr>
                <w:color w:val="auto"/>
                <w:sz w:val="21"/>
                <w:szCs w:val="21"/>
                <w:highlight w:val="none"/>
              </w:rPr>
            </w:pPr>
            <w:r>
              <w:rPr>
                <w:rFonts w:hint="eastAsia" w:hAnsi="宋体" w:cs="宋体"/>
                <w:color w:val="auto"/>
                <w:sz w:val="21"/>
                <w:szCs w:val="21"/>
                <w:highlight w:val="none"/>
                <w:lang w:bidi="ar"/>
              </w:rPr>
              <w:t>725.4</w:t>
            </w:r>
          </w:p>
        </w:tc>
        <w:tc>
          <w:tcPr>
            <w:tcW w:w="577" w:type="pct"/>
            <w:noWrap/>
            <w:vAlign w:val="center"/>
          </w:tcPr>
          <w:p>
            <w:pPr>
              <w:widowControl/>
              <w:jc w:val="center"/>
              <w:textAlignment w:val="center"/>
              <w:rPr>
                <w:color w:val="auto"/>
                <w:sz w:val="21"/>
                <w:szCs w:val="21"/>
                <w:highlight w:val="none"/>
              </w:rPr>
            </w:pPr>
            <w:r>
              <w:rPr>
                <w:rFonts w:hint="eastAsia" w:hAnsi="宋体" w:cs="宋体"/>
                <w:color w:val="auto"/>
                <w:sz w:val="21"/>
                <w:szCs w:val="21"/>
                <w:highlight w:val="none"/>
                <w:lang w:bidi="ar"/>
              </w:rPr>
              <w:t>1623.04</w:t>
            </w:r>
          </w:p>
        </w:tc>
        <w:tc>
          <w:tcPr>
            <w:tcW w:w="474" w:type="pct"/>
            <w:noWrap w:val="0"/>
            <w:vAlign w:val="center"/>
          </w:tcPr>
          <w:p>
            <w:pPr>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31" w:type="pct"/>
            <w:noWrap w:val="0"/>
            <w:vAlign w:val="top"/>
          </w:tcPr>
          <w:p>
            <w:pPr>
              <w:rPr>
                <w:color w:val="auto"/>
                <w:sz w:val="21"/>
                <w:szCs w:val="21"/>
                <w:highlight w:val="none"/>
              </w:rPr>
            </w:pPr>
            <w:r>
              <w:rPr>
                <w:rFonts w:hint="eastAsia"/>
                <w:color w:val="auto"/>
                <w:sz w:val="21"/>
                <w:szCs w:val="21"/>
                <w:highlight w:val="none"/>
              </w:rPr>
              <w:t>4</w:t>
            </w:r>
          </w:p>
        </w:tc>
        <w:tc>
          <w:tcPr>
            <w:tcW w:w="1887" w:type="pct"/>
            <w:noWrap w:val="0"/>
            <w:vAlign w:val="center"/>
          </w:tcPr>
          <w:p>
            <w:pPr>
              <w:widowControl/>
              <w:textAlignment w:val="center"/>
              <w:rPr>
                <w:color w:val="auto"/>
                <w:sz w:val="21"/>
                <w:szCs w:val="21"/>
                <w:highlight w:val="none"/>
              </w:rPr>
            </w:pPr>
            <w:r>
              <w:rPr>
                <w:rFonts w:hint="eastAsia" w:hAnsi="宋体" w:cs="宋体"/>
                <w:color w:val="auto"/>
                <w:sz w:val="21"/>
                <w:szCs w:val="21"/>
                <w:highlight w:val="none"/>
                <w:lang w:bidi="ar"/>
              </w:rPr>
              <w:t>(3-14)口袋公园</w:t>
            </w:r>
          </w:p>
        </w:tc>
        <w:tc>
          <w:tcPr>
            <w:tcW w:w="1030" w:type="pct"/>
            <w:noWrap/>
            <w:vAlign w:val="center"/>
          </w:tcPr>
          <w:p>
            <w:pPr>
              <w:widowControl/>
              <w:jc w:val="center"/>
              <w:textAlignment w:val="center"/>
              <w:rPr>
                <w:color w:val="auto"/>
                <w:sz w:val="21"/>
                <w:szCs w:val="21"/>
                <w:highlight w:val="none"/>
              </w:rPr>
            </w:pPr>
            <w:r>
              <w:rPr>
                <w:rFonts w:hint="eastAsia" w:hAnsi="宋体" w:cs="宋体"/>
                <w:color w:val="auto"/>
                <w:sz w:val="21"/>
                <w:szCs w:val="21"/>
                <w:highlight w:val="none"/>
                <w:lang w:bidi="ar"/>
              </w:rPr>
              <w:t>318.53</w:t>
            </w:r>
          </w:p>
        </w:tc>
        <w:tc>
          <w:tcPr>
            <w:tcW w:w="801" w:type="pct"/>
            <w:noWrap/>
            <w:vAlign w:val="center"/>
          </w:tcPr>
          <w:p>
            <w:pPr>
              <w:widowControl/>
              <w:jc w:val="center"/>
              <w:textAlignment w:val="center"/>
              <w:rPr>
                <w:color w:val="auto"/>
                <w:sz w:val="21"/>
                <w:szCs w:val="21"/>
                <w:highlight w:val="none"/>
              </w:rPr>
            </w:pPr>
            <w:r>
              <w:rPr>
                <w:rFonts w:hint="eastAsia" w:hAnsi="宋体" w:cs="宋体"/>
                <w:color w:val="auto"/>
                <w:sz w:val="21"/>
                <w:szCs w:val="21"/>
                <w:highlight w:val="none"/>
                <w:lang w:bidi="ar"/>
              </w:rPr>
              <w:t>0</w:t>
            </w:r>
          </w:p>
        </w:tc>
        <w:tc>
          <w:tcPr>
            <w:tcW w:w="577" w:type="pct"/>
            <w:noWrap/>
            <w:vAlign w:val="center"/>
          </w:tcPr>
          <w:p>
            <w:pPr>
              <w:widowControl/>
              <w:jc w:val="center"/>
              <w:textAlignment w:val="center"/>
              <w:rPr>
                <w:color w:val="auto"/>
                <w:sz w:val="21"/>
                <w:szCs w:val="21"/>
                <w:highlight w:val="none"/>
              </w:rPr>
            </w:pPr>
            <w:r>
              <w:rPr>
                <w:rFonts w:hint="eastAsia" w:hAnsi="宋体" w:cs="宋体"/>
                <w:color w:val="auto"/>
                <w:sz w:val="21"/>
                <w:szCs w:val="21"/>
                <w:highlight w:val="none"/>
                <w:lang w:bidi="ar"/>
              </w:rPr>
              <w:t>318.53</w:t>
            </w:r>
          </w:p>
        </w:tc>
        <w:tc>
          <w:tcPr>
            <w:tcW w:w="474" w:type="pct"/>
            <w:noWrap w:val="0"/>
            <w:vAlign w:val="center"/>
          </w:tcPr>
          <w:p>
            <w:pPr>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31" w:type="pct"/>
            <w:noWrap w:val="0"/>
            <w:vAlign w:val="top"/>
          </w:tcPr>
          <w:p>
            <w:pPr>
              <w:rPr>
                <w:color w:val="auto"/>
                <w:sz w:val="21"/>
                <w:szCs w:val="21"/>
                <w:highlight w:val="none"/>
              </w:rPr>
            </w:pPr>
            <w:r>
              <w:rPr>
                <w:rFonts w:hint="eastAsia"/>
                <w:color w:val="auto"/>
                <w:sz w:val="21"/>
                <w:szCs w:val="21"/>
                <w:highlight w:val="none"/>
              </w:rPr>
              <w:t>5</w:t>
            </w:r>
          </w:p>
        </w:tc>
        <w:tc>
          <w:tcPr>
            <w:tcW w:w="1887" w:type="pct"/>
            <w:noWrap w:val="0"/>
            <w:vAlign w:val="center"/>
          </w:tcPr>
          <w:p>
            <w:pPr>
              <w:widowControl/>
              <w:textAlignment w:val="center"/>
              <w:rPr>
                <w:color w:val="auto"/>
                <w:sz w:val="21"/>
                <w:szCs w:val="21"/>
                <w:highlight w:val="none"/>
              </w:rPr>
            </w:pPr>
            <w:r>
              <w:rPr>
                <w:rFonts w:hint="eastAsia" w:hAnsi="宋体" w:cs="宋体"/>
                <w:color w:val="auto"/>
                <w:sz w:val="21"/>
                <w:szCs w:val="21"/>
                <w:highlight w:val="none"/>
                <w:lang w:bidi="ar"/>
              </w:rPr>
              <w:t>(3-10)三村球场</w:t>
            </w:r>
          </w:p>
        </w:tc>
        <w:tc>
          <w:tcPr>
            <w:tcW w:w="1030" w:type="pct"/>
            <w:noWrap/>
            <w:vAlign w:val="center"/>
          </w:tcPr>
          <w:p>
            <w:pPr>
              <w:widowControl/>
              <w:jc w:val="center"/>
              <w:textAlignment w:val="center"/>
              <w:rPr>
                <w:color w:val="auto"/>
                <w:sz w:val="21"/>
                <w:szCs w:val="21"/>
                <w:highlight w:val="none"/>
              </w:rPr>
            </w:pPr>
            <w:r>
              <w:rPr>
                <w:rFonts w:hint="eastAsia" w:hAnsi="宋体" w:cs="宋体"/>
                <w:color w:val="auto"/>
                <w:sz w:val="21"/>
                <w:szCs w:val="21"/>
                <w:highlight w:val="none"/>
                <w:lang w:bidi="ar"/>
              </w:rPr>
              <w:t>2715.24</w:t>
            </w:r>
          </w:p>
        </w:tc>
        <w:tc>
          <w:tcPr>
            <w:tcW w:w="801" w:type="pct"/>
            <w:noWrap/>
            <w:vAlign w:val="center"/>
          </w:tcPr>
          <w:p>
            <w:pPr>
              <w:widowControl/>
              <w:jc w:val="center"/>
              <w:textAlignment w:val="center"/>
              <w:rPr>
                <w:color w:val="auto"/>
                <w:sz w:val="21"/>
                <w:szCs w:val="21"/>
                <w:highlight w:val="none"/>
              </w:rPr>
            </w:pPr>
            <w:r>
              <w:rPr>
                <w:rFonts w:hint="eastAsia" w:hAnsi="宋体" w:cs="宋体"/>
                <w:color w:val="auto"/>
                <w:sz w:val="21"/>
                <w:szCs w:val="21"/>
                <w:highlight w:val="none"/>
                <w:lang w:bidi="ar"/>
              </w:rPr>
              <w:t>0</w:t>
            </w:r>
          </w:p>
        </w:tc>
        <w:tc>
          <w:tcPr>
            <w:tcW w:w="577" w:type="pct"/>
            <w:noWrap/>
            <w:vAlign w:val="center"/>
          </w:tcPr>
          <w:p>
            <w:pPr>
              <w:widowControl/>
              <w:jc w:val="center"/>
              <w:textAlignment w:val="center"/>
              <w:rPr>
                <w:color w:val="auto"/>
                <w:sz w:val="21"/>
                <w:szCs w:val="21"/>
                <w:highlight w:val="none"/>
              </w:rPr>
            </w:pPr>
            <w:r>
              <w:rPr>
                <w:rFonts w:hint="eastAsia" w:hAnsi="宋体" w:cs="宋体"/>
                <w:color w:val="auto"/>
                <w:sz w:val="21"/>
                <w:szCs w:val="21"/>
                <w:highlight w:val="none"/>
                <w:lang w:bidi="ar"/>
              </w:rPr>
              <w:t>2715.24</w:t>
            </w:r>
          </w:p>
        </w:tc>
        <w:tc>
          <w:tcPr>
            <w:tcW w:w="474" w:type="pct"/>
            <w:noWrap w:val="0"/>
            <w:vAlign w:val="center"/>
          </w:tcPr>
          <w:p>
            <w:pPr>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18" w:type="pct"/>
            <w:gridSpan w:val="2"/>
            <w:noWrap/>
            <w:vAlign w:val="center"/>
          </w:tcPr>
          <w:p>
            <w:pPr>
              <w:widowControl/>
              <w:jc w:val="center"/>
              <w:textAlignment w:val="center"/>
              <w:rPr>
                <w:rFonts w:hAnsi="宋体" w:cs="宋体"/>
                <w:b/>
                <w:bCs/>
                <w:color w:val="auto"/>
                <w:sz w:val="21"/>
                <w:szCs w:val="21"/>
                <w:highlight w:val="none"/>
              </w:rPr>
            </w:pPr>
            <w:r>
              <w:rPr>
                <w:rFonts w:hint="eastAsia" w:hAnsi="宋体" w:cs="宋体"/>
                <w:b/>
                <w:bCs/>
                <w:color w:val="auto"/>
                <w:sz w:val="21"/>
                <w:szCs w:val="21"/>
                <w:highlight w:val="none"/>
              </w:rPr>
              <w:t>合 计</w:t>
            </w:r>
          </w:p>
        </w:tc>
        <w:tc>
          <w:tcPr>
            <w:tcW w:w="1030" w:type="pct"/>
            <w:noWrap/>
            <w:vAlign w:val="center"/>
          </w:tcPr>
          <w:p>
            <w:pPr>
              <w:widowControl/>
              <w:jc w:val="center"/>
              <w:textAlignment w:val="center"/>
              <w:rPr>
                <w:b/>
                <w:bCs/>
                <w:color w:val="auto"/>
                <w:sz w:val="21"/>
                <w:szCs w:val="21"/>
                <w:highlight w:val="none"/>
              </w:rPr>
            </w:pPr>
            <w:r>
              <w:rPr>
                <w:rFonts w:hint="eastAsia" w:hAnsi="宋体" w:cs="宋体"/>
                <w:b/>
                <w:bCs/>
                <w:color w:val="auto"/>
                <w:sz w:val="21"/>
                <w:szCs w:val="21"/>
                <w:highlight w:val="none"/>
                <w:lang w:bidi="ar"/>
              </w:rPr>
              <w:t>6371.71</w:t>
            </w:r>
          </w:p>
        </w:tc>
        <w:tc>
          <w:tcPr>
            <w:tcW w:w="801" w:type="pct"/>
            <w:noWrap/>
            <w:vAlign w:val="center"/>
          </w:tcPr>
          <w:p>
            <w:pPr>
              <w:widowControl/>
              <w:jc w:val="center"/>
              <w:textAlignment w:val="center"/>
              <w:rPr>
                <w:b/>
                <w:bCs/>
                <w:color w:val="auto"/>
                <w:sz w:val="21"/>
                <w:szCs w:val="21"/>
                <w:highlight w:val="none"/>
              </w:rPr>
            </w:pPr>
            <w:r>
              <w:rPr>
                <w:rFonts w:hint="eastAsia" w:hAnsi="宋体" w:cs="宋体"/>
                <w:b/>
                <w:bCs/>
                <w:color w:val="auto"/>
                <w:sz w:val="21"/>
                <w:szCs w:val="21"/>
                <w:highlight w:val="none"/>
                <w:lang w:bidi="ar"/>
              </w:rPr>
              <w:t>2415.72</w:t>
            </w:r>
          </w:p>
        </w:tc>
        <w:tc>
          <w:tcPr>
            <w:tcW w:w="577" w:type="pct"/>
            <w:noWrap/>
            <w:vAlign w:val="center"/>
          </w:tcPr>
          <w:p>
            <w:pPr>
              <w:widowControl/>
              <w:jc w:val="center"/>
              <w:textAlignment w:val="center"/>
              <w:rPr>
                <w:b/>
                <w:bCs/>
                <w:color w:val="auto"/>
                <w:sz w:val="21"/>
                <w:szCs w:val="21"/>
                <w:highlight w:val="none"/>
              </w:rPr>
            </w:pPr>
            <w:r>
              <w:rPr>
                <w:rFonts w:hint="eastAsia" w:hAnsi="宋体" w:cs="宋体"/>
                <w:b/>
                <w:bCs/>
                <w:color w:val="auto"/>
                <w:sz w:val="21"/>
                <w:szCs w:val="21"/>
                <w:highlight w:val="none"/>
                <w:lang w:bidi="ar"/>
              </w:rPr>
              <w:t>7608.8</w:t>
            </w:r>
          </w:p>
        </w:tc>
        <w:tc>
          <w:tcPr>
            <w:tcW w:w="474" w:type="pct"/>
            <w:noWrap/>
            <w:vAlign w:val="center"/>
          </w:tcPr>
          <w:p>
            <w:pPr>
              <w:jc w:val="center"/>
              <w:rPr>
                <w:rFonts w:hAnsi="宋体" w:cs="宋体"/>
                <w:b/>
                <w:bCs/>
                <w:color w:val="auto"/>
                <w:sz w:val="21"/>
                <w:szCs w:val="21"/>
                <w:highlight w:val="none"/>
              </w:rPr>
            </w:pPr>
          </w:p>
        </w:tc>
      </w:tr>
    </w:tbl>
    <w:p>
      <w:pPr>
        <w:bidi w:val="0"/>
        <w:rPr>
          <w:color w:val="auto"/>
          <w:highlight w:val="none"/>
        </w:r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987"/>
        <w:gridCol w:w="1876"/>
        <w:gridCol w:w="1442"/>
        <w:gridCol w:w="1018"/>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000" w:type="pct"/>
            <w:gridSpan w:val="6"/>
            <w:noWrap w:val="0"/>
            <w:vAlign w:val="center"/>
          </w:tcPr>
          <w:p>
            <w:pPr>
              <w:widowControl/>
              <w:jc w:val="center"/>
              <w:textAlignment w:val="center"/>
              <w:rPr>
                <w:rFonts w:hAnsi="宋体" w:cs="宋体"/>
                <w:b/>
                <w:bCs/>
                <w:color w:val="auto"/>
                <w:sz w:val="21"/>
                <w:szCs w:val="21"/>
                <w:highlight w:val="none"/>
              </w:rPr>
            </w:pPr>
            <w:r>
              <w:rPr>
                <w:rFonts w:hint="eastAsia" w:hAnsi="宋体" w:cs="宋体"/>
                <w:b/>
                <w:bCs/>
                <w:color w:val="auto"/>
                <w:sz w:val="21"/>
                <w:szCs w:val="21"/>
                <w:highlight w:val="none"/>
              </w:rPr>
              <w:t>长安镇新民社区围闭式无物管住宅区环卫保洁测量面积统计表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0" w:type="pct"/>
            <w:noWrap w:val="0"/>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rPr>
              <w:t>序号</w:t>
            </w:r>
          </w:p>
        </w:tc>
        <w:tc>
          <w:tcPr>
            <w:tcW w:w="1114" w:type="pct"/>
            <w:noWrap w:val="0"/>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rPr>
              <w:t>住宅区名称</w:t>
            </w:r>
          </w:p>
        </w:tc>
        <w:tc>
          <w:tcPr>
            <w:tcW w:w="1119"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rPr>
              <w:t>清扫保洁面积(㎡)</w:t>
            </w:r>
          </w:p>
        </w:tc>
        <w:tc>
          <w:tcPr>
            <w:tcW w:w="864"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rPr>
              <w:t>绿化面积(㎡)</w:t>
            </w:r>
          </w:p>
        </w:tc>
        <w:tc>
          <w:tcPr>
            <w:tcW w:w="614"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rPr>
              <w:t>合计(㎡)</w:t>
            </w:r>
          </w:p>
        </w:tc>
        <w:tc>
          <w:tcPr>
            <w:tcW w:w="1059" w:type="pct"/>
            <w:noWrap w:val="0"/>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30" w:type="pct"/>
            <w:noWrap/>
            <w:vAlign w:val="center"/>
          </w:tcPr>
          <w:p>
            <w:pPr>
              <w:widowControl/>
              <w:jc w:val="center"/>
              <w:textAlignment w:val="center"/>
              <w:rPr>
                <w:rFonts w:hAnsi="宋体"/>
                <w:color w:val="auto"/>
                <w:sz w:val="21"/>
                <w:szCs w:val="21"/>
                <w:highlight w:val="none"/>
              </w:rPr>
            </w:pPr>
            <w:r>
              <w:rPr>
                <w:rFonts w:hint="eastAsia" w:hAnsi="宋体" w:cs="宋体"/>
                <w:color w:val="auto"/>
                <w:sz w:val="21"/>
                <w:szCs w:val="21"/>
                <w:highlight w:val="none"/>
                <w:lang w:bidi="ar"/>
              </w:rPr>
              <w:t>1</w:t>
            </w:r>
          </w:p>
        </w:tc>
        <w:tc>
          <w:tcPr>
            <w:tcW w:w="1114" w:type="pct"/>
            <w:noWrap/>
            <w:vAlign w:val="center"/>
          </w:tcPr>
          <w:p>
            <w:pPr>
              <w:widowControl/>
              <w:textAlignment w:val="center"/>
              <w:rPr>
                <w:rFonts w:hAnsi="宋体"/>
                <w:color w:val="auto"/>
                <w:sz w:val="21"/>
                <w:szCs w:val="21"/>
                <w:highlight w:val="none"/>
              </w:rPr>
            </w:pPr>
            <w:r>
              <w:rPr>
                <w:rFonts w:hint="eastAsia" w:hAnsi="宋体" w:cs="宋体"/>
                <w:color w:val="auto"/>
                <w:sz w:val="21"/>
                <w:szCs w:val="21"/>
                <w:highlight w:val="none"/>
                <w:lang w:bidi="ar"/>
              </w:rPr>
              <w:t>(2-17)新民居委会</w:t>
            </w:r>
          </w:p>
        </w:tc>
        <w:tc>
          <w:tcPr>
            <w:tcW w:w="1119" w:type="pct"/>
            <w:noWrap/>
            <w:vAlign w:val="center"/>
          </w:tcPr>
          <w:p>
            <w:pPr>
              <w:widowControl/>
              <w:jc w:val="center"/>
              <w:textAlignment w:val="center"/>
              <w:rPr>
                <w:rFonts w:hAnsi="宋体"/>
                <w:color w:val="auto"/>
                <w:sz w:val="21"/>
                <w:szCs w:val="21"/>
                <w:highlight w:val="none"/>
              </w:rPr>
            </w:pPr>
            <w:r>
              <w:rPr>
                <w:rFonts w:hint="eastAsia" w:hAnsi="宋体" w:cs="宋体"/>
                <w:color w:val="auto"/>
                <w:sz w:val="21"/>
                <w:szCs w:val="21"/>
                <w:highlight w:val="none"/>
                <w:lang w:bidi="ar"/>
              </w:rPr>
              <w:t>7538.45</w:t>
            </w:r>
          </w:p>
        </w:tc>
        <w:tc>
          <w:tcPr>
            <w:tcW w:w="864" w:type="pct"/>
            <w:noWrap/>
            <w:vAlign w:val="center"/>
          </w:tcPr>
          <w:p>
            <w:pPr>
              <w:widowControl/>
              <w:jc w:val="center"/>
              <w:textAlignment w:val="center"/>
              <w:rPr>
                <w:rFonts w:hAnsi="宋体"/>
                <w:color w:val="auto"/>
                <w:sz w:val="21"/>
                <w:szCs w:val="21"/>
                <w:highlight w:val="none"/>
              </w:rPr>
            </w:pPr>
            <w:r>
              <w:rPr>
                <w:rFonts w:hint="eastAsia" w:hAnsi="宋体" w:cs="宋体"/>
                <w:color w:val="auto"/>
                <w:sz w:val="21"/>
                <w:szCs w:val="21"/>
                <w:highlight w:val="none"/>
                <w:lang w:bidi="ar"/>
              </w:rPr>
              <w:t>1777.31</w:t>
            </w:r>
          </w:p>
        </w:tc>
        <w:tc>
          <w:tcPr>
            <w:tcW w:w="614" w:type="pct"/>
            <w:noWrap/>
            <w:vAlign w:val="center"/>
          </w:tcPr>
          <w:p>
            <w:pPr>
              <w:widowControl/>
              <w:jc w:val="center"/>
              <w:textAlignment w:val="center"/>
              <w:rPr>
                <w:rFonts w:hAnsi="宋体"/>
                <w:color w:val="auto"/>
                <w:sz w:val="21"/>
                <w:szCs w:val="21"/>
                <w:highlight w:val="none"/>
              </w:rPr>
            </w:pPr>
            <w:r>
              <w:rPr>
                <w:rFonts w:hint="eastAsia" w:hAnsi="宋体" w:cs="宋体"/>
                <w:color w:val="auto"/>
                <w:sz w:val="21"/>
                <w:szCs w:val="21"/>
                <w:highlight w:val="none"/>
                <w:lang w:bidi="ar"/>
              </w:rPr>
              <w:t>9315.76</w:t>
            </w:r>
          </w:p>
        </w:tc>
        <w:tc>
          <w:tcPr>
            <w:tcW w:w="1059" w:type="pct"/>
            <w:noWrap/>
            <w:vAlign w:val="center"/>
          </w:tcPr>
          <w:p>
            <w:pPr>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30" w:type="pct"/>
            <w:noWrap/>
            <w:vAlign w:val="center"/>
          </w:tcPr>
          <w:p>
            <w:pPr>
              <w:widowControl/>
              <w:jc w:val="center"/>
              <w:textAlignment w:val="center"/>
              <w:rPr>
                <w:rFonts w:hAnsi="宋体"/>
                <w:color w:val="auto"/>
                <w:sz w:val="21"/>
                <w:szCs w:val="21"/>
                <w:highlight w:val="none"/>
              </w:rPr>
            </w:pPr>
            <w:r>
              <w:rPr>
                <w:rFonts w:hint="eastAsia" w:hAnsi="宋体" w:cs="宋体"/>
                <w:color w:val="auto"/>
                <w:sz w:val="21"/>
                <w:szCs w:val="21"/>
                <w:highlight w:val="none"/>
                <w:lang w:bidi="ar"/>
              </w:rPr>
              <w:t>2</w:t>
            </w:r>
          </w:p>
        </w:tc>
        <w:tc>
          <w:tcPr>
            <w:tcW w:w="1114" w:type="pct"/>
            <w:noWrap/>
            <w:vAlign w:val="center"/>
          </w:tcPr>
          <w:p>
            <w:pPr>
              <w:widowControl/>
              <w:textAlignment w:val="center"/>
              <w:rPr>
                <w:rFonts w:hAnsi="宋体"/>
                <w:color w:val="auto"/>
                <w:sz w:val="21"/>
                <w:szCs w:val="21"/>
                <w:highlight w:val="none"/>
              </w:rPr>
            </w:pPr>
            <w:r>
              <w:rPr>
                <w:rFonts w:hint="eastAsia" w:hAnsi="宋体" w:cs="宋体"/>
                <w:color w:val="auto"/>
                <w:sz w:val="21"/>
                <w:szCs w:val="21"/>
                <w:highlight w:val="none"/>
                <w:lang w:bidi="ar"/>
              </w:rPr>
              <w:t>(2-14)城管办停车场</w:t>
            </w:r>
          </w:p>
        </w:tc>
        <w:tc>
          <w:tcPr>
            <w:tcW w:w="1119" w:type="pct"/>
            <w:noWrap/>
            <w:vAlign w:val="center"/>
          </w:tcPr>
          <w:p>
            <w:pPr>
              <w:widowControl/>
              <w:jc w:val="center"/>
              <w:textAlignment w:val="center"/>
              <w:rPr>
                <w:rFonts w:hAnsi="宋体"/>
                <w:color w:val="auto"/>
                <w:sz w:val="21"/>
                <w:szCs w:val="21"/>
                <w:highlight w:val="none"/>
              </w:rPr>
            </w:pPr>
            <w:r>
              <w:rPr>
                <w:rFonts w:hint="eastAsia" w:hAnsi="宋体" w:cs="宋体"/>
                <w:color w:val="auto"/>
                <w:sz w:val="21"/>
                <w:szCs w:val="21"/>
                <w:highlight w:val="none"/>
                <w:lang w:bidi="ar"/>
              </w:rPr>
              <w:t>0</w:t>
            </w:r>
          </w:p>
        </w:tc>
        <w:tc>
          <w:tcPr>
            <w:tcW w:w="864" w:type="pct"/>
            <w:noWrap/>
            <w:vAlign w:val="center"/>
          </w:tcPr>
          <w:p>
            <w:pPr>
              <w:widowControl/>
              <w:jc w:val="center"/>
              <w:textAlignment w:val="center"/>
              <w:rPr>
                <w:rFonts w:hAnsi="宋体"/>
                <w:color w:val="auto"/>
                <w:sz w:val="21"/>
                <w:szCs w:val="21"/>
                <w:highlight w:val="none"/>
              </w:rPr>
            </w:pPr>
            <w:r>
              <w:rPr>
                <w:rFonts w:hint="eastAsia" w:hAnsi="宋体" w:cs="宋体"/>
                <w:color w:val="auto"/>
                <w:sz w:val="21"/>
                <w:szCs w:val="21"/>
                <w:highlight w:val="none"/>
                <w:lang w:bidi="ar"/>
              </w:rPr>
              <w:t>5820.64</w:t>
            </w:r>
          </w:p>
        </w:tc>
        <w:tc>
          <w:tcPr>
            <w:tcW w:w="614" w:type="pct"/>
            <w:noWrap/>
            <w:vAlign w:val="center"/>
          </w:tcPr>
          <w:p>
            <w:pPr>
              <w:widowControl/>
              <w:jc w:val="center"/>
              <w:textAlignment w:val="center"/>
              <w:rPr>
                <w:rFonts w:hAnsi="宋体"/>
                <w:color w:val="auto"/>
                <w:sz w:val="21"/>
                <w:szCs w:val="21"/>
                <w:highlight w:val="none"/>
              </w:rPr>
            </w:pPr>
            <w:r>
              <w:rPr>
                <w:rFonts w:hint="eastAsia" w:hAnsi="宋体" w:cs="宋体"/>
                <w:color w:val="auto"/>
                <w:sz w:val="21"/>
                <w:szCs w:val="21"/>
                <w:highlight w:val="none"/>
                <w:lang w:bidi="ar"/>
              </w:rPr>
              <w:t>5820.64</w:t>
            </w:r>
          </w:p>
        </w:tc>
        <w:tc>
          <w:tcPr>
            <w:tcW w:w="1059"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已按30%计算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43" w:type="pct"/>
            <w:gridSpan w:val="2"/>
            <w:noWrap/>
            <w:vAlign w:val="center"/>
          </w:tcPr>
          <w:p>
            <w:pPr>
              <w:widowControl/>
              <w:jc w:val="center"/>
              <w:textAlignment w:val="center"/>
              <w:rPr>
                <w:rFonts w:hAnsi="宋体" w:cs="宋体"/>
                <w:b/>
                <w:bCs/>
                <w:color w:val="auto"/>
                <w:sz w:val="21"/>
                <w:szCs w:val="21"/>
                <w:highlight w:val="none"/>
              </w:rPr>
            </w:pPr>
            <w:r>
              <w:rPr>
                <w:rFonts w:hint="eastAsia" w:hAnsi="宋体" w:cs="宋体"/>
                <w:b/>
                <w:bCs/>
                <w:color w:val="auto"/>
                <w:sz w:val="21"/>
                <w:szCs w:val="21"/>
                <w:highlight w:val="none"/>
              </w:rPr>
              <w:t>合 计</w:t>
            </w:r>
          </w:p>
        </w:tc>
        <w:tc>
          <w:tcPr>
            <w:tcW w:w="1119" w:type="pct"/>
            <w:noWrap/>
            <w:vAlign w:val="center"/>
          </w:tcPr>
          <w:p>
            <w:pPr>
              <w:widowControl/>
              <w:jc w:val="center"/>
              <w:textAlignment w:val="center"/>
              <w:rPr>
                <w:rFonts w:hAnsi="宋体"/>
                <w:b/>
                <w:bCs/>
                <w:color w:val="auto"/>
                <w:sz w:val="21"/>
                <w:szCs w:val="21"/>
                <w:highlight w:val="none"/>
              </w:rPr>
            </w:pPr>
            <w:r>
              <w:rPr>
                <w:rFonts w:hint="eastAsia" w:hAnsi="宋体" w:cs="宋体"/>
                <w:b/>
                <w:bCs/>
                <w:color w:val="auto"/>
                <w:sz w:val="21"/>
                <w:szCs w:val="21"/>
                <w:highlight w:val="none"/>
                <w:lang w:bidi="ar"/>
              </w:rPr>
              <w:t>7538.45</w:t>
            </w:r>
          </w:p>
        </w:tc>
        <w:tc>
          <w:tcPr>
            <w:tcW w:w="864" w:type="pct"/>
            <w:noWrap/>
            <w:vAlign w:val="center"/>
          </w:tcPr>
          <w:p>
            <w:pPr>
              <w:widowControl/>
              <w:jc w:val="center"/>
              <w:textAlignment w:val="center"/>
              <w:rPr>
                <w:rFonts w:hAnsi="宋体"/>
                <w:b/>
                <w:bCs/>
                <w:color w:val="auto"/>
                <w:sz w:val="21"/>
                <w:szCs w:val="21"/>
                <w:highlight w:val="none"/>
              </w:rPr>
            </w:pPr>
            <w:r>
              <w:rPr>
                <w:rFonts w:hint="eastAsia" w:hAnsi="宋体" w:cs="宋体"/>
                <w:b/>
                <w:bCs/>
                <w:color w:val="auto"/>
                <w:sz w:val="21"/>
                <w:szCs w:val="21"/>
                <w:highlight w:val="none"/>
                <w:lang w:bidi="ar"/>
              </w:rPr>
              <w:t>7597.95</w:t>
            </w:r>
          </w:p>
        </w:tc>
        <w:tc>
          <w:tcPr>
            <w:tcW w:w="614" w:type="pct"/>
            <w:noWrap/>
            <w:vAlign w:val="center"/>
          </w:tcPr>
          <w:p>
            <w:pPr>
              <w:widowControl/>
              <w:jc w:val="center"/>
              <w:textAlignment w:val="center"/>
              <w:rPr>
                <w:rFonts w:hAnsi="宋体"/>
                <w:b/>
                <w:bCs/>
                <w:color w:val="auto"/>
                <w:sz w:val="21"/>
                <w:szCs w:val="21"/>
                <w:highlight w:val="none"/>
              </w:rPr>
            </w:pPr>
            <w:r>
              <w:rPr>
                <w:rFonts w:hint="eastAsia" w:hAnsi="宋体" w:cs="宋体"/>
                <w:b/>
                <w:bCs/>
                <w:color w:val="auto"/>
                <w:sz w:val="21"/>
                <w:szCs w:val="21"/>
                <w:highlight w:val="none"/>
                <w:lang w:bidi="ar"/>
              </w:rPr>
              <w:t>15136.40</w:t>
            </w:r>
          </w:p>
        </w:tc>
        <w:tc>
          <w:tcPr>
            <w:tcW w:w="1059" w:type="pct"/>
            <w:noWrap/>
            <w:vAlign w:val="center"/>
          </w:tcPr>
          <w:p>
            <w:pPr>
              <w:jc w:val="center"/>
              <w:rPr>
                <w:rFonts w:hAnsi="宋体" w:cs="宋体"/>
                <w:b/>
                <w:bCs/>
                <w:color w:val="auto"/>
                <w:sz w:val="21"/>
                <w:szCs w:val="21"/>
                <w:highlight w:val="none"/>
              </w:rPr>
            </w:pPr>
          </w:p>
        </w:tc>
      </w:tr>
    </w:tbl>
    <w:p>
      <w:pPr>
        <w:bidi w:val="0"/>
        <w:rPr>
          <w:color w:val="auto"/>
          <w:highlight w:val="none"/>
        </w:r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2649"/>
        <w:gridCol w:w="1814"/>
        <w:gridCol w:w="1394"/>
        <w:gridCol w:w="1125"/>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000" w:type="pct"/>
            <w:gridSpan w:val="6"/>
            <w:noWrap w:val="0"/>
            <w:vAlign w:val="center"/>
          </w:tcPr>
          <w:p>
            <w:pPr>
              <w:widowControl/>
              <w:jc w:val="center"/>
              <w:textAlignment w:val="center"/>
              <w:rPr>
                <w:rFonts w:ascii="华康简标题宋" w:hAnsi="华康简标题宋" w:cs="宋体"/>
                <w:b/>
                <w:bCs/>
                <w:color w:val="auto"/>
                <w:sz w:val="21"/>
                <w:szCs w:val="21"/>
                <w:highlight w:val="none"/>
              </w:rPr>
            </w:pPr>
            <w:r>
              <w:rPr>
                <w:rFonts w:hAnsi="宋体" w:cs="宋体"/>
                <w:b/>
                <w:bCs/>
                <w:color w:val="auto"/>
                <w:sz w:val="21"/>
                <w:szCs w:val="21"/>
                <w:highlight w:val="none"/>
              </w:rPr>
              <w:t>长安镇</w:t>
            </w:r>
            <w:r>
              <w:rPr>
                <w:rFonts w:hint="eastAsia" w:hAnsi="宋体" w:cs="宋体"/>
                <w:b/>
                <w:bCs/>
                <w:color w:val="auto"/>
                <w:sz w:val="21"/>
                <w:szCs w:val="21"/>
                <w:highlight w:val="none"/>
              </w:rPr>
              <w:t>新民</w:t>
            </w:r>
            <w:r>
              <w:rPr>
                <w:rFonts w:hAnsi="宋体" w:cs="宋体"/>
                <w:b/>
                <w:bCs/>
                <w:color w:val="auto"/>
                <w:sz w:val="21"/>
                <w:szCs w:val="21"/>
                <w:highlight w:val="none"/>
              </w:rPr>
              <w:t>社区无围闭住宅区环卫保洁测量面积统计表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序号</w:t>
            </w:r>
          </w:p>
        </w:tc>
        <w:tc>
          <w:tcPr>
            <w:tcW w:w="1636"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住宅区名称</w:t>
            </w:r>
          </w:p>
        </w:tc>
        <w:tc>
          <w:tcPr>
            <w:tcW w:w="1003"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清扫保洁面积(㎡)</w:t>
            </w:r>
          </w:p>
        </w:tc>
        <w:tc>
          <w:tcPr>
            <w:tcW w:w="78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绿化面积(㎡)</w:t>
            </w:r>
          </w:p>
        </w:tc>
        <w:tc>
          <w:tcPr>
            <w:tcW w:w="622"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合计(㎡)</w:t>
            </w:r>
          </w:p>
        </w:tc>
        <w:tc>
          <w:tcPr>
            <w:tcW w:w="733"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w:t>
            </w:r>
          </w:p>
        </w:tc>
        <w:tc>
          <w:tcPr>
            <w:tcW w:w="163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(1-7)兴盛路1-12巷</w:t>
            </w:r>
          </w:p>
        </w:tc>
        <w:tc>
          <w:tcPr>
            <w:tcW w:w="1003"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30589.23</w:t>
            </w:r>
          </w:p>
        </w:tc>
        <w:tc>
          <w:tcPr>
            <w:tcW w:w="781"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0</w:t>
            </w:r>
          </w:p>
        </w:tc>
        <w:tc>
          <w:tcPr>
            <w:tcW w:w="622" w:type="pct"/>
            <w:noWrap/>
            <w:vAlign w:val="center"/>
          </w:tcPr>
          <w:p>
            <w:pPr>
              <w:widowControl/>
              <w:jc w:val="center"/>
              <w:textAlignment w:val="center"/>
              <w:rPr>
                <w:rFonts w:hAnsi="宋体" w:cs="宋体"/>
                <w:color w:val="auto"/>
                <w:sz w:val="21"/>
                <w:szCs w:val="21"/>
                <w:highlight w:val="none"/>
              </w:rPr>
            </w:pPr>
            <w:r>
              <w:rPr>
                <w:rFonts w:hint="eastAsia" w:hAnsi="宋体" w:cs="宋体"/>
                <w:b/>
                <w:bCs/>
                <w:color w:val="auto"/>
                <w:sz w:val="21"/>
                <w:szCs w:val="21"/>
                <w:highlight w:val="none"/>
                <w:lang w:bidi="ar"/>
              </w:rPr>
              <w:t>30589.23</w:t>
            </w:r>
          </w:p>
        </w:tc>
        <w:tc>
          <w:tcPr>
            <w:tcW w:w="733"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2</w:t>
            </w:r>
          </w:p>
        </w:tc>
        <w:tc>
          <w:tcPr>
            <w:tcW w:w="163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(1-10)兴民路1-9巷</w:t>
            </w:r>
          </w:p>
        </w:tc>
        <w:tc>
          <w:tcPr>
            <w:tcW w:w="1003"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8846.9</w:t>
            </w:r>
          </w:p>
        </w:tc>
        <w:tc>
          <w:tcPr>
            <w:tcW w:w="781"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0</w:t>
            </w:r>
          </w:p>
        </w:tc>
        <w:tc>
          <w:tcPr>
            <w:tcW w:w="622"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8846.9</w:t>
            </w:r>
          </w:p>
        </w:tc>
        <w:tc>
          <w:tcPr>
            <w:tcW w:w="733"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3</w:t>
            </w:r>
          </w:p>
        </w:tc>
        <w:tc>
          <w:tcPr>
            <w:tcW w:w="163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(1-15)新民市场</w:t>
            </w:r>
          </w:p>
        </w:tc>
        <w:tc>
          <w:tcPr>
            <w:tcW w:w="1003"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11057</w:t>
            </w:r>
          </w:p>
        </w:tc>
        <w:tc>
          <w:tcPr>
            <w:tcW w:w="781"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0</w:t>
            </w:r>
          </w:p>
        </w:tc>
        <w:tc>
          <w:tcPr>
            <w:tcW w:w="622"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11057</w:t>
            </w:r>
          </w:p>
        </w:tc>
        <w:tc>
          <w:tcPr>
            <w:tcW w:w="733"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4</w:t>
            </w:r>
          </w:p>
        </w:tc>
        <w:tc>
          <w:tcPr>
            <w:tcW w:w="163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(1-16)兴民路西侧巷道</w:t>
            </w:r>
          </w:p>
        </w:tc>
        <w:tc>
          <w:tcPr>
            <w:tcW w:w="1003"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1019.92</w:t>
            </w:r>
          </w:p>
        </w:tc>
        <w:tc>
          <w:tcPr>
            <w:tcW w:w="781"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0</w:t>
            </w:r>
          </w:p>
        </w:tc>
        <w:tc>
          <w:tcPr>
            <w:tcW w:w="622"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1019.92</w:t>
            </w:r>
          </w:p>
        </w:tc>
        <w:tc>
          <w:tcPr>
            <w:tcW w:w="733"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5</w:t>
            </w:r>
          </w:p>
        </w:tc>
        <w:tc>
          <w:tcPr>
            <w:tcW w:w="163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(1-17)兴民路巷道东侧空地</w:t>
            </w:r>
          </w:p>
        </w:tc>
        <w:tc>
          <w:tcPr>
            <w:tcW w:w="1003"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0</w:t>
            </w:r>
          </w:p>
        </w:tc>
        <w:tc>
          <w:tcPr>
            <w:tcW w:w="781"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4005.71</w:t>
            </w:r>
          </w:p>
        </w:tc>
        <w:tc>
          <w:tcPr>
            <w:tcW w:w="622"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4005.71</w:t>
            </w:r>
          </w:p>
        </w:tc>
        <w:tc>
          <w:tcPr>
            <w:tcW w:w="733"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6</w:t>
            </w:r>
          </w:p>
        </w:tc>
        <w:tc>
          <w:tcPr>
            <w:tcW w:w="163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(1-18)兴盛路巷道东侧空地</w:t>
            </w:r>
          </w:p>
        </w:tc>
        <w:tc>
          <w:tcPr>
            <w:tcW w:w="1003"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0</w:t>
            </w:r>
          </w:p>
        </w:tc>
        <w:tc>
          <w:tcPr>
            <w:tcW w:w="781"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5551.27</w:t>
            </w:r>
          </w:p>
        </w:tc>
        <w:tc>
          <w:tcPr>
            <w:tcW w:w="622"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5551.27</w:t>
            </w:r>
          </w:p>
        </w:tc>
        <w:tc>
          <w:tcPr>
            <w:tcW w:w="733"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7</w:t>
            </w:r>
          </w:p>
        </w:tc>
        <w:tc>
          <w:tcPr>
            <w:tcW w:w="163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(1-23)新民市场停车场</w:t>
            </w:r>
          </w:p>
        </w:tc>
        <w:tc>
          <w:tcPr>
            <w:tcW w:w="1003"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3191.39</w:t>
            </w:r>
          </w:p>
        </w:tc>
        <w:tc>
          <w:tcPr>
            <w:tcW w:w="781"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0</w:t>
            </w:r>
          </w:p>
        </w:tc>
        <w:tc>
          <w:tcPr>
            <w:tcW w:w="622"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3191.39</w:t>
            </w:r>
          </w:p>
        </w:tc>
        <w:tc>
          <w:tcPr>
            <w:tcW w:w="733"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8</w:t>
            </w:r>
          </w:p>
        </w:tc>
        <w:tc>
          <w:tcPr>
            <w:tcW w:w="163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(1-25)人民涌绿道</w:t>
            </w:r>
          </w:p>
        </w:tc>
        <w:tc>
          <w:tcPr>
            <w:tcW w:w="1003"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0</w:t>
            </w:r>
          </w:p>
        </w:tc>
        <w:tc>
          <w:tcPr>
            <w:tcW w:w="781"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13194.08</w:t>
            </w:r>
          </w:p>
        </w:tc>
        <w:tc>
          <w:tcPr>
            <w:tcW w:w="622"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13194.08</w:t>
            </w:r>
          </w:p>
        </w:tc>
        <w:tc>
          <w:tcPr>
            <w:tcW w:w="733"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9</w:t>
            </w:r>
          </w:p>
        </w:tc>
        <w:tc>
          <w:tcPr>
            <w:tcW w:w="163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(2-10)裕和居民小组巷道</w:t>
            </w:r>
          </w:p>
        </w:tc>
        <w:tc>
          <w:tcPr>
            <w:tcW w:w="1003"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20046.69</w:t>
            </w:r>
          </w:p>
        </w:tc>
        <w:tc>
          <w:tcPr>
            <w:tcW w:w="781"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0</w:t>
            </w:r>
          </w:p>
        </w:tc>
        <w:tc>
          <w:tcPr>
            <w:tcW w:w="622"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20046.69</w:t>
            </w:r>
          </w:p>
        </w:tc>
        <w:tc>
          <w:tcPr>
            <w:tcW w:w="733"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10</w:t>
            </w:r>
          </w:p>
        </w:tc>
        <w:tc>
          <w:tcPr>
            <w:tcW w:w="163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(2-13)常润百货后巷</w:t>
            </w:r>
          </w:p>
        </w:tc>
        <w:tc>
          <w:tcPr>
            <w:tcW w:w="1003"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2172.03</w:t>
            </w:r>
          </w:p>
        </w:tc>
        <w:tc>
          <w:tcPr>
            <w:tcW w:w="781"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0</w:t>
            </w:r>
          </w:p>
        </w:tc>
        <w:tc>
          <w:tcPr>
            <w:tcW w:w="622"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2172.03</w:t>
            </w:r>
          </w:p>
        </w:tc>
        <w:tc>
          <w:tcPr>
            <w:tcW w:w="733"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11</w:t>
            </w:r>
          </w:p>
        </w:tc>
        <w:tc>
          <w:tcPr>
            <w:tcW w:w="163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(2-18)新星路1-4巷</w:t>
            </w:r>
          </w:p>
        </w:tc>
        <w:tc>
          <w:tcPr>
            <w:tcW w:w="1003"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5205.52</w:t>
            </w:r>
          </w:p>
        </w:tc>
        <w:tc>
          <w:tcPr>
            <w:tcW w:w="781"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0</w:t>
            </w:r>
          </w:p>
        </w:tc>
        <w:tc>
          <w:tcPr>
            <w:tcW w:w="622"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5205.52</w:t>
            </w:r>
          </w:p>
        </w:tc>
        <w:tc>
          <w:tcPr>
            <w:tcW w:w="733"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12</w:t>
            </w:r>
          </w:p>
        </w:tc>
        <w:tc>
          <w:tcPr>
            <w:tcW w:w="163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(3-7)禄和居民区</w:t>
            </w:r>
          </w:p>
        </w:tc>
        <w:tc>
          <w:tcPr>
            <w:tcW w:w="1003"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10325.63</w:t>
            </w:r>
          </w:p>
        </w:tc>
        <w:tc>
          <w:tcPr>
            <w:tcW w:w="781"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0</w:t>
            </w:r>
          </w:p>
        </w:tc>
        <w:tc>
          <w:tcPr>
            <w:tcW w:w="622"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10325.63</w:t>
            </w:r>
          </w:p>
        </w:tc>
        <w:tc>
          <w:tcPr>
            <w:tcW w:w="733"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5"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　</w:t>
            </w:r>
          </w:p>
        </w:tc>
        <w:tc>
          <w:tcPr>
            <w:tcW w:w="1636"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合 计</w:t>
            </w:r>
          </w:p>
        </w:tc>
        <w:tc>
          <w:tcPr>
            <w:tcW w:w="1003" w:type="pct"/>
            <w:noWrap/>
            <w:vAlign w:val="center"/>
          </w:tcPr>
          <w:p>
            <w:pPr>
              <w:widowControl/>
              <w:jc w:val="center"/>
              <w:rPr>
                <w:rFonts w:hAnsi="宋体" w:cs="宋体"/>
                <w:b/>
                <w:bCs/>
                <w:color w:val="auto"/>
                <w:sz w:val="21"/>
                <w:szCs w:val="21"/>
                <w:highlight w:val="none"/>
              </w:rPr>
            </w:pPr>
          </w:p>
        </w:tc>
        <w:tc>
          <w:tcPr>
            <w:tcW w:w="781" w:type="pct"/>
            <w:noWrap/>
            <w:vAlign w:val="center"/>
          </w:tcPr>
          <w:p>
            <w:pPr>
              <w:widowControl/>
              <w:jc w:val="center"/>
              <w:rPr>
                <w:rFonts w:hAnsi="宋体" w:cs="宋体"/>
                <w:b/>
                <w:bCs/>
                <w:color w:val="auto"/>
                <w:sz w:val="21"/>
                <w:szCs w:val="21"/>
                <w:highlight w:val="none"/>
              </w:rPr>
            </w:pPr>
          </w:p>
        </w:tc>
        <w:tc>
          <w:tcPr>
            <w:tcW w:w="622" w:type="pct"/>
            <w:noWrap/>
            <w:vAlign w:val="center"/>
          </w:tcPr>
          <w:p>
            <w:pPr>
              <w:widowControl/>
              <w:jc w:val="center"/>
              <w:rPr>
                <w:rFonts w:hAnsi="宋体" w:cs="宋体"/>
                <w:b/>
                <w:bCs/>
                <w:color w:val="auto"/>
                <w:sz w:val="21"/>
                <w:szCs w:val="21"/>
                <w:highlight w:val="none"/>
              </w:rPr>
            </w:pPr>
            <w:r>
              <w:rPr>
                <w:rFonts w:hAnsi="宋体" w:cs="宋体"/>
                <w:b/>
                <w:bCs/>
                <w:color w:val="auto"/>
                <w:sz w:val="21"/>
                <w:szCs w:val="21"/>
                <w:highlight w:val="none"/>
              </w:rPr>
              <w:t>115205.37</w:t>
            </w:r>
          </w:p>
        </w:tc>
        <w:tc>
          <w:tcPr>
            <w:tcW w:w="733"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　</w:t>
            </w:r>
          </w:p>
        </w:tc>
      </w:tr>
    </w:tbl>
    <w:p>
      <w:pPr>
        <w:bidi w:val="0"/>
        <w:rPr>
          <w:color w:val="auto"/>
          <w:highlight w:val="none"/>
        </w:r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448"/>
        <w:gridCol w:w="1184"/>
        <w:gridCol w:w="1870"/>
        <w:gridCol w:w="188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000" w:type="pct"/>
            <w:gridSpan w:val="6"/>
            <w:noWrap/>
            <w:vAlign w:val="center"/>
          </w:tcPr>
          <w:p>
            <w:pPr>
              <w:widowControl/>
              <w:jc w:val="center"/>
              <w:textAlignment w:val="center"/>
              <w:rPr>
                <w:rFonts w:hAnsi="宋体" w:cs="宋体"/>
                <w:b/>
                <w:bCs/>
                <w:color w:val="auto"/>
                <w:sz w:val="21"/>
                <w:szCs w:val="21"/>
                <w:highlight w:val="none"/>
              </w:rPr>
            </w:pPr>
            <w:r>
              <w:rPr>
                <w:rFonts w:hAnsi="宋体" w:cs="宋体"/>
                <w:b/>
                <w:bCs/>
                <w:color w:val="auto"/>
                <w:sz w:val="21"/>
                <w:szCs w:val="21"/>
                <w:highlight w:val="none"/>
              </w:rPr>
              <w:t>长安镇</w:t>
            </w:r>
            <w:r>
              <w:rPr>
                <w:rFonts w:hint="eastAsia" w:hAnsi="宋体" w:cs="宋体"/>
                <w:b/>
                <w:bCs/>
                <w:color w:val="auto"/>
                <w:sz w:val="21"/>
                <w:szCs w:val="21"/>
                <w:highlight w:val="none"/>
              </w:rPr>
              <w:t>新民</w:t>
            </w:r>
            <w:r>
              <w:rPr>
                <w:rFonts w:hAnsi="宋体" w:cs="宋体"/>
                <w:b/>
                <w:bCs/>
                <w:color w:val="auto"/>
                <w:sz w:val="21"/>
                <w:szCs w:val="21"/>
                <w:highlight w:val="none"/>
              </w:rPr>
              <w:t>社区旧村环卫保洁测量面积统计表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6"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序号</w:t>
            </w:r>
          </w:p>
        </w:tc>
        <w:tc>
          <w:tcPr>
            <w:tcW w:w="1448"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旧村名称</w:t>
            </w:r>
          </w:p>
        </w:tc>
        <w:tc>
          <w:tcPr>
            <w:tcW w:w="67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总面积(㎡)</w:t>
            </w:r>
          </w:p>
        </w:tc>
        <w:tc>
          <w:tcPr>
            <w:tcW w:w="1108"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其中:保洁面积(㎡)</w:t>
            </w:r>
          </w:p>
        </w:tc>
        <w:tc>
          <w:tcPr>
            <w:tcW w:w="1119"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其中:绿化面积(㎡)</w:t>
            </w:r>
          </w:p>
        </w:tc>
        <w:tc>
          <w:tcPr>
            <w:tcW w:w="429"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6"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w:t>
            </w:r>
          </w:p>
        </w:tc>
        <w:tc>
          <w:tcPr>
            <w:tcW w:w="1448"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(3-9)禄和居民旧村巷道</w:t>
            </w:r>
          </w:p>
        </w:tc>
        <w:tc>
          <w:tcPr>
            <w:tcW w:w="671"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10044.38</w:t>
            </w:r>
          </w:p>
        </w:tc>
        <w:tc>
          <w:tcPr>
            <w:tcW w:w="110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10044.38</w:t>
            </w:r>
          </w:p>
        </w:tc>
        <w:tc>
          <w:tcPr>
            <w:tcW w:w="1119"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0</w:t>
            </w:r>
          </w:p>
        </w:tc>
        <w:tc>
          <w:tcPr>
            <w:tcW w:w="429" w:type="pct"/>
            <w:noWrap/>
            <w:vAlign w:val="center"/>
          </w:tcPr>
          <w:p>
            <w:pPr>
              <w:widowControl/>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6"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2</w:t>
            </w:r>
          </w:p>
        </w:tc>
        <w:tc>
          <w:tcPr>
            <w:tcW w:w="1448"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(3-9)陆丰涌栈道</w:t>
            </w:r>
          </w:p>
        </w:tc>
        <w:tc>
          <w:tcPr>
            <w:tcW w:w="671"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2955.48</w:t>
            </w:r>
          </w:p>
        </w:tc>
        <w:tc>
          <w:tcPr>
            <w:tcW w:w="110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2955.48</w:t>
            </w:r>
          </w:p>
        </w:tc>
        <w:tc>
          <w:tcPr>
            <w:tcW w:w="1119"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0</w:t>
            </w:r>
          </w:p>
        </w:tc>
        <w:tc>
          <w:tcPr>
            <w:tcW w:w="429" w:type="pct"/>
            <w:noWrap/>
            <w:vAlign w:val="center"/>
          </w:tcPr>
          <w:p>
            <w:pPr>
              <w:widowControl/>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4" w:type="pct"/>
            <w:gridSpan w:val="2"/>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合 计</w:t>
            </w:r>
          </w:p>
        </w:tc>
        <w:tc>
          <w:tcPr>
            <w:tcW w:w="671" w:type="pct"/>
            <w:noWrap/>
            <w:vAlign w:val="center"/>
          </w:tcPr>
          <w:p>
            <w:pPr>
              <w:widowControl/>
              <w:jc w:val="center"/>
              <w:textAlignment w:val="center"/>
              <w:rPr>
                <w:rFonts w:hAnsi="宋体" w:cs="宋体"/>
                <w:b/>
                <w:bCs/>
                <w:color w:val="auto"/>
                <w:sz w:val="21"/>
                <w:szCs w:val="21"/>
                <w:highlight w:val="none"/>
              </w:rPr>
            </w:pPr>
            <w:r>
              <w:rPr>
                <w:rFonts w:hint="eastAsia" w:hAnsi="宋体" w:cs="宋体"/>
                <w:b/>
                <w:bCs/>
                <w:color w:val="auto"/>
                <w:sz w:val="21"/>
                <w:szCs w:val="21"/>
                <w:highlight w:val="none"/>
                <w:lang w:bidi="ar"/>
              </w:rPr>
              <w:t>12999.86</w:t>
            </w:r>
          </w:p>
        </w:tc>
        <w:tc>
          <w:tcPr>
            <w:tcW w:w="1108" w:type="pct"/>
            <w:noWrap/>
            <w:vAlign w:val="center"/>
          </w:tcPr>
          <w:p>
            <w:pPr>
              <w:widowControl/>
              <w:jc w:val="center"/>
              <w:textAlignment w:val="center"/>
              <w:rPr>
                <w:rFonts w:hAnsi="宋体" w:cs="宋体"/>
                <w:b/>
                <w:bCs/>
                <w:color w:val="auto"/>
                <w:sz w:val="21"/>
                <w:szCs w:val="21"/>
                <w:highlight w:val="none"/>
              </w:rPr>
            </w:pPr>
            <w:r>
              <w:rPr>
                <w:rFonts w:hint="eastAsia" w:hAnsi="宋体" w:cs="宋体"/>
                <w:b/>
                <w:bCs/>
                <w:color w:val="auto"/>
                <w:sz w:val="21"/>
                <w:szCs w:val="21"/>
                <w:highlight w:val="none"/>
                <w:lang w:bidi="ar"/>
              </w:rPr>
              <w:t>12999.86</w:t>
            </w:r>
          </w:p>
        </w:tc>
        <w:tc>
          <w:tcPr>
            <w:tcW w:w="1119"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0</w:t>
            </w:r>
          </w:p>
        </w:tc>
        <w:tc>
          <w:tcPr>
            <w:tcW w:w="429" w:type="pct"/>
            <w:noWrap/>
            <w:vAlign w:val="center"/>
          </w:tcPr>
          <w:p>
            <w:pPr>
              <w:widowControl/>
              <w:rPr>
                <w:rFonts w:hAnsi="宋体" w:cs="宋体"/>
                <w:b/>
                <w:bCs/>
                <w:color w:val="auto"/>
                <w:sz w:val="21"/>
                <w:szCs w:val="21"/>
                <w:highlight w:val="none"/>
              </w:rPr>
            </w:pPr>
            <w:r>
              <w:rPr>
                <w:rFonts w:hint="eastAsia" w:hAnsi="宋体" w:cs="宋体"/>
                <w:b/>
                <w:bCs/>
                <w:color w:val="auto"/>
                <w:sz w:val="21"/>
                <w:szCs w:val="21"/>
                <w:highlight w:val="none"/>
              </w:rPr>
              <w:t>　</w:t>
            </w:r>
          </w:p>
        </w:tc>
      </w:tr>
    </w:tbl>
    <w:p>
      <w:pPr>
        <w:bidi w:val="0"/>
        <w:rPr>
          <w:color w:val="auto"/>
          <w:highlight w:val="none"/>
        </w:r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795"/>
        <w:gridCol w:w="986"/>
        <w:gridCol w:w="1015"/>
        <w:gridCol w:w="1291"/>
        <w:gridCol w:w="1332"/>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000" w:type="pct"/>
            <w:gridSpan w:val="7"/>
            <w:noWrap/>
            <w:vAlign w:val="center"/>
          </w:tcPr>
          <w:p>
            <w:pPr>
              <w:widowControl/>
              <w:jc w:val="center"/>
              <w:rPr>
                <w:rFonts w:ascii="华康简标题宋" w:hAnsi="华康简标题宋" w:cs="宋体"/>
                <w:b/>
                <w:bCs/>
                <w:color w:val="auto"/>
                <w:sz w:val="21"/>
                <w:szCs w:val="21"/>
                <w:highlight w:val="none"/>
              </w:rPr>
            </w:pPr>
            <w:r>
              <w:rPr>
                <w:rFonts w:hint="eastAsia" w:hAnsi="宋体" w:cs="宋体"/>
                <w:b/>
                <w:bCs/>
                <w:color w:val="auto"/>
                <w:sz w:val="21"/>
                <w:szCs w:val="21"/>
                <w:highlight w:val="none"/>
              </w:rPr>
              <w:t>长安镇新民社区闲置地环卫保洁测量面积统计表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序号</w:t>
            </w:r>
          </w:p>
        </w:tc>
        <w:tc>
          <w:tcPr>
            <w:tcW w:w="1056" w:type="pct"/>
            <w:noWrap w:val="0"/>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闲置地位置(地址)</w:t>
            </w:r>
          </w:p>
        </w:tc>
        <w:tc>
          <w:tcPr>
            <w:tcW w:w="581" w:type="pct"/>
            <w:noWrap w:val="0"/>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长度(m)</w:t>
            </w:r>
          </w:p>
        </w:tc>
        <w:tc>
          <w:tcPr>
            <w:tcW w:w="598" w:type="pct"/>
            <w:noWrap w:val="0"/>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宽度(m)</w:t>
            </w:r>
          </w:p>
        </w:tc>
        <w:tc>
          <w:tcPr>
            <w:tcW w:w="760" w:type="pct"/>
            <w:noWrap w:val="0"/>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总面积(㎡)</w:t>
            </w:r>
          </w:p>
        </w:tc>
        <w:tc>
          <w:tcPr>
            <w:tcW w:w="784" w:type="pct"/>
            <w:noWrap w:val="0"/>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是否有围闭</w:t>
            </w:r>
          </w:p>
        </w:tc>
        <w:tc>
          <w:tcPr>
            <w:tcW w:w="98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35"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w:t>
            </w:r>
          </w:p>
        </w:tc>
        <w:tc>
          <w:tcPr>
            <w:tcW w:w="1056" w:type="pct"/>
            <w:noWrap/>
            <w:vAlign w:val="center"/>
          </w:tcPr>
          <w:p>
            <w:pPr>
              <w:jc w:val="center"/>
              <w:rPr>
                <w:rFonts w:hAnsi="宋体" w:cs="宋体"/>
                <w:color w:val="auto"/>
                <w:sz w:val="21"/>
                <w:szCs w:val="21"/>
                <w:highlight w:val="none"/>
              </w:rPr>
            </w:pPr>
          </w:p>
        </w:tc>
        <w:tc>
          <w:tcPr>
            <w:tcW w:w="581" w:type="pct"/>
            <w:noWrap/>
            <w:vAlign w:val="center"/>
          </w:tcPr>
          <w:p>
            <w:pPr>
              <w:jc w:val="center"/>
              <w:rPr>
                <w:rFonts w:hAnsi="宋体" w:cs="宋体"/>
                <w:color w:val="auto"/>
                <w:sz w:val="21"/>
                <w:szCs w:val="21"/>
                <w:highlight w:val="none"/>
              </w:rPr>
            </w:pPr>
          </w:p>
        </w:tc>
        <w:tc>
          <w:tcPr>
            <w:tcW w:w="598" w:type="pct"/>
            <w:noWrap/>
            <w:vAlign w:val="center"/>
          </w:tcPr>
          <w:p>
            <w:pPr>
              <w:jc w:val="center"/>
              <w:rPr>
                <w:rFonts w:hAnsi="宋体" w:cs="宋体"/>
                <w:color w:val="auto"/>
                <w:sz w:val="21"/>
                <w:szCs w:val="21"/>
                <w:highlight w:val="none"/>
              </w:rPr>
            </w:pPr>
          </w:p>
        </w:tc>
        <w:tc>
          <w:tcPr>
            <w:tcW w:w="760" w:type="pct"/>
            <w:noWrap/>
            <w:vAlign w:val="center"/>
          </w:tcPr>
          <w:p>
            <w:pPr>
              <w:jc w:val="center"/>
              <w:rPr>
                <w:rFonts w:hAnsi="宋体" w:cs="宋体"/>
                <w:color w:val="auto"/>
                <w:sz w:val="21"/>
                <w:szCs w:val="21"/>
                <w:highlight w:val="none"/>
              </w:rPr>
            </w:pPr>
          </w:p>
        </w:tc>
        <w:tc>
          <w:tcPr>
            <w:tcW w:w="784" w:type="pct"/>
            <w:noWrap/>
            <w:vAlign w:val="center"/>
          </w:tcPr>
          <w:p>
            <w:pPr>
              <w:jc w:val="center"/>
              <w:rPr>
                <w:rFonts w:hAnsi="宋体" w:cs="宋体"/>
                <w:color w:val="auto"/>
                <w:sz w:val="21"/>
                <w:szCs w:val="21"/>
                <w:highlight w:val="none"/>
              </w:rPr>
            </w:pPr>
          </w:p>
        </w:tc>
        <w:tc>
          <w:tcPr>
            <w:tcW w:w="985"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5"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　</w:t>
            </w:r>
          </w:p>
        </w:tc>
        <w:tc>
          <w:tcPr>
            <w:tcW w:w="1056"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合 计</w:t>
            </w:r>
          </w:p>
        </w:tc>
        <w:tc>
          <w:tcPr>
            <w:tcW w:w="581"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0</w:t>
            </w:r>
          </w:p>
        </w:tc>
        <w:tc>
          <w:tcPr>
            <w:tcW w:w="598"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0</w:t>
            </w:r>
          </w:p>
        </w:tc>
        <w:tc>
          <w:tcPr>
            <w:tcW w:w="760"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0</w:t>
            </w:r>
          </w:p>
        </w:tc>
        <w:tc>
          <w:tcPr>
            <w:tcW w:w="784"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0</w:t>
            </w:r>
          </w:p>
        </w:tc>
        <w:tc>
          <w:tcPr>
            <w:tcW w:w="985"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0</w:t>
            </w:r>
          </w:p>
        </w:tc>
      </w:tr>
    </w:tbl>
    <w:p>
      <w:pPr>
        <w:rPr>
          <w:color w:val="auto"/>
          <w:sz w:val="21"/>
          <w:szCs w:val="21"/>
          <w:highlight w:val="none"/>
        </w:r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322"/>
        <w:gridCol w:w="792"/>
        <w:gridCol w:w="771"/>
        <w:gridCol w:w="1064"/>
        <w:gridCol w:w="583"/>
        <w:gridCol w:w="641"/>
        <w:gridCol w:w="902"/>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000" w:type="pct"/>
            <w:gridSpan w:val="9"/>
            <w:noWrap/>
            <w:vAlign w:val="center"/>
          </w:tcPr>
          <w:p>
            <w:pPr>
              <w:widowControl/>
              <w:jc w:val="center"/>
              <w:textAlignment w:val="center"/>
              <w:rPr>
                <w:rFonts w:ascii="华康简标题宋" w:hAnsi="华康简标题宋" w:cs="宋体"/>
                <w:b/>
                <w:bCs/>
                <w:color w:val="auto"/>
                <w:sz w:val="21"/>
                <w:szCs w:val="21"/>
                <w:highlight w:val="none"/>
              </w:rPr>
            </w:pPr>
            <w:r>
              <w:rPr>
                <w:rFonts w:hAnsi="宋体" w:cs="宋体"/>
                <w:b/>
                <w:bCs/>
                <w:color w:val="auto"/>
                <w:sz w:val="21"/>
                <w:szCs w:val="21"/>
                <w:highlight w:val="none"/>
              </w:rPr>
              <w:t>长安镇</w:t>
            </w:r>
            <w:r>
              <w:rPr>
                <w:rFonts w:hint="eastAsia" w:hAnsi="宋体" w:cs="宋体"/>
                <w:b/>
                <w:bCs/>
                <w:color w:val="auto"/>
                <w:sz w:val="21"/>
                <w:szCs w:val="21"/>
                <w:highlight w:val="none"/>
              </w:rPr>
              <w:t>新民</w:t>
            </w:r>
            <w:r>
              <w:rPr>
                <w:rFonts w:hAnsi="宋体" w:cs="宋体"/>
                <w:b/>
                <w:bCs/>
                <w:color w:val="auto"/>
                <w:sz w:val="21"/>
                <w:szCs w:val="21"/>
                <w:highlight w:val="none"/>
              </w:rPr>
              <w:t>社区河涌、鱼塘保洁测量面积统计表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0" w:type="pct"/>
            <w:gridSpan w:val="9"/>
            <w:noWrap/>
            <w:vAlign w:val="center"/>
          </w:tcPr>
          <w:p>
            <w:pPr>
              <w:widowControl/>
              <w:jc w:val="center"/>
              <w:textAlignment w:val="center"/>
              <w:rPr>
                <w:rFonts w:ascii="华康简标题宋" w:hAnsi="华康简标题宋" w:cs="宋体"/>
                <w:b/>
                <w:bCs/>
                <w:color w:val="auto"/>
                <w:sz w:val="21"/>
                <w:szCs w:val="21"/>
                <w:highlight w:val="none"/>
              </w:rPr>
            </w:pPr>
            <w:r>
              <w:rPr>
                <w:rFonts w:hAnsi="宋体" w:cs="宋体"/>
                <w:b/>
                <w:bCs/>
                <w:color w:val="auto"/>
                <w:sz w:val="21"/>
                <w:szCs w:val="21"/>
                <w:highlight w:val="none"/>
              </w:rPr>
              <w:t>（私人承担的鱼塘水域除外）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26"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序号</w:t>
            </w:r>
          </w:p>
        </w:tc>
        <w:tc>
          <w:tcPr>
            <w:tcW w:w="1366" w:type="pct"/>
            <w:noWrap w:val="0"/>
            <w:vAlign w:val="center"/>
          </w:tcPr>
          <w:p>
            <w:pPr>
              <w:widowControl/>
              <w:ind w:right="582" w:rightChars="277"/>
              <w:jc w:val="center"/>
              <w:rPr>
                <w:rFonts w:hAnsi="宋体" w:cs="宋体"/>
                <w:color w:val="auto"/>
                <w:sz w:val="21"/>
                <w:szCs w:val="21"/>
                <w:highlight w:val="none"/>
              </w:rPr>
            </w:pPr>
            <w:r>
              <w:rPr>
                <w:rFonts w:hint="eastAsia" w:hAnsi="宋体" w:cs="宋体"/>
                <w:color w:val="auto"/>
                <w:sz w:val="21"/>
                <w:szCs w:val="21"/>
                <w:highlight w:val="none"/>
              </w:rPr>
              <w:t>河涌或鱼塘位置(名称)</w:t>
            </w:r>
          </w:p>
        </w:tc>
        <w:tc>
          <w:tcPr>
            <w:tcW w:w="468"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水域长度(m)</w:t>
            </w:r>
          </w:p>
        </w:tc>
        <w:tc>
          <w:tcPr>
            <w:tcW w:w="45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水域宽度(m)</w:t>
            </w:r>
          </w:p>
        </w:tc>
        <w:tc>
          <w:tcPr>
            <w:tcW w:w="627"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水域总面积(㎡)</w:t>
            </w:r>
          </w:p>
        </w:tc>
        <w:tc>
          <w:tcPr>
            <w:tcW w:w="345"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岸边长度(m)</w:t>
            </w:r>
          </w:p>
        </w:tc>
        <w:tc>
          <w:tcPr>
            <w:tcW w:w="379"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岸边宽度(m)</w:t>
            </w:r>
          </w:p>
        </w:tc>
        <w:tc>
          <w:tcPr>
            <w:tcW w:w="532"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岸边总面积(㎡)</w:t>
            </w:r>
          </w:p>
        </w:tc>
        <w:tc>
          <w:tcPr>
            <w:tcW w:w="603"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26"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w:t>
            </w:r>
          </w:p>
        </w:tc>
        <w:tc>
          <w:tcPr>
            <w:tcW w:w="136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(2-2)人民涌</w:t>
            </w:r>
          </w:p>
        </w:tc>
        <w:tc>
          <w:tcPr>
            <w:tcW w:w="468" w:type="pct"/>
            <w:noWrap/>
            <w:vAlign w:val="center"/>
          </w:tcPr>
          <w:p>
            <w:pPr>
              <w:jc w:val="center"/>
              <w:rPr>
                <w:rFonts w:hAnsi="宋体" w:cs="宋体"/>
                <w:color w:val="auto"/>
                <w:sz w:val="21"/>
                <w:szCs w:val="21"/>
                <w:highlight w:val="none"/>
              </w:rPr>
            </w:pPr>
          </w:p>
        </w:tc>
        <w:tc>
          <w:tcPr>
            <w:tcW w:w="455" w:type="pct"/>
            <w:noWrap/>
            <w:vAlign w:val="center"/>
          </w:tcPr>
          <w:p>
            <w:pPr>
              <w:jc w:val="center"/>
              <w:rPr>
                <w:rFonts w:hAnsi="宋体" w:cs="宋体"/>
                <w:color w:val="auto"/>
                <w:sz w:val="21"/>
                <w:szCs w:val="21"/>
                <w:highlight w:val="none"/>
              </w:rPr>
            </w:pPr>
          </w:p>
        </w:tc>
        <w:tc>
          <w:tcPr>
            <w:tcW w:w="627"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19339.72</w:t>
            </w:r>
          </w:p>
        </w:tc>
        <w:tc>
          <w:tcPr>
            <w:tcW w:w="345" w:type="pct"/>
            <w:noWrap w:val="0"/>
            <w:vAlign w:val="center"/>
          </w:tcPr>
          <w:p>
            <w:pPr>
              <w:jc w:val="center"/>
              <w:rPr>
                <w:rFonts w:hAnsi="宋体" w:cs="宋体"/>
                <w:color w:val="auto"/>
                <w:sz w:val="21"/>
                <w:szCs w:val="21"/>
                <w:highlight w:val="none"/>
              </w:rPr>
            </w:pPr>
          </w:p>
        </w:tc>
        <w:tc>
          <w:tcPr>
            <w:tcW w:w="379" w:type="pct"/>
            <w:noWrap w:val="0"/>
            <w:vAlign w:val="center"/>
          </w:tcPr>
          <w:p>
            <w:pPr>
              <w:jc w:val="center"/>
              <w:rPr>
                <w:rFonts w:hAnsi="宋体" w:cs="宋体"/>
                <w:color w:val="auto"/>
                <w:sz w:val="21"/>
                <w:szCs w:val="21"/>
                <w:highlight w:val="none"/>
              </w:rPr>
            </w:pPr>
          </w:p>
        </w:tc>
        <w:tc>
          <w:tcPr>
            <w:tcW w:w="532" w:type="pct"/>
            <w:noWrap w:val="0"/>
            <w:vAlign w:val="center"/>
          </w:tcPr>
          <w:p>
            <w:pPr>
              <w:jc w:val="center"/>
              <w:rPr>
                <w:rFonts w:hAnsi="宋体" w:cs="宋体"/>
                <w:color w:val="auto"/>
                <w:sz w:val="21"/>
                <w:szCs w:val="21"/>
                <w:highlight w:val="none"/>
              </w:rPr>
            </w:pPr>
          </w:p>
        </w:tc>
        <w:tc>
          <w:tcPr>
            <w:tcW w:w="603"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6"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2</w:t>
            </w:r>
          </w:p>
        </w:tc>
        <w:tc>
          <w:tcPr>
            <w:tcW w:w="136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(2-12)筷子涌</w:t>
            </w:r>
          </w:p>
        </w:tc>
        <w:tc>
          <w:tcPr>
            <w:tcW w:w="468" w:type="pct"/>
            <w:noWrap/>
            <w:vAlign w:val="center"/>
          </w:tcPr>
          <w:p>
            <w:pPr>
              <w:jc w:val="center"/>
              <w:rPr>
                <w:rFonts w:hAnsi="宋体" w:cs="宋体"/>
                <w:color w:val="auto"/>
                <w:sz w:val="21"/>
                <w:szCs w:val="21"/>
                <w:highlight w:val="none"/>
              </w:rPr>
            </w:pPr>
          </w:p>
        </w:tc>
        <w:tc>
          <w:tcPr>
            <w:tcW w:w="455" w:type="pct"/>
            <w:noWrap/>
            <w:vAlign w:val="center"/>
          </w:tcPr>
          <w:p>
            <w:pPr>
              <w:jc w:val="center"/>
              <w:rPr>
                <w:rFonts w:hAnsi="宋体" w:cs="宋体"/>
                <w:color w:val="auto"/>
                <w:sz w:val="21"/>
                <w:szCs w:val="21"/>
                <w:highlight w:val="none"/>
              </w:rPr>
            </w:pPr>
          </w:p>
        </w:tc>
        <w:tc>
          <w:tcPr>
            <w:tcW w:w="627"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17543.79</w:t>
            </w:r>
          </w:p>
        </w:tc>
        <w:tc>
          <w:tcPr>
            <w:tcW w:w="345" w:type="pct"/>
            <w:noWrap/>
            <w:vAlign w:val="center"/>
          </w:tcPr>
          <w:p>
            <w:pPr>
              <w:jc w:val="center"/>
              <w:rPr>
                <w:rFonts w:hAnsi="宋体" w:cs="宋体"/>
                <w:color w:val="auto"/>
                <w:sz w:val="21"/>
                <w:szCs w:val="21"/>
                <w:highlight w:val="none"/>
              </w:rPr>
            </w:pPr>
          </w:p>
        </w:tc>
        <w:tc>
          <w:tcPr>
            <w:tcW w:w="379" w:type="pct"/>
            <w:noWrap/>
            <w:vAlign w:val="center"/>
          </w:tcPr>
          <w:p>
            <w:pPr>
              <w:jc w:val="center"/>
              <w:rPr>
                <w:rFonts w:hAnsi="宋体" w:cs="宋体"/>
                <w:color w:val="auto"/>
                <w:sz w:val="21"/>
                <w:szCs w:val="21"/>
                <w:highlight w:val="none"/>
              </w:rPr>
            </w:pPr>
          </w:p>
        </w:tc>
        <w:tc>
          <w:tcPr>
            <w:tcW w:w="532" w:type="pct"/>
            <w:noWrap/>
            <w:vAlign w:val="center"/>
          </w:tcPr>
          <w:p>
            <w:pPr>
              <w:jc w:val="center"/>
              <w:rPr>
                <w:rFonts w:hAnsi="宋体" w:cs="宋体"/>
                <w:color w:val="auto"/>
                <w:sz w:val="21"/>
                <w:szCs w:val="21"/>
                <w:highlight w:val="none"/>
              </w:rPr>
            </w:pPr>
          </w:p>
        </w:tc>
        <w:tc>
          <w:tcPr>
            <w:tcW w:w="603"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6"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3</w:t>
            </w:r>
          </w:p>
        </w:tc>
        <w:tc>
          <w:tcPr>
            <w:tcW w:w="136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(3-2)陆丰涌</w:t>
            </w:r>
          </w:p>
        </w:tc>
        <w:tc>
          <w:tcPr>
            <w:tcW w:w="468" w:type="pct"/>
            <w:noWrap/>
            <w:vAlign w:val="center"/>
          </w:tcPr>
          <w:p>
            <w:pPr>
              <w:jc w:val="center"/>
              <w:rPr>
                <w:rFonts w:hAnsi="宋体" w:cs="宋体"/>
                <w:color w:val="auto"/>
                <w:sz w:val="21"/>
                <w:szCs w:val="21"/>
                <w:highlight w:val="none"/>
              </w:rPr>
            </w:pPr>
          </w:p>
        </w:tc>
        <w:tc>
          <w:tcPr>
            <w:tcW w:w="455" w:type="pct"/>
            <w:noWrap/>
            <w:vAlign w:val="center"/>
          </w:tcPr>
          <w:p>
            <w:pPr>
              <w:jc w:val="center"/>
              <w:rPr>
                <w:rFonts w:hAnsi="宋体" w:cs="宋体"/>
                <w:color w:val="auto"/>
                <w:sz w:val="21"/>
                <w:szCs w:val="21"/>
                <w:highlight w:val="none"/>
              </w:rPr>
            </w:pPr>
          </w:p>
        </w:tc>
        <w:tc>
          <w:tcPr>
            <w:tcW w:w="627"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18649.41</w:t>
            </w:r>
          </w:p>
        </w:tc>
        <w:tc>
          <w:tcPr>
            <w:tcW w:w="345" w:type="pct"/>
            <w:noWrap/>
            <w:vAlign w:val="center"/>
          </w:tcPr>
          <w:p>
            <w:pPr>
              <w:jc w:val="center"/>
              <w:rPr>
                <w:rFonts w:hAnsi="宋体" w:cs="宋体"/>
                <w:color w:val="auto"/>
                <w:sz w:val="21"/>
                <w:szCs w:val="21"/>
                <w:highlight w:val="none"/>
              </w:rPr>
            </w:pPr>
          </w:p>
        </w:tc>
        <w:tc>
          <w:tcPr>
            <w:tcW w:w="379" w:type="pct"/>
            <w:noWrap/>
            <w:vAlign w:val="center"/>
          </w:tcPr>
          <w:p>
            <w:pPr>
              <w:jc w:val="center"/>
              <w:rPr>
                <w:rFonts w:hAnsi="宋体" w:cs="宋体"/>
                <w:color w:val="auto"/>
                <w:sz w:val="21"/>
                <w:szCs w:val="21"/>
                <w:highlight w:val="none"/>
              </w:rPr>
            </w:pPr>
          </w:p>
        </w:tc>
        <w:tc>
          <w:tcPr>
            <w:tcW w:w="532" w:type="pct"/>
            <w:noWrap/>
            <w:vAlign w:val="center"/>
          </w:tcPr>
          <w:p>
            <w:pPr>
              <w:jc w:val="center"/>
              <w:rPr>
                <w:rFonts w:hAnsi="宋体" w:cs="宋体"/>
                <w:color w:val="auto"/>
                <w:sz w:val="21"/>
                <w:szCs w:val="21"/>
                <w:highlight w:val="none"/>
              </w:rPr>
            </w:pPr>
          </w:p>
        </w:tc>
        <w:tc>
          <w:tcPr>
            <w:tcW w:w="603"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6"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4</w:t>
            </w:r>
          </w:p>
        </w:tc>
        <w:tc>
          <w:tcPr>
            <w:tcW w:w="136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(3-8)新民排渠</w:t>
            </w:r>
          </w:p>
        </w:tc>
        <w:tc>
          <w:tcPr>
            <w:tcW w:w="468" w:type="pct"/>
            <w:noWrap/>
            <w:vAlign w:val="center"/>
          </w:tcPr>
          <w:p>
            <w:pPr>
              <w:jc w:val="center"/>
              <w:rPr>
                <w:rFonts w:hAnsi="宋体" w:cs="宋体"/>
                <w:color w:val="auto"/>
                <w:sz w:val="21"/>
                <w:szCs w:val="21"/>
                <w:highlight w:val="none"/>
              </w:rPr>
            </w:pPr>
          </w:p>
        </w:tc>
        <w:tc>
          <w:tcPr>
            <w:tcW w:w="455" w:type="pct"/>
            <w:noWrap/>
            <w:vAlign w:val="center"/>
          </w:tcPr>
          <w:p>
            <w:pPr>
              <w:jc w:val="center"/>
              <w:rPr>
                <w:rFonts w:hAnsi="宋体" w:cs="宋体"/>
                <w:color w:val="auto"/>
                <w:sz w:val="21"/>
                <w:szCs w:val="21"/>
                <w:highlight w:val="none"/>
              </w:rPr>
            </w:pPr>
          </w:p>
        </w:tc>
        <w:tc>
          <w:tcPr>
            <w:tcW w:w="627"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7096.66</w:t>
            </w:r>
          </w:p>
        </w:tc>
        <w:tc>
          <w:tcPr>
            <w:tcW w:w="345" w:type="pct"/>
            <w:noWrap/>
            <w:vAlign w:val="center"/>
          </w:tcPr>
          <w:p>
            <w:pPr>
              <w:jc w:val="center"/>
              <w:rPr>
                <w:rFonts w:hAnsi="宋体" w:cs="宋体"/>
                <w:color w:val="auto"/>
                <w:sz w:val="21"/>
                <w:szCs w:val="21"/>
                <w:highlight w:val="none"/>
              </w:rPr>
            </w:pPr>
          </w:p>
        </w:tc>
        <w:tc>
          <w:tcPr>
            <w:tcW w:w="379" w:type="pct"/>
            <w:noWrap/>
            <w:vAlign w:val="center"/>
          </w:tcPr>
          <w:p>
            <w:pPr>
              <w:jc w:val="center"/>
              <w:rPr>
                <w:rFonts w:hAnsi="宋体" w:cs="宋体"/>
                <w:color w:val="auto"/>
                <w:sz w:val="21"/>
                <w:szCs w:val="21"/>
                <w:highlight w:val="none"/>
              </w:rPr>
            </w:pPr>
          </w:p>
        </w:tc>
        <w:tc>
          <w:tcPr>
            <w:tcW w:w="532" w:type="pct"/>
            <w:noWrap/>
            <w:vAlign w:val="center"/>
          </w:tcPr>
          <w:p>
            <w:pPr>
              <w:jc w:val="center"/>
              <w:rPr>
                <w:rFonts w:hAnsi="宋体" w:cs="宋体"/>
                <w:color w:val="auto"/>
                <w:sz w:val="21"/>
                <w:szCs w:val="21"/>
                <w:highlight w:val="none"/>
              </w:rPr>
            </w:pPr>
          </w:p>
        </w:tc>
        <w:tc>
          <w:tcPr>
            <w:tcW w:w="603"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26"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5</w:t>
            </w:r>
          </w:p>
        </w:tc>
        <w:tc>
          <w:tcPr>
            <w:tcW w:w="1366"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(3-17)三村小微水体</w:t>
            </w:r>
          </w:p>
        </w:tc>
        <w:tc>
          <w:tcPr>
            <w:tcW w:w="468" w:type="pct"/>
            <w:noWrap/>
            <w:vAlign w:val="center"/>
          </w:tcPr>
          <w:p>
            <w:pPr>
              <w:jc w:val="center"/>
              <w:rPr>
                <w:rFonts w:hAnsi="宋体" w:cs="宋体"/>
                <w:color w:val="auto"/>
                <w:sz w:val="21"/>
                <w:szCs w:val="21"/>
                <w:highlight w:val="none"/>
              </w:rPr>
            </w:pPr>
          </w:p>
        </w:tc>
        <w:tc>
          <w:tcPr>
            <w:tcW w:w="455" w:type="pct"/>
            <w:noWrap/>
            <w:vAlign w:val="center"/>
          </w:tcPr>
          <w:p>
            <w:pPr>
              <w:jc w:val="center"/>
              <w:rPr>
                <w:rFonts w:hAnsi="宋体" w:cs="宋体"/>
                <w:color w:val="auto"/>
                <w:sz w:val="21"/>
                <w:szCs w:val="21"/>
                <w:highlight w:val="none"/>
              </w:rPr>
            </w:pPr>
          </w:p>
        </w:tc>
        <w:tc>
          <w:tcPr>
            <w:tcW w:w="627"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2102.94</w:t>
            </w:r>
          </w:p>
        </w:tc>
        <w:tc>
          <w:tcPr>
            <w:tcW w:w="345" w:type="pct"/>
            <w:noWrap/>
            <w:vAlign w:val="center"/>
          </w:tcPr>
          <w:p>
            <w:pPr>
              <w:jc w:val="center"/>
              <w:rPr>
                <w:rFonts w:hAnsi="宋体" w:cs="宋体"/>
                <w:color w:val="auto"/>
                <w:sz w:val="21"/>
                <w:szCs w:val="21"/>
                <w:highlight w:val="none"/>
              </w:rPr>
            </w:pPr>
          </w:p>
        </w:tc>
        <w:tc>
          <w:tcPr>
            <w:tcW w:w="379" w:type="pct"/>
            <w:noWrap/>
            <w:vAlign w:val="center"/>
          </w:tcPr>
          <w:p>
            <w:pPr>
              <w:jc w:val="center"/>
              <w:rPr>
                <w:rFonts w:hAnsi="宋体" w:cs="宋体"/>
                <w:color w:val="auto"/>
                <w:sz w:val="21"/>
                <w:szCs w:val="21"/>
                <w:highlight w:val="none"/>
              </w:rPr>
            </w:pPr>
          </w:p>
        </w:tc>
        <w:tc>
          <w:tcPr>
            <w:tcW w:w="532" w:type="pct"/>
            <w:noWrap/>
            <w:vAlign w:val="center"/>
          </w:tcPr>
          <w:p>
            <w:pPr>
              <w:jc w:val="center"/>
              <w:rPr>
                <w:rFonts w:hAnsi="宋体" w:cs="宋体"/>
                <w:color w:val="auto"/>
                <w:sz w:val="21"/>
                <w:szCs w:val="21"/>
                <w:highlight w:val="none"/>
              </w:rPr>
            </w:pPr>
          </w:p>
        </w:tc>
        <w:tc>
          <w:tcPr>
            <w:tcW w:w="603" w:type="pct"/>
            <w:noWrap w:val="0"/>
            <w:vAlign w:val="center"/>
          </w:tcPr>
          <w:p>
            <w:pPr>
              <w:widowControl/>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92" w:type="pct"/>
            <w:gridSpan w:val="2"/>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合 计</w:t>
            </w:r>
          </w:p>
        </w:tc>
        <w:tc>
          <w:tcPr>
            <w:tcW w:w="468" w:type="pct"/>
            <w:noWrap/>
            <w:vAlign w:val="center"/>
          </w:tcPr>
          <w:p>
            <w:pPr>
              <w:jc w:val="center"/>
              <w:rPr>
                <w:rFonts w:hAnsi="宋体" w:cs="宋体"/>
                <w:color w:val="auto"/>
                <w:sz w:val="21"/>
                <w:szCs w:val="21"/>
                <w:highlight w:val="none"/>
              </w:rPr>
            </w:pPr>
          </w:p>
        </w:tc>
        <w:tc>
          <w:tcPr>
            <w:tcW w:w="455" w:type="pct"/>
            <w:noWrap/>
            <w:vAlign w:val="center"/>
          </w:tcPr>
          <w:p>
            <w:pPr>
              <w:jc w:val="center"/>
              <w:rPr>
                <w:rFonts w:hAnsi="宋体" w:cs="宋体"/>
                <w:color w:val="auto"/>
                <w:sz w:val="21"/>
                <w:szCs w:val="21"/>
                <w:highlight w:val="none"/>
              </w:rPr>
            </w:pPr>
          </w:p>
        </w:tc>
        <w:tc>
          <w:tcPr>
            <w:tcW w:w="627" w:type="pct"/>
            <w:noWrap/>
            <w:vAlign w:val="center"/>
          </w:tcPr>
          <w:p>
            <w:pPr>
              <w:widowControl/>
              <w:jc w:val="center"/>
              <w:textAlignment w:val="center"/>
              <w:rPr>
                <w:rFonts w:hAnsi="宋体" w:cs="宋体"/>
                <w:color w:val="auto"/>
                <w:sz w:val="21"/>
                <w:szCs w:val="21"/>
                <w:highlight w:val="none"/>
              </w:rPr>
            </w:pPr>
            <w:r>
              <w:rPr>
                <w:rFonts w:hint="eastAsia" w:hAnsi="宋体" w:cs="宋体"/>
                <w:b/>
                <w:bCs/>
                <w:color w:val="auto"/>
                <w:sz w:val="21"/>
                <w:szCs w:val="21"/>
                <w:highlight w:val="none"/>
                <w:lang w:bidi="ar"/>
              </w:rPr>
              <w:t>64732.52</w:t>
            </w:r>
          </w:p>
        </w:tc>
        <w:tc>
          <w:tcPr>
            <w:tcW w:w="345" w:type="pct"/>
            <w:noWrap/>
            <w:vAlign w:val="center"/>
          </w:tcPr>
          <w:p>
            <w:pPr>
              <w:jc w:val="center"/>
              <w:rPr>
                <w:rFonts w:hAnsi="宋体" w:cs="宋体"/>
                <w:color w:val="auto"/>
                <w:sz w:val="21"/>
                <w:szCs w:val="21"/>
                <w:highlight w:val="none"/>
              </w:rPr>
            </w:pPr>
          </w:p>
        </w:tc>
        <w:tc>
          <w:tcPr>
            <w:tcW w:w="379" w:type="pct"/>
            <w:noWrap/>
            <w:vAlign w:val="center"/>
          </w:tcPr>
          <w:p>
            <w:pPr>
              <w:jc w:val="center"/>
              <w:rPr>
                <w:rFonts w:hAnsi="宋体" w:cs="宋体"/>
                <w:color w:val="auto"/>
                <w:sz w:val="21"/>
                <w:szCs w:val="21"/>
                <w:highlight w:val="none"/>
              </w:rPr>
            </w:pPr>
          </w:p>
        </w:tc>
        <w:tc>
          <w:tcPr>
            <w:tcW w:w="532" w:type="pct"/>
            <w:noWrap/>
            <w:vAlign w:val="center"/>
          </w:tcPr>
          <w:p>
            <w:pPr>
              <w:jc w:val="center"/>
              <w:rPr>
                <w:rFonts w:hAnsi="宋体" w:cs="宋体"/>
                <w:color w:val="auto"/>
                <w:sz w:val="21"/>
                <w:szCs w:val="21"/>
                <w:highlight w:val="none"/>
              </w:rPr>
            </w:pPr>
          </w:p>
        </w:tc>
        <w:tc>
          <w:tcPr>
            <w:tcW w:w="603" w:type="pct"/>
            <w:noWrap w:val="0"/>
            <w:vAlign w:val="center"/>
          </w:tcPr>
          <w:p>
            <w:pPr>
              <w:widowControl/>
              <w:rPr>
                <w:rFonts w:hAnsi="宋体" w:cs="宋体"/>
                <w:color w:val="auto"/>
                <w:sz w:val="21"/>
                <w:szCs w:val="21"/>
                <w:highlight w:val="none"/>
              </w:rPr>
            </w:pPr>
          </w:p>
        </w:tc>
      </w:tr>
    </w:tbl>
    <w:p>
      <w:pPr>
        <w:bidi w:val="0"/>
        <w:rPr>
          <w:rFonts w:hint="eastAsia"/>
          <w:color w:val="auto"/>
          <w:highlight w:val="none"/>
          <w:lang w:val="zh-CN"/>
        </w:r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2764"/>
        <w:gridCol w:w="976"/>
        <w:gridCol w:w="1494"/>
        <w:gridCol w:w="1906"/>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000" w:type="pct"/>
            <w:gridSpan w:val="6"/>
            <w:noWrap/>
            <w:vAlign w:val="center"/>
          </w:tcPr>
          <w:p>
            <w:pPr>
              <w:widowControl/>
              <w:jc w:val="center"/>
              <w:textAlignment w:val="center"/>
              <w:rPr>
                <w:rFonts w:hAnsi="宋体" w:cs="宋体"/>
                <w:b/>
                <w:bCs/>
                <w:color w:val="auto"/>
                <w:sz w:val="21"/>
                <w:szCs w:val="21"/>
                <w:highlight w:val="none"/>
              </w:rPr>
            </w:pPr>
            <w:r>
              <w:rPr>
                <w:rFonts w:hAnsi="宋体" w:cs="宋体"/>
                <w:b/>
                <w:bCs/>
                <w:color w:val="auto"/>
                <w:sz w:val="21"/>
                <w:szCs w:val="21"/>
                <w:highlight w:val="none"/>
              </w:rPr>
              <w:t>长安镇</w:t>
            </w:r>
            <w:r>
              <w:rPr>
                <w:rFonts w:hint="eastAsia" w:hAnsi="宋体" w:cs="宋体"/>
                <w:b/>
                <w:bCs/>
                <w:color w:val="auto"/>
                <w:sz w:val="21"/>
                <w:szCs w:val="21"/>
                <w:highlight w:val="none"/>
              </w:rPr>
              <w:t>新民</w:t>
            </w:r>
            <w:r>
              <w:rPr>
                <w:rFonts w:hAnsi="宋体" w:cs="宋体"/>
                <w:b/>
                <w:bCs/>
                <w:color w:val="auto"/>
                <w:sz w:val="21"/>
                <w:szCs w:val="21"/>
                <w:highlight w:val="none"/>
              </w:rPr>
              <w:t>社区道路绿化带测量面积统计表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0" w:type="pct"/>
            <w:gridSpan w:val="6"/>
            <w:noWrap/>
            <w:vAlign w:val="center"/>
          </w:tcPr>
          <w:p>
            <w:pPr>
              <w:widowControl/>
              <w:jc w:val="center"/>
              <w:textAlignment w:val="center"/>
              <w:rPr>
                <w:rFonts w:hAnsi="宋体" w:cs="宋体"/>
                <w:b/>
                <w:bCs/>
                <w:color w:val="auto"/>
                <w:sz w:val="21"/>
                <w:szCs w:val="21"/>
                <w:highlight w:val="none"/>
              </w:rPr>
            </w:pPr>
            <w:r>
              <w:rPr>
                <w:rFonts w:hAnsi="宋体" w:cs="宋体"/>
                <w:b/>
                <w:bCs/>
                <w:color w:val="auto"/>
                <w:sz w:val="21"/>
                <w:szCs w:val="21"/>
                <w:highlight w:val="none"/>
              </w:rPr>
              <w:t>(五条主干道除外)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1"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序号</w:t>
            </w:r>
          </w:p>
        </w:tc>
        <w:tc>
          <w:tcPr>
            <w:tcW w:w="1621"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绿化带路段名称</w:t>
            </w:r>
          </w:p>
        </w:tc>
        <w:tc>
          <w:tcPr>
            <w:tcW w:w="573"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长度(m)</w:t>
            </w:r>
          </w:p>
        </w:tc>
        <w:tc>
          <w:tcPr>
            <w:tcW w:w="877"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宽度(m)</w:t>
            </w:r>
          </w:p>
        </w:tc>
        <w:tc>
          <w:tcPr>
            <w:tcW w:w="1118"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绿化面积(㎡)</w:t>
            </w:r>
          </w:p>
        </w:tc>
        <w:tc>
          <w:tcPr>
            <w:tcW w:w="557" w:type="pct"/>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w:t>
            </w:r>
          </w:p>
        </w:tc>
        <w:tc>
          <w:tcPr>
            <w:tcW w:w="1621"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(1-1)新民路</w:t>
            </w:r>
          </w:p>
        </w:tc>
        <w:tc>
          <w:tcPr>
            <w:tcW w:w="573" w:type="pct"/>
            <w:noWrap/>
            <w:vAlign w:val="center"/>
          </w:tcPr>
          <w:p>
            <w:pPr>
              <w:jc w:val="center"/>
              <w:rPr>
                <w:rFonts w:hAnsi="宋体" w:cs="宋体"/>
                <w:color w:val="auto"/>
                <w:sz w:val="21"/>
                <w:szCs w:val="21"/>
                <w:highlight w:val="none"/>
              </w:rPr>
            </w:pPr>
          </w:p>
        </w:tc>
        <w:tc>
          <w:tcPr>
            <w:tcW w:w="877" w:type="pct"/>
            <w:noWrap/>
            <w:vAlign w:val="center"/>
          </w:tcPr>
          <w:p>
            <w:pPr>
              <w:jc w:val="center"/>
              <w:rPr>
                <w:rFonts w:hAnsi="宋体" w:cs="宋体"/>
                <w:color w:val="auto"/>
                <w:sz w:val="21"/>
                <w:szCs w:val="21"/>
                <w:highlight w:val="none"/>
              </w:rPr>
            </w:pPr>
          </w:p>
        </w:tc>
        <w:tc>
          <w:tcPr>
            <w:tcW w:w="111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3051.94</w:t>
            </w:r>
          </w:p>
        </w:tc>
        <w:tc>
          <w:tcPr>
            <w:tcW w:w="5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2</w:t>
            </w:r>
          </w:p>
        </w:tc>
        <w:tc>
          <w:tcPr>
            <w:tcW w:w="1621"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(1-3)兴隆路</w:t>
            </w:r>
          </w:p>
        </w:tc>
        <w:tc>
          <w:tcPr>
            <w:tcW w:w="573" w:type="pct"/>
            <w:noWrap/>
            <w:vAlign w:val="center"/>
          </w:tcPr>
          <w:p>
            <w:pPr>
              <w:jc w:val="center"/>
              <w:rPr>
                <w:rFonts w:hAnsi="宋体" w:cs="宋体"/>
                <w:color w:val="auto"/>
                <w:sz w:val="21"/>
                <w:szCs w:val="21"/>
                <w:highlight w:val="none"/>
              </w:rPr>
            </w:pPr>
          </w:p>
        </w:tc>
        <w:tc>
          <w:tcPr>
            <w:tcW w:w="877" w:type="pct"/>
            <w:noWrap/>
            <w:vAlign w:val="center"/>
          </w:tcPr>
          <w:p>
            <w:pPr>
              <w:jc w:val="center"/>
              <w:rPr>
                <w:rFonts w:hAnsi="宋体" w:cs="宋体"/>
                <w:color w:val="auto"/>
                <w:sz w:val="21"/>
                <w:szCs w:val="21"/>
                <w:highlight w:val="none"/>
              </w:rPr>
            </w:pPr>
          </w:p>
        </w:tc>
        <w:tc>
          <w:tcPr>
            <w:tcW w:w="111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771.11</w:t>
            </w:r>
          </w:p>
        </w:tc>
        <w:tc>
          <w:tcPr>
            <w:tcW w:w="5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3</w:t>
            </w:r>
          </w:p>
        </w:tc>
        <w:tc>
          <w:tcPr>
            <w:tcW w:w="1621"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(1-8)兴盛路</w:t>
            </w:r>
          </w:p>
        </w:tc>
        <w:tc>
          <w:tcPr>
            <w:tcW w:w="573" w:type="pct"/>
            <w:noWrap/>
            <w:vAlign w:val="center"/>
          </w:tcPr>
          <w:p>
            <w:pPr>
              <w:jc w:val="center"/>
              <w:rPr>
                <w:rFonts w:hAnsi="宋体" w:cs="宋体"/>
                <w:color w:val="auto"/>
                <w:sz w:val="21"/>
                <w:szCs w:val="21"/>
                <w:highlight w:val="none"/>
              </w:rPr>
            </w:pPr>
          </w:p>
        </w:tc>
        <w:tc>
          <w:tcPr>
            <w:tcW w:w="877" w:type="pct"/>
            <w:noWrap/>
            <w:vAlign w:val="center"/>
          </w:tcPr>
          <w:p>
            <w:pPr>
              <w:jc w:val="center"/>
              <w:rPr>
                <w:rFonts w:hAnsi="宋体" w:cs="宋体"/>
                <w:color w:val="auto"/>
                <w:sz w:val="21"/>
                <w:szCs w:val="21"/>
                <w:highlight w:val="none"/>
              </w:rPr>
            </w:pPr>
          </w:p>
        </w:tc>
        <w:tc>
          <w:tcPr>
            <w:tcW w:w="111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1693.78</w:t>
            </w:r>
          </w:p>
        </w:tc>
        <w:tc>
          <w:tcPr>
            <w:tcW w:w="5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4</w:t>
            </w:r>
          </w:p>
        </w:tc>
        <w:tc>
          <w:tcPr>
            <w:tcW w:w="1621"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(1-9)新源巷</w:t>
            </w:r>
          </w:p>
        </w:tc>
        <w:tc>
          <w:tcPr>
            <w:tcW w:w="573" w:type="pct"/>
            <w:noWrap/>
            <w:vAlign w:val="center"/>
          </w:tcPr>
          <w:p>
            <w:pPr>
              <w:jc w:val="center"/>
              <w:rPr>
                <w:rFonts w:hAnsi="宋体" w:cs="宋体"/>
                <w:color w:val="auto"/>
                <w:sz w:val="21"/>
                <w:szCs w:val="21"/>
                <w:highlight w:val="none"/>
              </w:rPr>
            </w:pPr>
          </w:p>
        </w:tc>
        <w:tc>
          <w:tcPr>
            <w:tcW w:w="877" w:type="pct"/>
            <w:noWrap/>
            <w:vAlign w:val="center"/>
          </w:tcPr>
          <w:p>
            <w:pPr>
              <w:jc w:val="center"/>
              <w:rPr>
                <w:rFonts w:hAnsi="宋体" w:cs="宋体"/>
                <w:color w:val="auto"/>
                <w:sz w:val="21"/>
                <w:szCs w:val="21"/>
                <w:highlight w:val="none"/>
              </w:rPr>
            </w:pPr>
          </w:p>
        </w:tc>
        <w:tc>
          <w:tcPr>
            <w:tcW w:w="111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97.96</w:t>
            </w:r>
          </w:p>
        </w:tc>
        <w:tc>
          <w:tcPr>
            <w:tcW w:w="5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5</w:t>
            </w:r>
          </w:p>
        </w:tc>
        <w:tc>
          <w:tcPr>
            <w:tcW w:w="1621"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(1-11)兴民路</w:t>
            </w:r>
          </w:p>
        </w:tc>
        <w:tc>
          <w:tcPr>
            <w:tcW w:w="573" w:type="pct"/>
            <w:noWrap/>
            <w:vAlign w:val="center"/>
          </w:tcPr>
          <w:p>
            <w:pPr>
              <w:jc w:val="center"/>
              <w:rPr>
                <w:rFonts w:hAnsi="宋体" w:cs="宋体"/>
                <w:color w:val="auto"/>
                <w:sz w:val="21"/>
                <w:szCs w:val="21"/>
                <w:highlight w:val="none"/>
              </w:rPr>
            </w:pPr>
          </w:p>
        </w:tc>
        <w:tc>
          <w:tcPr>
            <w:tcW w:w="877" w:type="pct"/>
            <w:noWrap/>
            <w:vAlign w:val="center"/>
          </w:tcPr>
          <w:p>
            <w:pPr>
              <w:jc w:val="center"/>
              <w:rPr>
                <w:rFonts w:hAnsi="宋体" w:cs="宋体"/>
                <w:color w:val="auto"/>
                <w:sz w:val="21"/>
                <w:szCs w:val="21"/>
                <w:highlight w:val="none"/>
              </w:rPr>
            </w:pPr>
          </w:p>
        </w:tc>
        <w:tc>
          <w:tcPr>
            <w:tcW w:w="111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415.28</w:t>
            </w:r>
          </w:p>
        </w:tc>
        <w:tc>
          <w:tcPr>
            <w:tcW w:w="5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6</w:t>
            </w:r>
          </w:p>
        </w:tc>
        <w:tc>
          <w:tcPr>
            <w:tcW w:w="1621"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(1-12)祥和街</w:t>
            </w:r>
          </w:p>
        </w:tc>
        <w:tc>
          <w:tcPr>
            <w:tcW w:w="573" w:type="pct"/>
            <w:noWrap/>
            <w:vAlign w:val="center"/>
          </w:tcPr>
          <w:p>
            <w:pPr>
              <w:jc w:val="center"/>
              <w:rPr>
                <w:rFonts w:hAnsi="宋体" w:cs="宋体"/>
                <w:color w:val="auto"/>
                <w:sz w:val="21"/>
                <w:szCs w:val="21"/>
                <w:highlight w:val="none"/>
              </w:rPr>
            </w:pPr>
          </w:p>
        </w:tc>
        <w:tc>
          <w:tcPr>
            <w:tcW w:w="877" w:type="pct"/>
            <w:noWrap/>
            <w:vAlign w:val="center"/>
          </w:tcPr>
          <w:p>
            <w:pPr>
              <w:jc w:val="center"/>
              <w:rPr>
                <w:rFonts w:hAnsi="宋体" w:cs="宋体"/>
                <w:color w:val="auto"/>
                <w:sz w:val="21"/>
                <w:szCs w:val="21"/>
                <w:highlight w:val="none"/>
              </w:rPr>
            </w:pPr>
          </w:p>
        </w:tc>
        <w:tc>
          <w:tcPr>
            <w:tcW w:w="111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1032.89</w:t>
            </w:r>
          </w:p>
        </w:tc>
        <w:tc>
          <w:tcPr>
            <w:tcW w:w="5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7</w:t>
            </w:r>
          </w:p>
        </w:tc>
        <w:tc>
          <w:tcPr>
            <w:tcW w:w="1621"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(2-3)顺和路</w:t>
            </w:r>
          </w:p>
        </w:tc>
        <w:tc>
          <w:tcPr>
            <w:tcW w:w="573" w:type="pct"/>
            <w:noWrap/>
            <w:vAlign w:val="center"/>
          </w:tcPr>
          <w:p>
            <w:pPr>
              <w:jc w:val="center"/>
              <w:rPr>
                <w:rFonts w:hAnsi="宋体" w:cs="宋体"/>
                <w:color w:val="auto"/>
                <w:sz w:val="21"/>
                <w:szCs w:val="21"/>
                <w:highlight w:val="none"/>
              </w:rPr>
            </w:pPr>
          </w:p>
        </w:tc>
        <w:tc>
          <w:tcPr>
            <w:tcW w:w="877" w:type="pct"/>
            <w:noWrap/>
            <w:vAlign w:val="center"/>
          </w:tcPr>
          <w:p>
            <w:pPr>
              <w:jc w:val="center"/>
              <w:rPr>
                <w:rFonts w:hAnsi="宋体" w:cs="宋体"/>
                <w:color w:val="auto"/>
                <w:sz w:val="21"/>
                <w:szCs w:val="21"/>
                <w:highlight w:val="none"/>
              </w:rPr>
            </w:pPr>
          </w:p>
        </w:tc>
        <w:tc>
          <w:tcPr>
            <w:tcW w:w="111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1954.25</w:t>
            </w:r>
          </w:p>
        </w:tc>
        <w:tc>
          <w:tcPr>
            <w:tcW w:w="5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8</w:t>
            </w:r>
          </w:p>
        </w:tc>
        <w:tc>
          <w:tcPr>
            <w:tcW w:w="1621"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(2-4)新星路</w:t>
            </w:r>
          </w:p>
        </w:tc>
        <w:tc>
          <w:tcPr>
            <w:tcW w:w="573" w:type="pct"/>
            <w:noWrap/>
            <w:vAlign w:val="center"/>
          </w:tcPr>
          <w:p>
            <w:pPr>
              <w:jc w:val="center"/>
              <w:rPr>
                <w:rFonts w:hAnsi="宋体" w:cs="宋体"/>
                <w:color w:val="auto"/>
                <w:sz w:val="21"/>
                <w:szCs w:val="21"/>
                <w:highlight w:val="none"/>
              </w:rPr>
            </w:pPr>
          </w:p>
        </w:tc>
        <w:tc>
          <w:tcPr>
            <w:tcW w:w="877" w:type="pct"/>
            <w:noWrap/>
            <w:vAlign w:val="center"/>
          </w:tcPr>
          <w:p>
            <w:pPr>
              <w:jc w:val="center"/>
              <w:rPr>
                <w:rFonts w:hAnsi="宋体" w:cs="宋体"/>
                <w:color w:val="auto"/>
                <w:sz w:val="21"/>
                <w:szCs w:val="21"/>
                <w:highlight w:val="none"/>
              </w:rPr>
            </w:pPr>
          </w:p>
        </w:tc>
        <w:tc>
          <w:tcPr>
            <w:tcW w:w="111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1145.11</w:t>
            </w:r>
          </w:p>
        </w:tc>
        <w:tc>
          <w:tcPr>
            <w:tcW w:w="5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9</w:t>
            </w:r>
          </w:p>
        </w:tc>
        <w:tc>
          <w:tcPr>
            <w:tcW w:w="1621"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(2-5)祥盛街</w:t>
            </w:r>
          </w:p>
        </w:tc>
        <w:tc>
          <w:tcPr>
            <w:tcW w:w="573" w:type="pct"/>
            <w:noWrap/>
            <w:vAlign w:val="center"/>
          </w:tcPr>
          <w:p>
            <w:pPr>
              <w:jc w:val="center"/>
              <w:rPr>
                <w:rFonts w:hAnsi="宋体" w:cs="宋体"/>
                <w:color w:val="auto"/>
                <w:sz w:val="21"/>
                <w:szCs w:val="21"/>
                <w:highlight w:val="none"/>
              </w:rPr>
            </w:pPr>
          </w:p>
        </w:tc>
        <w:tc>
          <w:tcPr>
            <w:tcW w:w="877" w:type="pct"/>
            <w:noWrap/>
            <w:vAlign w:val="center"/>
          </w:tcPr>
          <w:p>
            <w:pPr>
              <w:jc w:val="center"/>
              <w:rPr>
                <w:rFonts w:hAnsi="宋体" w:cs="宋体"/>
                <w:color w:val="auto"/>
                <w:sz w:val="21"/>
                <w:szCs w:val="21"/>
                <w:highlight w:val="none"/>
              </w:rPr>
            </w:pPr>
          </w:p>
        </w:tc>
        <w:tc>
          <w:tcPr>
            <w:tcW w:w="111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490.25</w:t>
            </w:r>
          </w:p>
        </w:tc>
        <w:tc>
          <w:tcPr>
            <w:tcW w:w="5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10</w:t>
            </w:r>
          </w:p>
        </w:tc>
        <w:tc>
          <w:tcPr>
            <w:tcW w:w="1621"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(2-6)福荣街</w:t>
            </w:r>
          </w:p>
        </w:tc>
        <w:tc>
          <w:tcPr>
            <w:tcW w:w="573" w:type="pct"/>
            <w:noWrap/>
            <w:vAlign w:val="center"/>
          </w:tcPr>
          <w:p>
            <w:pPr>
              <w:jc w:val="center"/>
              <w:rPr>
                <w:rFonts w:hAnsi="宋体" w:cs="宋体"/>
                <w:color w:val="auto"/>
                <w:sz w:val="21"/>
                <w:szCs w:val="21"/>
                <w:highlight w:val="none"/>
              </w:rPr>
            </w:pPr>
          </w:p>
        </w:tc>
        <w:tc>
          <w:tcPr>
            <w:tcW w:w="877" w:type="pct"/>
            <w:noWrap/>
            <w:vAlign w:val="center"/>
          </w:tcPr>
          <w:p>
            <w:pPr>
              <w:jc w:val="center"/>
              <w:rPr>
                <w:rFonts w:hAnsi="宋体" w:cs="宋体"/>
                <w:color w:val="auto"/>
                <w:sz w:val="21"/>
                <w:szCs w:val="21"/>
                <w:highlight w:val="none"/>
              </w:rPr>
            </w:pPr>
          </w:p>
        </w:tc>
        <w:tc>
          <w:tcPr>
            <w:tcW w:w="111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3844.59</w:t>
            </w:r>
          </w:p>
        </w:tc>
        <w:tc>
          <w:tcPr>
            <w:tcW w:w="5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11</w:t>
            </w:r>
          </w:p>
        </w:tc>
        <w:tc>
          <w:tcPr>
            <w:tcW w:w="1621"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(2-7)明和纸厂前路</w:t>
            </w:r>
          </w:p>
        </w:tc>
        <w:tc>
          <w:tcPr>
            <w:tcW w:w="573" w:type="pct"/>
            <w:noWrap/>
            <w:vAlign w:val="center"/>
          </w:tcPr>
          <w:p>
            <w:pPr>
              <w:jc w:val="center"/>
              <w:rPr>
                <w:rFonts w:hAnsi="宋体" w:cs="宋体"/>
                <w:color w:val="auto"/>
                <w:sz w:val="21"/>
                <w:szCs w:val="21"/>
                <w:highlight w:val="none"/>
              </w:rPr>
            </w:pPr>
          </w:p>
        </w:tc>
        <w:tc>
          <w:tcPr>
            <w:tcW w:w="877" w:type="pct"/>
            <w:noWrap/>
            <w:vAlign w:val="center"/>
          </w:tcPr>
          <w:p>
            <w:pPr>
              <w:jc w:val="center"/>
              <w:rPr>
                <w:rFonts w:hAnsi="宋体" w:cs="宋体"/>
                <w:color w:val="auto"/>
                <w:sz w:val="21"/>
                <w:szCs w:val="21"/>
                <w:highlight w:val="none"/>
              </w:rPr>
            </w:pPr>
          </w:p>
        </w:tc>
        <w:tc>
          <w:tcPr>
            <w:tcW w:w="111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432.26</w:t>
            </w:r>
          </w:p>
        </w:tc>
        <w:tc>
          <w:tcPr>
            <w:tcW w:w="5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12</w:t>
            </w:r>
          </w:p>
        </w:tc>
        <w:tc>
          <w:tcPr>
            <w:tcW w:w="1621"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(2-8)冠钧厂前路</w:t>
            </w:r>
          </w:p>
        </w:tc>
        <w:tc>
          <w:tcPr>
            <w:tcW w:w="573" w:type="pct"/>
            <w:noWrap/>
            <w:vAlign w:val="center"/>
          </w:tcPr>
          <w:p>
            <w:pPr>
              <w:jc w:val="center"/>
              <w:rPr>
                <w:rFonts w:hAnsi="宋体" w:cs="宋体"/>
                <w:color w:val="auto"/>
                <w:sz w:val="21"/>
                <w:szCs w:val="21"/>
                <w:highlight w:val="none"/>
              </w:rPr>
            </w:pPr>
          </w:p>
        </w:tc>
        <w:tc>
          <w:tcPr>
            <w:tcW w:w="877" w:type="pct"/>
            <w:noWrap/>
            <w:vAlign w:val="center"/>
          </w:tcPr>
          <w:p>
            <w:pPr>
              <w:jc w:val="center"/>
              <w:rPr>
                <w:rFonts w:hAnsi="宋体" w:cs="宋体"/>
                <w:color w:val="auto"/>
                <w:sz w:val="21"/>
                <w:szCs w:val="21"/>
                <w:highlight w:val="none"/>
              </w:rPr>
            </w:pPr>
          </w:p>
        </w:tc>
        <w:tc>
          <w:tcPr>
            <w:tcW w:w="111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231.29</w:t>
            </w:r>
          </w:p>
        </w:tc>
        <w:tc>
          <w:tcPr>
            <w:tcW w:w="5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13</w:t>
            </w:r>
          </w:p>
        </w:tc>
        <w:tc>
          <w:tcPr>
            <w:tcW w:w="1621"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(3-6)新丰路</w:t>
            </w:r>
          </w:p>
        </w:tc>
        <w:tc>
          <w:tcPr>
            <w:tcW w:w="573" w:type="pct"/>
            <w:noWrap/>
            <w:vAlign w:val="center"/>
          </w:tcPr>
          <w:p>
            <w:pPr>
              <w:jc w:val="center"/>
              <w:rPr>
                <w:rFonts w:hAnsi="宋体" w:cs="宋体"/>
                <w:color w:val="auto"/>
                <w:sz w:val="21"/>
                <w:szCs w:val="21"/>
                <w:highlight w:val="none"/>
              </w:rPr>
            </w:pPr>
          </w:p>
        </w:tc>
        <w:tc>
          <w:tcPr>
            <w:tcW w:w="877" w:type="pct"/>
            <w:noWrap/>
            <w:vAlign w:val="center"/>
          </w:tcPr>
          <w:p>
            <w:pPr>
              <w:jc w:val="center"/>
              <w:rPr>
                <w:rFonts w:hAnsi="宋体" w:cs="宋体"/>
                <w:color w:val="auto"/>
                <w:sz w:val="21"/>
                <w:szCs w:val="21"/>
                <w:highlight w:val="none"/>
              </w:rPr>
            </w:pPr>
          </w:p>
        </w:tc>
        <w:tc>
          <w:tcPr>
            <w:tcW w:w="111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103.75</w:t>
            </w:r>
          </w:p>
        </w:tc>
        <w:tc>
          <w:tcPr>
            <w:tcW w:w="5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14</w:t>
            </w:r>
          </w:p>
        </w:tc>
        <w:tc>
          <w:tcPr>
            <w:tcW w:w="1621"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(4-1)兴发路</w:t>
            </w:r>
          </w:p>
        </w:tc>
        <w:tc>
          <w:tcPr>
            <w:tcW w:w="573" w:type="pct"/>
            <w:noWrap/>
            <w:vAlign w:val="center"/>
          </w:tcPr>
          <w:p>
            <w:pPr>
              <w:jc w:val="center"/>
              <w:rPr>
                <w:rFonts w:hAnsi="宋体" w:cs="宋体"/>
                <w:color w:val="auto"/>
                <w:sz w:val="21"/>
                <w:szCs w:val="21"/>
                <w:highlight w:val="none"/>
              </w:rPr>
            </w:pPr>
          </w:p>
        </w:tc>
        <w:tc>
          <w:tcPr>
            <w:tcW w:w="877" w:type="pct"/>
            <w:noWrap/>
            <w:vAlign w:val="center"/>
          </w:tcPr>
          <w:p>
            <w:pPr>
              <w:jc w:val="center"/>
              <w:rPr>
                <w:rFonts w:hAnsi="宋体" w:cs="宋体"/>
                <w:color w:val="auto"/>
                <w:sz w:val="21"/>
                <w:szCs w:val="21"/>
                <w:highlight w:val="none"/>
              </w:rPr>
            </w:pPr>
          </w:p>
        </w:tc>
        <w:tc>
          <w:tcPr>
            <w:tcW w:w="111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5306.71</w:t>
            </w:r>
          </w:p>
        </w:tc>
        <w:tc>
          <w:tcPr>
            <w:tcW w:w="5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1"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15</w:t>
            </w:r>
          </w:p>
        </w:tc>
        <w:tc>
          <w:tcPr>
            <w:tcW w:w="1621" w:type="pct"/>
            <w:noWrap/>
            <w:vAlign w:val="center"/>
          </w:tcPr>
          <w:p>
            <w:pPr>
              <w:widowControl/>
              <w:textAlignment w:val="center"/>
              <w:rPr>
                <w:rFonts w:hAnsi="宋体" w:cs="宋体"/>
                <w:color w:val="auto"/>
                <w:sz w:val="21"/>
                <w:szCs w:val="21"/>
                <w:highlight w:val="none"/>
              </w:rPr>
            </w:pPr>
            <w:r>
              <w:rPr>
                <w:rFonts w:hint="eastAsia" w:hAnsi="宋体" w:cs="宋体"/>
                <w:color w:val="auto"/>
                <w:sz w:val="21"/>
                <w:szCs w:val="21"/>
                <w:highlight w:val="none"/>
                <w:lang w:bidi="ar"/>
              </w:rPr>
              <w:t>(4-2)新丰路</w:t>
            </w:r>
          </w:p>
        </w:tc>
        <w:tc>
          <w:tcPr>
            <w:tcW w:w="573" w:type="pct"/>
            <w:noWrap/>
            <w:vAlign w:val="center"/>
          </w:tcPr>
          <w:p>
            <w:pPr>
              <w:jc w:val="center"/>
              <w:rPr>
                <w:rFonts w:hAnsi="宋体" w:cs="宋体"/>
                <w:color w:val="auto"/>
                <w:sz w:val="21"/>
                <w:szCs w:val="21"/>
                <w:highlight w:val="none"/>
              </w:rPr>
            </w:pPr>
          </w:p>
        </w:tc>
        <w:tc>
          <w:tcPr>
            <w:tcW w:w="877" w:type="pct"/>
            <w:noWrap/>
            <w:vAlign w:val="center"/>
          </w:tcPr>
          <w:p>
            <w:pPr>
              <w:jc w:val="center"/>
              <w:rPr>
                <w:rFonts w:hAnsi="宋体" w:cs="宋体"/>
                <w:color w:val="auto"/>
                <w:sz w:val="21"/>
                <w:szCs w:val="21"/>
                <w:highlight w:val="none"/>
              </w:rPr>
            </w:pPr>
          </w:p>
        </w:tc>
        <w:tc>
          <w:tcPr>
            <w:tcW w:w="1118" w:type="pct"/>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816.14</w:t>
            </w:r>
          </w:p>
        </w:tc>
        <w:tc>
          <w:tcPr>
            <w:tcW w:w="557" w:type="pct"/>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73" w:type="pct"/>
            <w:gridSpan w:val="2"/>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合 计</w:t>
            </w:r>
          </w:p>
        </w:tc>
        <w:tc>
          <w:tcPr>
            <w:tcW w:w="573" w:type="pct"/>
            <w:noWrap/>
            <w:vAlign w:val="center"/>
          </w:tcPr>
          <w:p>
            <w:pPr>
              <w:jc w:val="center"/>
              <w:rPr>
                <w:rFonts w:hAnsi="宋体" w:cs="宋体"/>
                <w:b/>
                <w:bCs/>
                <w:color w:val="auto"/>
                <w:sz w:val="21"/>
                <w:szCs w:val="21"/>
                <w:highlight w:val="none"/>
              </w:rPr>
            </w:pPr>
          </w:p>
        </w:tc>
        <w:tc>
          <w:tcPr>
            <w:tcW w:w="877" w:type="pct"/>
            <w:noWrap/>
            <w:vAlign w:val="center"/>
          </w:tcPr>
          <w:p>
            <w:pPr>
              <w:jc w:val="center"/>
              <w:rPr>
                <w:rFonts w:hAnsi="宋体" w:cs="宋体"/>
                <w:b/>
                <w:bCs/>
                <w:color w:val="auto"/>
                <w:sz w:val="21"/>
                <w:szCs w:val="21"/>
                <w:highlight w:val="none"/>
              </w:rPr>
            </w:pPr>
          </w:p>
        </w:tc>
        <w:tc>
          <w:tcPr>
            <w:tcW w:w="1118" w:type="pct"/>
            <w:noWrap/>
            <w:vAlign w:val="center"/>
          </w:tcPr>
          <w:p>
            <w:pPr>
              <w:widowControl/>
              <w:jc w:val="center"/>
              <w:textAlignment w:val="center"/>
              <w:rPr>
                <w:rFonts w:hAnsi="宋体" w:cs="宋体"/>
                <w:b/>
                <w:bCs/>
                <w:color w:val="auto"/>
                <w:sz w:val="21"/>
                <w:szCs w:val="21"/>
                <w:highlight w:val="none"/>
              </w:rPr>
            </w:pPr>
            <w:r>
              <w:rPr>
                <w:rFonts w:hint="eastAsia" w:hAnsi="宋体" w:cs="宋体"/>
                <w:b/>
                <w:bCs/>
                <w:color w:val="auto"/>
                <w:sz w:val="21"/>
                <w:szCs w:val="21"/>
                <w:highlight w:val="none"/>
                <w:lang w:bidi="ar"/>
              </w:rPr>
              <w:t>21387.31</w:t>
            </w:r>
          </w:p>
        </w:tc>
        <w:tc>
          <w:tcPr>
            <w:tcW w:w="557" w:type="pct"/>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　</w:t>
            </w:r>
          </w:p>
        </w:tc>
      </w:tr>
    </w:tbl>
    <w:p>
      <w:pPr>
        <w:bidi w:val="0"/>
        <w:rPr>
          <w:color w:val="auto"/>
          <w:highlight w:val="none"/>
        </w:rPr>
      </w:pPr>
    </w:p>
    <w:tbl>
      <w:tblPr>
        <w:tblStyle w:val="18"/>
        <w:tblW w:w="5000" w:type="pct"/>
        <w:tblInd w:w="0" w:type="dxa"/>
        <w:tblLayout w:type="autofit"/>
        <w:tblCellMar>
          <w:top w:w="0" w:type="dxa"/>
          <w:left w:w="108" w:type="dxa"/>
          <w:bottom w:w="0" w:type="dxa"/>
          <w:right w:w="108" w:type="dxa"/>
        </w:tblCellMar>
      </w:tblPr>
      <w:tblGrid>
        <w:gridCol w:w="451"/>
        <w:gridCol w:w="3024"/>
        <w:gridCol w:w="2098"/>
        <w:gridCol w:w="2949"/>
      </w:tblGrid>
      <w:tr>
        <w:tblPrEx>
          <w:tblCellMar>
            <w:top w:w="0" w:type="dxa"/>
            <w:left w:w="108" w:type="dxa"/>
            <w:bottom w:w="0" w:type="dxa"/>
            <w:right w:w="108" w:type="dxa"/>
          </w:tblCellMar>
        </w:tblPrEx>
        <w:trPr>
          <w:trHeight w:val="600"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b/>
                <w:color w:val="auto"/>
                <w:sz w:val="21"/>
                <w:szCs w:val="21"/>
                <w:highlight w:val="none"/>
              </w:rPr>
            </w:pPr>
            <w:r>
              <w:rPr>
                <w:rFonts w:hint="eastAsia" w:hAnsi="宋体" w:cs="宋体"/>
                <w:b/>
                <w:color w:val="auto"/>
                <w:sz w:val="21"/>
                <w:szCs w:val="21"/>
                <w:highlight w:val="none"/>
              </w:rPr>
              <w:t>长安镇新民社区环卫保洁面积测量登记总统计表</w:t>
            </w:r>
          </w:p>
          <w:p>
            <w:pPr>
              <w:pStyle w:val="2"/>
              <w:ind w:firstLine="422"/>
              <w:jc w:val="center"/>
              <w:rPr>
                <w:b w:val="0"/>
                <w:color w:val="auto"/>
                <w:sz w:val="21"/>
                <w:szCs w:val="21"/>
                <w:highlight w:val="none"/>
              </w:rPr>
            </w:pPr>
            <w:r>
              <w:rPr>
                <w:rFonts w:hint="eastAsia"/>
                <w:b/>
                <w:bCs/>
                <w:color w:val="auto"/>
                <w:sz w:val="21"/>
                <w:szCs w:val="21"/>
                <w:highlight w:val="none"/>
              </w:rPr>
              <w:t>(五条主干道除外)</w:t>
            </w:r>
          </w:p>
        </w:tc>
      </w:tr>
      <w:tr>
        <w:tblPrEx>
          <w:tblCellMar>
            <w:top w:w="0" w:type="dxa"/>
            <w:left w:w="108" w:type="dxa"/>
            <w:bottom w:w="0" w:type="dxa"/>
            <w:right w:w="108" w:type="dxa"/>
          </w:tblCellMar>
        </w:tblPrEx>
        <w:trPr>
          <w:trHeight w:val="600" w:hRule="atLeast"/>
        </w:trPr>
        <w:tc>
          <w:tcPr>
            <w:tcW w:w="2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序号</w:t>
            </w:r>
          </w:p>
        </w:tc>
        <w:tc>
          <w:tcPr>
            <w:tcW w:w="17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名称</w:t>
            </w:r>
          </w:p>
        </w:tc>
        <w:tc>
          <w:tcPr>
            <w:tcW w:w="123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面积(㎡)</w:t>
            </w:r>
          </w:p>
        </w:tc>
        <w:tc>
          <w:tcPr>
            <w:tcW w:w="17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备注</w:t>
            </w:r>
          </w:p>
        </w:tc>
      </w:tr>
      <w:tr>
        <w:tblPrEx>
          <w:tblCellMar>
            <w:top w:w="0" w:type="dxa"/>
            <w:left w:w="108" w:type="dxa"/>
            <w:bottom w:w="0" w:type="dxa"/>
            <w:right w:w="108" w:type="dxa"/>
          </w:tblCellMar>
        </w:tblPrEx>
        <w:trPr>
          <w:trHeight w:val="499" w:hRule="atLeast"/>
        </w:trPr>
        <w:tc>
          <w:tcPr>
            <w:tcW w:w="265" w:type="pct"/>
            <w:tcBorders>
              <w:top w:val="nil"/>
              <w:left w:val="single" w:color="auto" w:sz="4" w:space="0"/>
              <w:bottom w:val="single" w:color="auto" w:sz="4" w:space="0"/>
              <w:right w:val="single" w:color="auto" w:sz="4" w:space="0"/>
            </w:tcBorders>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w:t>
            </w:r>
          </w:p>
        </w:tc>
        <w:tc>
          <w:tcPr>
            <w:tcW w:w="177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道路环卫保洁</w:t>
            </w:r>
          </w:p>
        </w:tc>
        <w:tc>
          <w:tcPr>
            <w:tcW w:w="123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335745.</w:t>
            </w:r>
            <w:r>
              <w:rPr>
                <w:rFonts w:hAnsi="宋体" w:cs="宋体"/>
                <w:color w:val="auto"/>
                <w:sz w:val="21"/>
                <w:szCs w:val="21"/>
                <w:highlight w:val="none"/>
                <w:lang w:bidi="ar"/>
              </w:rPr>
              <w:t>57</w:t>
            </w:r>
          </w:p>
        </w:tc>
        <w:tc>
          <w:tcPr>
            <w:tcW w:w="172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CellMar>
            <w:top w:w="0" w:type="dxa"/>
            <w:left w:w="108" w:type="dxa"/>
            <w:bottom w:w="0" w:type="dxa"/>
            <w:right w:w="108" w:type="dxa"/>
          </w:tblCellMar>
        </w:tblPrEx>
        <w:trPr>
          <w:trHeight w:val="499" w:hRule="atLeast"/>
        </w:trPr>
        <w:tc>
          <w:tcPr>
            <w:tcW w:w="265" w:type="pct"/>
            <w:tcBorders>
              <w:top w:val="nil"/>
              <w:left w:val="single" w:color="auto" w:sz="4" w:space="0"/>
              <w:bottom w:val="single" w:color="auto" w:sz="4" w:space="0"/>
              <w:right w:val="single" w:color="auto" w:sz="4" w:space="0"/>
            </w:tcBorders>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2</w:t>
            </w:r>
          </w:p>
        </w:tc>
        <w:tc>
          <w:tcPr>
            <w:tcW w:w="177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工业园区环卫保洁</w:t>
            </w:r>
          </w:p>
        </w:tc>
        <w:tc>
          <w:tcPr>
            <w:tcW w:w="123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0</w:t>
            </w:r>
          </w:p>
        </w:tc>
        <w:tc>
          <w:tcPr>
            <w:tcW w:w="172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CellMar>
            <w:top w:w="0" w:type="dxa"/>
            <w:left w:w="108" w:type="dxa"/>
            <w:bottom w:w="0" w:type="dxa"/>
            <w:right w:w="108" w:type="dxa"/>
          </w:tblCellMar>
        </w:tblPrEx>
        <w:trPr>
          <w:trHeight w:val="499" w:hRule="atLeast"/>
        </w:trPr>
        <w:tc>
          <w:tcPr>
            <w:tcW w:w="265" w:type="pct"/>
            <w:tcBorders>
              <w:top w:val="nil"/>
              <w:left w:val="single" w:color="auto" w:sz="4" w:space="0"/>
              <w:bottom w:val="single" w:color="auto" w:sz="4" w:space="0"/>
              <w:right w:val="single" w:color="auto" w:sz="4" w:space="0"/>
            </w:tcBorders>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3</w:t>
            </w:r>
          </w:p>
        </w:tc>
        <w:tc>
          <w:tcPr>
            <w:tcW w:w="177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公园、广场环卫保洁</w:t>
            </w:r>
          </w:p>
        </w:tc>
        <w:tc>
          <w:tcPr>
            <w:tcW w:w="123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7608.8</w:t>
            </w:r>
          </w:p>
        </w:tc>
        <w:tc>
          <w:tcPr>
            <w:tcW w:w="172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CellMar>
            <w:top w:w="0" w:type="dxa"/>
            <w:left w:w="108" w:type="dxa"/>
            <w:bottom w:w="0" w:type="dxa"/>
            <w:right w:w="108" w:type="dxa"/>
          </w:tblCellMar>
        </w:tblPrEx>
        <w:trPr>
          <w:trHeight w:val="499" w:hRule="atLeast"/>
        </w:trPr>
        <w:tc>
          <w:tcPr>
            <w:tcW w:w="265" w:type="pct"/>
            <w:tcBorders>
              <w:top w:val="nil"/>
              <w:left w:val="single" w:color="auto" w:sz="4" w:space="0"/>
              <w:bottom w:val="single" w:color="auto" w:sz="4" w:space="0"/>
              <w:right w:val="single" w:color="auto" w:sz="4" w:space="0"/>
            </w:tcBorders>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4</w:t>
            </w:r>
          </w:p>
        </w:tc>
        <w:tc>
          <w:tcPr>
            <w:tcW w:w="177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围闭式无物管住宅区环卫保洁</w:t>
            </w:r>
          </w:p>
        </w:tc>
        <w:tc>
          <w:tcPr>
            <w:tcW w:w="123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15136.40</w:t>
            </w:r>
          </w:p>
        </w:tc>
        <w:tc>
          <w:tcPr>
            <w:tcW w:w="172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CellMar>
            <w:top w:w="0" w:type="dxa"/>
            <w:left w:w="108" w:type="dxa"/>
            <w:bottom w:w="0" w:type="dxa"/>
            <w:right w:w="108" w:type="dxa"/>
          </w:tblCellMar>
        </w:tblPrEx>
        <w:trPr>
          <w:trHeight w:val="499" w:hRule="atLeast"/>
        </w:trPr>
        <w:tc>
          <w:tcPr>
            <w:tcW w:w="265" w:type="pct"/>
            <w:tcBorders>
              <w:top w:val="nil"/>
              <w:left w:val="single" w:color="auto" w:sz="4" w:space="0"/>
              <w:bottom w:val="single" w:color="auto" w:sz="4" w:space="0"/>
              <w:right w:val="single" w:color="auto" w:sz="4" w:space="0"/>
            </w:tcBorders>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5</w:t>
            </w:r>
          </w:p>
        </w:tc>
        <w:tc>
          <w:tcPr>
            <w:tcW w:w="177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无围闭住宅区环卫保洁</w:t>
            </w:r>
          </w:p>
        </w:tc>
        <w:tc>
          <w:tcPr>
            <w:tcW w:w="123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115205.37</w:t>
            </w:r>
          </w:p>
        </w:tc>
        <w:tc>
          <w:tcPr>
            <w:tcW w:w="172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CellMar>
            <w:top w:w="0" w:type="dxa"/>
            <w:left w:w="108" w:type="dxa"/>
            <w:bottom w:w="0" w:type="dxa"/>
            <w:right w:w="108" w:type="dxa"/>
          </w:tblCellMar>
        </w:tblPrEx>
        <w:trPr>
          <w:trHeight w:val="499" w:hRule="atLeast"/>
        </w:trPr>
        <w:tc>
          <w:tcPr>
            <w:tcW w:w="265" w:type="pct"/>
            <w:tcBorders>
              <w:top w:val="nil"/>
              <w:left w:val="single" w:color="auto" w:sz="4" w:space="0"/>
              <w:bottom w:val="single" w:color="auto" w:sz="4" w:space="0"/>
              <w:right w:val="single" w:color="auto" w:sz="4" w:space="0"/>
            </w:tcBorders>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6</w:t>
            </w:r>
          </w:p>
        </w:tc>
        <w:tc>
          <w:tcPr>
            <w:tcW w:w="177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旧村环卫保洁</w:t>
            </w:r>
          </w:p>
        </w:tc>
        <w:tc>
          <w:tcPr>
            <w:tcW w:w="123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12999.86</w:t>
            </w:r>
          </w:p>
        </w:tc>
        <w:tc>
          <w:tcPr>
            <w:tcW w:w="172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CellMar>
            <w:top w:w="0" w:type="dxa"/>
            <w:left w:w="108" w:type="dxa"/>
            <w:bottom w:w="0" w:type="dxa"/>
            <w:right w:w="108" w:type="dxa"/>
          </w:tblCellMar>
        </w:tblPrEx>
        <w:trPr>
          <w:trHeight w:val="499" w:hRule="atLeast"/>
        </w:trPr>
        <w:tc>
          <w:tcPr>
            <w:tcW w:w="265" w:type="pct"/>
            <w:tcBorders>
              <w:top w:val="nil"/>
              <w:left w:val="single" w:color="auto" w:sz="4" w:space="0"/>
              <w:bottom w:val="single" w:color="auto" w:sz="4" w:space="0"/>
              <w:right w:val="single" w:color="auto" w:sz="4" w:space="0"/>
            </w:tcBorders>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7</w:t>
            </w:r>
          </w:p>
        </w:tc>
        <w:tc>
          <w:tcPr>
            <w:tcW w:w="177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闲置地环卫保洁</w:t>
            </w:r>
          </w:p>
        </w:tc>
        <w:tc>
          <w:tcPr>
            <w:tcW w:w="123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0</w:t>
            </w:r>
          </w:p>
        </w:tc>
        <w:tc>
          <w:tcPr>
            <w:tcW w:w="172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CellMar>
            <w:top w:w="0" w:type="dxa"/>
            <w:left w:w="108" w:type="dxa"/>
            <w:bottom w:w="0" w:type="dxa"/>
            <w:right w:w="108" w:type="dxa"/>
          </w:tblCellMar>
        </w:tblPrEx>
        <w:trPr>
          <w:trHeight w:val="499" w:hRule="atLeast"/>
        </w:trPr>
        <w:tc>
          <w:tcPr>
            <w:tcW w:w="265" w:type="pct"/>
            <w:tcBorders>
              <w:top w:val="nil"/>
              <w:left w:val="single" w:color="auto" w:sz="4" w:space="0"/>
              <w:bottom w:val="single" w:color="auto" w:sz="4" w:space="0"/>
              <w:right w:val="single" w:color="auto" w:sz="4" w:space="0"/>
            </w:tcBorders>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8</w:t>
            </w:r>
          </w:p>
        </w:tc>
        <w:tc>
          <w:tcPr>
            <w:tcW w:w="177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河涌、鱼塘保洁</w:t>
            </w:r>
          </w:p>
        </w:tc>
        <w:tc>
          <w:tcPr>
            <w:tcW w:w="123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64732.52</w:t>
            </w:r>
          </w:p>
        </w:tc>
        <w:tc>
          <w:tcPr>
            <w:tcW w:w="172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r>
      <w:tr>
        <w:tblPrEx>
          <w:tblCellMar>
            <w:top w:w="0" w:type="dxa"/>
            <w:left w:w="108" w:type="dxa"/>
            <w:bottom w:w="0" w:type="dxa"/>
            <w:right w:w="108" w:type="dxa"/>
          </w:tblCellMar>
        </w:tblPrEx>
        <w:trPr>
          <w:trHeight w:val="600" w:hRule="atLeast"/>
        </w:trPr>
        <w:tc>
          <w:tcPr>
            <w:tcW w:w="2039"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合 计</w:t>
            </w:r>
          </w:p>
        </w:tc>
        <w:tc>
          <w:tcPr>
            <w:tcW w:w="123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hAnsi="宋体" w:cs="宋体"/>
                <w:b/>
                <w:bCs/>
                <w:color w:val="auto"/>
                <w:sz w:val="21"/>
                <w:szCs w:val="21"/>
                <w:highlight w:val="none"/>
              </w:rPr>
            </w:pPr>
            <w:r>
              <w:rPr>
                <w:rFonts w:hint="eastAsia" w:hAnsi="宋体" w:cs="宋体"/>
                <w:b/>
                <w:bCs/>
                <w:color w:val="auto"/>
                <w:sz w:val="21"/>
                <w:szCs w:val="21"/>
                <w:highlight w:val="none"/>
                <w:lang w:bidi="ar"/>
              </w:rPr>
              <w:t>551428.52</w:t>
            </w:r>
          </w:p>
        </w:tc>
        <w:tc>
          <w:tcPr>
            <w:tcW w:w="172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其中包含绿化面积(21387.31)</w:t>
            </w:r>
          </w:p>
        </w:tc>
      </w:tr>
    </w:tbl>
    <w:p>
      <w:pPr>
        <w:rPr>
          <w:rFonts w:ascii="宋体" w:hAnsi="宋体" w:cs="宋体"/>
          <w:color w:val="auto"/>
          <w:szCs w:val="21"/>
          <w:highlight w:val="none"/>
          <w:lang w:bidi="zh-CN"/>
        </w:rPr>
      </w:pPr>
    </w:p>
    <w:p>
      <w:pPr>
        <w:widowControl/>
        <w:adjustRightInd w:val="0"/>
        <w:snapToGrid w:val="0"/>
        <w:spacing w:line="360" w:lineRule="auto"/>
        <w:ind w:firstLine="420" w:firstLineChars="200"/>
        <w:rPr>
          <w:rFonts w:hint="eastAsia"/>
          <w:color w:val="auto"/>
          <w:highlight w:val="none"/>
          <w:lang w:val="zh-CN"/>
        </w:rPr>
      </w:pPr>
      <w:r>
        <w:rPr>
          <w:rFonts w:hint="eastAsia"/>
          <w:color w:val="auto"/>
          <w:highlight w:val="none"/>
          <w:lang w:val="zh-CN"/>
        </w:rPr>
        <w:t>（1）除以上明确的环卫保洁面积外，处于道路边线向外延伸2米范围（含“三边三地”等）也需中标人进行清理保洁。</w:t>
      </w:r>
    </w:p>
    <w:p>
      <w:pPr>
        <w:widowControl/>
        <w:adjustRightInd w:val="0"/>
        <w:snapToGrid w:val="0"/>
        <w:spacing w:line="360" w:lineRule="auto"/>
        <w:ind w:firstLine="420" w:firstLineChars="200"/>
        <w:rPr>
          <w:rFonts w:hint="eastAsia"/>
          <w:color w:val="auto"/>
          <w:highlight w:val="none"/>
          <w:lang w:val="zh-CN"/>
        </w:rPr>
      </w:pPr>
      <w:r>
        <w:rPr>
          <w:rFonts w:hint="eastAsia"/>
          <w:color w:val="auto"/>
          <w:highlight w:val="none"/>
          <w:lang w:val="zh-CN"/>
        </w:rPr>
        <w:t>（2）水域保洁及绿化保洁单价按清扫保洁综合单价的30%计取（即水域保洁及绿化保洁按实际测量面积的30%计取环卫保洁服务费）；</w:t>
      </w:r>
    </w:p>
    <w:p>
      <w:pPr>
        <w:widowControl/>
        <w:adjustRightInd w:val="0"/>
        <w:snapToGrid w:val="0"/>
        <w:spacing w:line="360" w:lineRule="auto"/>
        <w:ind w:firstLine="420" w:firstLineChars="200"/>
        <w:rPr>
          <w:rFonts w:hint="eastAsia"/>
          <w:color w:val="auto"/>
          <w:highlight w:val="none"/>
          <w:lang w:val="zh-CN"/>
        </w:rPr>
      </w:pPr>
      <w:r>
        <w:rPr>
          <w:rFonts w:hint="eastAsia"/>
          <w:color w:val="auto"/>
          <w:highlight w:val="none"/>
          <w:lang w:val="zh-CN"/>
        </w:rPr>
        <w:t>（3）本项目实际计取服务费面积为：551428.52-（64732.52+21387.31）×70%=491144.64㎡，服务费=实际计取服务费面积×中标综合单价×服务年限。</w:t>
      </w:r>
    </w:p>
    <w:p>
      <w:pPr>
        <w:widowControl/>
        <w:adjustRightInd w:val="0"/>
        <w:snapToGrid w:val="0"/>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（二）道路明细表</w:t>
      </w:r>
    </w:p>
    <w:tbl>
      <w:tblPr>
        <w:tblStyle w:val="18"/>
        <w:tblW w:w="5000" w:type="pct"/>
        <w:tblInd w:w="0" w:type="dxa"/>
        <w:tblLayout w:type="fixed"/>
        <w:tblCellMar>
          <w:top w:w="0" w:type="dxa"/>
          <w:left w:w="108" w:type="dxa"/>
          <w:bottom w:w="0" w:type="dxa"/>
          <w:right w:w="108" w:type="dxa"/>
        </w:tblCellMar>
      </w:tblPr>
      <w:tblGrid>
        <w:gridCol w:w="579"/>
        <w:gridCol w:w="1458"/>
        <w:gridCol w:w="1221"/>
        <w:gridCol w:w="1501"/>
        <w:gridCol w:w="807"/>
        <w:gridCol w:w="1201"/>
        <w:gridCol w:w="1755"/>
      </w:tblGrid>
      <w:tr>
        <w:tblPrEx>
          <w:tblCellMar>
            <w:top w:w="0" w:type="dxa"/>
            <w:left w:w="108" w:type="dxa"/>
            <w:bottom w:w="0" w:type="dxa"/>
            <w:right w:w="108" w:type="dxa"/>
          </w:tblCellMar>
        </w:tblPrEx>
        <w:trPr>
          <w:trHeight w:val="270" w:hRule="atLeast"/>
        </w:trPr>
        <w:tc>
          <w:tcPr>
            <w:tcW w:w="33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855"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道路名称</w:t>
            </w:r>
          </w:p>
        </w:tc>
        <w:tc>
          <w:tcPr>
            <w:tcW w:w="716"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道路长度（m）</w:t>
            </w:r>
          </w:p>
        </w:tc>
        <w:tc>
          <w:tcPr>
            <w:tcW w:w="880"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保洁面积（㎡）</w:t>
            </w:r>
          </w:p>
        </w:tc>
        <w:tc>
          <w:tcPr>
            <w:tcW w:w="473"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道路等级</w:t>
            </w:r>
          </w:p>
        </w:tc>
        <w:tc>
          <w:tcPr>
            <w:tcW w:w="704"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道路类别</w:t>
            </w:r>
          </w:p>
        </w:tc>
        <w:tc>
          <w:tcPr>
            <w:tcW w:w="1029" w:type="pct"/>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清扫保洁方式</w:t>
            </w:r>
          </w:p>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（机扫/人扫/</w:t>
            </w:r>
          </w:p>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人工配合机</w:t>
            </w:r>
          </w:p>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(1-1)新民路</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2061.17</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65776.39</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景观道路、重要道路</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(1-8)兴盛路</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659</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29244.93</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景观道路、重要道路</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(2-3)顺和路</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1073.92</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24811.38</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景观道路、重要道路</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(2-11)裕民街</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1110.15</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17421.03</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景观道路、重要道路</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(3-6)新丰路</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568.81</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14932.49</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景观道路、重要道路</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(4-1)兴发路</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641.44</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37940.35</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景观道路、重要道路</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90" w:hRule="atLeast"/>
        </w:trPr>
        <w:tc>
          <w:tcPr>
            <w:tcW w:w="33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855"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(4-2)新丰路</w:t>
            </w:r>
          </w:p>
        </w:tc>
        <w:tc>
          <w:tcPr>
            <w:tcW w:w="716"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293.57</w:t>
            </w:r>
          </w:p>
        </w:tc>
        <w:tc>
          <w:tcPr>
            <w:tcW w:w="880"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6135.15</w:t>
            </w:r>
          </w:p>
        </w:tc>
        <w:tc>
          <w:tcPr>
            <w:tcW w:w="473"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一级</w:t>
            </w:r>
          </w:p>
        </w:tc>
        <w:tc>
          <w:tcPr>
            <w:tcW w:w="70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景观道路、重要道路</w:t>
            </w:r>
          </w:p>
        </w:tc>
        <w:tc>
          <w:tcPr>
            <w:tcW w:w="102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855"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(3-11)同荣路</w:t>
            </w:r>
          </w:p>
        </w:tc>
        <w:tc>
          <w:tcPr>
            <w:tcW w:w="716"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1160.44</w:t>
            </w:r>
          </w:p>
        </w:tc>
        <w:tc>
          <w:tcPr>
            <w:tcW w:w="880"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28762.58</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景观道路、重要道路</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855"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(1-3)兴隆路</w:t>
            </w:r>
          </w:p>
        </w:tc>
        <w:tc>
          <w:tcPr>
            <w:tcW w:w="716"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950.34</w:t>
            </w:r>
          </w:p>
        </w:tc>
        <w:tc>
          <w:tcPr>
            <w:tcW w:w="880"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16863.77</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一般城市道路、国省道、重要县道</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55"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(1-11)兴民路</w:t>
            </w:r>
          </w:p>
        </w:tc>
        <w:tc>
          <w:tcPr>
            <w:tcW w:w="716"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277.44</w:t>
            </w:r>
          </w:p>
        </w:tc>
        <w:tc>
          <w:tcPr>
            <w:tcW w:w="880"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5324.28</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一般城市道路、国省道、重要县道</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855"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(1-12)祥和街</w:t>
            </w:r>
          </w:p>
        </w:tc>
        <w:tc>
          <w:tcPr>
            <w:tcW w:w="716"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611.57</w:t>
            </w:r>
          </w:p>
        </w:tc>
        <w:tc>
          <w:tcPr>
            <w:tcW w:w="880"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11137.22</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一般商业街</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855"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(2-4)新星路</w:t>
            </w:r>
          </w:p>
        </w:tc>
        <w:tc>
          <w:tcPr>
            <w:tcW w:w="716"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393.6</w:t>
            </w:r>
          </w:p>
        </w:tc>
        <w:tc>
          <w:tcPr>
            <w:tcW w:w="880"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9171.30</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一般城市道路、国省道、重要县道</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855"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(3-1)陆丰东街</w:t>
            </w:r>
          </w:p>
        </w:tc>
        <w:tc>
          <w:tcPr>
            <w:tcW w:w="716"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625.81</w:t>
            </w:r>
          </w:p>
        </w:tc>
        <w:tc>
          <w:tcPr>
            <w:tcW w:w="880"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6756.77</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一般商业街</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855"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(3-3)陆丰西街</w:t>
            </w:r>
          </w:p>
        </w:tc>
        <w:tc>
          <w:tcPr>
            <w:tcW w:w="716"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648.11</w:t>
            </w:r>
          </w:p>
        </w:tc>
        <w:tc>
          <w:tcPr>
            <w:tcW w:w="880"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7296.18</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一般商业街</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855"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(3-16)新民排渠绿道</w:t>
            </w:r>
          </w:p>
        </w:tc>
        <w:tc>
          <w:tcPr>
            <w:tcW w:w="716"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344.13</w:t>
            </w:r>
          </w:p>
        </w:tc>
        <w:tc>
          <w:tcPr>
            <w:tcW w:w="880"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3361.26</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村（社区）群众广场、 一般城市公园</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855"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(2-15)居委会对面公园</w:t>
            </w:r>
          </w:p>
        </w:tc>
        <w:tc>
          <w:tcPr>
            <w:tcW w:w="716"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880"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1623.04</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村（社区）群众广场、 一般城市公园</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855"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(3-12)南水景路</w:t>
            </w:r>
          </w:p>
        </w:tc>
        <w:tc>
          <w:tcPr>
            <w:tcW w:w="716"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880"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4070.89</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村（社区）群众广场、 一般城市公园</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855"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(3-13)北水景路</w:t>
            </w:r>
          </w:p>
        </w:tc>
        <w:tc>
          <w:tcPr>
            <w:tcW w:w="716"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880"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1680.88</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村（社区）群众广场、 一般城市公园</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855" w:type="pct"/>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(3-14)口袋公园</w:t>
            </w:r>
          </w:p>
        </w:tc>
        <w:tc>
          <w:tcPr>
            <w:tcW w:w="716" w:type="pct"/>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880" w:type="pct"/>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318.53</w:t>
            </w:r>
          </w:p>
        </w:tc>
        <w:tc>
          <w:tcPr>
            <w:tcW w:w="473"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二级</w:t>
            </w:r>
          </w:p>
        </w:tc>
        <w:tc>
          <w:tcPr>
            <w:tcW w:w="70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村（社区）群众广场、 一般城市公园</w:t>
            </w:r>
          </w:p>
        </w:tc>
        <w:tc>
          <w:tcPr>
            <w:tcW w:w="102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855"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(3-10)三村球场</w:t>
            </w:r>
          </w:p>
        </w:tc>
        <w:tc>
          <w:tcPr>
            <w:tcW w:w="716"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880"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2715.24</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村（社区）群众广场、 一般城市公园</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855"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(1-2)艾特诺厂前路</w:t>
            </w:r>
          </w:p>
        </w:tc>
        <w:tc>
          <w:tcPr>
            <w:tcW w:w="716"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153</w:t>
            </w:r>
          </w:p>
        </w:tc>
        <w:tc>
          <w:tcPr>
            <w:tcW w:w="880"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2304.33</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村（社区）中心区域及居住区巷道</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855"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(1-4)初馨香氛厂前路</w:t>
            </w:r>
          </w:p>
        </w:tc>
        <w:tc>
          <w:tcPr>
            <w:tcW w:w="716"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446</w:t>
            </w:r>
          </w:p>
        </w:tc>
        <w:tc>
          <w:tcPr>
            <w:tcW w:w="880" w:type="pct"/>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3651.35</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村（社区）中心区域及居住区巷道</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(1-5)祥兴街</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435.65</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6586.05</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一般县道、乡村公路</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(1-6)兴隆路东侧巷道</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214</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1343.58</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村（社区）中心区域及居住区巷道</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(1-9)新源巷</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214</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1692.90</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村（社区）中心区域及居住区巷道</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(1-13)美高厂南侧巷道</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1427</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936.17</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村（社区）中心区域及居住区巷道</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(1-14)祥和街北侧巷道</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156.43</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3132.01</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村（社区）中心区域及居住区巷道</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(1-20)睦邻路口</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25</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610.77</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村（社区）中心区域及居住区巷道</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(1-24)新民路东巷</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172.83</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1952.01</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村（社区）中心区域及居住区巷道</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(2-5)祥盛街</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353.16</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9107.31</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一般县道、乡村公路</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(2-6)福荣街</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298</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8731.82</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一般县道、乡村公路</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(2-7)明和纸厂前路</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85.12</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1646.97</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村（社区）中心区域及居住区巷道</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(2-8)冠钧厂前路</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78.51</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880.92</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村（社区）中心区域及居住区巷道</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(3-15)堤围路</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187.67</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2482.53</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一般县道、乡村公路</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人工配合机械</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(1-21)兴盛路公园</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1773.36</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(1-26)兴民路街心公园</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1178.63</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8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余下各村、小组、居民区巷道</w:t>
            </w:r>
          </w:p>
        </w:tc>
        <w:tc>
          <w:tcPr>
            <w:tcW w:w="71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88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143341.63</w:t>
            </w:r>
          </w:p>
        </w:tc>
        <w:tc>
          <w:tcPr>
            <w:tcW w:w="47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三级</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村（社区）中心区域及居住区巷道</w:t>
            </w:r>
          </w:p>
        </w:tc>
        <w:tc>
          <w:tcPr>
            <w:tcW w:w="10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33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855"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河涌、鱼塘</w:t>
            </w:r>
          </w:p>
        </w:tc>
        <w:tc>
          <w:tcPr>
            <w:tcW w:w="716"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880"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64732.52</w:t>
            </w:r>
          </w:p>
        </w:tc>
        <w:tc>
          <w:tcPr>
            <w:tcW w:w="473"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p>
        </w:tc>
        <w:tc>
          <w:tcPr>
            <w:tcW w:w="70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w:t>
            </w:r>
          </w:p>
        </w:tc>
        <w:tc>
          <w:tcPr>
            <w:tcW w:w="102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人工</w:t>
            </w:r>
          </w:p>
        </w:tc>
      </w:tr>
      <w:tr>
        <w:tblPrEx>
          <w:tblCellMar>
            <w:top w:w="0" w:type="dxa"/>
            <w:left w:w="108" w:type="dxa"/>
            <w:bottom w:w="0" w:type="dxa"/>
            <w:right w:w="108" w:type="dxa"/>
          </w:tblCellMar>
        </w:tblPrEx>
        <w:trPr>
          <w:trHeight w:val="270" w:hRule="atLeast"/>
        </w:trPr>
        <w:tc>
          <w:tcPr>
            <w:tcW w:w="1911"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合计</w:t>
            </w:r>
          </w:p>
        </w:tc>
        <w:tc>
          <w:tcPr>
            <w:tcW w:w="880"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551428.52</w:t>
            </w:r>
          </w:p>
        </w:tc>
        <w:tc>
          <w:tcPr>
            <w:tcW w:w="473"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rPr>
            </w:pPr>
          </w:p>
        </w:tc>
        <w:tc>
          <w:tcPr>
            <w:tcW w:w="70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p>
        </w:tc>
        <w:tc>
          <w:tcPr>
            <w:tcW w:w="1029" w:type="pct"/>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bidi="ar"/>
              </w:rPr>
            </w:pPr>
          </w:p>
        </w:tc>
      </w:tr>
    </w:tbl>
    <w:p>
      <w:pPr>
        <w:autoSpaceDE/>
        <w:autoSpaceDN/>
        <w:adjustRightInd/>
        <w:spacing w:line="360" w:lineRule="auto"/>
        <w:ind w:left="120" w:firstLine="420" w:firstLineChars="200"/>
        <w:contextualSpacing/>
        <w:jc w:val="both"/>
        <w:rPr>
          <w:rFonts w:hint="eastAsia" w:ascii="宋体" w:hAnsi="宋体" w:eastAsia="宋体" w:cs="宋体"/>
          <w:color w:val="auto"/>
          <w:kern w:val="2"/>
          <w:sz w:val="21"/>
          <w:szCs w:val="21"/>
          <w:highlight w:val="none"/>
          <w:lang w:bidi="zh-CN"/>
        </w:rPr>
      </w:pPr>
      <w:r>
        <w:rPr>
          <w:rFonts w:hint="eastAsia" w:ascii="宋体" w:hAnsi="宋体" w:eastAsia="宋体" w:cs="宋体"/>
          <w:color w:val="auto"/>
          <w:sz w:val="21"/>
          <w:szCs w:val="21"/>
          <w:highlight w:val="none"/>
          <w:lang w:bidi="zh-CN"/>
        </w:rPr>
        <w:t>（三）</w:t>
      </w:r>
      <w:r>
        <w:rPr>
          <w:rFonts w:hint="eastAsia" w:ascii="宋体" w:hAnsi="宋体" w:eastAsia="宋体" w:cs="宋体"/>
          <w:color w:val="auto"/>
          <w:kern w:val="2"/>
          <w:sz w:val="21"/>
          <w:szCs w:val="21"/>
          <w:highlight w:val="none"/>
          <w:lang w:bidi="zh-CN"/>
        </w:rPr>
        <w:t>绿化养护明细表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2367"/>
        <w:gridCol w:w="1866"/>
        <w:gridCol w:w="2021"/>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89" w:type="pct"/>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路段（区域）名称</w:t>
            </w:r>
          </w:p>
        </w:tc>
        <w:tc>
          <w:tcPr>
            <w:tcW w:w="1095" w:type="pct"/>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行道树（棵）</w:t>
            </w:r>
          </w:p>
        </w:tc>
        <w:tc>
          <w:tcPr>
            <w:tcW w:w="1186" w:type="pct"/>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绿化面积（平方米）</w:t>
            </w:r>
          </w:p>
        </w:tc>
        <w:tc>
          <w:tcPr>
            <w:tcW w:w="547" w:type="pct"/>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3"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89" w:type="pct"/>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人民涌两岸绿道</w:t>
            </w:r>
          </w:p>
        </w:tc>
        <w:tc>
          <w:tcPr>
            <w:tcW w:w="1095" w:type="pct"/>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300</w:t>
            </w:r>
          </w:p>
        </w:tc>
        <w:tc>
          <w:tcPr>
            <w:tcW w:w="1186" w:type="pct"/>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bidi="ar"/>
              </w:rPr>
              <w:t>13194.08</w:t>
            </w:r>
          </w:p>
        </w:tc>
        <w:tc>
          <w:tcPr>
            <w:tcW w:w="547" w:type="pct"/>
            <w:noWrap w:val="0"/>
            <w:vAlign w:val="center"/>
          </w:tcPr>
          <w:p>
            <w:pPr>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83"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1389" w:type="pct"/>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人民涌两岸绿道</w:t>
            </w:r>
          </w:p>
        </w:tc>
        <w:tc>
          <w:tcPr>
            <w:tcW w:w="1095" w:type="pct"/>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300</w:t>
            </w:r>
          </w:p>
        </w:tc>
        <w:tc>
          <w:tcPr>
            <w:tcW w:w="1186" w:type="pct"/>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bidi="ar"/>
              </w:rPr>
              <w:t>13194.08</w:t>
            </w:r>
          </w:p>
        </w:tc>
        <w:tc>
          <w:tcPr>
            <w:tcW w:w="547" w:type="pct"/>
            <w:noWrap w:val="0"/>
            <w:vAlign w:val="center"/>
          </w:tcPr>
          <w:p>
            <w:pPr>
              <w:jc w:val="center"/>
              <w:rPr>
                <w:rFonts w:hint="eastAsia" w:ascii="宋体" w:hAnsi="宋体" w:eastAsia="宋体" w:cs="宋体"/>
                <w:b/>
                <w:bCs/>
                <w:color w:val="auto"/>
                <w:sz w:val="21"/>
                <w:szCs w:val="21"/>
                <w:highlight w:val="none"/>
              </w:rPr>
            </w:pPr>
          </w:p>
        </w:tc>
      </w:tr>
    </w:tbl>
    <w:p>
      <w:pPr>
        <w:widowControl/>
        <w:adjustRightInd w:val="0"/>
        <w:snapToGrid w:val="0"/>
        <w:spacing w:line="360" w:lineRule="auto"/>
        <w:ind w:firstLine="420" w:firstLineChars="200"/>
        <w:rPr>
          <w:rFonts w:hint="eastAsia" w:ascii="宋体" w:hAnsi="宋体" w:cs="宋体"/>
          <w:color w:val="auto"/>
          <w:szCs w:val="21"/>
          <w:highlight w:val="none"/>
          <w:lang w:bidi="zh-CN"/>
        </w:rPr>
      </w:pPr>
      <w:r>
        <w:rPr>
          <w:rFonts w:hint="eastAsia" w:hAnsi="宋体" w:cs="宋体"/>
          <w:color w:val="auto"/>
          <w:sz w:val="21"/>
          <w:szCs w:val="21"/>
          <w:highlight w:val="none"/>
        </w:rPr>
        <w:t>备注：</w:t>
      </w:r>
      <w:r>
        <w:rPr>
          <w:rFonts w:hint="eastAsia" w:hAnsi="宋体"/>
          <w:color w:val="auto"/>
          <w:sz w:val="21"/>
          <w:szCs w:val="21"/>
          <w:highlight w:val="none"/>
        </w:rPr>
        <w:t>该部分工作涉及的费用已包含在环卫保洁单价中，</w:t>
      </w:r>
      <w:r>
        <w:rPr>
          <w:rFonts w:hint="eastAsia" w:hAnsi="宋体"/>
          <w:color w:val="auto"/>
          <w:sz w:val="21"/>
          <w:szCs w:val="21"/>
          <w:highlight w:val="none"/>
          <w:lang w:eastAsia="zh-CN"/>
        </w:rPr>
        <w:t>甲方</w:t>
      </w:r>
      <w:r>
        <w:rPr>
          <w:rFonts w:hint="eastAsia" w:hAnsi="宋体"/>
          <w:color w:val="auto"/>
          <w:sz w:val="21"/>
          <w:szCs w:val="21"/>
          <w:highlight w:val="none"/>
        </w:rPr>
        <w:t>不在另行支付费用。</w:t>
      </w:r>
    </w:p>
    <w:p>
      <w:pPr>
        <w:autoSpaceDE/>
        <w:autoSpaceDN/>
        <w:adjustRightInd/>
        <w:spacing w:line="360" w:lineRule="auto"/>
        <w:ind w:left="120" w:firstLine="420" w:firstLineChars="200"/>
        <w:contextualSpacing/>
        <w:jc w:val="both"/>
        <w:rPr>
          <w:rFonts w:hAnsi="宋体" w:cs="宋体"/>
          <w:color w:val="auto"/>
          <w:kern w:val="2"/>
          <w:sz w:val="21"/>
          <w:szCs w:val="21"/>
          <w:highlight w:val="none"/>
          <w:lang w:bidi="zh-CN"/>
        </w:rPr>
      </w:pPr>
      <w:r>
        <w:rPr>
          <w:rFonts w:hint="eastAsia" w:ascii="宋体" w:hAnsi="宋体" w:cs="宋体"/>
          <w:color w:val="auto"/>
          <w:szCs w:val="21"/>
          <w:highlight w:val="none"/>
          <w:lang w:bidi="zh-CN"/>
        </w:rPr>
        <w:t>（四）</w:t>
      </w:r>
      <w:r>
        <w:rPr>
          <w:rFonts w:hint="eastAsia" w:hAnsi="宋体" w:cs="宋体"/>
          <w:color w:val="auto"/>
          <w:kern w:val="2"/>
          <w:sz w:val="21"/>
          <w:szCs w:val="21"/>
          <w:highlight w:val="none"/>
          <w:lang w:bidi="zh-CN"/>
        </w:rPr>
        <w:t>公厕设置现状情况表</w:t>
      </w:r>
    </w:p>
    <w:tbl>
      <w:tblPr>
        <w:tblStyle w:val="18"/>
        <w:tblW w:w="4997" w:type="pct"/>
        <w:jc w:val="center"/>
        <w:tblLayout w:type="autofit"/>
        <w:tblCellMar>
          <w:top w:w="0" w:type="dxa"/>
          <w:left w:w="108" w:type="dxa"/>
          <w:bottom w:w="0" w:type="dxa"/>
          <w:right w:w="108" w:type="dxa"/>
        </w:tblCellMar>
      </w:tblPr>
      <w:tblGrid>
        <w:gridCol w:w="403"/>
        <w:gridCol w:w="590"/>
        <w:gridCol w:w="728"/>
        <w:gridCol w:w="868"/>
        <w:gridCol w:w="403"/>
        <w:gridCol w:w="497"/>
        <w:gridCol w:w="590"/>
        <w:gridCol w:w="497"/>
        <w:gridCol w:w="497"/>
        <w:gridCol w:w="497"/>
        <w:gridCol w:w="497"/>
        <w:gridCol w:w="497"/>
        <w:gridCol w:w="684"/>
        <w:gridCol w:w="684"/>
        <w:gridCol w:w="590"/>
      </w:tblGrid>
      <w:tr>
        <w:tblPrEx>
          <w:tblCellMar>
            <w:top w:w="0" w:type="dxa"/>
            <w:left w:w="108" w:type="dxa"/>
            <w:bottom w:w="0" w:type="dxa"/>
            <w:right w:w="108" w:type="dxa"/>
          </w:tblCellMar>
        </w:tblPrEx>
        <w:trPr>
          <w:trHeight w:val="402" w:hRule="atLeast"/>
          <w:jc w:val="center"/>
        </w:trPr>
        <w:tc>
          <w:tcPr>
            <w:tcW w:w="212"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49"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所属社区</w:t>
            </w:r>
          </w:p>
        </w:tc>
        <w:tc>
          <w:tcPr>
            <w:tcW w:w="451"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公厕</w:t>
            </w:r>
          </w:p>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627"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详细地址</w:t>
            </w:r>
          </w:p>
        </w:tc>
        <w:tc>
          <w:tcPr>
            <w:tcW w:w="137"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类别</w:t>
            </w:r>
          </w:p>
        </w:tc>
        <w:tc>
          <w:tcPr>
            <w:tcW w:w="281"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是否为</w:t>
            </w:r>
          </w:p>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活动式</w:t>
            </w:r>
          </w:p>
        </w:tc>
        <w:tc>
          <w:tcPr>
            <w:tcW w:w="349"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保洁时长</w:t>
            </w:r>
          </w:p>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（h）</w:t>
            </w:r>
          </w:p>
        </w:tc>
        <w:tc>
          <w:tcPr>
            <w:tcW w:w="844" w:type="pct"/>
            <w:gridSpan w:val="3"/>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男厕</w:t>
            </w:r>
          </w:p>
        </w:tc>
        <w:tc>
          <w:tcPr>
            <w:tcW w:w="562" w:type="pct"/>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女厕</w:t>
            </w:r>
          </w:p>
        </w:tc>
        <w:tc>
          <w:tcPr>
            <w:tcW w:w="417"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妇婴专用</w:t>
            </w:r>
          </w:p>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厕位（个）</w:t>
            </w:r>
          </w:p>
        </w:tc>
        <w:tc>
          <w:tcPr>
            <w:tcW w:w="417"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无障碍</w:t>
            </w:r>
          </w:p>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厕位（个）</w:t>
            </w:r>
          </w:p>
        </w:tc>
        <w:tc>
          <w:tcPr>
            <w:tcW w:w="349"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占地面积</w:t>
            </w:r>
          </w:p>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（m</w:t>
            </w:r>
            <w:r>
              <w:rPr>
                <w:rFonts w:hint="eastAsia" w:ascii="宋体" w:hAnsi="宋体" w:eastAsia="宋体" w:cs="宋体"/>
                <w:b/>
                <w:bCs/>
                <w:color w:val="auto"/>
                <w:sz w:val="21"/>
                <w:szCs w:val="21"/>
                <w:highlight w:val="none"/>
                <w:vertAlign w:val="superscript"/>
              </w:rPr>
              <w:t>2</w:t>
            </w:r>
            <w:r>
              <w:rPr>
                <w:rFonts w:hint="eastAsia" w:ascii="宋体" w:hAnsi="宋体" w:eastAsia="宋体" w:cs="宋体"/>
                <w:b/>
                <w:bCs/>
                <w:color w:val="auto"/>
                <w:sz w:val="21"/>
                <w:szCs w:val="21"/>
                <w:highlight w:val="none"/>
              </w:rPr>
              <w:t>）</w:t>
            </w:r>
          </w:p>
        </w:tc>
      </w:tr>
      <w:tr>
        <w:tblPrEx>
          <w:tblCellMar>
            <w:top w:w="0" w:type="dxa"/>
            <w:left w:w="108" w:type="dxa"/>
            <w:bottom w:w="0" w:type="dxa"/>
            <w:right w:w="108" w:type="dxa"/>
          </w:tblCellMar>
        </w:tblPrEx>
        <w:trPr>
          <w:trHeight w:val="402" w:hRule="atLeast"/>
          <w:jc w:val="center"/>
        </w:trPr>
        <w:tc>
          <w:tcPr>
            <w:tcW w:w="21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color w:val="auto"/>
                <w:sz w:val="21"/>
                <w:szCs w:val="21"/>
                <w:highlight w:val="none"/>
              </w:rPr>
            </w:pPr>
          </w:p>
        </w:tc>
        <w:tc>
          <w:tcPr>
            <w:tcW w:w="3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color w:val="auto"/>
                <w:sz w:val="21"/>
                <w:szCs w:val="21"/>
                <w:highlight w:val="none"/>
              </w:rPr>
            </w:pPr>
          </w:p>
        </w:tc>
        <w:tc>
          <w:tcPr>
            <w:tcW w:w="45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color w:val="auto"/>
                <w:sz w:val="21"/>
                <w:szCs w:val="21"/>
                <w:highlight w:val="none"/>
              </w:rPr>
            </w:pPr>
          </w:p>
        </w:tc>
        <w:tc>
          <w:tcPr>
            <w:tcW w:w="62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color w:val="auto"/>
                <w:sz w:val="21"/>
                <w:szCs w:val="21"/>
                <w:highlight w:val="none"/>
              </w:rPr>
            </w:pPr>
          </w:p>
        </w:tc>
        <w:tc>
          <w:tcPr>
            <w:tcW w:w="13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color w:val="auto"/>
                <w:sz w:val="21"/>
                <w:szCs w:val="21"/>
                <w:highlight w:val="none"/>
              </w:rPr>
            </w:pPr>
          </w:p>
        </w:tc>
        <w:tc>
          <w:tcPr>
            <w:tcW w:w="28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color w:val="auto"/>
                <w:sz w:val="21"/>
                <w:szCs w:val="21"/>
                <w:highlight w:val="none"/>
              </w:rPr>
            </w:pPr>
          </w:p>
        </w:tc>
        <w:tc>
          <w:tcPr>
            <w:tcW w:w="3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color w:val="auto"/>
                <w:sz w:val="21"/>
                <w:szCs w:val="21"/>
                <w:highlight w:val="none"/>
              </w:rPr>
            </w:pPr>
          </w:p>
        </w:tc>
        <w:tc>
          <w:tcPr>
            <w:tcW w:w="281" w:type="pct"/>
            <w:tcBorders>
              <w:top w:val="nil"/>
              <w:left w:val="nil"/>
              <w:bottom w:val="single" w:color="auto" w:sz="4" w:space="0"/>
              <w:right w:val="single" w:color="auto" w:sz="4" w:space="0"/>
            </w:tcBorders>
            <w:noWrap/>
            <w:vAlign w:val="center"/>
          </w:tcPr>
          <w:p>
            <w:pPr>
              <w:widowControl/>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坐位</w:t>
            </w:r>
          </w:p>
          <w:p>
            <w:pPr>
              <w:widowControl/>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（个）</w:t>
            </w:r>
          </w:p>
        </w:tc>
        <w:tc>
          <w:tcPr>
            <w:tcW w:w="281" w:type="pct"/>
            <w:tcBorders>
              <w:top w:val="nil"/>
              <w:left w:val="nil"/>
              <w:bottom w:val="single" w:color="auto" w:sz="4" w:space="0"/>
              <w:right w:val="single" w:color="auto" w:sz="4" w:space="0"/>
            </w:tcBorders>
            <w:noWrap/>
            <w:vAlign w:val="center"/>
          </w:tcPr>
          <w:p>
            <w:pPr>
              <w:widowControl/>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蹲位</w:t>
            </w:r>
          </w:p>
          <w:p>
            <w:pPr>
              <w:widowControl/>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（个）</w:t>
            </w:r>
          </w:p>
        </w:tc>
        <w:tc>
          <w:tcPr>
            <w:tcW w:w="281" w:type="pct"/>
            <w:tcBorders>
              <w:top w:val="nil"/>
              <w:left w:val="nil"/>
              <w:bottom w:val="single" w:color="auto" w:sz="4" w:space="0"/>
              <w:right w:val="single" w:color="auto" w:sz="4" w:space="0"/>
            </w:tcBorders>
            <w:noWrap/>
            <w:vAlign w:val="center"/>
          </w:tcPr>
          <w:p>
            <w:pPr>
              <w:widowControl/>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站位</w:t>
            </w:r>
          </w:p>
          <w:p>
            <w:pPr>
              <w:widowControl/>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（个）</w:t>
            </w:r>
          </w:p>
        </w:tc>
        <w:tc>
          <w:tcPr>
            <w:tcW w:w="281" w:type="pct"/>
            <w:tcBorders>
              <w:top w:val="nil"/>
              <w:left w:val="nil"/>
              <w:bottom w:val="single" w:color="auto" w:sz="4" w:space="0"/>
              <w:right w:val="single" w:color="auto" w:sz="4" w:space="0"/>
            </w:tcBorders>
            <w:noWrap/>
            <w:vAlign w:val="center"/>
          </w:tcPr>
          <w:p>
            <w:pPr>
              <w:widowControl/>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坐位</w:t>
            </w:r>
          </w:p>
          <w:p>
            <w:pPr>
              <w:widowControl/>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（个）</w:t>
            </w:r>
          </w:p>
        </w:tc>
        <w:tc>
          <w:tcPr>
            <w:tcW w:w="281" w:type="pct"/>
            <w:tcBorders>
              <w:top w:val="nil"/>
              <w:left w:val="nil"/>
              <w:bottom w:val="single" w:color="auto" w:sz="4" w:space="0"/>
              <w:right w:val="single" w:color="auto" w:sz="4" w:space="0"/>
            </w:tcBorders>
            <w:noWrap/>
            <w:vAlign w:val="center"/>
          </w:tcPr>
          <w:p>
            <w:pPr>
              <w:widowControl/>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蹲位</w:t>
            </w:r>
          </w:p>
          <w:p>
            <w:pPr>
              <w:widowControl/>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（个）</w:t>
            </w:r>
          </w:p>
        </w:tc>
        <w:tc>
          <w:tcPr>
            <w:tcW w:w="41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color w:val="auto"/>
                <w:sz w:val="21"/>
                <w:szCs w:val="21"/>
                <w:highlight w:val="none"/>
              </w:rPr>
            </w:pPr>
          </w:p>
        </w:tc>
        <w:tc>
          <w:tcPr>
            <w:tcW w:w="41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color w:val="auto"/>
                <w:sz w:val="21"/>
                <w:szCs w:val="21"/>
                <w:highlight w:val="none"/>
              </w:rPr>
            </w:pPr>
          </w:p>
        </w:tc>
        <w:tc>
          <w:tcPr>
            <w:tcW w:w="3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color w:val="auto"/>
                <w:sz w:val="21"/>
                <w:szCs w:val="21"/>
                <w:highlight w:val="none"/>
              </w:rPr>
            </w:pPr>
          </w:p>
        </w:tc>
      </w:tr>
      <w:tr>
        <w:tblPrEx>
          <w:tblCellMar>
            <w:top w:w="0" w:type="dxa"/>
            <w:left w:w="108" w:type="dxa"/>
            <w:bottom w:w="0" w:type="dxa"/>
            <w:right w:w="108" w:type="dxa"/>
          </w:tblCellMar>
        </w:tblPrEx>
        <w:trPr>
          <w:trHeight w:val="402" w:hRule="atLeast"/>
          <w:jc w:val="center"/>
        </w:trPr>
        <w:tc>
          <w:tcPr>
            <w:tcW w:w="212"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49"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新民</w:t>
            </w:r>
          </w:p>
        </w:tc>
        <w:tc>
          <w:tcPr>
            <w:tcW w:w="451"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长安70公厕</w:t>
            </w:r>
          </w:p>
        </w:tc>
        <w:tc>
          <w:tcPr>
            <w:tcW w:w="62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长安镇新民社区</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兴盛路46号</w:t>
            </w:r>
          </w:p>
        </w:tc>
        <w:tc>
          <w:tcPr>
            <w:tcW w:w="13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二类</w:t>
            </w:r>
          </w:p>
        </w:tc>
        <w:tc>
          <w:tcPr>
            <w:tcW w:w="281"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否</w:t>
            </w:r>
          </w:p>
        </w:tc>
        <w:tc>
          <w:tcPr>
            <w:tcW w:w="349"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w:t>
            </w:r>
          </w:p>
        </w:tc>
        <w:tc>
          <w:tcPr>
            <w:tcW w:w="281"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281"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w:t>
            </w:r>
          </w:p>
        </w:tc>
        <w:tc>
          <w:tcPr>
            <w:tcW w:w="281"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281"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281"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w:t>
            </w:r>
          </w:p>
        </w:tc>
        <w:tc>
          <w:tcPr>
            <w:tcW w:w="41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41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349"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196</w:t>
            </w:r>
          </w:p>
        </w:tc>
      </w:tr>
      <w:tr>
        <w:tblPrEx>
          <w:tblCellMar>
            <w:top w:w="0" w:type="dxa"/>
            <w:left w:w="108" w:type="dxa"/>
            <w:bottom w:w="0" w:type="dxa"/>
            <w:right w:w="108" w:type="dxa"/>
          </w:tblCellMar>
        </w:tblPrEx>
        <w:trPr>
          <w:trHeight w:val="402" w:hRule="atLeast"/>
          <w:jc w:val="center"/>
        </w:trPr>
        <w:tc>
          <w:tcPr>
            <w:tcW w:w="212"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49"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新民</w:t>
            </w:r>
          </w:p>
        </w:tc>
        <w:tc>
          <w:tcPr>
            <w:tcW w:w="451"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长安72公厕</w:t>
            </w:r>
          </w:p>
        </w:tc>
        <w:tc>
          <w:tcPr>
            <w:tcW w:w="62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长安镇新民市场</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新民路78号</w:t>
            </w:r>
          </w:p>
        </w:tc>
        <w:tc>
          <w:tcPr>
            <w:tcW w:w="13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二类</w:t>
            </w:r>
          </w:p>
        </w:tc>
        <w:tc>
          <w:tcPr>
            <w:tcW w:w="281"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否</w:t>
            </w:r>
          </w:p>
        </w:tc>
        <w:tc>
          <w:tcPr>
            <w:tcW w:w="349"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w:t>
            </w:r>
          </w:p>
        </w:tc>
        <w:tc>
          <w:tcPr>
            <w:tcW w:w="281"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281"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w:t>
            </w:r>
          </w:p>
        </w:tc>
        <w:tc>
          <w:tcPr>
            <w:tcW w:w="281"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281"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281"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w:t>
            </w:r>
          </w:p>
        </w:tc>
        <w:tc>
          <w:tcPr>
            <w:tcW w:w="41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c>
          <w:tcPr>
            <w:tcW w:w="41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349"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170</w:t>
            </w:r>
          </w:p>
        </w:tc>
      </w:tr>
    </w:tbl>
    <w:p>
      <w:pPr>
        <w:widowControl/>
        <w:adjustRightInd w:val="0"/>
        <w:snapToGrid w:val="0"/>
        <w:spacing w:line="360" w:lineRule="auto"/>
        <w:ind w:firstLine="420" w:firstLineChars="200"/>
        <w:rPr>
          <w:rFonts w:hint="eastAsia" w:hAnsi="宋体"/>
          <w:color w:val="auto"/>
          <w:sz w:val="21"/>
          <w:szCs w:val="21"/>
          <w:highlight w:val="none"/>
        </w:rPr>
      </w:pPr>
      <w:r>
        <w:rPr>
          <w:rFonts w:hint="eastAsia" w:hAnsi="宋体" w:cs="宋体"/>
          <w:color w:val="auto"/>
          <w:sz w:val="21"/>
          <w:szCs w:val="21"/>
          <w:highlight w:val="none"/>
        </w:rPr>
        <w:t>备注：</w:t>
      </w:r>
      <w:r>
        <w:rPr>
          <w:rFonts w:hint="eastAsia" w:hAnsi="宋体"/>
          <w:color w:val="auto"/>
          <w:sz w:val="21"/>
          <w:szCs w:val="21"/>
          <w:highlight w:val="none"/>
        </w:rPr>
        <w:t>该部分工作涉及的费用已包含在环卫保洁单价中，</w:t>
      </w:r>
      <w:r>
        <w:rPr>
          <w:rFonts w:hint="eastAsia" w:hAnsi="宋体"/>
          <w:color w:val="auto"/>
          <w:sz w:val="21"/>
          <w:szCs w:val="21"/>
          <w:highlight w:val="none"/>
          <w:lang w:eastAsia="zh-CN"/>
        </w:rPr>
        <w:t>甲方</w:t>
      </w:r>
      <w:r>
        <w:rPr>
          <w:rFonts w:hint="eastAsia" w:hAnsi="宋体"/>
          <w:color w:val="auto"/>
          <w:sz w:val="21"/>
          <w:szCs w:val="21"/>
          <w:highlight w:val="none"/>
        </w:rPr>
        <w:t>不在另行支付费用。</w:t>
      </w:r>
    </w:p>
    <w:p>
      <w:pPr>
        <w:autoSpaceDE/>
        <w:autoSpaceDN/>
        <w:adjustRightInd/>
        <w:spacing w:line="360" w:lineRule="auto"/>
        <w:ind w:left="120" w:firstLine="420" w:firstLineChars="200"/>
        <w:contextualSpacing/>
        <w:jc w:val="both"/>
        <w:rPr>
          <w:rFonts w:hint="eastAsia" w:hAnsi="宋体" w:eastAsia="宋体" w:cs="宋体"/>
          <w:color w:val="auto"/>
          <w:kern w:val="2"/>
          <w:sz w:val="21"/>
          <w:szCs w:val="21"/>
          <w:highlight w:val="none"/>
          <w:lang w:bidi="zh-CN"/>
        </w:rPr>
      </w:pPr>
      <w:r>
        <w:rPr>
          <w:rFonts w:hint="eastAsia" w:hAnsi="宋体" w:eastAsia="宋体" w:cs="宋体"/>
          <w:color w:val="auto"/>
          <w:kern w:val="2"/>
          <w:sz w:val="21"/>
          <w:szCs w:val="21"/>
          <w:highlight w:val="none"/>
          <w:lang w:eastAsia="zh-CN" w:bidi="zh-CN"/>
        </w:rPr>
        <w:t>（</w:t>
      </w:r>
      <w:r>
        <w:rPr>
          <w:rFonts w:hint="eastAsia" w:hAnsi="宋体" w:eastAsia="宋体" w:cs="宋体"/>
          <w:color w:val="auto"/>
          <w:kern w:val="2"/>
          <w:sz w:val="21"/>
          <w:szCs w:val="21"/>
          <w:highlight w:val="none"/>
          <w:lang w:val="en-US" w:eastAsia="zh-CN" w:bidi="zh-CN"/>
        </w:rPr>
        <w:t>五</w:t>
      </w:r>
      <w:r>
        <w:rPr>
          <w:rFonts w:hint="eastAsia" w:hAnsi="宋体" w:eastAsia="宋体" w:cs="宋体"/>
          <w:color w:val="auto"/>
          <w:kern w:val="2"/>
          <w:sz w:val="21"/>
          <w:szCs w:val="21"/>
          <w:highlight w:val="none"/>
          <w:lang w:eastAsia="zh-CN" w:bidi="zh-CN"/>
        </w:rPr>
        <w:t>）</w:t>
      </w:r>
      <w:r>
        <w:rPr>
          <w:rFonts w:hint="eastAsia" w:hAnsi="宋体" w:eastAsia="宋体" w:cs="宋体"/>
          <w:color w:val="auto"/>
          <w:kern w:val="2"/>
          <w:sz w:val="21"/>
          <w:szCs w:val="21"/>
          <w:highlight w:val="none"/>
          <w:lang w:bidi="zh-CN"/>
        </w:rPr>
        <w:t>垃圾转运站现状情况表</w:t>
      </w:r>
    </w:p>
    <w:tbl>
      <w:tblPr>
        <w:tblStyle w:val="18"/>
        <w:tblW w:w="4998" w:type="pct"/>
        <w:jc w:val="center"/>
        <w:tblLayout w:type="autofit"/>
        <w:tblCellMar>
          <w:top w:w="0" w:type="dxa"/>
          <w:left w:w="108" w:type="dxa"/>
          <w:bottom w:w="0" w:type="dxa"/>
          <w:right w:w="108" w:type="dxa"/>
        </w:tblCellMar>
      </w:tblPr>
      <w:tblGrid>
        <w:gridCol w:w="424"/>
        <w:gridCol w:w="425"/>
        <w:gridCol w:w="894"/>
        <w:gridCol w:w="946"/>
        <w:gridCol w:w="635"/>
        <w:gridCol w:w="740"/>
        <w:gridCol w:w="740"/>
        <w:gridCol w:w="635"/>
        <w:gridCol w:w="923"/>
        <w:gridCol w:w="1211"/>
        <w:gridCol w:w="949"/>
      </w:tblGrid>
      <w:tr>
        <w:tblPrEx>
          <w:tblCellMar>
            <w:top w:w="0" w:type="dxa"/>
            <w:left w:w="108" w:type="dxa"/>
            <w:bottom w:w="0" w:type="dxa"/>
            <w:right w:w="108" w:type="dxa"/>
          </w:tblCellMar>
        </w:tblPrEx>
        <w:trPr>
          <w:trHeight w:val="907" w:hRule="atLeast"/>
          <w:jc w:val="center"/>
        </w:trPr>
        <w:tc>
          <w:tcPr>
            <w:tcW w:w="21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16" w:type="pct"/>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社区</w:t>
            </w:r>
          </w:p>
        </w:tc>
        <w:tc>
          <w:tcPr>
            <w:tcW w:w="53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转运站</w:t>
            </w:r>
          </w:p>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67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地址</w:t>
            </w:r>
          </w:p>
        </w:tc>
        <w:tc>
          <w:tcPr>
            <w:tcW w:w="2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设计规模</w:t>
            </w:r>
          </w:p>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（t/d）</w:t>
            </w:r>
          </w:p>
        </w:tc>
        <w:tc>
          <w:tcPr>
            <w:tcW w:w="42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现日转运量</w:t>
            </w:r>
          </w:p>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（t/d）</w:t>
            </w:r>
          </w:p>
        </w:tc>
        <w:tc>
          <w:tcPr>
            <w:tcW w:w="42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转运箱体</w:t>
            </w:r>
          </w:p>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个数（个）</w:t>
            </w:r>
          </w:p>
        </w:tc>
        <w:tc>
          <w:tcPr>
            <w:tcW w:w="35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压缩工艺</w:t>
            </w:r>
          </w:p>
        </w:tc>
        <w:tc>
          <w:tcPr>
            <w:tcW w:w="57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箱体规格（m</w:t>
            </w:r>
            <w:r>
              <w:rPr>
                <w:rFonts w:hint="eastAsia" w:ascii="宋体" w:hAnsi="宋体" w:eastAsia="宋体" w:cs="宋体"/>
                <w:b/>
                <w:bCs/>
                <w:color w:val="auto"/>
                <w:sz w:val="21"/>
                <w:szCs w:val="21"/>
                <w:highlight w:val="none"/>
                <w:vertAlign w:val="superscript"/>
              </w:rPr>
              <w:t>3</w:t>
            </w:r>
            <w:r>
              <w:rPr>
                <w:rFonts w:hint="eastAsia" w:ascii="宋体" w:hAnsi="宋体" w:eastAsia="宋体" w:cs="宋体"/>
                <w:b/>
                <w:bCs/>
                <w:color w:val="auto"/>
                <w:sz w:val="21"/>
                <w:szCs w:val="21"/>
                <w:highlight w:val="none"/>
              </w:rPr>
              <w:t>）</w:t>
            </w:r>
          </w:p>
        </w:tc>
        <w:tc>
          <w:tcPr>
            <w:tcW w:w="73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日转运次数（次/日）</w:t>
            </w:r>
          </w:p>
        </w:tc>
        <w:tc>
          <w:tcPr>
            <w:tcW w:w="58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距红花坑</w:t>
            </w:r>
          </w:p>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单程运距（km）</w:t>
            </w:r>
          </w:p>
        </w:tc>
      </w:tr>
      <w:tr>
        <w:tblPrEx>
          <w:tblCellMar>
            <w:top w:w="0" w:type="dxa"/>
            <w:left w:w="108" w:type="dxa"/>
            <w:bottom w:w="0" w:type="dxa"/>
            <w:right w:w="108" w:type="dxa"/>
          </w:tblCellMar>
        </w:tblPrEx>
        <w:trPr>
          <w:trHeight w:val="402" w:hRule="atLeast"/>
          <w:jc w:val="center"/>
        </w:trPr>
        <w:tc>
          <w:tcPr>
            <w:tcW w:w="21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新民</w:t>
            </w:r>
          </w:p>
        </w:tc>
        <w:tc>
          <w:tcPr>
            <w:tcW w:w="531"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长安22中转站</w:t>
            </w:r>
          </w:p>
        </w:tc>
        <w:tc>
          <w:tcPr>
            <w:tcW w:w="675"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长安镇新民社区</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兴盛路46号</w:t>
            </w:r>
          </w:p>
        </w:tc>
        <w:tc>
          <w:tcPr>
            <w:tcW w:w="246"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25</w:t>
            </w:r>
          </w:p>
        </w:tc>
        <w:tc>
          <w:tcPr>
            <w:tcW w:w="42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19</w:t>
            </w:r>
          </w:p>
        </w:tc>
        <w:tc>
          <w:tcPr>
            <w:tcW w:w="42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356"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水平</w:t>
            </w:r>
          </w:p>
        </w:tc>
        <w:tc>
          <w:tcPr>
            <w:tcW w:w="576"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18</w:t>
            </w:r>
          </w:p>
        </w:tc>
        <w:tc>
          <w:tcPr>
            <w:tcW w:w="738"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58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w:t>
            </w:r>
          </w:p>
        </w:tc>
      </w:tr>
    </w:tbl>
    <w:p>
      <w:pPr>
        <w:rPr>
          <w:rFonts w:hint="eastAsia" w:ascii="宋体" w:hAnsi="宋体" w:cs="宋体"/>
          <w:color w:val="auto"/>
          <w:kern w:val="0"/>
          <w:szCs w:val="21"/>
          <w:highlight w:val="none"/>
          <w:lang w:bidi="ar"/>
        </w:rPr>
      </w:pPr>
      <w:r>
        <w:rPr>
          <w:rFonts w:hint="eastAsia" w:hAnsi="宋体" w:cs="宋体"/>
          <w:color w:val="auto"/>
          <w:sz w:val="21"/>
          <w:szCs w:val="21"/>
          <w:highlight w:val="none"/>
        </w:rPr>
        <w:t>备注：</w:t>
      </w:r>
      <w:r>
        <w:rPr>
          <w:rFonts w:hint="eastAsia" w:hAnsi="宋体"/>
          <w:color w:val="auto"/>
          <w:sz w:val="21"/>
          <w:szCs w:val="21"/>
          <w:highlight w:val="none"/>
        </w:rPr>
        <w:t>该部分工作涉及的费用已包含在环卫保洁单价中，</w:t>
      </w:r>
      <w:r>
        <w:rPr>
          <w:rFonts w:hint="eastAsia" w:hAnsi="宋体"/>
          <w:color w:val="auto"/>
          <w:sz w:val="21"/>
          <w:szCs w:val="21"/>
          <w:highlight w:val="none"/>
          <w:lang w:eastAsia="zh-CN"/>
        </w:rPr>
        <w:t>甲方</w:t>
      </w:r>
      <w:r>
        <w:rPr>
          <w:rFonts w:hint="eastAsia" w:hAnsi="宋体"/>
          <w:color w:val="auto"/>
          <w:sz w:val="21"/>
          <w:szCs w:val="21"/>
          <w:highlight w:val="none"/>
        </w:rPr>
        <w:t>不在另行支付费用。</w:t>
      </w:r>
    </w:p>
    <w:p>
      <w:pPr>
        <w:widowControl/>
        <w:adjustRightInd w:val="0"/>
        <w:snapToGrid w:val="0"/>
        <w:spacing w:line="360" w:lineRule="auto"/>
        <w:ind w:firstLine="420" w:firstLineChars="200"/>
        <w:rPr>
          <w:rFonts w:hint="eastAsia" w:ascii="宋体" w:hAnsi="宋体" w:cs="宋体"/>
          <w:color w:val="auto"/>
          <w:kern w:val="0"/>
          <w:szCs w:val="21"/>
          <w:highlight w:val="none"/>
          <w:lang w:bidi="ar"/>
        </w:rPr>
        <w:sectPr>
          <w:footerReference r:id="rId6" w:type="default"/>
          <w:pgSz w:w="11906" w:h="16838"/>
          <w:pgMar w:top="1440" w:right="1800" w:bottom="1440" w:left="1800" w:header="851" w:footer="992" w:gutter="0"/>
          <w:cols w:space="425" w:num="1"/>
          <w:docGrid w:type="lines" w:linePitch="312" w:charSpace="0"/>
        </w:sectPr>
      </w:pPr>
    </w:p>
    <w:p>
      <w:pPr>
        <w:widowControl/>
        <w:adjustRightInd w:val="0"/>
        <w:snapToGrid w:val="0"/>
        <w:spacing w:line="360" w:lineRule="auto"/>
        <w:ind w:firstLine="420" w:firstLineChars="200"/>
        <w:rPr>
          <w:rFonts w:ascii="宋体" w:hAnsi="宋体" w:cs="宋体"/>
          <w:color w:val="auto"/>
          <w:szCs w:val="21"/>
          <w:highlight w:val="none"/>
          <w:lang w:bidi="zh-CN"/>
        </w:rPr>
      </w:pP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val="en-US" w:eastAsia="zh-CN" w:bidi="ar"/>
        </w:rPr>
        <w:t>六</w:t>
      </w:r>
      <w:r>
        <w:rPr>
          <w:rFonts w:hint="eastAsia" w:ascii="宋体" w:hAnsi="宋体" w:cs="宋体"/>
          <w:color w:val="auto"/>
          <w:kern w:val="0"/>
          <w:szCs w:val="21"/>
          <w:highlight w:val="none"/>
          <w:lang w:bidi="ar"/>
        </w:rPr>
        <w:t>）环卫保洁测量面积</w:t>
      </w:r>
    </w:p>
    <w:p>
      <w:pPr>
        <w:widowControl/>
        <w:adjustRightInd w:val="0"/>
        <w:snapToGrid w:val="0"/>
        <w:spacing w:line="360" w:lineRule="auto"/>
        <w:ind w:firstLine="422" w:firstLineChars="200"/>
        <w:jc w:val="center"/>
        <w:rPr>
          <w:b/>
          <w:bCs/>
          <w:color w:val="auto"/>
          <w:highlight w:val="none"/>
        </w:rPr>
      </w:pPr>
      <w:r>
        <w:rPr>
          <w:rFonts w:hint="eastAsia" w:ascii="宋体" w:hAnsi="宋体" w:cs="宋体"/>
          <w:b/>
          <w:bCs/>
          <w:color w:val="auto"/>
          <w:szCs w:val="21"/>
          <w:highlight w:val="none"/>
          <w:lang w:bidi="zh-CN"/>
        </w:rPr>
        <w:t>《东莞市新民社区环卫面积测量成果图》</w:t>
      </w:r>
    </w:p>
    <w:p>
      <w:pPr>
        <w:jc w:val="center"/>
        <w:rPr>
          <w:color w:val="auto"/>
          <w:highlight w:val="none"/>
        </w:rPr>
      </w:pPr>
      <w:r>
        <w:rPr>
          <w:color w:val="auto"/>
          <w:highlight w:val="none"/>
        </w:rPr>
        <w:drawing>
          <wp:inline distT="0" distB="0" distL="114300" distR="114300">
            <wp:extent cx="5212080" cy="4063365"/>
            <wp:effectExtent l="0" t="0" r="7620" b="133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tretch>
                      <a:fillRect/>
                    </a:stretch>
                  </pic:blipFill>
                  <pic:spPr>
                    <a:xfrm>
                      <a:off x="0" y="0"/>
                      <a:ext cx="5212080" cy="4063365"/>
                    </a:xfrm>
                    <a:prstGeom prst="rect">
                      <a:avLst/>
                    </a:prstGeom>
                    <a:noFill/>
                    <a:ln>
                      <a:noFill/>
                    </a:ln>
                  </pic:spPr>
                </pic:pic>
              </a:graphicData>
            </a:graphic>
          </wp:inline>
        </w:drawing>
      </w:r>
    </w:p>
    <w:p>
      <w:pPr>
        <w:widowControl/>
        <w:adjustRightInd w:val="0"/>
        <w:snapToGrid w:val="0"/>
        <w:spacing w:line="360" w:lineRule="auto"/>
        <w:ind w:firstLine="420" w:firstLineChars="200"/>
        <w:rPr>
          <w:rFonts w:hint="eastAsia" w:ascii="宋体" w:hAnsi="宋体" w:cs="宋体"/>
          <w:color w:val="auto"/>
          <w:kern w:val="0"/>
          <w:szCs w:val="21"/>
          <w:highlight w:val="none"/>
          <w:lang w:bidi="ar"/>
        </w:rPr>
        <w:sectPr>
          <w:pgSz w:w="16838" w:h="11906" w:orient="landscape"/>
          <w:pgMar w:top="1800" w:right="1440" w:bottom="1800" w:left="1440" w:header="851" w:footer="992" w:gutter="0"/>
          <w:cols w:space="425" w:num="1"/>
          <w:docGrid w:type="lines" w:linePitch="312" w:charSpace="0"/>
        </w:sectPr>
      </w:pPr>
      <w:r>
        <w:rPr>
          <w:rFonts w:hint="eastAsia" w:ascii="宋体" w:hAnsi="宋体" w:cs="宋体"/>
          <w:color w:val="auto"/>
          <w:szCs w:val="21"/>
          <w:highlight w:val="none"/>
          <w:lang w:val="en-US" w:eastAsia="zh-CN"/>
        </w:rPr>
        <w:t>注：</w:t>
      </w:r>
      <w:r>
        <w:rPr>
          <w:rFonts w:hint="eastAsia" w:ascii="宋体" w:hAnsi="宋体" w:cs="宋体"/>
          <w:color w:val="auto"/>
          <w:szCs w:val="21"/>
          <w:highlight w:val="none"/>
        </w:rPr>
        <w:t>以上面积仅供参考，具体实际面积数量以</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与</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核实为准。如实施过程中因道路扩建、改建或施工围蔽期间造成清扫保洁面积增减，根据相关规定进行确定，具体面积按实际丈量计算。</w:t>
      </w:r>
    </w:p>
    <w:p>
      <w:pPr>
        <w:overflowPunct w:val="0"/>
        <w:autoSpaceDE w:val="0"/>
        <w:autoSpaceDN w:val="0"/>
        <w:spacing w:before="156" w:beforeLines="50" w:after="156" w:afterLines="50" w:line="360" w:lineRule="auto"/>
        <w:textAlignment w:val="baseline"/>
        <w:rPr>
          <w:rFonts w:ascii="宋体" w:hAnsi="宋体" w:cs="宋体"/>
          <w:b/>
          <w:color w:val="auto"/>
          <w:szCs w:val="21"/>
          <w:highlight w:val="none"/>
        </w:rPr>
      </w:pPr>
      <w:r>
        <w:rPr>
          <w:rFonts w:hint="eastAsia" w:ascii="宋体" w:hAnsi="宋体" w:cs="宋体"/>
          <w:b/>
          <w:color w:val="auto"/>
          <w:szCs w:val="21"/>
          <w:highlight w:val="none"/>
        </w:rPr>
        <w:t>四、服务方式和要求</w:t>
      </w:r>
    </w:p>
    <w:p>
      <w:pPr>
        <w:widowControl/>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（一）服务方式</w:t>
      </w:r>
    </w:p>
    <w:p>
      <w:pPr>
        <w:widowControl/>
        <w:adjustRightInd w:val="0"/>
        <w:snapToGrid w:val="0"/>
        <w:spacing w:line="360" w:lineRule="auto"/>
        <w:ind w:firstLine="422" w:firstLineChars="200"/>
        <w:rPr>
          <w:rFonts w:ascii="宋体" w:hAnsi="宋体" w:cs="宋体"/>
          <w:b/>
          <w:color w:val="auto"/>
          <w:sz w:val="24"/>
          <w:highlight w:val="none"/>
        </w:rPr>
      </w:pPr>
      <w:r>
        <w:rPr>
          <w:rFonts w:hint="eastAsia" w:ascii="宋体" w:hAnsi="宋体" w:cs="宋体"/>
          <w:b/>
          <w:color w:val="auto"/>
          <w:szCs w:val="21"/>
          <w:highlight w:val="none"/>
        </w:rPr>
        <w:t>采用全包干形式，即业务包干、经费包干。</w:t>
      </w:r>
      <w:r>
        <w:rPr>
          <w:rFonts w:hint="eastAsia" w:ascii="宋体" w:hAnsi="宋体" w:cs="宋体"/>
          <w:b/>
          <w:color w:val="auto"/>
          <w:szCs w:val="21"/>
          <w:highlight w:val="none"/>
          <w:lang w:eastAsia="zh-CN"/>
        </w:rPr>
        <w:t>甲方</w:t>
      </w:r>
      <w:r>
        <w:rPr>
          <w:rFonts w:hint="eastAsia" w:ascii="宋体" w:hAnsi="宋体" w:cs="宋体"/>
          <w:b/>
          <w:color w:val="auto"/>
          <w:szCs w:val="21"/>
          <w:highlight w:val="none"/>
        </w:rPr>
        <w:t>将上述清扫保洁、水面保洁、厕所和中转站管养、生活垃圾运输等业务发包给</w:t>
      </w:r>
      <w:r>
        <w:rPr>
          <w:rFonts w:hint="eastAsia" w:ascii="宋体" w:hAnsi="宋体" w:cs="宋体"/>
          <w:b/>
          <w:color w:val="auto"/>
          <w:szCs w:val="21"/>
          <w:highlight w:val="none"/>
          <w:lang w:eastAsia="zh-CN"/>
        </w:rPr>
        <w:t>乙方</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乙方</w:t>
      </w:r>
      <w:r>
        <w:rPr>
          <w:rFonts w:hint="eastAsia" w:ascii="宋体" w:hAnsi="宋体" w:cs="宋体"/>
          <w:b/>
          <w:color w:val="auto"/>
          <w:szCs w:val="21"/>
          <w:highlight w:val="none"/>
        </w:rPr>
        <w:t>按</w:t>
      </w:r>
      <w:r>
        <w:rPr>
          <w:rFonts w:hint="eastAsia" w:ascii="宋体" w:hAnsi="宋体" w:cs="宋体"/>
          <w:b/>
          <w:color w:val="auto"/>
          <w:szCs w:val="21"/>
          <w:highlight w:val="none"/>
          <w:lang w:eastAsia="zh-CN"/>
        </w:rPr>
        <w:t>甲方</w:t>
      </w:r>
      <w:r>
        <w:rPr>
          <w:rFonts w:hint="eastAsia" w:ascii="宋体" w:hAnsi="宋体" w:cs="宋体"/>
          <w:b/>
          <w:color w:val="auto"/>
          <w:szCs w:val="21"/>
          <w:highlight w:val="none"/>
        </w:rPr>
        <w:t>的要求和标准组织开展相关业务工作，并接受</w:t>
      </w:r>
      <w:r>
        <w:rPr>
          <w:rFonts w:hint="eastAsia" w:ascii="宋体" w:hAnsi="宋体" w:cs="宋体"/>
          <w:b/>
          <w:color w:val="auto"/>
          <w:szCs w:val="21"/>
          <w:highlight w:val="none"/>
          <w:lang w:eastAsia="zh-CN"/>
        </w:rPr>
        <w:t>甲方</w:t>
      </w:r>
      <w:r>
        <w:rPr>
          <w:rFonts w:hint="eastAsia" w:ascii="宋体" w:hAnsi="宋体" w:cs="宋体"/>
          <w:b/>
          <w:color w:val="auto"/>
          <w:szCs w:val="21"/>
          <w:highlight w:val="none"/>
        </w:rPr>
        <w:t>的指导、监督、检查、考核和验收，</w:t>
      </w:r>
      <w:r>
        <w:rPr>
          <w:rFonts w:hint="eastAsia" w:ascii="宋体" w:hAnsi="宋体" w:cs="宋体"/>
          <w:b/>
          <w:color w:val="auto"/>
          <w:szCs w:val="21"/>
          <w:highlight w:val="none"/>
          <w:lang w:eastAsia="zh-CN"/>
        </w:rPr>
        <w:t>乙方</w:t>
      </w:r>
      <w:r>
        <w:rPr>
          <w:rFonts w:hint="eastAsia" w:ascii="宋体" w:hAnsi="宋体" w:cs="宋体"/>
          <w:b/>
          <w:color w:val="auto"/>
          <w:szCs w:val="21"/>
          <w:highlight w:val="none"/>
        </w:rPr>
        <w:t>不得将业务转包或将项目的主体、关键性工作分包。</w:t>
      </w:r>
      <w:r>
        <w:rPr>
          <w:rFonts w:hint="eastAsia" w:ascii="宋体" w:hAnsi="宋体" w:cs="宋体"/>
          <w:b/>
          <w:color w:val="auto"/>
          <w:szCs w:val="21"/>
          <w:highlight w:val="none"/>
          <w:lang w:eastAsia="zh-CN"/>
        </w:rPr>
        <w:t>乙方</w:t>
      </w:r>
      <w:r>
        <w:rPr>
          <w:rFonts w:hint="eastAsia" w:ascii="宋体" w:hAnsi="宋体" w:cs="宋体"/>
          <w:b/>
          <w:color w:val="auto"/>
          <w:szCs w:val="21"/>
          <w:highlight w:val="none"/>
        </w:rPr>
        <w:t>需在签订合同后一个月内申请业务行政主管部门颁发的《城市生活垃圾经营性清扫、收集、运输服务许可证》（提供单独承诺函）。</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（二）环境卫生质量要求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1、城市道路、广场、步行街清扫保洁的质量要求：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（1）日间，一至</w:t>
      </w:r>
      <w:r>
        <w:rPr>
          <w:rFonts w:hint="eastAsia"/>
          <w:color w:val="auto"/>
          <w:sz w:val="21"/>
          <w:szCs w:val="21"/>
          <w:highlight w:val="none"/>
          <w:lang w:val="en-US" w:eastAsia="zh-CN"/>
        </w:rPr>
        <w:t>三</w:t>
      </w:r>
      <w:r>
        <w:rPr>
          <w:rFonts w:hint="eastAsia"/>
          <w:color w:val="auto"/>
          <w:sz w:val="21"/>
          <w:szCs w:val="21"/>
          <w:highlight w:val="none"/>
        </w:rPr>
        <w:t>级清扫保洁区域的路面废弃物总数应符合下表规定。</w:t>
      </w:r>
    </w:p>
    <w:p>
      <w:pPr>
        <w:pStyle w:val="2"/>
        <w:spacing w:before="0" w:line="360" w:lineRule="auto"/>
        <w:ind w:left="0"/>
        <w:jc w:val="center"/>
        <w:rPr>
          <w:b/>
          <w:bCs/>
          <w:color w:val="auto"/>
          <w:sz w:val="21"/>
          <w:szCs w:val="21"/>
          <w:highlight w:val="none"/>
        </w:rPr>
      </w:pPr>
      <w:r>
        <w:rPr>
          <w:rFonts w:hint="eastAsia"/>
          <w:b/>
          <w:bCs/>
          <w:color w:val="auto"/>
          <w:sz w:val="21"/>
          <w:szCs w:val="21"/>
          <w:highlight w:val="none"/>
        </w:rPr>
        <w:t>表1城市道路路面废弃物控制指标</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2615"/>
        <w:gridCol w:w="1484"/>
        <w:gridCol w:w="1998"/>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保洁等级</w:t>
            </w:r>
          </w:p>
        </w:tc>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果皮、纸屑、塑膜及其他杂物（件/500平方米）</w:t>
            </w:r>
          </w:p>
        </w:tc>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烟蒂（个/500平方米）</w:t>
            </w:r>
          </w:p>
        </w:tc>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污水、污渍（平方米/500平方米）</w:t>
            </w:r>
          </w:p>
        </w:tc>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尘土量（千克/500平方米）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2"/>
              <w:spacing w:before="0" w:line="360" w:lineRule="auto"/>
              <w:ind w:left="0"/>
              <w:jc w:val="center"/>
              <w:rPr>
                <w:color w:val="auto"/>
                <w:sz w:val="21"/>
                <w:szCs w:val="21"/>
                <w:highlight w:val="none"/>
              </w:rPr>
            </w:pPr>
            <w:r>
              <w:rPr>
                <w:rFonts w:hint="eastAsia"/>
                <w:color w:val="auto"/>
                <w:sz w:val="21"/>
                <w:szCs w:val="21"/>
                <w:highlight w:val="none"/>
              </w:rPr>
              <w:t>一级</w:t>
            </w:r>
          </w:p>
        </w:tc>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≤2</w:t>
            </w:r>
          </w:p>
        </w:tc>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无</w:t>
            </w:r>
          </w:p>
        </w:tc>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2"/>
              <w:spacing w:before="0" w:line="360" w:lineRule="auto"/>
              <w:ind w:left="0"/>
              <w:jc w:val="center"/>
              <w:rPr>
                <w:color w:val="auto"/>
                <w:sz w:val="21"/>
                <w:szCs w:val="21"/>
                <w:highlight w:val="none"/>
              </w:rPr>
            </w:pPr>
            <w:r>
              <w:rPr>
                <w:rFonts w:hint="eastAsia"/>
                <w:color w:val="auto"/>
                <w:sz w:val="21"/>
                <w:szCs w:val="21"/>
                <w:highlight w:val="none"/>
              </w:rPr>
              <w:t>二级</w:t>
            </w:r>
          </w:p>
        </w:tc>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≤3</w:t>
            </w:r>
          </w:p>
        </w:tc>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≤2</w:t>
            </w:r>
          </w:p>
        </w:tc>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无</w:t>
            </w:r>
          </w:p>
        </w:tc>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2"/>
              <w:spacing w:before="0" w:line="360" w:lineRule="auto"/>
              <w:ind w:left="0"/>
              <w:jc w:val="center"/>
              <w:rPr>
                <w:color w:val="auto"/>
                <w:sz w:val="21"/>
                <w:szCs w:val="21"/>
                <w:highlight w:val="none"/>
              </w:rPr>
            </w:pPr>
            <w:r>
              <w:rPr>
                <w:rFonts w:hint="eastAsia"/>
                <w:color w:val="auto"/>
                <w:sz w:val="21"/>
                <w:szCs w:val="21"/>
                <w:highlight w:val="none"/>
              </w:rPr>
              <w:t>三级</w:t>
            </w:r>
          </w:p>
        </w:tc>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≤4</w:t>
            </w:r>
          </w:p>
        </w:tc>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≤4</w:t>
            </w:r>
          </w:p>
        </w:tc>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无</w:t>
            </w:r>
          </w:p>
        </w:tc>
        <w:tc>
          <w:tcPr>
            <w:tcW w:w="0" w:type="auto"/>
            <w:tcBorders>
              <w:top w:val="single" w:color="auto" w:sz="4" w:space="0"/>
              <w:left w:val="single" w:color="auto" w:sz="4" w:space="0"/>
              <w:bottom w:val="single" w:color="auto" w:sz="4" w:space="0"/>
              <w:right w:val="single" w:color="auto" w:sz="4" w:space="0"/>
            </w:tcBorders>
            <w:vAlign w:val="center"/>
          </w:tcPr>
          <w:p>
            <w:pPr>
              <w:pStyle w:val="2"/>
              <w:spacing w:before="0" w:line="360" w:lineRule="auto"/>
              <w:ind w:left="0"/>
              <w:jc w:val="center"/>
              <w:rPr>
                <w:color w:val="auto"/>
                <w:sz w:val="21"/>
                <w:szCs w:val="21"/>
                <w:highlight w:val="none"/>
              </w:rPr>
            </w:pPr>
            <w:r>
              <w:rPr>
                <w:rFonts w:hint="eastAsia"/>
                <w:color w:val="auto"/>
                <w:sz w:val="21"/>
                <w:szCs w:val="21"/>
                <w:highlight w:val="none"/>
              </w:rPr>
              <w:t>≤15</w:t>
            </w:r>
          </w:p>
        </w:tc>
      </w:tr>
    </w:tbl>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（2）夜间保洁时，一级清扫保洁道路的路面垃圾杂物（仅计塑料袋、纸屑、饭盒等超过火柴盒大小的较大垃圾）每500平方米不超过4件，二至</w:t>
      </w:r>
      <w:r>
        <w:rPr>
          <w:rFonts w:hint="eastAsia"/>
          <w:color w:val="auto"/>
          <w:sz w:val="21"/>
          <w:szCs w:val="21"/>
          <w:highlight w:val="none"/>
          <w:lang w:val="en-US" w:eastAsia="zh-CN"/>
        </w:rPr>
        <w:t>三</w:t>
      </w:r>
      <w:r>
        <w:rPr>
          <w:rFonts w:hint="eastAsia"/>
          <w:color w:val="auto"/>
          <w:sz w:val="21"/>
          <w:szCs w:val="21"/>
          <w:highlight w:val="none"/>
        </w:rPr>
        <w:t>级清扫保洁道路的路面垃圾杂物每500平方米不超过8件。</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2、交通护栏、灯杆保洁质量要求：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（1）交通护栏无明显积尘、无明显污迹；</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（2）灯杆无明显积尘、无明显污迹。</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3、道路两侧休闲椅、广告牌、路牌等设施的清理应符合以下要求：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（1）道路两侧休闲椅、康体娱乐设施、雕塑等无明显积尘、无明显污迹；</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（2）道路两侧广告牌、路牌、邮筒、读报栏、站亭等设施无污迹、积尘。</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4、人行天桥的保洁应符合以下要求：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（1）人行天桥应与所连接的道路保洁质量标准相同，人行天桥桥面应无明显垃圾，注意清理口香糖渣等污垢，做到桥面见本色，阶梯、扶手、栏杆应干净整洁，无乱张贴、乱涂写；</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（2）人行天桥雨篷应定期进行清理，确保无暴露垃圾。</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 xml:space="preserve">5、地下人行通道的保洁应符合以下要求： </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地下人行通道应与所连接的道路保洁质量标准相同，地下人行通道地面、阶梯、扶手应干净，注意清理口香糖渣等污垢，做到地面见本色，两侧墙面无乱张贴、乱涂写。</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6、车行隧道的保洁应符合以下要求：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（1）车行隧道的路面应干净，无积存污水和垃圾；</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（2）隧道两壁应无明显污物；</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（3）隧道进出口保洁质量应与所连接路段保洁质量标准相同。</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（三）环卫保洁作业要求</w:t>
      </w:r>
    </w:p>
    <w:p>
      <w:pPr>
        <w:pStyle w:val="2"/>
        <w:spacing w:before="0" w:line="360" w:lineRule="auto"/>
        <w:ind w:left="0" w:firstLine="422" w:firstLineChars="200"/>
        <w:rPr>
          <w:b/>
          <w:bCs/>
          <w:color w:val="auto"/>
          <w:sz w:val="21"/>
          <w:szCs w:val="21"/>
          <w:highlight w:val="none"/>
        </w:rPr>
      </w:pPr>
      <w:r>
        <w:rPr>
          <w:rFonts w:hint="eastAsia"/>
          <w:b/>
          <w:bCs/>
          <w:color w:val="auto"/>
          <w:sz w:val="21"/>
          <w:szCs w:val="21"/>
          <w:highlight w:val="none"/>
        </w:rPr>
        <w:t>针对服务范围内相应道路、区域养护等级，分类落实不同等级作业要求。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1、一级区域</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（1）景观道路、重要道路</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①清扫作业：机动车道机械化清扫率达到100%，每日清扫次数不少于2次；非机动车道及人行道实行小型机械和人工配合清扫或实行人工清扫，每日清扫次数不少于2次。</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②保洁作业：机动车道使用机械化车辆辅以人工保洁方式进行保洁，非机动车道、人行道实行人工保洁作业，保洁时间18小时。</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③清洗作业：机动车道使用高压冲洗车进行冲洗作业，冲洗次数不少于1次/日；路沿石冲洗使用小型冲洗车作业，冲洗次数不少于1次/日；人行道冲刷除尘采用手推式扫（洗）地机进行洗刷或高压水枪进行洗刷，不少于1次/日，果皮箱、垃圾桶、灯杆、护栏清洗频次不少于1次/周。</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④洒水喷雾降尘作业：主干道洒水次数不少于4次/日，辅道洒水次数不少于2次/日，喷雾降尘不少于2次/日，阴雨天气可减少或不进行洒水喷雾降尘。</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⑤绿化带、树池、背景林清理作业：宜采用鼓风机或低压冲水枪进行清理，配合人工保洁，保洁时间不少于12小时。</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⑥果皮箱、垃圾桶清掏擦拭作业：清掏果皮箱、垃圾桶频次不少于3次/日，并在清掏后进行擦拭，确保无明显污渍。</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⑦沉沙井清理作业：采用人工作业方式清理，正常季节（1-4月、9-12月）清理频次为1次/周；雨季（5-8月）清理频次为2次/周：遇暴雨等恶劣天气需及时清理。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（2）繁华商业步行街</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①清扫作业：实行小型机械和人工配合清扫或实行人工清扫，每日清扫次数不少于2次。</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②保洁作业：使用小型机械化车辆辅以人工保洁方式或采取人工保洁方式作业，保洁时间18小时。</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③清洗作业：使用小型冲洗车或人工使用高压水枪作业，每日冲洗次数不少于1次；果皮箱、垃圾桶、灯杆、护栏清洗频次不少于1次/周。</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④洒水喷雾降尘作业：喷雾降尘不少于4次/日，鼓励采用固定式喷雾机进行喷雾降尘，阴雨天气可减少或不进行洒水喷雾降尘。</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⑤绿化带、树池清理作业：宜采用人工作业方式进行清理，清理次数不少于3次/日。</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⑥果皮箱、垃圾桶清掏擦拭作业：清掏果皮箱、垃圾桶频次不少于3次/日，并在清掏后进行擦拭，确保无明显污渍；实行上门收集垃圾，每日上门收集垃圾不少于3次。</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⑦沉沙井清理作业：采用人工作业方式清理，正常季节（1-4月、9-12月）清理频次为1次/周；雨季（5-8月）清理频次为2次/周；遇暴雨等恶劣天气需及时清理。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（3）市、镇街（园区）中心广场</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①清扫作业：实行小型机械和人工配合清扫或实行人工清扫，每日清扫次数不少于2次。</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②保洁作业：采取人工保洁方式作业，保洁时间18小时。</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③清洗作业：使用小型冲洗车或人工使用高压水枪作业, 每日冲洗次数不少于1次；果皮箱、垃圾桶、灯杆、护栏清洗频次不少于1次/周。</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④洒水喷雾降尘作业：喷雾降尘不少于4次/日，鼓励采用固定式喷雾机进行喷雾降尘，阴雨天气可减少或不进行洒水喷雾降尘。</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⑤绿化带、树池清理作业：宜采用人工作业方式进行清理,清理次数不少于2次/日。</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⑥果皮箱、垃圾桶清掏擦拭作业：清掏果皮箱、垃圾桶频次不少于3次/日，并在清掏后进行擦拭，确保无明显污渍。</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⑦沉沙井清理作业：采用人工作业方式清理,正常季节（1-4月、9-12月）清理频次为1次/周；雨季（5-8月）清理频次为2次/周；遇暴雨等恶劣天气需及时清理。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2、二级区域</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（1）一般城市道路、国道、重要省道、重要县道</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①清扫作业：机动车道机械化清扫率达到95%以上，不能机械化作业区域采用人工清扫作业，每日清扫次数不少于2次；非机动车道及人行道实行小型机械和人工配合清扫或实行人工清扫，每日清扫次数不少于2次。</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②保洁作业：机动车道使用机械化车辆辅以人工保洁方式进行保洁，非机动车道、人行道实行人工保洁作业，保洁时间16小时。</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③清洗作业：机动车道使用高压冲洗车进行冲洗作业，冲洗次数不少于1次/2日；路沿石冲洗使用小型冲洗车作业，冲洗次数不少于1次/2日；人行道冲刷除尘采用手推式扫（洗)地机进行洗刷或高压水枪进行洗刷，不少于1次/2日，果皮箱、垃圾桶、灯杆、护栏清洗频次不少于1次/周。</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④洒水喷雾降尘作业：主干道洒水次数不少于3次/日，辅道洒水次数不少于1次/日，喷雾降尘不少于2次/日，阴雨天气可减少或不进行洒水喷雾降尘。</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⑤绿化带、树池、背景林清理作业：宜采用鼓风机或低压冲水枪进行清理，配合人工进行保洁，保洁时间不少于12小时/日。</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⑥果皮箱、垃圾桶清掏擦拭作业：清掏果皮箱、垃圾桶频次不少于2次/日，并在清掏后进行擦拭，确保无明显污渍。</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⑦沉沙井清理作业：采用人工作业方式清理，正常季节（1-4月、9-12月）清理频次为1次/周；雨季（5-8月）清理频次为2次/周；遇暴雨等恶劣天气需及时清理。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（2）一般商业街</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①清扫作业：实行小型机械和人工配合清扫或实行人工清扫，每日清扫次数不少于2次。</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②保洁作业：使用小型机械化车辆辅以人工保洁方式或采取人工保洁方式作业，保洁时间16小时。</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③清洗作业：使用小型冲洗车或人工使用高压水枪作业，冲洗次数不少于1次/2日；果皮箱、垃圾桶、灯杆、护栏清洗频次不少于1次/周。</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④洒水喷雾降尘作业：洒水次数不少于2次/日，喷雾降尘不少于2次/日，阴雨天气可减少或不进行洒水喷雾降尘。</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⑤绿化带、树池清理作业：宜采用人工作业方式进行清理，清理次数不少于1次/日。</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⑥果皮箱、垃圾桶清掏擦拭作业：清掏果皮箱、垃圾桶频次不少于3次/日，并在清掏后进行擦拭，确保无明显污渍；实行上门收集垃圾，每日上门收集垃圾不少于2次。</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⑦沉沙井清理作业：采用人工作业方式清理，正常季节（1-4月、9-12月）清理频次为1次/周；雨季（5-8月）清理频次为2次/周；遇暴雨等恶劣天气需及时清理。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（3）村（社区）群众广场、一般城市公园</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①清扫作业：实行小型机械和人工配合清扫或实行人工清扫，每日清扫次数不少于2次。</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②保洁作业：采取人工保洁方式作业，保洁时间16小时。</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③清洗作业：使用小型冲洗车或人工使用高压水枪作业，每周冲洗次数不少于3次；果皮箱、垃圾桶、灯杆、护栏清洗频次不少于1次/周。</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④洒水喷雾降尘作业：喷雾降尘不少于2次/日，鼓励采用固定式喷雾机进行喷雾降尘，阴雨天气可减少或不进行洒水喷雾降尘。</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⑤绿化带、树池清理作业：宜采用人工作业方式进行清理,清理次数不少于1次/日。</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⑥果皮箱、垃圾桶清掏擦拭作业：清掏果皮箱、垃圾桶频次不少于2次/日，并在清掏后进行擦拭，确保无明显污渍。</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⑦沉沙井清理作业：采用人工作业方式清理,正常季节（1-4月、9-12月）清理频次为1次/周；雨季（5-8月）清理频次为2次/周；遇暴雨等恶劣天气需及时清理。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3、三级区域</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（1）一般省道、一般县道、乡村公路</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①清扫作业：机械化清扫率达到90%以上，不能机械化作业区域采用人工进行清扫作业，每日清扫次数不少于1次；人行道实行人工清扫，每日清扫次数不少于1次。</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②保洁作业：机动车道使用机械化车辆辅以人工保洁方式进行保洁，人行道实行人工保洁作业，保洁时间12小时。</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③清洗作业：机动车道使用高压冲洗车进行冲洗作业，冲洗次数不少于1次/3日；路沿石冲洗使用小型冲洗车作业，冲洗次数不少于1次/3日;人行道冲刷除尘采用高压水枪进行洗刷，不少于1次/月，果皮箱、垃圾桶、灯杆、护栏清洗频次不少于1次/周。</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④洒水作业：洒水次数不少于2次/日，阴雨天气可减少或不进行洒水。</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⑤绿化带、树池、背景林清理作业：宜采用人工对白色垃圾进行清理，保洁时间不少于8小时/日。</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⑥果皮箱、垃圾桶清掏擦拭作业：清掏果皮箱、垃圾桶频次不少于1次/日，并在清掏后进行擦拭，确保无明显污渍。</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⑦沉沙井清理作业：采用人工作业方式清理,正常季节（1-4月、9-12月）清理频次为1次/周；雨季（5-8月）清理频次为2次/周；遇暴雨等恶劣天气需及时清理。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（2）村（社区）中心区域及居住区巷道</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①清扫作业：采用人工进行清扫作业，每日清扫次数不少于2次.</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②保洁作业：实行人工保洁作业，保洁时间16小时。</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③清洗作业：使用高压水枪对明显污渍进行冲洗作业，冲洗次数不少于3次/周；果皮箱、垃圾桶、灯杆、护栏滑洗频次不少于1次/周。</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④绿化带、树池清理作业：宜采用人工对白色垃圾进行清理，保洁时间不少于8小时/日；</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⑤果皮箱、垃圾桶清掏擦拭作业：清掏果皮箱、垃圾桶频次不少于2次1日，并在清掏后进行擦拭，确保无明显污渍</w:t>
      </w:r>
      <w:r>
        <w:rPr>
          <w:rFonts w:hint="eastAsia"/>
          <w:color w:val="auto"/>
          <w:sz w:val="21"/>
          <w:szCs w:val="21"/>
          <w:highlight w:val="none"/>
          <w:lang w:eastAsia="zh-CN"/>
        </w:rPr>
        <w:t>；</w:t>
      </w:r>
      <w:r>
        <w:rPr>
          <w:rFonts w:hint="eastAsia"/>
          <w:color w:val="auto"/>
          <w:sz w:val="21"/>
          <w:szCs w:val="21"/>
          <w:highlight w:val="none"/>
        </w:rPr>
        <w:t>实行上门收集垃圾，每日上门收集垃圾不少于3次。</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⑥沉沙井清理作业：采用人工作业方式清理,正常季节（1-4月、9-12月）清理频次为1次/周；雨季（5-8月）清理频次为2次/周；遇暴雨等恶劣天气需及时清理。</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（四）垃圾收集点保洁要求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1、垃圾收集容器应定位设置，摆放整齐。设置点及周围2~3m内应整洁，无散落、存留垃圾和污水。</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2、垃圾收集容器应无残缺、破损，封闭性好，外体干净。垃圾房内外墙面、垃圾亭等建筑设施不得有明显积灰、污物。</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3、厨余垃圾的收集，必须用设有明显标志、能防止污染打散的密封容器。</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4、蝇、蚊孽生季节，垃圾收集站（点），应定时喷洒消毒、灭蚊蝇药物。</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5、生活垃圾应全部实行容器收集，且执行垃圾分类收集。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6、</w:t>
      </w:r>
      <w:r>
        <w:rPr>
          <w:rFonts w:hint="eastAsia"/>
          <w:color w:val="auto"/>
          <w:sz w:val="21"/>
          <w:szCs w:val="21"/>
          <w:highlight w:val="none"/>
          <w:lang w:eastAsia="zh-CN"/>
        </w:rPr>
        <w:t>乙方</w:t>
      </w:r>
      <w:r>
        <w:rPr>
          <w:rFonts w:hint="eastAsia"/>
          <w:color w:val="auto"/>
          <w:sz w:val="21"/>
          <w:szCs w:val="21"/>
          <w:highlight w:val="none"/>
        </w:rPr>
        <w:t>应按规定将分类收集的垃圾实行分类运输，将不同种类的垃圾分类运输至</w:t>
      </w:r>
      <w:r>
        <w:rPr>
          <w:rFonts w:hint="eastAsia"/>
          <w:color w:val="auto"/>
          <w:sz w:val="21"/>
          <w:szCs w:val="21"/>
          <w:highlight w:val="none"/>
          <w:lang w:eastAsia="zh-CN"/>
        </w:rPr>
        <w:t>甲方</w:t>
      </w:r>
      <w:r>
        <w:rPr>
          <w:rFonts w:hint="eastAsia"/>
          <w:color w:val="auto"/>
          <w:sz w:val="21"/>
          <w:szCs w:val="21"/>
          <w:highlight w:val="none"/>
        </w:rPr>
        <w:t>指定的各个地点。</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7、工业垃圾、建筑垃圾、危险废物不得混入生活垃圾。</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8、垃圾收集容器内的垃圾无满溢和散落，并定时清洗箱体。</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9、地面（含天桥、地道）清扫的垃圾应及时收集到</w:t>
      </w:r>
      <w:r>
        <w:rPr>
          <w:rFonts w:hint="eastAsia"/>
          <w:color w:val="auto"/>
          <w:sz w:val="21"/>
          <w:szCs w:val="21"/>
          <w:highlight w:val="none"/>
          <w:lang w:eastAsia="zh-CN"/>
        </w:rPr>
        <w:t>甲方</w:t>
      </w:r>
      <w:r>
        <w:rPr>
          <w:rFonts w:hint="eastAsia"/>
          <w:color w:val="auto"/>
          <w:sz w:val="21"/>
          <w:szCs w:val="21"/>
          <w:highlight w:val="none"/>
        </w:rPr>
        <w:t>指定地点，不遗漏，不得堆放在路边。</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10、服务期内，</w:t>
      </w:r>
      <w:r>
        <w:rPr>
          <w:rFonts w:hint="eastAsia"/>
          <w:color w:val="auto"/>
          <w:sz w:val="21"/>
          <w:szCs w:val="21"/>
          <w:highlight w:val="none"/>
          <w:lang w:eastAsia="zh-CN"/>
        </w:rPr>
        <w:t>甲方</w:t>
      </w:r>
      <w:r>
        <w:rPr>
          <w:rFonts w:hint="eastAsia"/>
          <w:color w:val="auto"/>
          <w:sz w:val="21"/>
          <w:szCs w:val="21"/>
          <w:highlight w:val="none"/>
        </w:rPr>
        <w:t>会逐步实施街道撤桶，</w:t>
      </w:r>
      <w:r>
        <w:rPr>
          <w:rFonts w:hint="eastAsia"/>
          <w:color w:val="auto"/>
          <w:sz w:val="21"/>
          <w:szCs w:val="21"/>
          <w:highlight w:val="none"/>
          <w:lang w:eastAsia="zh-CN"/>
        </w:rPr>
        <w:t>乙方</w:t>
      </w:r>
      <w:r>
        <w:rPr>
          <w:rFonts w:hint="eastAsia"/>
          <w:color w:val="auto"/>
          <w:sz w:val="21"/>
          <w:szCs w:val="21"/>
          <w:highlight w:val="none"/>
        </w:rPr>
        <w:t>应根据</w:t>
      </w:r>
      <w:r>
        <w:rPr>
          <w:rFonts w:hint="eastAsia"/>
          <w:color w:val="auto"/>
          <w:sz w:val="21"/>
          <w:szCs w:val="21"/>
          <w:highlight w:val="none"/>
          <w:lang w:eastAsia="zh-CN"/>
        </w:rPr>
        <w:t>甲方</w:t>
      </w:r>
      <w:r>
        <w:rPr>
          <w:rFonts w:hint="eastAsia"/>
          <w:color w:val="auto"/>
          <w:sz w:val="21"/>
          <w:szCs w:val="21"/>
          <w:highlight w:val="none"/>
        </w:rPr>
        <w:t>关于垃圾收运的要求配合做好上门收集垃圾工作，范围从主干道开始，逐渐覆盖全域范围。</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（五）“牛皮癣”清理标准要求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1、清除乱张贴类“牛皮癣”标准：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（1）必须清除彻底、无残留。有色张贴物的颜料不能残留在或渗入附着物表面，有胶张贴物不能有残留胶，原有胶体残留痕迹要清理干净；</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 xml:space="preserve">（2）基底无损伤，包括明伤、掉漆、明显划痕等； </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（3）无遗漏，在人行道上和机动车道上均看不到张贴物。</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2、清理乱涂写（刻画）类“牛皮癣”标准：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（1）基底恢复原貌，无残留物或者残留痕迹；</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 xml:space="preserve">（2）沟缝干净，无残留物或残留痕迹； </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（3）基底无损伤，漆面、有机玻璃面、喷绘布面等基底无划痕、无掉漆、无变色、不失原有光泽；</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（4）块状瓷面、大理石面与原材质一致；</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（5）无遗漏，在人行道上和机动车道上均看不到乱涂写（刻画）物。</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3、清理乱张挂类“牛皮癣”标准：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（1）无残留物或者残留痕迹；</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（2）基底或原附着物无损伤；</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（3）无遗漏，在人行道上和机动车道上均看不见残旧破烂的张挂物；高空电线、墙面上的牛皮癣也要清理干净。</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4、涂刷覆盖效果标准：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（1）涂刷用料与被涂刷物基底材质相同或接近；</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（2）色泽相同或接近，色彩与原底色吻合；</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（3）刷痕自然，无漏刷、无流淌，地面干净、界线齐平。</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5、清洗剂使用标准：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（1）符合国家环保部颁布的《环境标志产品技术要求水性涂料（HJ2537-2014）》外墙涂料执行标准；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（2）对人畜不造成损害，对“牛皮癣”附着物不构成物理或化学破坏。</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（六）公厕管养要求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lang w:val="en-US"/>
        </w:rPr>
        <w:t>公厕</w:t>
      </w:r>
      <w:r>
        <w:rPr>
          <w:rFonts w:hint="eastAsia"/>
          <w:color w:val="auto"/>
          <w:sz w:val="21"/>
          <w:szCs w:val="21"/>
          <w:highlight w:val="none"/>
        </w:rPr>
        <w:t>开放时间为每天</w:t>
      </w:r>
      <w:r>
        <w:rPr>
          <w:rFonts w:hint="eastAsia"/>
          <w:color w:val="auto"/>
          <w:sz w:val="21"/>
          <w:szCs w:val="21"/>
          <w:highlight w:val="none"/>
          <w:lang w:val="en-US"/>
        </w:rPr>
        <w:t>7</w:t>
      </w:r>
      <w:r>
        <w:rPr>
          <w:rFonts w:hint="eastAsia"/>
          <w:color w:val="auto"/>
          <w:sz w:val="21"/>
          <w:szCs w:val="21"/>
          <w:highlight w:val="none"/>
        </w:rPr>
        <w:t>:00—2</w:t>
      </w:r>
      <w:r>
        <w:rPr>
          <w:rFonts w:hint="eastAsia"/>
          <w:color w:val="auto"/>
          <w:sz w:val="21"/>
          <w:szCs w:val="21"/>
          <w:highlight w:val="none"/>
          <w:lang w:val="en-US"/>
        </w:rPr>
        <w:t>3</w:t>
      </w:r>
      <w:r>
        <w:rPr>
          <w:rFonts w:hint="eastAsia"/>
          <w:color w:val="auto"/>
          <w:sz w:val="21"/>
          <w:szCs w:val="21"/>
          <w:highlight w:val="none"/>
        </w:rPr>
        <w:t>:00，可根据实际情况作适当调整，公厕管理过程中所产生的水电费用由中标单位来承担。</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1、公厕卫生要求：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(1)水冲式公厕粪污水不得直接排入雨水管道、河流和水沟，粪污水纳入污水管网集中处理。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(2)公厕内地面应保持整洁，粪槽、便槽(斗)和管道应无破损，内外墙应无剥落。</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(3)二类公厕应有防蝇、防蚊和除臭设施或措施。</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 xml:space="preserve">2、公厕保洁标准： </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(1)公厕内采光、照明和通风应良好，无明显臭味；</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(2)公厕内墙面、天花板、门窗和隔离板应无积灰、污迹、蛛网，无乱涂乱画，墙面应光洁，公厕外墙面应整洁；</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(3)公厕内地面应光洁，无积水；</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(4)蹲位应整洁，大便槽两侧应无粪便污物，檀内无积粪，洁净见底；</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(5)小便槽(斗)应无水锈、尿垢、垃圾，基本无臭；沟眼、管道保持畅通；</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(6)公厕内照明灯具、洗手器具、镜子、挂衣钩、烘手器、冲水设备等应完好，无积灰、污物；</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(7)公厕外环境应整洁，无乱堆杂物，保洁工具应放置整齐。公厕四周3-5m范围内，应无垃圾、粪便、污水等污物；</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(8)蝇蚊孳生季节，应定时喷洒灭蚊蝇药物，有效控制蝇蛆孳生；</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(9)公厕内卫生保洁质量：</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6"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项目</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一类公厕</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二类公厕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6"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纸片（块）</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无</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6"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烟蒂（个）</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无</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6"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粪迹（处）</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无</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6"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痰迹（处）</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无</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6"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窗格积灰</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无</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6"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臭味（级）</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0</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水厕，≤1；非水厕，≤2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6"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苍蝇（只）</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无</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水厕，无；非水厕，＜3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6"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蛛网</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无</w:t>
            </w:r>
          </w:p>
        </w:tc>
        <w:tc>
          <w:tcPr>
            <w:tcW w:w="1667" w:type="pct"/>
            <w:vAlign w:val="center"/>
          </w:tcPr>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无</w:t>
            </w:r>
          </w:p>
        </w:tc>
      </w:tr>
    </w:tbl>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10</w:t>
      </w:r>
      <w:r>
        <w:rPr>
          <w:rFonts w:hint="eastAsia"/>
          <w:color w:val="auto"/>
          <w:sz w:val="21"/>
          <w:szCs w:val="21"/>
          <w:highlight w:val="none"/>
        </w:rPr>
        <w:t>)确保设施、设备应定期保养，检查</w:t>
      </w:r>
      <w:r>
        <w:rPr>
          <w:rFonts w:hint="eastAsia"/>
          <w:color w:val="auto"/>
          <w:sz w:val="21"/>
          <w:szCs w:val="21"/>
          <w:highlight w:val="none"/>
          <w:lang w:val="en-US"/>
        </w:rPr>
        <w:t>公厕内</w:t>
      </w:r>
      <w:r>
        <w:rPr>
          <w:rFonts w:hint="eastAsia"/>
          <w:color w:val="auto"/>
          <w:sz w:val="21"/>
          <w:szCs w:val="21"/>
          <w:highlight w:val="none"/>
        </w:rPr>
        <w:t>设备是否正常运作，如发现问题应及时维修（</w:t>
      </w:r>
      <w:r>
        <w:rPr>
          <w:rFonts w:hint="eastAsia"/>
          <w:color w:val="auto"/>
          <w:sz w:val="21"/>
          <w:szCs w:val="21"/>
          <w:highlight w:val="none"/>
          <w:lang w:val="en-US"/>
        </w:rPr>
        <w:t>或更换</w:t>
      </w:r>
      <w:r>
        <w:rPr>
          <w:rFonts w:hint="eastAsia"/>
          <w:color w:val="auto"/>
          <w:sz w:val="21"/>
          <w:szCs w:val="21"/>
          <w:highlight w:val="none"/>
        </w:rPr>
        <w:t>）保持正常运行，</w:t>
      </w:r>
      <w:r>
        <w:rPr>
          <w:rFonts w:hint="eastAsia"/>
          <w:color w:val="auto"/>
          <w:sz w:val="21"/>
          <w:szCs w:val="21"/>
          <w:highlight w:val="none"/>
          <w:lang w:val="en-US"/>
        </w:rPr>
        <w:t>其费用由</w:t>
      </w:r>
      <w:r>
        <w:rPr>
          <w:rFonts w:hint="eastAsia"/>
          <w:color w:val="auto"/>
          <w:sz w:val="21"/>
          <w:szCs w:val="21"/>
          <w:highlight w:val="none"/>
          <w:lang w:val="en-US" w:eastAsia="zh-CN"/>
        </w:rPr>
        <w:t>乙方</w:t>
      </w:r>
      <w:r>
        <w:rPr>
          <w:rFonts w:hint="eastAsia"/>
          <w:color w:val="auto"/>
          <w:sz w:val="21"/>
          <w:szCs w:val="21"/>
          <w:highlight w:val="none"/>
          <w:lang w:val="en-US"/>
        </w:rPr>
        <w:t>负责。</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3、粪便处理及粪便运输车辆要求：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(1)车辆应完好、整洁，车体无粪迹污物。</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(2)装载容器应密闭性好。放粪闸阀、进类口应严实，并有防滴漏措施；运输过程中应无滴漏、洒落，车走后场地应清理干净。</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(3)装载应适量，无外溢；裝载的粪便，应及时卸清，不得将粪便长时间存留在车罐内。</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(4)应按指定地点及时卸粪，不得任意排放。</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(5)运输作业结束后，应及时清洗车辆和辅助设施，不得留有粪迹污物。</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(6)公厕粪便池需要定期处理，以免粪水外溢。</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4、公厕均按专人保洁厕标准制，公厕保洁时长按 16 小时计。</w:t>
      </w:r>
    </w:p>
    <w:p>
      <w:pPr>
        <w:pStyle w:val="2"/>
        <w:spacing w:before="0" w:line="360" w:lineRule="auto"/>
        <w:ind w:left="0" w:firstLine="422" w:firstLineChars="200"/>
        <w:rPr>
          <w:b/>
          <w:color w:val="auto"/>
          <w:sz w:val="21"/>
          <w:szCs w:val="21"/>
          <w:highlight w:val="none"/>
        </w:rPr>
      </w:pPr>
      <w:r>
        <w:rPr>
          <w:rFonts w:hint="eastAsia"/>
          <w:b/>
          <w:color w:val="auto"/>
          <w:sz w:val="21"/>
          <w:szCs w:val="21"/>
          <w:highlight w:val="none"/>
        </w:rPr>
        <w:t>（七）垃圾转运站管养要求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1、垃圾转运站管理要求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（1）转运站开放时间为每天5:00—22:00，可根据实际情况作适当调整。</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（2）管理员、操作员必须经过安全及相关职业培训后方可上岗。</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禁止在站内外分拣垃圾、乱堆放杂物。管理间、工具间、操作台等处要保持整洁，工具按规定位置放置。垃圾转运站内所有垃圾日产日清，不得堆积在站内。转运结束后站内外要彻底清扫、冲洗，清理沉淀池以及排水沟。</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（4）保持转运站内外环境整洁。站内墙面无蜘蛛网、无乱涂乱画、地面无污水、无异味等。转运站周边10米内要求卫生整洁，无垃圾，绿化良好；转运站正面及视野范围内无晾晒衣服等有碍市容观瞻的物品。</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（5）做好日常除四害工作，防止蚊虫滋生。四害孳生期站内苍蝇控制在5只以内，非孽生期站内苍蝇控制在3只以内。</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（6）在垃圾收集、压缩过程中，应启动空气净化系统，保证站内外的空气清新，同时还要保持门窗关闭。</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（7）除了发生自然灾害外，转运站管理人员负责维护好转运站内所有建构筑物、供电线路、监控设备、地磅、导轨、污水收集设施等，若有损坏及时修复。</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（8）落实安全生产工作。落实防火措施，配足性能良好的消防器材；落实安全用电，不得乱拉、乱挂、乱接电线，不使用非生产性大功率电器，不得超线路负载使用电器。</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（9）管理员对每日进站的车辆数量和出站箱数进行登记，填写垃圾日清运统计和月汇总表。</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（10）每月需对区域内在岗工作人员进行安全生产培训及进行消防演练；并完善台账上报情况；</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（11）管理人员应在安全位置协助引导司机装卸箱体，对箱体、料斗进行全面冲洗，引导并督促转运工作人员做好进出站箱体排污的前期准备，确保垃圾压缩液通过管道有序排放至集液井。</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（12）做好圾转运站的“门前三包”工作。</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（13）做好垃圾转运站地面标识、标线工作，确保设备及相关物品摆放有序。</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（14）管理人须负责对进出站车辆管理并严禁非生活垃圾的固体废物进站，禁止站内分拣垃圾，站内禁止接收工业垃圾、绿化垃圾、大件家具、建筑垃圾等。</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2、站内设备管理要求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（1）每天必须对转运站垃圾压缩箱使用清洁剂进行清洗，保持内外厢体无积灰、污渍，出箱前清理垃圾压缩箱内推头及消毒。</w:t>
      </w:r>
    </w:p>
    <w:p>
      <w:pPr>
        <w:pStyle w:val="2"/>
        <w:spacing w:before="0" w:line="360" w:lineRule="auto"/>
        <w:ind w:left="0" w:firstLine="420" w:firstLineChars="200"/>
        <w:rPr>
          <w:color w:val="auto"/>
          <w:sz w:val="21"/>
          <w:szCs w:val="21"/>
          <w:highlight w:val="none"/>
          <w:lang w:val="en-US"/>
        </w:rPr>
      </w:pPr>
      <w:r>
        <w:rPr>
          <w:rFonts w:hint="eastAsia"/>
          <w:color w:val="auto"/>
          <w:sz w:val="21"/>
          <w:szCs w:val="21"/>
          <w:highlight w:val="none"/>
        </w:rPr>
        <w:t>（2）确保设施、设备应定期保养，检查站内压缩设备是否正常运作，如发现问题应及时维修（</w:t>
      </w:r>
      <w:r>
        <w:rPr>
          <w:rFonts w:hint="eastAsia"/>
          <w:color w:val="auto"/>
          <w:sz w:val="21"/>
          <w:szCs w:val="21"/>
          <w:highlight w:val="none"/>
          <w:lang w:val="en-US"/>
        </w:rPr>
        <w:t>或更换</w:t>
      </w:r>
      <w:r>
        <w:rPr>
          <w:rFonts w:hint="eastAsia"/>
          <w:color w:val="auto"/>
          <w:sz w:val="21"/>
          <w:szCs w:val="21"/>
          <w:highlight w:val="none"/>
        </w:rPr>
        <w:t>）保持正常运行，</w:t>
      </w:r>
      <w:r>
        <w:rPr>
          <w:rFonts w:hint="eastAsia"/>
          <w:color w:val="auto"/>
          <w:sz w:val="21"/>
          <w:szCs w:val="21"/>
          <w:highlight w:val="none"/>
          <w:lang w:val="en-US"/>
        </w:rPr>
        <w:t>其费用由</w:t>
      </w:r>
      <w:r>
        <w:rPr>
          <w:rFonts w:hint="eastAsia"/>
          <w:color w:val="auto"/>
          <w:sz w:val="21"/>
          <w:szCs w:val="21"/>
          <w:highlight w:val="none"/>
          <w:lang w:val="en-US" w:eastAsia="zh-CN"/>
        </w:rPr>
        <w:t>乙方</w:t>
      </w:r>
      <w:r>
        <w:rPr>
          <w:rFonts w:hint="eastAsia"/>
          <w:color w:val="auto"/>
          <w:sz w:val="21"/>
          <w:szCs w:val="21"/>
          <w:highlight w:val="none"/>
          <w:lang w:val="en-US"/>
        </w:rPr>
        <w:t>负责。</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3、管养人员要求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（1）管养人员需熟练掌握压缩箱、除臭和负压设备等的操作技术。</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（2）定期对站内管养人员开展安全生产培训及演练。</w:t>
      </w:r>
    </w:p>
    <w:p>
      <w:pPr>
        <w:pStyle w:val="2"/>
        <w:spacing w:before="0" w:line="360" w:lineRule="auto"/>
        <w:ind w:left="0" w:firstLine="422" w:firstLineChars="200"/>
        <w:rPr>
          <w:b/>
          <w:color w:val="auto"/>
          <w:sz w:val="21"/>
          <w:szCs w:val="21"/>
          <w:highlight w:val="none"/>
        </w:rPr>
      </w:pPr>
      <w:r>
        <w:rPr>
          <w:rFonts w:hint="eastAsia"/>
          <w:b/>
          <w:color w:val="auto"/>
          <w:sz w:val="21"/>
          <w:szCs w:val="21"/>
          <w:highlight w:val="none"/>
        </w:rPr>
        <w:t>（八）生活垃圾收运车辆要求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1、生活垃圾收运车辆要有统一编号、标识、监督电话。</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2、生活垃圾收运车辆作业时车容车貌要整洁，必须每天冲洗；按规定标准保养维修，每年对车辆外观进行翻新。</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3、生活垃圾收运车辆按规定行驶路线行驶，不得行驶无备案路线。</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4、生活垃圾运输过程中必须遵守所有相关交通规则和有关法律，确保车辆行驶安全。</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5、生活垃圾收运车辆必须是仅服务于本项目的专用车辆，车辆必须符合国V或以上标准，符合东莞市生活垃圾清运车辆的相关规定和要求。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6、生活垃圾收运车辆在运输过程中采取密闭运输，不得造成垃圾外泄、遗漏、抛洒。</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7、保持生活垃圾收运车辆外观完好，定期进行清洗，车容整洁，无残留垃圾、无陈旧积泥、无滋生蝇蛆。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8、做好生活垃圾收运车辆的检测、更新工作，确保车辆状况良好。</w:t>
      </w:r>
    </w:p>
    <w:p>
      <w:pPr>
        <w:pStyle w:val="2"/>
        <w:spacing w:before="0" w:line="360" w:lineRule="auto"/>
        <w:ind w:left="0" w:firstLine="422" w:firstLineChars="200"/>
        <w:rPr>
          <w:b/>
          <w:color w:val="auto"/>
          <w:sz w:val="21"/>
          <w:szCs w:val="21"/>
          <w:highlight w:val="none"/>
        </w:rPr>
      </w:pPr>
      <w:r>
        <w:rPr>
          <w:rFonts w:hint="eastAsia"/>
          <w:b/>
          <w:color w:val="auto"/>
          <w:sz w:val="21"/>
          <w:szCs w:val="21"/>
          <w:highlight w:val="none"/>
        </w:rPr>
        <w:t>（九）水面保洁要求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1、作业河段实行全天8小时，上午8:00-12:00;下午14:00-18:00(6级或以上大风红色暴雨等灾害性天气除外),首次打捞应在9:30前完成，河面基本不见垃圾、漂浮物等。</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2、岸线水面不得有大于0.5平方米漂浮垃圾，大于0.3平方米漂浮垃圾2件之间的最小距离为50米，小件零星漂浮垃圾2件之间的最小距离为20米。</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3、岸线回流区、河涌口、岸边滩头每50平方米不得有3件大于0.5平方米漂浮垃圾。</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4、每50平方米岸线回流区不得有小件零星漂浮物3件。</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5、清理完的水浮莲、水面垃圾日产日清并做好施工日记，同时必须送到垃圾中转站，做无害化处理。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6、垃圾运输车辆应车容整洁，车况良好，标识清晰，垃圾运输过程中垃圾不得扬、洒、拖挂，不得乱倒、乱卸、乱抛，不得有污水滴漏。</w:t>
      </w:r>
    </w:p>
    <w:p>
      <w:pPr>
        <w:pStyle w:val="2"/>
        <w:spacing w:before="0" w:line="360" w:lineRule="auto"/>
        <w:ind w:left="0" w:firstLine="420" w:firstLineChars="200"/>
        <w:rPr>
          <w:rFonts w:hint="eastAsia"/>
          <w:color w:val="auto"/>
          <w:sz w:val="21"/>
          <w:szCs w:val="21"/>
          <w:highlight w:val="none"/>
        </w:rPr>
      </w:pPr>
      <w:r>
        <w:rPr>
          <w:rFonts w:hint="eastAsia"/>
          <w:color w:val="auto"/>
          <w:sz w:val="21"/>
          <w:szCs w:val="21"/>
          <w:highlight w:val="none"/>
        </w:rPr>
        <w:t>7、退潮露滩时，残留废物应及时清理。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8、河道内及河道两岸的杂草需每季度清理一次。</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（十）智慧化管理要求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本环卫服务项目要求</w:t>
      </w:r>
      <w:r>
        <w:rPr>
          <w:rFonts w:hint="eastAsia"/>
          <w:color w:val="auto"/>
          <w:sz w:val="21"/>
          <w:szCs w:val="21"/>
          <w:highlight w:val="none"/>
          <w:lang w:eastAsia="zh-CN"/>
        </w:rPr>
        <w:t>乙方</w:t>
      </w:r>
      <w:r>
        <w:rPr>
          <w:rFonts w:hint="eastAsia"/>
          <w:color w:val="auto"/>
          <w:sz w:val="21"/>
          <w:szCs w:val="21"/>
          <w:highlight w:val="none"/>
        </w:rPr>
        <w:t>使用东莞市环卫作业智能化管理系统平台，通过计算机应用软件、无线网络、GIS 地理信息、GPS定位等多种信息化手段，将环卫管理的指挥、作业、监管等要素统一融合在智能化管理系统这个平台上，实现管理过程精细化，监控治理实时化，事件处理规范化，以及完善的考核制度。</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其中，</w:t>
      </w:r>
      <w:r>
        <w:rPr>
          <w:rFonts w:hint="eastAsia"/>
          <w:color w:val="auto"/>
          <w:sz w:val="21"/>
          <w:szCs w:val="21"/>
          <w:highlight w:val="none"/>
          <w:lang w:eastAsia="zh-CN"/>
        </w:rPr>
        <w:t>甲方</w:t>
      </w:r>
      <w:r>
        <w:rPr>
          <w:rFonts w:hint="eastAsia"/>
          <w:color w:val="auto"/>
          <w:sz w:val="21"/>
          <w:szCs w:val="21"/>
          <w:highlight w:val="none"/>
        </w:rPr>
        <w:t>提供平台及使用权限，并协调平台建设运营单位将人员、车辆定位设备信息接入平台。</w:t>
      </w:r>
      <w:r>
        <w:rPr>
          <w:rFonts w:hint="eastAsia"/>
          <w:color w:val="auto"/>
          <w:sz w:val="21"/>
          <w:szCs w:val="21"/>
          <w:highlight w:val="none"/>
          <w:lang w:eastAsia="zh-CN"/>
        </w:rPr>
        <w:t>乙方</w:t>
      </w:r>
      <w:r>
        <w:rPr>
          <w:rFonts w:hint="eastAsia"/>
          <w:color w:val="auto"/>
          <w:sz w:val="21"/>
          <w:szCs w:val="21"/>
          <w:highlight w:val="none"/>
        </w:rPr>
        <w:t>需采购项目所属人员、车辆所需的智能化管理硬件设施，并将设备信息接入智能化管理平台，实现人员、车辆可视化管理。</w:t>
      </w:r>
      <w:r>
        <w:rPr>
          <w:rFonts w:hint="eastAsia"/>
          <w:color w:val="auto"/>
          <w:sz w:val="21"/>
          <w:szCs w:val="21"/>
          <w:highlight w:val="none"/>
          <w:lang w:eastAsia="zh-CN"/>
        </w:rPr>
        <w:t>甲方</w:t>
      </w:r>
      <w:r>
        <w:rPr>
          <w:rFonts w:hint="eastAsia"/>
          <w:color w:val="auto"/>
          <w:sz w:val="21"/>
          <w:szCs w:val="21"/>
          <w:highlight w:val="none"/>
        </w:rPr>
        <w:t>、</w:t>
      </w:r>
      <w:r>
        <w:rPr>
          <w:rFonts w:hint="eastAsia"/>
          <w:color w:val="auto"/>
          <w:sz w:val="21"/>
          <w:szCs w:val="21"/>
          <w:highlight w:val="none"/>
          <w:lang w:eastAsia="zh-CN"/>
        </w:rPr>
        <w:t>乙方</w:t>
      </w:r>
      <w:r>
        <w:rPr>
          <w:rFonts w:hint="eastAsia"/>
          <w:color w:val="auto"/>
          <w:sz w:val="21"/>
          <w:szCs w:val="21"/>
          <w:highlight w:val="none"/>
        </w:rPr>
        <w:t>均可通过智能化管理系统实时查看人员情况、车辆运行情况等，及时发现和处理突发情况。</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（十一）设备配置要求</w:t>
      </w:r>
    </w:p>
    <w:tbl>
      <w:tblPr>
        <w:tblStyle w:val="18"/>
        <w:tblW w:w="5000" w:type="pct"/>
        <w:tblInd w:w="0" w:type="dxa"/>
        <w:tblLayout w:type="autofit"/>
        <w:tblCellMar>
          <w:top w:w="0" w:type="dxa"/>
          <w:left w:w="108" w:type="dxa"/>
          <w:bottom w:w="0" w:type="dxa"/>
          <w:right w:w="108" w:type="dxa"/>
        </w:tblCellMar>
      </w:tblPr>
      <w:tblGrid>
        <w:gridCol w:w="2397"/>
        <w:gridCol w:w="4444"/>
        <w:gridCol w:w="1681"/>
      </w:tblGrid>
      <w:tr>
        <w:tblPrEx>
          <w:tblCellMar>
            <w:top w:w="0" w:type="dxa"/>
            <w:left w:w="108" w:type="dxa"/>
            <w:bottom w:w="0" w:type="dxa"/>
            <w:right w:w="108" w:type="dxa"/>
          </w:tblCellMar>
        </w:tblPrEx>
        <w:trPr>
          <w:trHeight w:val="345" w:hRule="atLeast"/>
        </w:trPr>
        <w:tc>
          <w:tcPr>
            <w:tcW w:w="23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业务类型</w:t>
            </w:r>
          </w:p>
        </w:tc>
        <w:tc>
          <w:tcPr>
            <w:tcW w:w="444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设备名称</w:t>
            </w:r>
          </w:p>
        </w:tc>
        <w:tc>
          <w:tcPr>
            <w:tcW w:w="168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数量（辆/台）</w:t>
            </w:r>
          </w:p>
        </w:tc>
      </w:tr>
      <w:tr>
        <w:tblPrEx>
          <w:tblCellMar>
            <w:top w:w="0" w:type="dxa"/>
            <w:left w:w="108" w:type="dxa"/>
            <w:bottom w:w="0" w:type="dxa"/>
            <w:right w:w="108" w:type="dxa"/>
          </w:tblCellMar>
        </w:tblPrEx>
        <w:trPr>
          <w:trHeight w:val="274" w:hRule="atLeast"/>
        </w:trPr>
        <w:tc>
          <w:tcPr>
            <w:tcW w:w="239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szCs w:val="21"/>
                <w:highlight w:val="none"/>
              </w:rPr>
            </w:pPr>
            <w:r>
              <w:rPr>
                <w:rFonts w:hint="eastAsia" w:hAnsi="宋体" w:cs="宋体"/>
                <w:color w:val="auto"/>
                <w:sz w:val="21"/>
                <w:szCs w:val="21"/>
                <w:highlight w:val="none"/>
              </w:rPr>
              <w:t>清扫保洁</w:t>
            </w:r>
          </w:p>
        </w:tc>
        <w:tc>
          <w:tcPr>
            <w:tcW w:w="444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Cs w:val="21"/>
                <w:highlight w:val="none"/>
              </w:rPr>
            </w:pPr>
            <w:r>
              <w:rPr>
                <w:rFonts w:hint="eastAsia" w:hAnsi="宋体" w:cs="宋体"/>
                <w:color w:val="auto"/>
                <w:sz w:val="21"/>
                <w:szCs w:val="21"/>
                <w:highlight w:val="none"/>
              </w:rPr>
              <w:t>8吨扫路车</w:t>
            </w:r>
          </w:p>
        </w:tc>
        <w:tc>
          <w:tcPr>
            <w:tcW w:w="168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Cs w:val="21"/>
                <w:highlight w:val="none"/>
              </w:rPr>
            </w:pPr>
            <w:r>
              <w:rPr>
                <w:rFonts w:hint="eastAsia" w:hAnsi="宋体" w:cs="宋体"/>
                <w:color w:val="auto"/>
                <w:sz w:val="21"/>
                <w:szCs w:val="21"/>
                <w:highlight w:val="none"/>
              </w:rPr>
              <w:t>1</w:t>
            </w:r>
          </w:p>
        </w:tc>
      </w:tr>
      <w:tr>
        <w:tblPrEx>
          <w:tblCellMar>
            <w:top w:w="0" w:type="dxa"/>
            <w:left w:w="108" w:type="dxa"/>
            <w:bottom w:w="0" w:type="dxa"/>
            <w:right w:w="108" w:type="dxa"/>
          </w:tblCellMar>
        </w:tblPrEx>
        <w:trPr>
          <w:trHeight w:val="299" w:hRule="atLeast"/>
        </w:trPr>
        <w:tc>
          <w:tcPr>
            <w:tcW w:w="23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小型扫路车</w:t>
            </w:r>
          </w:p>
        </w:tc>
        <w:tc>
          <w:tcPr>
            <w:tcW w:w="168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1</w:t>
            </w:r>
          </w:p>
        </w:tc>
      </w:tr>
      <w:tr>
        <w:tblPrEx>
          <w:tblCellMar>
            <w:top w:w="0" w:type="dxa"/>
            <w:left w:w="108" w:type="dxa"/>
            <w:bottom w:w="0" w:type="dxa"/>
            <w:right w:w="108" w:type="dxa"/>
          </w:tblCellMar>
        </w:tblPrEx>
        <w:trPr>
          <w:trHeight w:val="299" w:hRule="atLeast"/>
        </w:trPr>
        <w:tc>
          <w:tcPr>
            <w:tcW w:w="23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洒水车</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1"/>
                <w:highlight w:val="none"/>
                <w:lang w:eastAsia="zh-CN"/>
              </w:rPr>
            </w:pPr>
            <w:r>
              <w:rPr>
                <w:rFonts w:hint="eastAsia" w:hAnsi="宋体" w:cs="宋体"/>
                <w:color w:val="auto"/>
                <w:sz w:val="21"/>
                <w:szCs w:val="21"/>
                <w:highlight w:val="none"/>
              </w:rPr>
              <w:t>1</w:t>
            </w:r>
          </w:p>
        </w:tc>
      </w:tr>
      <w:tr>
        <w:tblPrEx>
          <w:tblCellMar>
            <w:top w:w="0" w:type="dxa"/>
            <w:left w:w="108" w:type="dxa"/>
            <w:bottom w:w="0" w:type="dxa"/>
            <w:right w:w="108" w:type="dxa"/>
          </w:tblCellMar>
        </w:tblPrEx>
        <w:trPr>
          <w:trHeight w:val="308" w:hRule="atLeast"/>
        </w:trPr>
        <w:tc>
          <w:tcPr>
            <w:tcW w:w="23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16吨大型高压冲洗车</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1</w:t>
            </w:r>
          </w:p>
        </w:tc>
      </w:tr>
      <w:tr>
        <w:tblPrEx>
          <w:tblCellMar>
            <w:top w:w="0" w:type="dxa"/>
            <w:left w:w="108" w:type="dxa"/>
            <w:bottom w:w="0" w:type="dxa"/>
            <w:right w:w="108" w:type="dxa"/>
          </w:tblCellMar>
        </w:tblPrEx>
        <w:trPr>
          <w:trHeight w:val="309" w:hRule="atLeast"/>
        </w:trPr>
        <w:tc>
          <w:tcPr>
            <w:tcW w:w="23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小型高压清洗车</w:t>
            </w:r>
          </w:p>
        </w:tc>
        <w:tc>
          <w:tcPr>
            <w:tcW w:w="168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1</w:t>
            </w:r>
          </w:p>
        </w:tc>
      </w:tr>
      <w:tr>
        <w:tblPrEx>
          <w:tblCellMar>
            <w:top w:w="0" w:type="dxa"/>
            <w:left w:w="108" w:type="dxa"/>
            <w:bottom w:w="0" w:type="dxa"/>
            <w:right w:w="108" w:type="dxa"/>
          </w:tblCellMar>
        </w:tblPrEx>
        <w:trPr>
          <w:trHeight w:val="251" w:hRule="atLeast"/>
        </w:trPr>
        <w:tc>
          <w:tcPr>
            <w:tcW w:w="23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垃圾收集容器清洗车</w:t>
            </w:r>
          </w:p>
        </w:tc>
        <w:tc>
          <w:tcPr>
            <w:tcW w:w="168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1"/>
                <w:highlight w:val="none"/>
                <w:lang w:eastAsia="zh-CN"/>
              </w:rPr>
            </w:pPr>
            <w:r>
              <w:rPr>
                <w:rFonts w:hint="eastAsia" w:hAnsi="宋体" w:cs="宋体"/>
                <w:color w:val="auto"/>
                <w:sz w:val="21"/>
                <w:szCs w:val="21"/>
                <w:highlight w:val="none"/>
              </w:rPr>
              <w:t>4</w:t>
            </w:r>
          </w:p>
        </w:tc>
      </w:tr>
      <w:tr>
        <w:tblPrEx>
          <w:tblCellMar>
            <w:top w:w="0" w:type="dxa"/>
            <w:left w:w="108" w:type="dxa"/>
            <w:bottom w:w="0" w:type="dxa"/>
            <w:right w:w="108" w:type="dxa"/>
          </w:tblCellMar>
        </w:tblPrEx>
        <w:trPr>
          <w:trHeight w:val="280" w:hRule="atLeast"/>
        </w:trPr>
        <w:tc>
          <w:tcPr>
            <w:tcW w:w="23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路面养护车</w:t>
            </w:r>
          </w:p>
        </w:tc>
        <w:tc>
          <w:tcPr>
            <w:tcW w:w="168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2</w:t>
            </w:r>
          </w:p>
        </w:tc>
      </w:tr>
      <w:tr>
        <w:tblPrEx>
          <w:tblCellMar>
            <w:top w:w="0" w:type="dxa"/>
            <w:left w:w="108" w:type="dxa"/>
            <w:bottom w:w="0" w:type="dxa"/>
            <w:right w:w="108" w:type="dxa"/>
          </w:tblCellMar>
        </w:tblPrEx>
        <w:trPr>
          <w:trHeight w:val="308" w:hRule="atLeast"/>
        </w:trPr>
        <w:tc>
          <w:tcPr>
            <w:tcW w:w="23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20寸平面清洁器</w:t>
            </w:r>
          </w:p>
        </w:tc>
        <w:tc>
          <w:tcPr>
            <w:tcW w:w="168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4</w:t>
            </w:r>
          </w:p>
        </w:tc>
      </w:tr>
      <w:tr>
        <w:tblPrEx>
          <w:tblCellMar>
            <w:top w:w="0" w:type="dxa"/>
            <w:left w:w="108" w:type="dxa"/>
            <w:bottom w:w="0" w:type="dxa"/>
            <w:right w:w="108" w:type="dxa"/>
          </w:tblCellMar>
        </w:tblPrEx>
        <w:trPr>
          <w:trHeight w:val="336" w:hRule="atLeast"/>
        </w:trPr>
        <w:tc>
          <w:tcPr>
            <w:tcW w:w="23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高压水枪</w:t>
            </w:r>
          </w:p>
        </w:tc>
        <w:tc>
          <w:tcPr>
            <w:tcW w:w="168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4</w:t>
            </w:r>
          </w:p>
        </w:tc>
      </w:tr>
      <w:tr>
        <w:tblPrEx>
          <w:tblCellMar>
            <w:top w:w="0" w:type="dxa"/>
            <w:left w:w="108" w:type="dxa"/>
            <w:bottom w:w="0" w:type="dxa"/>
            <w:right w:w="108" w:type="dxa"/>
          </w:tblCellMar>
        </w:tblPrEx>
        <w:trPr>
          <w:trHeight w:val="336" w:hRule="atLeast"/>
        </w:trPr>
        <w:tc>
          <w:tcPr>
            <w:tcW w:w="23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Cs w:val="21"/>
                <w:highlight w:val="none"/>
              </w:rPr>
            </w:pPr>
            <w:r>
              <w:rPr>
                <w:rFonts w:hint="eastAsia" w:hAnsi="宋体" w:cs="宋体"/>
                <w:color w:val="auto"/>
                <w:sz w:val="21"/>
                <w:szCs w:val="21"/>
                <w:highlight w:val="none"/>
              </w:rPr>
              <w:t>吹风机</w:t>
            </w:r>
          </w:p>
        </w:tc>
        <w:tc>
          <w:tcPr>
            <w:tcW w:w="168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szCs w:val="21"/>
                <w:highlight w:val="none"/>
                <w:lang w:eastAsia="zh-CN"/>
              </w:rPr>
            </w:pPr>
            <w:r>
              <w:rPr>
                <w:rFonts w:hint="eastAsia" w:hAnsi="宋体" w:cs="宋体"/>
                <w:color w:val="auto"/>
                <w:sz w:val="21"/>
                <w:szCs w:val="21"/>
                <w:highlight w:val="none"/>
              </w:rPr>
              <w:t>3</w:t>
            </w:r>
          </w:p>
        </w:tc>
      </w:tr>
      <w:tr>
        <w:tblPrEx>
          <w:tblCellMar>
            <w:top w:w="0" w:type="dxa"/>
            <w:left w:w="108" w:type="dxa"/>
            <w:bottom w:w="0" w:type="dxa"/>
            <w:right w:w="108" w:type="dxa"/>
          </w:tblCellMar>
        </w:tblPrEx>
        <w:trPr>
          <w:trHeight w:val="336" w:hRule="atLeast"/>
        </w:trPr>
        <w:tc>
          <w:tcPr>
            <w:tcW w:w="23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Cs w:val="21"/>
                <w:highlight w:val="none"/>
              </w:rPr>
            </w:pPr>
            <w:r>
              <w:rPr>
                <w:rFonts w:hint="eastAsia" w:hAnsi="宋体" w:cs="宋体"/>
                <w:color w:val="auto"/>
                <w:sz w:val="21"/>
                <w:szCs w:val="21"/>
                <w:highlight w:val="none"/>
              </w:rPr>
              <w:t>环卫垃圾手推车</w:t>
            </w:r>
          </w:p>
        </w:tc>
        <w:tc>
          <w:tcPr>
            <w:tcW w:w="1681"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auto"/>
                <w:szCs w:val="21"/>
                <w:highlight w:val="none"/>
                <w:lang w:val="en-US" w:eastAsia="zh-CN"/>
              </w:rPr>
            </w:pPr>
            <w:r>
              <w:rPr>
                <w:rFonts w:hint="eastAsia" w:hAnsi="宋体" w:cs="宋体"/>
                <w:color w:val="auto"/>
                <w:sz w:val="21"/>
                <w:szCs w:val="21"/>
                <w:highlight w:val="none"/>
              </w:rPr>
              <w:t>35</w:t>
            </w:r>
          </w:p>
        </w:tc>
      </w:tr>
      <w:tr>
        <w:tblPrEx>
          <w:tblCellMar>
            <w:top w:w="0" w:type="dxa"/>
            <w:left w:w="108" w:type="dxa"/>
            <w:bottom w:w="0" w:type="dxa"/>
            <w:right w:w="108" w:type="dxa"/>
          </w:tblCellMar>
        </w:tblPrEx>
        <w:trPr>
          <w:trHeight w:val="327" w:hRule="atLeast"/>
        </w:trPr>
        <w:tc>
          <w:tcPr>
            <w:tcW w:w="23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吸污车</w:t>
            </w:r>
          </w:p>
        </w:tc>
        <w:tc>
          <w:tcPr>
            <w:tcW w:w="168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1</w:t>
            </w:r>
          </w:p>
        </w:tc>
      </w:tr>
      <w:tr>
        <w:tblPrEx>
          <w:tblCellMar>
            <w:top w:w="0" w:type="dxa"/>
            <w:left w:w="108" w:type="dxa"/>
            <w:bottom w:w="0" w:type="dxa"/>
            <w:right w:w="108" w:type="dxa"/>
          </w:tblCellMar>
        </w:tblPrEx>
        <w:trPr>
          <w:trHeight w:val="261" w:hRule="atLeast"/>
        </w:trPr>
        <w:tc>
          <w:tcPr>
            <w:tcW w:w="23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非机动保洁船</w:t>
            </w:r>
          </w:p>
        </w:tc>
        <w:tc>
          <w:tcPr>
            <w:tcW w:w="168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1"/>
                <w:highlight w:val="none"/>
                <w:lang w:eastAsia="zh-CN"/>
              </w:rPr>
            </w:pPr>
            <w:r>
              <w:rPr>
                <w:rFonts w:hint="eastAsia" w:hAnsi="宋体" w:cs="宋体"/>
                <w:color w:val="auto"/>
                <w:sz w:val="21"/>
                <w:szCs w:val="21"/>
                <w:highlight w:val="none"/>
              </w:rPr>
              <w:t>3</w:t>
            </w:r>
          </w:p>
        </w:tc>
      </w:tr>
      <w:tr>
        <w:tblPrEx>
          <w:tblCellMar>
            <w:top w:w="0" w:type="dxa"/>
            <w:left w:w="108" w:type="dxa"/>
            <w:bottom w:w="0" w:type="dxa"/>
            <w:right w:w="108" w:type="dxa"/>
          </w:tblCellMar>
        </w:tblPrEx>
        <w:trPr>
          <w:trHeight w:val="298" w:hRule="atLeast"/>
        </w:trPr>
        <w:tc>
          <w:tcPr>
            <w:tcW w:w="2397" w:type="dxa"/>
            <w:vMerge w:val="restart"/>
            <w:tcBorders>
              <w:top w:val="nil"/>
              <w:left w:val="single" w:color="auto" w:sz="4" w:space="0"/>
              <w:right w:val="single" w:color="auto" w:sz="4" w:space="0"/>
            </w:tcBorders>
            <w:noWrap/>
            <w:vAlign w:val="center"/>
          </w:tcPr>
          <w:p>
            <w:pPr>
              <w:jc w:val="center"/>
              <w:rPr>
                <w:rFonts w:ascii="宋体" w:hAnsi="宋体" w:cs="宋体"/>
                <w:color w:val="auto"/>
                <w:szCs w:val="21"/>
                <w:highlight w:val="none"/>
              </w:rPr>
            </w:pPr>
            <w:r>
              <w:rPr>
                <w:rFonts w:hint="eastAsia" w:hAnsi="宋体" w:cs="宋体"/>
                <w:color w:val="auto"/>
                <w:sz w:val="21"/>
                <w:szCs w:val="21"/>
                <w:highlight w:val="none"/>
              </w:rPr>
              <w:t>垃圾收运</w:t>
            </w:r>
          </w:p>
        </w:tc>
        <w:tc>
          <w:tcPr>
            <w:tcW w:w="4444" w:type="dxa"/>
            <w:tcBorders>
              <w:top w:val="nil"/>
              <w:left w:val="nil"/>
              <w:bottom w:val="single" w:color="auto" w:sz="4" w:space="0"/>
              <w:right w:val="single" w:color="auto" w:sz="4" w:space="0"/>
            </w:tcBorders>
            <w:noWrap/>
            <w:vAlign w:val="center"/>
          </w:tcPr>
          <w:p>
            <w:pPr>
              <w:jc w:val="center"/>
              <w:rPr>
                <w:rFonts w:ascii="宋体" w:hAnsi="宋体" w:cs="宋体"/>
                <w:color w:val="auto"/>
                <w:szCs w:val="21"/>
                <w:highlight w:val="none"/>
              </w:rPr>
            </w:pPr>
            <w:r>
              <w:rPr>
                <w:rFonts w:hint="eastAsia" w:hAnsi="宋体" w:cs="宋体"/>
                <w:color w:val="auto"/>
                <w:sz w:val="21"/>
                <w:szCs w:val="21"/>
                <w:highlight w:val="none"/>
              </w:rPr>
              <w:t>三轮电动保洁</w:t>
            </w:r>
          </w:p>
        </w:tc>
        <w:tc>
          <w:tcPr>
            <w:tcW w:w="1681" w:type="dxa"/>
            <w:tcBorders>
              <w:top w:val="nil"/>
              <w:left w:val="nil"/>
              <w:bottom w:val="single" w:color="auto" w:sz="4" w:space="0"/>
              <w:right w:val="single" w:color="auto" w:sz="4" w:space="0"/>
            </w:tcBorders>
            <w:noWrap/>
            <w:vAlign w:val="center"/>
          </w:tcPr>
          <w:p>
            <w:pPr>
              <w:jc w:val="center"/>
              <w:rPr>
                <w:rFonts w:ascii="宋体" w:hAnsi="宋体" w:cs="宋体"/>
                <w:color w:val="auto"/>
                <w:szCs w:val="21"/>
                <w:highlight w:val="none"/>
              </w:rPr>
            </w:pPr>
            <w:r>
              <w:rPr>
                <w:rFonts w:hAnsi="宋体" w:cs="宋体"/>
                <w:color w:val="auto"/>
                <w:sz w:val="21"/>
                <w:szCs w:val="21"/>
                <w:highlight w:val="none"/>
              </w:rPr>
              <w:t>12</w:t>
            </w:r>
          </w:p>
        </w:tc>
      </w:tr>
      <w:tr>
        <w:tblPrEx>
          <w:tblCellMar>
            <w:top w:w="0" w:type="dxa"/>
            <w:left w:w="108" w:type="dxa"/>
            <w:bottom w:w="0" w:type="dxa"/>
            <w:right w:w="108" w:type="dxa"/>
          </w:tblCellMar>
        </w:tblPrEx>
        <w:trPr>
          <w:trHeight w:val="326" w:hRule="atLeast"/>
        </w:trPr>
        <w:tc>
          <w:tcPr>
            <w:tcW w:w="2397"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后装式压缩车</w:t>
            </w:r>
          </w:p>
        </w:tc>
        <w:tc>
          <w:tcPr>
            <w:tcW w:w="168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1"/>
                <w:highlight w:val="none"/>
                <w:lang w:eastAsia="zh-CN"/>
              </w:rPr>
            </w:pPr>
            <w:r>
              <w:rPr>
                <w:rFonts w:hint="eastAsia" w:hAnsi="宋体" w:cs="宋体"/>
                <w:color w:val="auto"/>
                <w:sz w:val="21"/>
                <w:szCs w:val="21"/>
                <w:highlight w:val="none"/>
              </w:rPr>
              <w:t>2</w:t>
            </w:r>
          </w:p>
        </w:tc>
      </w:tr>
      <w:tr>
        <w:tblPrEx>
          <w:tblCellMar>
            <w:top w:w="0" w:type="dxa"/>
            <w:left w:w="108" w:type="dxa"/>
            <w:bottom w:w="0" w:type="dxa"/>
            <w:right w:w="108" w:type="dxa"/>
          </w:tblCellMar>
        </w:tblPrEx>
        <w:trPr>
          <w:trHeight w:val="326" w:hRule="atLeast"/>
        </w:trPr>
        <w:tc>
          <w:tcPr>
            <w:tcW w:w="2397"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Cs w:val="21"/>
                <w:highlight w:val="none"/>
              </w:rPr>
            </w:pPr>
            <w:r>
              <w:rPr>
                <w:rFonts w:hint="eastAsia" w:hAnsi="宋体" w:cs="宋体"/>
                <w:color w:val="auto"/>
                <w:sz w:val="21"/>
                <w:szCs w:val="21"/>
                <w:highlight w:val="none"/>
              </w:rPr>
              <w:t>压缩箱</w:t>
            </w:r>
          </w:p>
        </w:tc>
        <w:tc>
          <w:tcPr>
            <w:tcW w:w="168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Cs w:val="21"/>
                <w:highlight w:val="none"/>
              </w:rPr>
            </w:pPr>
            <w:r>
              <w:rPr>
                <w:rFonts w:hint="eastAsia" w:hAnsi="宋体" w:cs="宋体"/>
                <w:color w:val="auto"/>
                <w:sz w:val="21"/>
                <w:szCs w:val="21"/>
                <w:highlight w:val="none"/>
              </w:rPr>
              <w:t>4</w:t>
            </w:r>
          </w:p>
        </w:tc>
      </w:tr>
      <w:tr>
        <w:tblPrEx>
          <w:tblCellMar>
            <w:top w:w="0" w:type="dxa"/>
            <w:left w:w="108" w:type="dxa"/>
            <w:bottom w:w="0" w:type="dxa"/>
            <w:right w:w="108" w:type="dxa"/>
          </w:tblCellMar>
        </w:tblPrEx>
        <w:trPr>
          <w:trHeight w:val="275" w:hRule="atLeast"/>
        </w:trPr>
        <w:tc>
          <w:tcPr>
            <w:tcW w:w="2397"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勾臂车</w:t>
            </w:r>
          </w:p>
        </w:tc>
        <w:tc>
          <w:tcPr>
            <w:tcW w:w="168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1</w:t>
            </w:r>
          </w:p>
        </w:tc>
      </w:tr>
      <w:tr>
        <w:tblPrEx>
          <w:tblCellMar>
            <w:top w:w="0" w:type="dxa"/>
            <w:left w:w="108" w:type="dxa"/>
            <w:bottom w:w="0" w:type="dxa"/>
            <w:right w:w="108" w:type="dxa"/>
          </w:tblCellMar>
        </w:tblPrEx>
        <w:trPr>
          <w:trHeight w:val="374" w:hRule="atLeast"/>
        </w:trPr>
        <w:tc>
          <w:tcPr>
            <w:tcW w:w="2397"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塑料垃圾桶（660L）</w:t>
            </w:r>
          </w:p>
        </w:tc>
        <w:tc>
          <w:tcPr>
            <w:tcW w:w="168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Ansi="宋体" w:cs="宋体"/>
                <w:color w:val="auto"/>
                <w:sz w:val="21"/>
                <w:szCs w:val="21"/>
                <w:highlight w:val="none"/>
              </w:rPr>
              <w:t>250</w:t>
            </w:r>
          </w:p>
        </w:tc>
      </w:tr>
      <w:tr>
        <w:tblPrEx>
          <w:tblCellMar>
            <w:top w:w="0" w:type="dxa"/>
            <w:left w:w="108" w:type="dxa"/>
            <w:bottom w:w="0" w:type="dxa"/>
            <w:right w:w="108" w:type="dxa"/>
          </w:tblCellMar>
        </w:tblPrEx>
        <w:trPr>
          <w:trHeight w:val="374" w:hRule="atLeast"/>
        </w:trPr>
        <w:tc>
          <w:tcPr>
            <w:tcW w:w="239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Cs w:val="21"/>
                <w:highlight w:val="none"/>
              </w:rPr>
            </w:pPr>
            <w:r>
              <w:rPr>
                <w:rFonts w:hint="eastAsia" w:hAnsi="宋体" w:cs="宋体"/>
                <w:color w:val="auto"/>
                <w:sz w:val="21"/>
                <w:szCs w:val="21"/>
                <w:highlight w:val="none"/>
              </w:rPr>
              <w:t>塑料垃圾桶（</w:t>
            </w:r>
            <w:r>
              <w:rPr>
                <w:rFonts w:hAnsi="宋体" w:cs="宋体"/>
                <w:color w:val="auto"/>
                <w:sz w:val="21"/>
                <w:szCs w:val="21"/>
                <w:highlight w:val="none"/>
              </w:rPr>
              <w:t>120</w:t>
            </w:r>
            <w:r>
              <w:rPr>
                <w:rFonts w:hint="eastAsia" w:hAnsi="宋体" w:cs="宋体"/>
                <w:color w:val="auto"/>
                <w:sz w:val="21"/>
                <w:szCs w:val="21"/>
                <w:highlight w:val="none"/>
              </w:rPr>
              <w:t>L）</w:t>
            </w:r>
          </w:p>
        </w:tc>
        <w:tc>
          <w:tcPr>
            <w:tcW w:w="168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Cs w:val="21"/>
                <w:highlight w:val="none"/>
              </w:rPr>
            </w:pPr>
            <w:r>
              <w:rPr>
                <w:rFonts w:hint="eastAsia" w:hAnsi="宋体" w:cs="宋体"/>
                <w:color w:val="auto"/>
                <w:sz w:val="21"/>
                <w:szCs w:val="21"/>
                <w:highlight w:val="none"/>
              </w:rPr>
              <w:t>35</w:t>
            </w:r>
            <w:r>
              <w:rPr>
                <w:rFonts w:hAnsi="宋体" w:cs="宋体"/>
                <w:color w:val="auto"/>
                <w:sz w:val="21"/>
                <w:szCs w:val="21"/>
                <w:highlight w:val="none"/>
              </w:rPr>
              <w:t>0</w:t>
            </w:r>
          </w:p>
        </w:tc>
      </w:tr>
      <w:tr>
        <w:tblPrEx>
          <w:tblCellMar>
            <w:top w:w="0" w:type="dxa"/>
            <w:left w:w="108" w:type="dxa"/>
            <w:bottom w:w="0" w:type="dxa"/>
            <w:right w:w="108" w:type="dxa"/>
          </w:tblCellMar>
        </w:tblPrEx>
        <w:trPr>
          <w:trHeight w:val="374" w:hRule="atLeast"/>
        </w:trPr>
        <w:tc>
          <w:tcPr>
            <w:tcW w:w="2397"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绿化养护</w:t>
            </w:r>
          </w:p>
        </w:tc>
        <w:tc>
          <w:tcPr>
            <w:tcW w:w="444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Cs w:val="21"/>
                <w:highlight w:val="none"/>
              </w:rPr>
            </w:pPr>
            <w:r>
              <w:rPr>
                <w:rFonts w:hint="eastAsia" w:hAnsi="宋体" w:cs="宋体"/>
                <w:color w:val="auto"/>
                <w:sz w:val="21"/>
                <w:szCs w:val="21"/>
                <w:highlight w:val="none"/>
              </w:rPr>
              <w:t>油锯</w:t>
            </w:r>
          </w:p>
        </w:tc>
        <w:tc>
          <w:tcPr>
            <w:tcW w:w="168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szCs w:val="21"/>
                <w:highlight w:val="none"/>
                <w:lang w:eastAsia="zh-CN"/>
              </w:rPr>
            </w:pPr>
            <w:r>
              <w:rPr>
                <w:rFonts w:hint="eastAsia" w:hAnsi="宋体" w:cs="宋体"/>
                <w:color w:val="auto"/>
                <w:sz w:val="21"/>
                <w:szCs w:val="21"/>
                <w:highlight w:val="none"/>
              </w:rPr>
              <w:t>4</w:t>
            </w:r>
          </w:p>
        </w:tc>
      </w:tr>
      <w:tr>
        <w:tblPrEx>
          <w:tblCellMar>
            <w:top w:w="0" w:type="dxa"/>
            <w:left w:w="108" w:type="dxa"/>
            <w:bottom w:w="0" w:type="dxa"/>
            <w:right w:w="108" w:type="dxa"/>
          </w:tblCellMar>
        </w:tblPrEx>
        <w:trPr>
          <w:trHeight w:val="374" w:hRule="atLeast"/>
        </w:trPr>
        <w:tc>
          <w:tcPr>
            <w:tcW w:w="2397"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444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Cs w:val="21"/>
                <w:highlight w:val="none"/>
              </w:rPr>
            </w:pPr>
            <w:r>
              <w:rPr>
                <w:rFonts w:hint="eastAsia" w:hAnsi="宋体" w:cs="宋体"/>
                <w:color w:val="auto"/>
                <w:sz w:val="21"/>
                <w:szCs w:val="21"/>
                <w:highlight w:val="none"/>
              </w:rPr>
              <w:t>高锯</w:t>
            </w:r>
          </w:p>
        </w:tc>
        <w:tc>
          <w:tcPr>
            <w:tcW w:w="168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Cs w:val="21"/>
                <w:highlight w:val="none"/>
              </w:rPr>
            </w:pPr>
            <w:r>
              <w:rPr>
                <w:rFonts w:hint="eastAsia" w:hAnsi="宋体" w:cs="宋体"/>
                <w:color w:val="auto"/>
                <w:sz w:val="21"/>
                <w:szCs w:val="21"/>
                <w:highlight w:val="none"/>
              </w:rPr>
              <w:t>2</w:t>
            </w:r>
          </w:p>
        </w:tc>
      </w:tr>
      <w:tr>
        <w:tblPrEx>
          <w:tblCellMar>
            <w:top w:w="0" w:type="dxa"/>
            <w:left w:w="108" w:type="dxa"/>
            <w:bottom w:w="0" w:type="dxa"/>
            <w:right w:w="108" w:type="dxa"/>
          </w:tblCellMar>
        </w:tblPrEx>
        <w:trPr>
          <w:trHeight w:val="541" w:hRule="atLeast"/>
        </w:trPr>
        <w:tc>
          <w:tcPr>
            <w:tcW w:w="2397"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p>
        </w:tc>
        <w:tc>
          <w:tcPr>
            <w:tcW w:w="444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szCs w:val="21"/>
                <w:highlight w:val="none"/>
                <w:lang w:eastAsia="zh-CN"/>
              </w:rPr>
            </w:pPr>
            <w:r>
              <w:rPr>
                <w:rFonts w:hint="eastAsia" w:hAnsi="宋体" w:cs="宋体"/>
                <w:color w:val="auto"/>
                <w:sz w:val="21"/>
                <w:szCs w:val="21"/>
                <w:highlight w:val="none"/>
              </w:rPr>
              <w:t>剪草机</w:t>
            </w:r>
          </w:p>
        </w:tc>
        <w:tc>
          <w:tcPr>
            <w:tcW w:w="168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szCs w:val="21"/>
                <w:highlight w:val="none"/>
                <w:lang w:val="en-US" w:eastAsia="zh-CN"/>
              </w:rPr>
            </w:pPr>
            <w:r>
              <w:rPr>
                <w:rFonts w:hint="eastAsia" w:hAnsi="宋体" w:cs="宋体"/>
                <w:color w:val="auto"/>
                <w:sz w:val="21"/>
                <w:szCs w:val="21"/>
                <w:highlight w:val="none"/>
              </w:rPr>
              <w:t>1</w:t>
            </w:r>
          </w:p>
        </w:tc>
      </w:tr>
      <w:tr>
        <w:tblPrEx>
          <w:tblCellMar>
            <w:top w:w="0" w:type="dxa"/>
            <w:left w:w="108" w:type="dxa"/>
            <w:bottom w:w="0" w:type="dxa"/>
            <w:right w:w="108" w:type="dxa"/>
          </w:tblCellMar>
        </w:tblPrEx>
        <w:trPr>
          <w:trHeight w:val="541" w:hRule="atLeast"/>
        </w:trPr>
        <w:tc>
          <w:tcPr>
            <w:tcW w:w="2397"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p>
        </w:tc>
        <w:tc>
          <w:tcPr>
            <w:tcW w:w="4444"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color w:val="auto"/>
                <w:szCs w:val="21"/>
                <w:highlight w:val="none"/>
                <w:lang w:val="en-US" w:eastAsia="zh-CN"/>
              </w:rPr>
            </w:pPr>
            <w:r>
              <w:rPr>
                <w:rFonts w:hint="eastAsia" w:hAnsi="宋体" w:cs="宋体"/>
                <w:color w:val="auto"/>
                <w:sz w:val="21"/>
                <w:szCs w:val="21"/>
                <w:highlight w:val="none"/>
              </w:rPr>
              <w:t>半挂牵引车</w:t>
            </w:r>
          </w:p>
        </w:tc>
        <w:tc>
          <w:tcPr>
            <w:tcW w:w="168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szCs w:val="21"/>
                <w:highlight w:val="none"/>
                <w:lang w:val="en-US" w:eastAsia="zh-CN"/>
              </w:rPr>
            </w:pPr>
            <w:r>
              <w:rPr>
                <w:rFonts w:hint="eastAsia" w:hAnsi="宋体" w:cs="宋体"/>
                <w:color w:val="auto"/>
                <w:sz w:val="21"/>
                <w:szCs w:val="21"/>
                <w:highlight w:val="none"/>
              </w:rPr>
              <w:t>1</w:t>
            </w:r>
          </w:p>
        </w:tc>
      </w:tr>
      <w:tr>
        <w:tblPrEx>
          <w:tblCellMar>
            <w:top w:w="0" w:type="dxa"/>
            <w:left w:w="108" w:type="dxa"/>
            <w:bottom w:w="0" w:type="dxa"/>
            <w:right w:w="108" w:type="dxa"/>
          </w:tblCellMar>
        </w:tblPrEx>
        <w:trPr>
          <w:trHeight w:val="541" w:hRule="atLeast"/>
        </w:trPr>
        <w:tc>
          <w:tcPr>
            <w:tcW w:w="2397"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p>
        </w:tc>
        <w:tc>
          <w:tcPr>
            <w:tcW w:w="444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szCs w:val="21"/>
                <w:highlight w:val="none"/>
                <w:lang w:eastAsia="zh-CN"/>
              </w:rPr>
            </w:pPr>
            <w:r>
              <w:rPr>
                <w:rFonts w:hint="eastAsia" w:hAnsi="宋体" w:cs="宋体"/>
                <w:color w:val="auto"/>
                <w:sz w:val="21"/>
                <w:szCs w:val="21"/>
                <w:highlight w:val="none"/>
              </w:rPr>
              <w:t>园林绿化物料专用粉碎机</w:t>
            </w:r>
          </w:p>
        </w:tc>
        <w:tc>
          <w:tcPr>
            <w:tcW w:w="168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szCs w:val="21"/>
                <w:highlight w:val="none"/>
                <w:lang w:val="en-US" w:eastAsia="zh-CN"/>
              </w:rPr>
            </w:pPr>
            <w:r>
              <w:rPr>
                <w:rFonts w:hint="eastAsia" w:hAnsi="宋体" w:cs="宋体"/>
                <w:color w:val="auto"/>
                <w:sz w:val="21"/>
                <w:szCs w:val="21"/>
                <w:highlight w:val="none"/>
              </w:rPr>
              <w:t>2</w:t>
            </w:r>
          </w:p>
        </w:tc>
      </w:tr>
      <w:tr>
        <w:tblPrEx>
          <w:tblCellMar>
            <w:top w:w="0" w:type="dxa"/>
            <w:left w:w="108" w:type="dxa"/>
            <w:bottom w:w="0" w:type="dxa"/>
            <w:right w:w="108" w:type="dxa"/>
          </w:tblCellMar>
        </w:tblPrEx>
        <w:trPr>
          <w:trHeight w:val="541" w:hRule="atLeast"/>
        </w:trPr>
        <w:tc>
          <w:tcPr>
            <w:tcW w:w="23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hAnsi="宋体" w:cs="宋体"/>
                <w:color w:val="auto"/>
                <w:sz w:val="21"/>
                <w:szCs w:val="21"/>
                <w:highlight w:val="none"/>
              </w:rPr>
              <w:t>水面保洁</w:t>
            </w:r>
          </w:p>
        </w:tc>
        <w:tc>
          <w:tcPr>
            <w:tcW w:w="444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Cs w:val="21"/>
                <w:highlight w:val="none"/>
              </w:rPr>
            </w:pPr>
            <w:r>
              <w:rPr>
                <w:rFonts w:hint="eastAsia" w:hAnsi="宋体" w:cs="宋体"/>
                <w:color w:val="auto"/>
                <w:sz w:val="21"/>
                <w:szCs w:val="21"/>
                <w:highlight w:val="none"/>
              </w:rPr>
              <w:t>打捞工具</w:t>
            </w:r>
          </w:p>
        </w:tc>
        <w:tc>
          <w:tcPr>
            <w:tcW w:w="168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szCs w:val="21"/>
                <w:highlight w:val="none"/>
                <w:lang w:eastAsia="zh-CN"/>
              </w:rPr>
            </w:pPr>
            <w:r>
              <w:rPr>
                <w:rFonts w:hint="eastAsia" w:hAnsi="宋体" w:cs="宋体"/>
                <w:color w:val="auto"/>
                <w:sz w:val="21"/>
                <w:szCs w:val="21"/>
                <w:highlight w:val="none"/>
              </w:rPr>
              <w:t>3</w:t>
            </w:r>
          </w:p>
        </w:tc>
      </w:tr>
    </w:tbl>
    <w:p>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1、投标人需承诺为本项目投入设备数量不少于以上清单。</w:t>
      </w:r>
    </w:p>
    <w:p>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2、中标后，如遇相关设备不足的情况，</w:t>
      </w:r>
      <w:r>
        <w:rPr>
          <w:rFonts w:hint="eastAsia" w:ascii="宋体" w:hAnsi="宋体" w:cs="宋体"/>
          <w:b w:val="0"/>
          <w:bCs w:val="0"/>
          <w:color w:val="auto"/>
          <w:szCs w:val="21"/>
          <w:highlight w:val="none"/>
          <w:lang w:eastAsia="zh-CN"/>
        </w:rPr>
        <w:t>甲方</w:t>
      </w:r>
      <w:r>
        <w:rPr>
          <w:rFonts w:hint="eastAsia" w:ascii="宋体" w:hAnsi="宋体" w:cs="宋体"/>
          <w:b w:val="0"/>
          <w:bCs w:val="0"/>
          <w:color w:val="auto"/>
          <w:szCs w:val="21"/>
          <w:highlight w:val="none"/>
        </w:rPr>
        <w:t>有权根据实际所需要求</w:t>
      </w:r>
      <w:r>
        <w:rPr>
          <w:rFonts w:hint="eastAsia" w:ascii="宋体" w:hAnsi="宋体" w:cs="宋体"/>
          <w:b w:val="0"/>
          <w:bCs w:val="0"/>
          <w:color w:val="auto"/>
          <w:szCs w:val="21"/>
          <w:highlight w:val="none"/>
          <w:lang w:eastAsia="zh-CN"/>
        </w:rPr>
        <w:t>乙方</w:t>
      </w:r>
      <w:r>
        <w:rPr>
          <w:rFonts w:hint="eastAsia" w:ascii="宋体" w:hAnsi="宋体" w:cs="宋体"/>
          <w:b w:val="0"/>
          <w:bCs w:val="0"/>
          <w:color w:val="auto"/>
          <w:szCs w:val="21"/>
          <w:highlight w:val="none"/>
        </w:rPr>
        <w:t>增加。</w:t>
      </w:r>
    </w:p>
    <w:p>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w:t>
      </w:r>
      <w:r>
        <w:rPr>
          <w:rFonts w:hint="eastAsia" w:ascii="宋体" w:hAnsi="宋体" w:cs="宋体"/>
          <w:b w:val="0"/>
          <w:bCs w:val="0"/>
          <w:color w:val="auto"/>
          <w:szCs w:val="21"/>
          <w:highlight w:val="none"/>
          <w:lang w:eastAsia="zh-CN"/>
        </w:rPr>
        <w:t>乙方</w:t>
      </w:r>
      <w:r>
        <w:rPr>
          <w:rFonts w:hint="eastAsia" w:ascii="宋体" w:hAnsi="宋体" w:cs="宋体"/>
          <w:b w:val="0"/>
          <w:bCs w:val="0"/>
          <w:color w:val="auto"/>
          <w:szCs w:val="21"/>
          <w:highlight w:val="none"/>
        </w:rPr>
        <w:t>投入的机械设备在合同签订后20天内要经</w:t>
      </w:r>
      <w:r>
        <w:rPr>
          <w:rFonts w:hint="eastAsia" w:ascii="宋体" w:hAnsi="宋体" w:cs="宋体"/>
          <w:b w:val="0"/>
          <w:bCs w:val="0"/>
          <w:color w:val="auto"/>
          <w:szCs w:val="21"/>
          <w:highlight w:val="none"/>
          <w:lang w:eastAsia="zh-CN"/>
        </w:rPr>
        <w:t>甲方</w:t>
      </w:r>
      <w:r>
        <w:rPr>
          <w:rFonts w:hint="eastAsia" w:ascii="宋体" w:hAnsi="宋体" w:cs="宋体"/>
          <w:b w:val="0"/>
          <w:bCs w:val="0"/>
          <w:color w:val="auto"/>
          <w:szCs w:val="21"/>
          <w:highlight w:val="none"/>
        </w:rPr>
        <w:t>验收认定。</w:t>
      </w:r>
    </w:p>
    <w:p>
      <w:pPr>
        <w:spacing w:line="360" w:lineRule="auto"/>
        <w:ind w:firstLine="420" w:firstLineChars="200"/>
        <w:rPr>
          <w:rFonts w:ascii="宋体" w:hAnsi="宋体" w:cs="宋体"/>
          <w:b w:val="0"/>
          <w:bCs w:val="0"/>
          <w:color w:val="auto"/>
          <w:szCs w:val="21"/>
          <w:highlight w:val="none"/>
        </w:rPr>
      </w:pPr>
      <w:r>
        <w:rPr>
          <w:rFonts w:hint="eastAsia" w:ascii="宋体" w:hAnsi="宋体" w:cs="宋体"/>
          <w:b w:val="0"/>
          <w:bCs w:val="0"/>
          <w:color w:val="auto"/>
          <w:szCs w:val="21"/>
          <w:highlight w:val="none"/>
        </w:rPr>
        <w:t>4、根据《东莞市生活垃圾车“文明出行”专项行动方案》要求，新增或更新的轻型环卫车辆（含采购服务项目）使用新能源汽车比例达80%以上。</w:t>
      </w:r>
      <w:r>
        <w:rPr>
          <w:rFonts w:hint="eastAsia" w:ascii="宋体" w:hAnsi="宋体" w:cs="宋体"/>
          <w:b w:val="0"/>
          <w:bCs w:val="0"/>
          <w:color w:val="auto"/>
          <w:szCs w:val="21"/>
          <w:highlight w:val="none"/>
          <w:lang w:eastAsia="zh-CN"/>
        </w:rPr>
        <w:t>乙方</w:t>
      </w:r>
      <w:r>
        <w:rPr>
          <w:rFonts w:hint="eastAsia" w:ascii="宋体" w:hAnsi="宋体" w:cs="宋体"/>
          <w:b w:val="0"/>
          <w:bCs w:val="0"/>
          <w:color w:val="auto"/>
          <w:szCs w:val="21"/>
          <w:highlight w:val="none"/>
        </w:rPr>
        <w:t>投入的环卫设备可参考部分市政环卫项目车辆功能用途，且使用新能源汽车比例达80%以上。若其中投入的设备涉及道路扫路车、道路小型扫路车、小型高压冲洗车、电动三轮冲洗车、电动三轮保洁车、电动三轮垃圾收集车必须为新能源车辆。</w:t>
      </w:r>
    </w:p>
    <w:p>
      <w:pPr>
        <w:widowControl/>
        <w:jc w:val="center"/>
        <w:outlineLvl w:val="0"/>
        <w:rPr>
          <w:rStyle w:val="24"/>
          <w:rFonts w:ascii="宋体" w:hAnsi="宋体" w:cs="宋体"/>
          <w:color w:val="auto"/>
          <w:sz w:val="21"/>
          <w:szCs w:val="21"/>
          <w:highlight w:val="none"/>
        </w:rPr>
      </w:pPr>
      <w:r>
        <w:rPr>
          <w:rStyle w:val="24"/>
          <w:rFonts w:hint="eastAsia" w:ascii="宋体" w:hAnsi="宋体" w:cs="宋体"/>
          <w:color w:val="auto"/>
          <w:sz w:val="21"/>
          <w:szCs w:val="21"/>
          <w:highlight w:val="none"/>
        </w:rPr>
        <w:t>部分市政环卫项目车辆功能用途</w:t>
      </w:r>
    </w:p>
    <w:tbl>
      <w:tblPr>
        <w:tblStyle w:val="18"/>
        <w:tblW w:w="5000" w:type="pct"/>
        <w:tblInd w:w="0" w:type="dxa"/>
        <w:tblLayout w:type="fixed"/>
        <w:tblCellMar>
          <w:top w:w="0" w:type="dxa"/>
          <w:left w:w="108" w:type="dxa"/>
          <w:bottom w:w="0" w:type="dxa"/>
          <w:right w:w="108" w:type="dxa"/>
        </w:tblCellMar>
      </w:tblPr>
      <w:tblGrid>
        <w:gridCol w:w="401"/>
        <w:gridCol w:w="762"/>
        <w:gridCol w:w="975"/>
        <w:gridCol w:w="1864"/>
        <w:gridCol w:w="4520"/>
      </w:tblGrid>
      <w:tr>
        <w:tblPrEx>
          <w:tblCellMar>
            <w:top w:w="0" w:type="dxa"/>
            <w:left w:w="108" w:type="dxa"/>
            <w:bottom w:w="0" w:type="dxa"/>
            <w:right w:w="108" w:type="dxa"/>
          </w:tblCellMar>
        </w:tblPrEx>
        <w:trPr>
          <w:trHeight w:val="420" w:hRule="atLeast"/>
        </w:trPr>
        <w:tc>
          <w:tcPr>
            <w:tcW w:w="2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4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车型</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新能源车</w:t>
            </w:r>
          </w:p>
        </w:tc>
        <w:tc>
          <w:tcPr>
            <w:tcW w:w="3745"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车辆功能用途</w:t>
            </w:r>
          </w:p>
        </w:tc>
      </w:tr>
      <w:tr>
        <w:tblPrEx>
          <w:tblCellMar>
            <w:top w:w="0" w:type="dxa"/>
            <w:left w:w="108" w:type="dxa"/>
            <w:bottom w:w="0" w:type="dxa"/>
            <w:right w:w="108" w:type="dxa"/>
          </w:tblCellMar>
        </w:tblPrEx>
        <w:trPr>
          <w:trHeight w:val="90" w:hRule="atLeast"/>
        </w:trPr>
        <w:tc>
          <w:tcPr>
            <w:tcW w:w="2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纯电动低入口洗扫车</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新能源</w:t>
            </w:r>
          </w:p>
        </w:tc>
        <w:tc>
          <w:tcPr>
            <w:tcW w:w="3745"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top"/>
              <w:rPr>
                <w:rStyle w:val="43"/>
                <w:rFonts w:hint="default" w:ascii="宋体" w:hAnsi="宋体" w:eastAsia="宋体" w:cs="宋体"/>
                <w:color w:val="auto"/>
                <w:sz w:val="21"/>
                <w:szCs w:val="21"/>
                <w:highlight w:val="none"/>
                <w:lang w:bidi="ar"/>
              </w:rPr>
            </w:pPr>
            <w:r>
              <w:rPr>
                <w:rStyle w:val="43"/>
                <w:rFonts w:hint="default" w:ascii="宋体" w:hAnsi="宋体" w:eastAsia="宋体" w:cs="宋体"/>
                <w:b/>
                <w:bCs/>
                <w:color w:val="auto"/>
                <w:sz w:val="21"/>
                <w:szCs w:val="21"/>
                <w:highlight w:val="none"/>
                <w:lang w:bidi="ar"/>
              </w:rPr>
              <w:t>车辆用途：</w:t>
            </w:r>
            <w:r>
              <w:rPr>
                <w:rStyle w:val="43"/>
                <w:rFonts w:hint="default" w:ascii="宋体" w:hAnsi="宋体" w:eastAsia="宋体" w:cs="宋体"/>
                <w:color w:val="auto"/>
                <w:sz w:val="21"/>
                <w:szCs w:val="21"/>
                <w:highlight w:val="none"/>
                <w:lang w:bidi="ar"/>
              </w:rPr>
              <w:t>洗扫车主要具有路面冲洗、路面清扫、垃圾回收、路缘和路沿石立面洗刷等多种功能，还兼具高压水枪清洗路标、广告牌的功能。主要应用于城市街道、市政广场、大型厂矿等地方机械化清扫保洁作业。</w:t>
            </w:r>
          </w:p>
        </w:tc>
      </w:tr>
      <w:tr>
        <w:tblPrEx>
          <w:tblCellMar>
            <w:top w:w="0" w:type="dxa"/>
            <w:left w:w="108" w:type="dxa"/>
            <w:bottom w:w="0" w:type="dxa"/>
            <w:right w:w="108" w:type="dxa"/>
          </w:tblCellMar>
        </w:tblPrEx>
        <w:trPr>
          <w:trHeight w:val="90" w:hRule="atLeast"/>
        </w:trPr>
        <w:tc>
          <w:tcPr>
            <w:tcW w:w="2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纯电动低入口高压清洗车</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新能源</w:t>
            </w:r>
          </w:p>
        </w:tc>
        <w:tc>
          <w:tcPr>
            <w:tcW w:w="3745"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top"/>
              <w:rPr>
                <w:rStyle w:val="43"/>
                <w:rFonts w:hint="default" w:ascii="宋体" w:hAnsi="宋体" w:eastAsia="宋体" w:cs="宋体"/>
                <w:color w:val="auto"/>
                <w:sz w:val="21"/>
                <w:szCs w:val="21"/>
                <w:highlight w:val="none"/>
                <w:lang w:bidi="ar"/>
              </w:rPr>
            </w:pPr>
            <w:r>
              <w:rPr>
                <w:rStyle w:val="43"/>
                <w:rFonts w:hint="default" w:ascii="宋体" w:hAnsi="宋体" w:eastAsia="宋体" w:cs="宋体"/>
                <w:b/>
                <w:bCs/>
                <w:color w:val="auto"/>
                <w:sz w:val="21"/>
                <w:szCs w:val="21"/>
                <w:highlight w:val="none"/>
                <w:lang w:bidi="ar"/>
              </w:rPr>
              <w:t>车辆用途：</w:t>
            </w:r>
            <w:r>
              <w:rPr>
                <w:rStyle w:val="43"/>
                <w:rFonts w:hint="default" w:ascii="宋体" w:hAnsi="宋体" w:eastAsia="宋体" w:cs="宋体"/>
                <w:color w:val="auto"/>
                <w:sz w:val="21"/>
                <w:szCs w:val="21"/>
                <w:highlight w:val="none"/>
                <w:lang w:bidi="ar"/>
              </w:rPr>
              <w:t>高压清洗车具备路面高压清洗、洒水降尘、绿化喷灌与应急消防等多种功能，主要应用于城镇主干道、公路、桥梁、隧道、大型仓库、港口码头等多种场景的环卫保洁作业。</w:t>
            </w:r>
          </w:p>
        </w:tc>
      </w:tr>
      <w:tr>
        <w:tblPrEx>
          <w:tblCellMar>
            <w:top w:w="0" w:type="dxa"/>
            <w:left w:w="108" w:type="dxa"/>
            <w:bottom w:w="0" w:type="dxa"/>
            <w:right w:w="108" w:type="dxa"/>
          </w:tblCellMar>
        </w:tblPrEx>
        <w:trPr>
          <w:trHeight w:val="90" w:hRule="atLeast"/>
        </w:trPr>
        <w:tc>
          <w:tcPr>
            <w:tcW w:w="2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4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洒水车</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新能源</w:t>
            </w:r>
          </w:p>
        </w:tc>
        <w:tc>
          <w:tcPr>
            <w:tcW w:w="3745"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top"/>
              <w:rPr>
                <w:rStyle w:val="43"/>
                <w:rFonts w:hint="default" w:ascii="宋体" w:hAnsi="宋体" w:eastAsia="宋体" w:cs="宋体"/>
                <w:color w:val="auto"/>
                <w:sz w:val="21"/>
                <w:szCs w:val="21"/>
                <w:highlight w:val="none"/>
                <w:lang w:bidi="ar"/>
              </w:rPr>
            </w:pPr>
            <w:r>
              <w:rPr>
                <w:rStyle w:val="43"/>
                <w:rFonts w:hint="default" w:ascii="宋体" w:hAnsi="宋体" w:eastAsia="宋体" w:cs="宋体"/>
                <w:b/>
                <w:bCs/>
                <w:color w:val="auto"/>
                <w:sz w:val="21"/>
                <w:szCs w:val="21"/>
                <w:highlight w:val="none"/>
                <w:lang w:bidi="ar"/>
              </w:rPr>
              <w:t>车辆用途：</w:t>
            </w:r>
            <w:r>
              <w:rPr>
                <w:rStyle w:val="43"/>
                <w:rFonts w:hint="default" w:ascii="宋体" w:hAnsi="宋体" w:eastAsia="宋体" w:cs="宋体"/>
                <w:color w:val="auto"/>
                <w:sz w:val="21"/>
                <w:szCs w:val="21"/>
                <w:highlight w:val="none"/>
                <w:lang w:bidi="ar"/>
              </w:rPr>
              <w:t>洒水车具有路面冲洗、洒水降尘等多种功能，主要用于城镇道路、广场、大型仓库的环卫保洁作业，同时用于园林绿化的农药喷洒、浇灌作业。</w:t>
            </w:r>
          </w:p>
        </w:tc>
      </w:tr>
      <w:tr>
        <w:tblPrEx>
          <w:tblCellMar>
            <w:top w:w="0" w:type="dxa"/>
            <w:left w:w="108" w:type="dxa"/>
            <w:bottom w:w="0" w:type="dxa"/>
            <w:right w:w="108" w:type="dxa"/>
          </w:tblCellMar>
        </w:tblPrEx>
        <w:trPr>
          <w:trHeight w:val="90" w:hRule="atLeast"/>
        </w:trPr>
        <w:tc>
          <w:tcPr>
            <w:tcW w:w="2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纯电动多功能抑尘车</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新能源</w:t>
            </w:r>
          </w:p>
        </w:tc>
        <w:tc>
          <w:tcPr>
            <w:tcW w:w="3745"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top"/>
              <w:rPr>
                <w:rStyle w:val="43"/>
                <w:rFonts w:hint="default" w:ascii="宋体" w:hAnsi="宋体" w:eastAsia="宋体" w:cs="宋体"/>
                <w:color w:val="auto"/>
                <w:sz w:val="21"/>
                <w:szCs w:val="21"/>
                <w:highlight w:val="none"/>
                <w:lang w:bidi="ar"/>
              </w:rPr>
            </w:pPr>
            <w:r>
              <w:rPr>
                <w:rStyle w:val="43"/>
                <w:rFonts w:hint="default" w:ascii="宋体" w:hAnsi="宋体" w:eastAsia="宋体" w:cs="宋体"/>
                <w:b/>
                <w:bCs/>
                <w:color w:val="auto"/>
                <w:sz w:val="21"/>
                <w:szCs w:val="21"/>
                <w:highlight w:val="none"/>
                <w:lang w:bidi="ar"/>
              </w:rPr>
              <w:t>车辆用途：</w:t>
            </w:r>
            <w:r>
              <w:rPr>
                <w:rStyle w:val="43"/>
                <w:rFonts w:hint="default" w:ascii="宋体" w:hAnsi="宋体" w:eastAsia="宋体" w:cs="宋体"/>
                <w:color w:val="auto"/>
                <w:sz w:val="21"/>
                <w:szCs w:val="21"/>
                <w:highlight w:val="none"/>
                <w:lang w:bidi="ar"/>
              </w:rPr>
              <w:t>多功能抑尘车具有路面冲洗、洒水降尘、扬尘抑制等多种功能，主要用于道路、广场、公园等处空气抑尘、净化空气；对建筑物拆除爆破、粉料堆场、土建施工、露天矿场等场地产生的大量粉尘进行喷淋抑制，从源头减少空气污染。</w:t>
            </w:r>
          </w:p>
        </w:tc>
      </w:tr>
      <w:tr>
        <w:tblPrEx>
          <w:tblCellMar>
            <w:top w:w="0" w:type="dxa"/>
            <w:left w:w="108" w:type="dxa"/>
            <w:bottom w:w="0" w:type="dxa"/>
            <w:right w:w="108" w:type="dxa"/>
          </w:tblCellMar>
        </w:tblPrEx>
        <w:trPr>
          <w:trHeight w:val="90" w:hRule="atLeast"/>
        </w:trPr>
        <w:tc>
          <w:tcPr>
            <w:tcW w:w="2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4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纯电动低入口压缩式垃圾车</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新能源</w:t>
            </w:r>
          </w:p>
        </w:tc>
        <w:tc>
          <w:tcPr>
            <w:tcW w:w="3745"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top"/>
              <w:rPr>
                <w:rStyle w:val="43"/>
                <w:rFonts w:hint="default" w:ascii="宋体" w:hAnsi="宋体" w:eastAsia="宋体" w:cs="宋体"/>
                <w:color w:val="auto"/>
                <w:sz w:val="21"/>
                <w:szCs w:val="21"/>
                <w:highlight w:val="none"/>
                <w:lang w:bidi="ar"/>
              </w:rPr>
            </w:pPr>
            <w:r>
              <w:rPr>
                <w:rStyle w:val="43"/>
                <w:rFonts w:hint="default" w:ascii="宋体" w:hAnsi="宋体" w:eastAsia="宋体" w:cs="宋体"/>
                <w:b/>
                <w:bCs/>
                <w:color w:val="auto"/>
                <w:sz w:val="21"/>
                <w:szCs w:val="21"/>
                <w:highlight w:val="none"/>
                <w:lang w:bidi="ar"/>
              </w:rPr>
              <w:t>车辆用途：</w:t>
            </w:r>
            <w:r>
              <w:rPr>
                <w:rStyle w:val="43"/>
                <w:rFonts w:hint="default" w:ascii="宋体" w:hAnsi="宋体" w:eastAsia="宋体" w:cs="宋体"/>
                <w:color w:val="auto"/>
                <w:sz w:val="21"/>
                <w:szCs w:val="21"/>
                <w:highlight w:val="none"/>
                <w:lang w:bidi="ar"/>
              </w:rPr>
              <w:t>压缩式垃圾车主要具有装载能力强、垃圾可压缩、密封性能好等特点，广泛应用生活垃圾等压缩收运，是目前较为理想的垃圾收集、压缩、转运为一体的垃圾处理设备。</w:t>
            </w:r>
          </w:p>
        </w:tc>
      </w:tr>
      <w:tr>
        <w:tblPrEx>
          <w:tblCellMar>
            <w:top w:w="0" w:type="dxa"/>
            <w:left w:w="108" w:type="dxa"/>
            <w:bottom w:w="0" w:type="dxa"/>
            <w:right w:w="108" w:type="dxa"/>
          </w:tblCellMar>
        </w:tblPrEx>
        <w:trPr>
          <w:trHeight w:val="90" w:hRule="atLeast"/>
        </w:trPr>
        <w:tc>
          <w:tcPr>
            <w:tcW w:w="2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4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自卸式垃圾车</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新能源</w:t>
            </w:r>
          </w:p>
        </w:tc>
        <w:tc>
          <w:tcPr>
            <w:tcW w:w="3745"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hAnsi="宋体" w:cs="宋体"/>
                <w:color w:val="auto"/>
                <w:szCs w:val="21"/>
                <w:highlight w:val="none"/>
              </w:rPr>
            </w:pPr>
            <w:r>
              <w:rPr>
                <w:rStyle w:val="39"/>
                <w:rFonts w:hint="eastAsia" w:ascii="宋体" w:hAnsi="宋体" w:cs="宋体"/>
                <w:color w:val="auto"/>
                <w:sz w:val="21"/>
                <w:szCs w:val="21"/>
                <w:highlight w:val="none"/>
                <w:lang w:bidi="ar"/>
              </w:rPr>
              <w:t>车辆用途：</w:t>
            </w:r>
            <w:r>
              <w:rPr>
                <w:rStyle w:val="43"/>
                <w:rFonts w:hint="default" w:ascii="宋体" w:hAnsi="宋体" w:eastAsia="宋体" w:cs="宋体"/>
                <w:color w:val="auto"/>
                <w:sz w:val="21"/>
                <w:szCs w:val="21"/>
                <w:highlight w:val="none"/>
                <w:lang w:bidi="ar"/>
              </w:rPr>
              <w:t>自卸垃圾车主要具备密封性好、装载能力强等主要特点，广泛应用于城市及乡村建有压缩站的地方，将装载的压缩垃圾块转运到垃圾场处理自动卸放。</w:t>
            </w:r>
          </w:p>
        </w:tc>
      </w:tr>
      <w:tr>
        <w:tblPrEx>
          <w:tblCellMar>
            <w:top w:w="0" w:type="dxa"/>
            <w:left w:w="108" w:type="dxa"/>
            <w:bottom w:w="0" w:type="dxa"/>
            <w:right w:w="108" w:type="dxa"/>
          </w:tblCellMar>
        </w:tblPrEx>
        <w:trPr>
          <w:trHeight w:val="284" w:hRule="atLeast"/>
        </w:trPr>
        <w:tc>
          <w:tcPr>
            <w:tcW w:w="2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4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自装卸式垃圾车</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新能源</w:t>
            </w:r>
          </w:p>
        </w:tc>
        <w:tc>
          <w:tcPr>
            <w:tcW w:w="3745"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hAnsi="宋体" w:cs="宋体"/>
                <w:color w:val="auto"/>
                <w:szCs w:val="21"/>
                <w:highlight w:val="none"/>
              </w:rPr>
            </w:pPr>
            <w:r>
              <w:rPr>
                <w:rFonts w:hint="eastAsia" w:ascii="宋体" w:hAnsi="宋体" w:cs="宋体"/>
                <w:b/>
                <w:bCs/>
                <w:color w:val="auto"/>
                <w:kern w:val="0"/>
                <w:szCs w:val="21"/>
                <w:highlight w:val="none"/>
                <w:lang w:bidi="ar"/>
              </w:rPr>
              <w:t>车辆用途：</w:t>
            </w:r>
            <w:r>
              <w:rPr>
                <w:rFonts w:hint="eastAsia" w:ascii="宋体" w:hAnsi="宋体" w:cs="宋体"/>
                <w:color w:val="auto"/>
                <w:kern w:val="0"/>
                <w:szCs w:val="21"/>
                <w:highlight w:val="none"/>
                <w:lang w:bidi="ar"/>
              </w:rPr>
              <w:t>自装卸式垃圾车主要具备小巧灵活、密封性、装载能力强等主要特点，广泛应用于城镇小型街道、居民小区、公园、车站等带有垃圾桶收集的场所进行垃圾收运。</w:t>
            </w:r>
          </w:p>
        </w:tc>
      </w:tr>
      <w:tr>
        <w:tblPrEx>
          <w:tblCellMar>
            <w:top w:w="0" w:type="dxa"/>
            <w:left w:w="108" w:type="dxa"/>
            <w:bottom w:w="0" w:type="dxa"/>
            <w:right w:w="108" w:type="dxa"/>
          </w:tblCellMar>
        </w:tblPrEx>
        <w:trPr>
          <w:trHeight w:val="234" w:hRule="atLeast"/>
        </w:trPr>
        <w:tc>
          <w:tcPr>
            <w:tcW w:w="2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4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纯电动密闭式桶装垃圾车</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新能源</w:t>
            </w:r>
          </w:p>
        </w:tc>
        <w:tc>
          <w:tcPr>
            <w:tcW w:w="3745"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hAnsi="宋体" w:cs="宋体"/>
                <w:color w:val="auto"/>
                <w:szCs w:val="21"/>
                <w:highlight w:val="none"/>
              </w:rPr>
            </w:pPr>
            <w:r>
              <w:rPr>
                <w:rStyle w:val="39"/>
                <w:rFonts w:hint="eastAsia" w:ascii="宋体" w:hAnsi="宋体" w:cs="宋体"/>
                <w:color w:val="auto"/>
                <w:sz w:val="21"/>
                <w:szCs w:val="21"/>
                <w:highlight w:val="none"/>
                <w:lang w:bidi="ar"/>
              </w:rPr>
              <w:t>车辆用途：</w:t>
            </w:r>
            <w:r>
              <w:rPr>
                <w:rStyle w:val="43"/>
                <w:rFonts w:hint="default" w:ascii="宋体" w:hAnsi="宋体" w:eastAsia="宋体" w:cs="宋体"/>
                <w:color w:val="auto"/>
                <w:sz w:val="21"/>
                <w:szCs w:val="21"/>
                <w:highlight w:val="none"/>
                <w:lang w:bidi="ar"/>
              </w:rPr>
              <w:t>密闭式桶装垃圾车主要具备小巧灵活、密封性好、装载能力强等主要特点，广泛应用于城镇小型街道、居民小区、公园、车站等带有垃圾桶收集的场所进行垃圾收运。</w:t>
            </w:r>
          </w:p>
        </w:tc>
      </w:tr>
      <w:tr>
        <w:tblPrEx>
          <w:tblCellMar>
            <w:top w:w="0" w:type="dxa"/>
            <w:left w:w="108" w:type="dxa"/>
            <w:bottom w:w="0" w:type="dxa"/>
            <w:right w:w="108" w:type="dxa"/>
          </w:tblCellMar>
        </w:tblPrEx>
        <w:trPr>
          <w:trHeight w:val="90" w:hRule="atLeast"/>
        </w:trPr>
        <w:tc>
          <w:tcPr>
            <w:tcW w:w="2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4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纯电动扫路机</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新能源</w:t>
            </w:r>
          </w:p>
        </w:tc>
        <w:tc>
          <w:tcPr>
            <w:tcW w:w="3745"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hAnsi="宋体" w:cs="宋体"/>
                <w:color w:val="auto"/>
                <w:szCs w:val="21"/>
                <w:highlight w:val="none"/>
              </w:rPr>
            </w:pPr>
            <w:r>
              <w:rPr>
                <w:rStyle w:val="39"/>
                <w:rFonts w:hint="eastAsia" w:ascii="宋体" w:hAnsi="宋体" w:cs="宋体"/>
                <w:color w:val="auto"/>
                <w:sz w:val="21"/>
                <w:szCs w:val="21"/>
                <w:highlight w:val="none"/>
                <w:lang w:bidi="ar"/>
              </w:rPr>
              <w:t>车辆用途：</w:t>
            </w:r>
            <w:r>
              <w:rPr>
                <w:rStyle w:val="43"/>
                <w:rFonts w:hint="default" w:ascii="宋体" w:hAnsi="宋体" w:eastAsia="宋体" w:cs="宋体"/>
                <w:color w:val="auto"/>
                <w:sz w:val="21"/>
                <w:szCs w:val="21"/>
                <w:highlight w:val="none"/>
                <w:lang w:bidi="ar"/>
              </w:rPr>
              <w:t>具有动力强劲、无级变速、行驶中无换挡过程、平顺性好、转弯半径小、机动灵活等特点。广泛适用城市道路专业环卫清洁 ( 人行道、辅道、中心城区)、 园林景观美化、人行道保洁、厂务管理等各种工况。</w:t>
            </w:r>
          </w:p>
        </w:tc>
      </w:tr>
      <w:tr>
        <w:tblPrEx>
          <w:tblCellMar>
            <w:top w:w="0" w:type="dxa"/>
            <w:left w:w="108" w:type="dxa"/>
            <w:bottom w:w="0" w:type="dxa"/>
            <w:right w:w="108" w:type="dxa"/>
          </w:tblCellMar>
        </w:tblPrEx>
        <w:trPr>
          <w:trHeight w:val="777" w:hRule="atLeast"/>
        </w:trPr>
        <w:tc>
          <w:tcPr>
            <w:tcW w:w="2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447" w:type="pct"/>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护栏清洗车</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新能源</w:t>
            </w:r>
          </w:p>
        </w:tc>
        <w:tc>
          <w:tcPr>
            <w:tcW w:w="3745" w:type="pct"/>
            <w:gridSpan w:val="2"/>
            <w:tcBorders>
              <w:top w:val="single" w:color="000000" w:sz="4" w:space="0"/>
              <w:left w:val="single" w:color="000000" w:sz="4" w:space="0"/>
              <w:bottom w:val="nil"/>
              <w:right w:val="single" w:color="000000" w:sz="4" w:space="0"/>
            </w:tcBorders>
            <w:vAlign w:val="center"/>
          </w:tcPr>
          <w:p>
            <w:pPr>
              <w:widowControl/>
              <w:textAlignment w:val="top"/>
              <w:rPr>
                <w:rFonts w:ascii="宋体" w:hAnsi="宋体" w:cs="宋体"/>
                <w:color w:val="auto"/>
                <w:szCs w:val="21"/>
                <w:highlight w:val="none"/>
              </w:rPr>
            </w:pPr>
            <w:r>
              <w:rPr>
                <w:rStyle w:val="39"/>
                <w:rFonts w:hint="eastAsia" w:ascii="宋体" w:hAnsi="宋体" w:cs="宋体"/>
                <w:color w:val="auto"/>
                <w:sz w:val="21"/>
                <w:szCs w:val="21"/>
                <w:highlight w:val="none"/>
                <w:lang w:bidi="ar"/>
              </w:rPr>
              <w:t>车辆用途：</w:t>
            </w:r>
            <w:r>
              <w:rPr>
                <w:rStyle w:val="43"/>
                <w:rFonts w:hint="default" w:ascii="宋体" w:hAnsi="宋体" w:eastAsia="宋体" w:cs="宋体"/>
                <w:color w:val="auto"/>
                <w:sz w:val="21"/>
                <w:szCs w:val="21"/>
                <w:highlight w:val="none"/>
                <w:lang w:bidi="ar"/>
              </w:rPr>
              <w:t>适用于城市道路护栏的清洗、双黄线清洗、路面高压清洗以及城市雕塑、交通标志、交通路牌、广告牌的定点清洗等。该车清洗效率高，清洗效果好，能一次性洗净护栏的四周，解决了国内行业产品对护栏前、后方向无法清洗干净的问题。</w:t>
            </w:r>
          </w:p>
        </w:tc>
      </w:tr>
      <w:tr>
        <w:tblPrEx>
          <w:tblCellMar>
            <w:top w:w="0" w:type="dxa"/>
            <w:left w:w="108" w:type="dxa"/>
            <w:bottom w:w="0" w:type="dxa"/>
            <w:right w:w="108" w:type="dxa"/>
          </w:tblCellMar>
        </w:tblPrEx>
        <w:trPr>
          <w:trHeight w:val="90" w:hRule="atLeast"/>
        </w:trPr>
        <w:tc>
          <w:tcPr>
            <w:tcW w:w="235" w:type="pct"/>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447" w:type="pct"/>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多功能智能清扫机器人</w:t>
            </w:r>
          </w:p>
        </w:tc>
        <w:tc>
          <w:tcPr>
            <w:tcW w:w="572" w:type="pct"/>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新能源</w:t>
            </w:r>
          </w:p>
        </w:tc>
        <w:tc>
          <w:tcPr>
            <w:tcW w:w="3745" w:type="pct"/>
            <w:gridSpan w:val="2"/>
            <w:tcBorders>
              <w:top w:val="single" w:color="000000" w:sz="4" w:space="0"/>
              <w:left w:val="single" w:color="000000" w:sz="4" w:space="0"/>
              <w:bottom w:val="nil"/>
              <w:right w:val="single" w:color="000000" w:sz="4" w:space="0"/>
            </w:tcBorders>
            <w:vAlign w:val="center"/>
          </w:tcPr>
          <w:p>
            <w:pPr>
              <w:widowControl/>
              <w:textAlignment w:val="top"/>
              <w:rPr>
                <w:rFonts w:ascii="宋体" w:hAnsi="宋体" w:cs="宋体"/>
                <w:color w:val="auto"/>
                <w:szCs w:val="21"/>
                <w:highlight w:val="none"/>
              </w:rPr>
            </w:pPr>
            <w:r>
              <w:rPr>
                <w:rStyle w:val="44"/>
                <w:rFonts w:hint="default" w:ascii="宋体" w:hAnsi="宋体" w:eastAsia="宋体" w:cs="宋体"/>
                <w:color w:val="auto"/>
                <w:sz w:val="21"/>
                <w:szCs w:val="21"/>
                <w:highlight w:val="none"/>
                <w:lang w:bidi="ar"/>
              </w:rPr>
              <w:t>车辆用途：</w:t>
            </w:r>
            <w:r>
              <w:rPr>
                <w:rStyle w:val="45"/>
                <w:rFonts w:hint="default" w:ascii="宋体" w:hAnsi="宋体" w:eastAsia="宋体" w:cs="宋体"/>
                <w:color w:val="auto"/>
                <w:sz w:val="21"/>
                <w:szCs w:val="21"/>
                <w:highlight w:val="none"/>
                <w:lang w:bidi="ar"/>
              </w:rPr>
              <w:t>多功能清扫机器人是一款具备强大清扫系统、  利用先进无人驾驶技术实现高精度自动化清扫作业的智能清扫设备。</w:t>
            </w:r>
          </w:p>
        </w:tc>
      </w:tr>
      <w:tr>
        <w:tblPrEx>
          <w:tblCellMar>
            <w:top w:w="0" w:type="dxa"/>
            <w:left w:w="108" w:type="dxa"/>
            <w:bottom w:w="0" w:type="dxa"/>
            <w:right w:w="108" w:type="dxa"/>
          </w:tblCellMar>
        </w:tblPrEx>
        <w:trPr>
          <w:trHeight w:val="90" w:hRule="atLeast"/>
        </w:trPr>
        <w:tc>
          <w:tcPr>
            <w:tcW w:w="235" w:type="pct"/>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447" w:type="pct"/>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高压冲洗车</w:t>
            </w:r>
          </w:p>
        </w:tc>
        <w:tc>
          <w:tcPr>
            <w:tcW w:w="572" w:type="pct"/>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新能源</w:t>
            </w:r>
          </w:p>
        </w:tc>
        <w:tc>
          <w:tcPr>
            <w:tcW w:w="3745" w:type="pct"/>
            <w:gridSpan w:val="2"/>
            <w:tcBorders>
              <w:top w:val="single" w:color="000000" w:sz="4" w:space="0"/>
              <w:left w:val="single" w:color="000000" w:sz="4" w:space="0"/>
              <w:bottom w:val="nil"/>
              <w:right w:val="single" w:color="000000" w:sz="4" w:space="0"/>
            </w:tcBorders>
            <w:vAlign w:val="center"/>
          </w:tcPr>
          <w:p>
            <w:pPr>
              <w:widowControl/>
              <w:textAlignment w:val="top"/>
              <w:rPr>
                <w:rFonts w:ascii="宋体" w:hAnsi="宋体" w:cs="宋体"/>
                <w:color w:val="auto"/>
                <w:kern w:val="0"/>
                <w:szCs w:val="21"/>
                <w:highlight w:val="none"/>
                <w:lang w:bidi="ar"/>
              </w:rPr>
            </w:pPr>
            <w:r>
              <w:rPr>
                <w:rStyle w:val="44"/>
                <w:rFonts w:hint="default" w:ascii="宋体" w:hAnsi="宋体" w:eastAsia="宋体" w:cs="宋体"/>
                <w:color w:val="auto"/>
                <w:sz w:val="21"/>
                <w:szCs w:val="21"/>
                <w:highlight w:val="none"/>
                <w:lang w:bidi="ar"/>
              </w:rPr>
              <w:t>车辆用途：</w:t>
            </w:r>
          </w:p>
          <w:p>
            <w:pPr>
              <w:widowControl/>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1.主要用于清洗城市下水道 、管道的沉积物 、死角泥沟的疏通。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2.用于清洗工业排液管道 、壁面等，清洗公路 、广场地面。</w:t>
            </w:r>
          </w:p>
        </w:tc>
      </w:tr>
      <w:tr>
        <w:tblPrEx>
          <w:tblCellMar>
            <w:top w:w="0" w:type="dxa"/>
            <w:left w:w="108" w:type="dxa"/>
            <w:bottom w:w="0" w:type="dxa"/>
            <w:right w:w="108" w:type="dxa"/>
          </w:tblCellMar>
        </w:tblPrEx>
        <w:trPr>
          <w:trHeight w:val="90" w:hRule="atLeast"/>
        </w:trPr>
        <w:tc>
          <w:tcPr>
            <w:tcW w:w="2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44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自跟随清洁机器人</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新能源</w:t>
            </w:r>
          </w:p>
        </w:tc>
        <w:tc>
          <w:tcPr>
            <w:tcW w:w="3745"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用途：</w:t>
            </w:r>
          </w:p>
          <w:p>
            <w:pPr>
              <w:widowControl/>
              <w:numPr>
                <w:ilvl w:val="0"/>
                <w:numId w:val="10"/>
              </w:numP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智能跟随+人工驾驶保洁：机器宽度窄 ，狭小路段自由通行、人工驾驶，座椅设计符合人体工学，灵活机动，高效保洁、智能自适应跟随，人行机走，人停机停；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2.：强力吸吹：采用低噪高效离心风机，效率高，噪声低、吸力三挡可调节，轻松吸收树叶、烟头、白色垃圾等、机器内部存储吹风机，随取随用；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3.：支持高压清洗解决地面油渍、牛皮癣等问题；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4.：前视摄像头 - 智慧监控实时监控，实时保存视频，行车记录仪，对车辆违停、出店经营、占道经营等违规行为做出识别，并上传数据至云平台；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5.：后置AI摄像头-视觉识别垃圾，后置AI摄像头，识别车体后面是否有垃圾、识别垃圾结果实时提醒作业人员，及时处理。</w:t>
            </w:r>
          </w:p>
        </w:tc>
      </w:tr>
      <w:tr>
        <w:tblPrEx>
          <w:tblCellMar>
            <w:top w:w="0" w:type="dxa"/>
            <w:left w:w="108" w:type="dxa"/>
            <w:bottom w:w="0" w:type="dxa"/>
            <w:right w:w="108" w:type="dxa"/>
          </w:tblCellMar>
        </w:tblPrEx>
        <w:trPr>
          <w:trHeight w:val="90"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备注：根据《东莞市生活垃圾车“文明出行”专项行动方案》要求，为进一步提升我镇生活垃圾运输车管理水平，全面推进生活垃圾运输车辆统一外观样式工作，现请各投标人参照后面图片。</w:t>
            </w:r>
          </w:p>
        </w:tc>
      </w:tr>
      <w:tr>
        <w:tblPrEx>
          <w:tblCellMar>
            <w:top w:w="0" w:type="dxa"/>
            <w:left w:w="108" w:type="dxa"/>
            <w:bottom w:w="0" w:type="dxa"/>
            <w:right w:w="108" w:type="dxa"/>
          </w:tblCellMar>
        </w:tblPrEx>
        <w:trPr>
          <w:trHeight w:val="3120" w:hRule="atLeast"/>
        </w:trPr>
        <w:tc>
          <w:tcPr>
            <w:tcW w:w="2348" w:type="pct"/>
            <w:gridSpan w:val="4"/>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kern w:val="0"/>
                <w:szCs w:val="21"/>
                <w:highlight w:val="none"/>
                <w:bdr w:val="single" w:color="000000" w:sz="4" w:space="0"/>
                <w:lang w:bidi="ar"/>
              </w:rPr>
            </w:pPr>
            <w:r>
              <w:rPr>
                <w:rFonts w:hint="eastAsia" w:ascii="宋体" w:hAnsi="宋体" w:cs="宋体"/>
                <w:color w:val="auto"/>
                <w:szCs w:val="21"/>
                <w:highlight w:val="none"/>
              </w:rPr>
              <w:t>备注：厨余垃圾清运车</w:t>
            </w:r>
          </w:p>
          <w:p>
            <w:pPr>
              <w:jc w:val="center"/>
              <w:rPr>
                <w:rFonts w:ascii="宋体" w:hAnsi="宋体" w:cs="宋体"/>
                <w:color w:val="auto"/>
                <w:szCs w:val="21"/>
                <w:highlight w:val="none"/>
              </w:rPr>
            </w:pPr>
            <w:r>
              <w:rPr>
                <w:rFonts w:hint="eastAsia" w:ascii="宋体" w:hAnsi="宋体" w:cs="宋体"/>
                <w:color w:val="auto"/>
                <w:kern w:val="0"/>
                <w:szCs w:val="21"/>
                <w:highlight w:val="none"/>
                <w:bdr w:val="single" w:color="000000" w:sz="4" w:space="0"/>
                <w:lang w:bidi="ar"/>
              </w:rPr>
              <w:drawing>
                <wp:inline distT="0" distB="0" distL="114300" distR="114300">
                  <wp:extent cx="2221865" cy="1536700"/>
                  <wp:effectExtent l="0" t="0" r="0" b="0"/>
                  <wp:docPr id="11" name="图片 1"/>
                  <wp:cNvGraphicFramePr/>
                  <a:graphic xmlns:a="http://schemas.openxmlformats.org/drawingml/2006/main">
                    <a:graphicData uri="http://schemas.openxmlformats.org/drawingml/2006/picture">
                      <pic:pic xmlns:pic="http://schemas.openxmlformats.org/drawingml/2006/picture">
                        <pic:nvPicPr>
                          <pic:cNvPr id="11" name="图片 1"/>
                          <pic:cNvPicPr/>
                        </pic:nvPicPr>
                        <pic:blipFill>
                          <a:blip r:embed="rId10"/>
                          <a:stretch>
                            <a:fillRect/>
                          </a:stretch>
                        </pic:blipFill>
                        <pic:spPr>
                          <a:xfrm>
                            <a:off x="0" y="0"/>
                            <a:ext cx="2221865" cy="1536700"/>
                          </a:xfrm>
                          <a:prstGeom prst="rect">
                            <a:avLst/>
                          </a:prstGeom>
                          <a:noFill/>
                          <a:ln>
                            <a:noFill/>
                          </a:ln>
                        </pic:spPr>
                      </pic:pic>
                    </a:graphicData>
                  </a:graphic>
                </wp:inline>
              </w:drawing>
            </w:r>
          </w:p>
        </w:tc>
        <w:tc>
          <w:tcPr>
            <w:tcW w:w="26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auto"/>
                <w:kern w:val="0"/>
                <w:szCs w:val="21"/>
                <w:highlight w:val="none"/>
                <w:bdr w:val="single" w:color="000000" w:sz="4" w:space="0"/>
                <w:lang w:bidi="ar"/>
              </w:rPr>
            </w:pPr>
            <w:r>
              <w:rPr>
                <w:rFonts w:hint="eastAsia" w:ascii="宋体" w:hAnsi="宋体" w:cs="宋体"/>
                <w:color w:val="auto"/>
                <w:kern w:val="0"/>
                <w:szCs w:val="21"/>
                <w:highlight w:val="none"/>
                <w:bdr w:val="single" w:color="000000" w:sz="4" w:space="0"/>
                <w:lang w:bidi="ar"/>
              </w:rPr>
              <w:drawing>
                <wp:inline distT="0" distB="0" distL="114300" distR="114300">
                  <wp:extent cx="2743835" cy="1428750"/>
                  <wp:effectExtent l="0" t="0" r="0" b="0"/>
                  <wp:docPr id="12" name="图片 2"/>
                  <wp:cNvGraphicFramePr/>
                  <a:graphic xmlns:a="http://schemas.openxmlformats.org/drawingml/2006/main">
                    <a:graphicData uri="http://schemas.openxmlformats.org/drawingml/2006/picture">
                      <pic:pic xmlns:pic="http://schemas.openxmlformats.org/drawingml/2006/picture">
                        <pic:nvPicPr>
                          <pic:cNvPr id="12" name="图片 2"/>
                          <pic:cNvPicPr/>
                        </pic:nvPicPr>
                        <pic:blipFill>
                          <a:blip r:embed="rId11"/>
                          <a:stretch>
                            <a:fillRect/>
                          </a:stretch>
                        </pic:blipFill>
                        <pic:spPr>
                          <a:xfrm>
                            <a:off x="0" y="0"/>
                            <a:ext cx="2743835" cy="142875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3120" w:hRule="atLeast"/>
        </w:trPr>
        <w:tc>
          <w:tcPr>
            <w:tcW w:w="2348" w:type="pct"/>
            <w:gridSpan w:val="4"/>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备注：厨余垃圾清运车</w:t>
            </w:r>
          </w:p>
          <w:p>
            <w:pPr>
              <w:jc w:val="center"/>
              <w:rPr>
                <w:rFonts w:ascii="宋体" w:hAnsi="宋体" w:cs="宋体"/>
                <w:color w:val="auto"/>
                <w:szCs w:val="21"/>
                <w:highlight w:val="none"/>
              </w:rPr>
            </w:pPr>
            <w:r>
              <w:rPr>
                <w:rFonts w:hint="eastAsia" w:ascii="宋体" w:hAnsi="宋体" w:cs="宋体"/>
                <w:color w:val="auto"/>
                <w:szCs w:val="21"/>
                <w:highlight w:val="none"/>
              </w:rPr>
              <w:drawing>
                <wp:inline distT="0" distB="0" distL="114300" distR="114300">
                  <wp:extent cx="1950720" cy="2164080"/>
                  <wp:effectExtent l="0" t="0" r="11430" b="762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2"/>
                          <a:stretch>
                            <a:fillRect/>
                          </a:stretch>
                        </pic:blipFill>
                        <pic:spPr>
                          <a:xfrm>
                            <a:off x="0" y="0"/>
                            <a:ext cx="1950720" cy="2164080"/>
                          </a:xfrm>
                          <a:prstGeom prst="rect">
                            <a:avLst/>
                          </a:prstGeom>
                          <a:noFill/>
                          <a:ln>
                            <a:noFill/>
                          </a:ln>
                        </pic:spPr>
                      </pic:pic>
                    </a:graphicData>
                  </a:graphic>
                </wp:inline>
              </w:drawing>
            </w:r>
          </w:p>
        </w:tc>
        <w:tc>
          <w:tcPr>
            <w:tcW w:w="2651" w:type="pct"/>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hAnsi="宋体" w:cs="宋体"/>
                <w:color w:val="auto"/>
                <w:szCs w:val="21"/>
                <w:highlight w:val="none"/>
              </w:rPr>
            </w:pPr>
            <w:r>
              <w:rPr>
                <w:rFonts w:hint="eastAsia" w:ascii="宋体" w:hAnsi="宋体" w:cs="宋体"/>
                <w:color w:val="auto"/>
                <w:szCs w:val="21"/>
                <w:highlight w:val="none"/>
              </w:rPr>
              <w:t>备注：有害垃圾清运车</w:t>
            </w:r>
          </w:p>
          <w:p>
            <w:pPr>
              <w:widowControl/>
              <w:jc w:val="center"/>
              <w:textAlignment w:val="top"/>
              <w:rPr>
                <w:rFonts w:ascii="宋体" w:hAnsi="宋体" w:cs="宋体"/>
                <w:color w:val="auto"/>
                <w:szCs w:val="21"/>
                <w:highlight w:val="none"/>
              </w:rPr>
            </w:pPr>
            <w:r>
              <w:rPr>
                <w:rFonts w:hint="eastAsia" w:ascii="宋体" w:hAnsi="宋体" w:cs="宋体"/>
                <w:color w:val="auto"/>
                <w:szCs w:val="21"/>
                <w:highlight w:val="none"/>
              </w:rPr>
              <w:drawing>
                <wp:inline distT="0" distB="0" distL="114300" distR="114300">
                  <wp:extent cx="1908175" cy="2164080"/>
                  <wp:effectExtent l="0" t="0" r="15875" b="762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13"/>
                          <a:stretch>
                            <a:fillRect/>
                          </a:stretch>
                        </pic:blipFill>
                        <pic:spPr>
                          <a:xfrm>
                            <a:off x="0" y="0"/>
                            <a:ext cx="1908175" cy="216408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3120" w:hRule="atLeast"/>
        </w:trPr>
        <w:tc>
          <w:tcPr>
            <w:tcW w:w="2348" w:type="pct"/>
            <w:gridSpan w:val="4"/>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备注：可回收物清运车</w:t>
            </w:r>
          </w:p>
          <w:p>
            <w:pPr>
              <w:jc w:val="center"/>
              <w:rPr>
                <w:rFonts w:ascii="宋体" w:hAnsi="宋体" w:cs="宋体"/>
                <w:color w:val="auto"/>
                <w:szCs w:val="21"/>
                <w:highlight w:val="none"/>
              </w:rPr>
            </w:pPr>
            <w:r>
              <w:rPr>
                <w:rFonts w:hint="eastAsia" w:ascii="宋体" w:hAnsi="宋体" w:cs="宋体"/>
                <w:color w:val="auto"/>
                <w:szCs w:val="21"/>
                <w:highlight w:val="none"/>
              </w:rPr>
              <w:drawing>
                <wp:inline distT="0" distB="0" distL="114300" distR="114300">
                  <wp:extent cx="1938655" cy="2164080"/>
                  <wp:effectExtent l="0" t="0" r="4445" b="762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4"/>
                          <a:stretch>
                            <a:fillRect/>
                          </a:stretch>
                        </pic:blipFill>
                        <pic:spPr>
                          <a:xfrm>
                            <a:off x="0" y="0"/>
                            <a:ext cx="1938655" cy="2164080"/>
                          </a:xfrm>
                          <a:prstGeom prst="rect">
                            <a:avLst/>
                          </a:prstGeom>
                          <a:noFill/>
                          <a:ln>
                            <a:noFill/>
                          </a:ln>
                        </pic:spPr>
                      </pic:pic>
                    </a:graphicData>
                  </a:graphic>
                </wp:inline>
              </w:drawing>
            </w:r>
          </w:p>
        </w:tc>
        <w:tc>
          <w:tcPr>
            <w:tcW w:w="2651" w:type="pct"/>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备注：其他垃圾小型清运车车身标识模版（厨余垃圾、有害垃圾、可回收物小型清运车车身标识参照图片格式修改）</w:t>
            </w:r>
          </w:p>
          <w:p>
            <w:pPr>
              <w:pStyle w:val="2"/>
              <w:jc w:val="center"/>
              <w:rPr>
                <w:color w:val="auto"/>
                <w:sz w:val="21"/>
                <w:szCs w:val="21"/>
                <w:highlight w:val="none"/>
              </w:rPr>
            </w:pPr>
            <w:r>
              <w:rPr>
                <w:rFonts w:hint="eastAsia"/>
                <w:color w:val="auto"/>
                <w:sz w:val="21"/>
                <w:szCs w:val="21"/>
                <w:highlight w:val="none"/>
              </w:rPr>
              <w:drawing>
                <wp:inline distT="0" distB="0" distL="114300" distR="114300">
                  <wp:extent cx="2717800" cy="1592580"/>
                  <wp:effectExtent l="0" t="0" r="6350" b="762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15"/>
                          <a:stretch>
                            <a:fillRect/>
                          </a:stretch>
                        </pic:blipFill>
                        <pic:spPr>
                          <a:xfrm>
                            <a:off x="0" y="0"/>
                            <a:ext cx="2717800" cy="1592580"/>
                          </a:xfrm>
                          <a:prstGeom prst="rect">
                            <a:avLst/>
                          </a:prstGeom>
                          <a:noFill/>
                          <a:ln>
                            <a:noFill/>
                          </a:ln>
                        </pic:spPr>
                      </pic:pic>
                    </a:graphicData>
                  </a:graphic>
                </wp:inline>
              </w:drawing>
            </w:r>
          </w:p>
        </w:tc>
      </w:tr>
    </w:tbl>
    <w:p>
      <w:pPr>
        <w:spacing w:line="360" w:lineRule="auto"/>
        <w:ind w:firstLine="422" w:firstLineChars="200"/>
        <w:rPr>
          <w:rFonts w:ascii="宋体" w:hAnsi="宋体" w:cs="宋体"/>
          <w:b/>
          <w:bCs/>
          <w:color w:val="auto"/>
          <w:szCs w:val="21"/>
          <w:highlight w:val="none"/>
        </w:rPr>
      </w:pP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（十二）人员配置要求</w:t>
      </w:r>
    </w:p>
    <w:tbl>
      <w:tblPr>
        <w:tblStyle w:val="18"/>
        <w:tblW w:w="51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4"/>
        <w:gridCol w:w="2195"/>
        <w:gridCol w:w="2068"/>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194"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r>
              <w:rPr>
                <w:rFonts w:hint="eastAsia" w:hAnsi="宋体" w:cs="宋体"/>
                <w:b w:val="0"/>
                <w:bCs w:val="0"/>
                <w:color w:val="auto"/>
                <w:sz w:val="21"/>
                <w:szCs w:val="21"/>
                <w:highlight w:val="none"/>
              </w:rPr>
              <w:t>业务类型</w:t>
            </w:r>
          </w:p>
        </w:tc>
        <w:tc>
          <w:tcPr>
            <w:tcW w:w="2195"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r>
              <w:rPr>
                <w:rFonts w:hint="eastAsia" w:hAnsi="宋体" w:cs="宋体"/>
                <w:b w:val="0"/>
                <w:bCs w:val="0"/>
                <w:color w:val="auto"/>
                <w:sz w:val="21"/>
                <w:szCs w:val="21"/>
                <w:highlight w:val="none"/>
              </w:rPr>
              <w:t>人员种类</w:t>
            </w:r>
          </w:p>
        </w:tc>
        <w:tc>
          <w:tcPr>
            <w:tcW w:w="2068"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r>
              <w:rPr>
                <w:rFonts w:hint="eastAsia" w:hAnsi="宋体" w:cs="宋体"/>
                <w:b w:val="0"/>
                <w:bCs w:val="0"/>
                <w:color w:val="auto"/>
                <w:sz w:val="21"/>
                <w:szCs w:val="21"/>
                <w:highlight w:val="none"/>
              </w:rPr>
              <w:t>数量（人）</w:t>
            </w:r>
          </w:p>
        </w:tc>
        <w:tc>
          <w:tcPr>
            <w:tcW w:w="2290"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r>
              <w:rPr>
                <w:rFonts w:hint="eastAsia" w:hAnsi="宋体" w:cs="宋体"/>
                <w:b w:val="0"/>
                <w:bCs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94" w:type="dxa"/>
            <w:vMerge w:val="restart"/>
            <w:tcBorders>
              <w:top w:val="single" w:color="auto" w:sz="4" w:space="0"/>
              <w:left w:val="single" w:color="auto" w:sz="4" w:space="0"/>
              <w:right w:val="single" w:color="auto" w:sz="4" w:space="0"/>
            </w:tcBorders>
            <w:vAlign w:val="center"/>
          </w:tcPr>
          <w:p>
            <w:pPr>
              <w:pStyle w:val="2"/>
              <w:rPr>
                <w:rFonts w:ascii="宋体" w:hAnsi="宋体" w:cs="宋体"/>
                <w:color w:val="auto"/>
                <w:sz w:val="21"/>
                <w:szCs w:val="21"/>
                <w:highlight w:val="none"/>
              </w:rPr>
            </w:pPr>
            <w:r>
              <w:rPr>
                <w:rFonts w:hint="eastAsia" w:hAnsi="宋体" w:cs="宋体"/>
                <w:b w:val="0"/>
                <w:bCs w:val="0"/>
                <w:color w:val="auto"/>
                <w:sz w:val="21"/>
                <w:szCs w:val="21"/>
                <w:highlight w:val="none"/>
              </w:rPr>
              <w:t>办公室</w:t>
            </w:r>
          </w:p>
        </w:tc>
        <w:tc>
          <w:tcPr>
            <w:tcW w:w="2195"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r>
              <w:rPr>
                <w:rFonts w:hint="eastAsia" w:hAnsi="宋体" w:cs="宋体"/>
                <w:b w:val="0"/>
                <w:bCs w:val="0"/>
                <w:color w:val="auto"/>
                <w:sz w:val="21"/>
                <w:szCs w:val="21"/>
                <w:highlight w:val="none"/>
              </w:rPr>
              <w:t>项目经理</w:t>
            </w:r>
          </w:p>
        </w:tc>
        <w:tc>
          <w:tcPr>
            <w:tcW w:w="2068"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r>
              <w:rPr>
                <w:rFonts w:hint="eastAsia" w:hAnsi="宋体" w:cs="宋体"/>
                <w:b w:val="0"/>
                <w:bCs w:val="0"/>
                <w:color w:val="auto"/>
                <w:sz w:val="21"/>
                <w:szCs w:val="21"/>
                <w:highlight w:val="none"/>
              </w:rPr>
              <w:t>1</w:t>
            </w:r>
          </w:p>
        </w:tc>
        <w:tc>
          <w:tcPr>
            <w:tcW w:w="2290"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94" w:type="dxa"/>
            <w:vMerge w:val="continue"/>
            <w:tcBorders>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p>
        </w:tc>
        <w:tc>
          <w:tcPr>
            <w:tcW w:w="2195"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r>
              <w:rPr>
                <w:rFonts w:hint="eastAsia" w:hAnsi="宋体" w:cs="宋体"/>
                <w:b w:val="0"/>
                <w:bCs w:val="0"/>
                <w:color w:val="auto"/>
                <w:sz w:val="21"/>
                <w:szCs w:val="21"/>
                <w:highlight w:val="none"/>
              </w:rPr>
              <w:t>管理人员</w:t>
            </w:r>
          </w:p>
        </w:tc>
        <w:tc>
          <w:tcPr>
            <w:tcW w:w="2068"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color w:val="auto"/>
                <w:sz w:val="21"/>
                <w:szCs w:val="21"/>
                <w:highlight w:val="none"/>
                <w:lang w:eastAsia="zh-CN"/>
              </w:rPr>
            </w:pPr>
            <w:r>
              <w:rPr>
                <w:rFonts w:hint="eastAsia" w:hAnsi="宋体" w:cs="宋体"/>
                <w:b w:val="0"/>
                <w:bCs w:val="0"/>
                <w:color w:val="auto"/>
                <w:sz w:val="21"/>
                <w:szCs w:val="21"/>
                <w:highlight w:val="none"/>
                <w:lang w:val="en-US"/>
              </w:rPr>
              <w:t>6</w:t>
            </w:r>
          </w:p>
        </w:tc>
        <w:tc>
          <w:tcPr>
            <w:tcW w:w="2290"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94"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hAnsi="宋体" w:cs="宋体"/>
                <w:color w:val="auto"/>
                <w:sz w:val="21"/>
                <w:szCs w:val="21"/>
                <w:highlight w:val="none"/>
              </w:rPr>
              <w:t>清扫保洁</w:t>
            </w:r>
          </w:p>
        </w:tc>
        <w:tc>
          <w:tcPr>
            <w:tcW w:w="2195"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r>
              <w:rPr>
                <w:rFonts w:hint="eastAsia" w:hAnsi="宋体" w:cs="宋体"/>
                <w:b w:val="0"/>
                <w:bCs w:val="0"/>
                <w:color w:val="auto"/>
                <w:sz w:val="21"/>
                <w:szCs w:val="21"/>
                <w:highlight w:val="none"/>
              </w:rPr>
              <w:t>环卫保洁工人</w:t>
            </w:r>
          </w:p>
        </w:tc>
        <w:tc>
          <w:tcPr>
            <w:tcW w:w="2068" w:type="dxa"/>
            <w:tcBorders>
              <w:top w:val="single" w:color="auto" w:sz="4" w:space="0"/>
              <w:left w:val="single" w:color="auto" w:sz="4" w:space="0"/>
              <w:bottom w:val="single" w:color="auto" w:sz="4" w:space="0"/>
              <w:right w:val="single" w:color="auto" w:sz="4" w:space="0"/>
            </w:tcBorders>
            <w:vAlign w:val="center"/>
          </w:tcPr>
          <w:p>
            <w:pPr>
              <w:pStyle w:val="2"/>
              <w:rPr>
                <w:rFonts w:hint="default" w:ascii="宋体" w:hAnsi="宋体" w:eastAsia="宋体" w:cs="宋体"/>
                <w:color w:val="auto"/>
                <w:sz w:val="21"/>
                <w:szCs w:val="21"/>
                <w:highlight w:val="none"/>
                <w:lang w:val="en-US" w:eastAsia="zh-CN"/>
              </w:rPr>
            </w:pPr>
            <w:r>
              <w:rPr>
                <w:rFonts w:hint="eastAsia" w:hAnsi="宋体" w:cs="宋体"/>
                <w:b w:val="0"/>
                <w:bCs w:val="0"/>
                <w:color w:val="auto"/>
                <w:sz w:val="21"/>
                <w:szCs w:val="21"/>
                <w:highlight w:val="none"/>
                <w:lang w:val="en-US"/>
              </w:rPr>
              <w:t>72</w:t>
            </w:r>
          </w:p>
        </w:tc>
        <w:tc>
          <w:tcPr>
            <w:tcW w:w="2290" w:type="dxa"/>
            <w:tcBorders>
              <w:top w:val="single" w:color="auto" w:sz="4" w:space="0"/>
              <w:left w:val="single" w:color="auto" w:sz="4" w:space="0"/>
              <w:bottom w:val="single" w:color="auto" w:sz="4" w:space="0"/>
              <w:right w:val="single" w:color="auto" w:sz="4" w:space="0"/>
            </w:tcBorders>
            <w:vAlign w:val="center"/>
          </w:tcPr>
          <w:p>
            <w:pPr>
              <w:pStyle w:val="2"/>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94"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195"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r>
              <w:rPr>
                <w:rFonts w:hint="eastAsia" w:hAnsi="宋体" w:cs="宋体"/>
                <w:b w:val="0"/>
                <w:bCs w:val="0"/>
                <w:color w:val="auto"/>
                <w:sz w:val="21"/>
                <w:szCs w:val="21"/>
                <w:highlight w:val="none"/>
              </w:rPr>
              <w:t>环卫车辆人员</w:t>
            </w:r>
          </w:p>
        </w:tc>
        <w:tc>
          <w:tcPr>
            <w:tcW w:w="2068" w:type="dxa"/>
            <w:tcBorders>
              <w:top w:val="single" w:color="auto" w:sz="4" w:space="0"/>
              <w:left w:val="single" w:color="auto" w:sz="4" w:space="0"/>
              <w:bottom w:val="single" w:color="auto" w:sz="4" w:space="0"/>
              <w:right w:val="single" w:color="auto" w:sz="4" w:space="0"/>
            </w:tcBorders>
            <w:vAlign w:val="center"/>
          </w:tcPr>
          <w:p>
            <w:pPr>
              <w:pStyle w:val="2"/>
              <w:rPr>
                <w:rFonts w:hint="default" w:ascii="宋体" w:hAnsi="宋体" w:eastAsia="宋体" w:cs="宋体"/>
                <w:color w:val="auto"/>
                <w:sz w:val="21"/>
                <w:szCs w:val="21"/>
                <w:highlight w:val="none"/>
                <w:lang w:val="en-US" w:eastAsia="zh-CN"/>
              </w:rPr>
            </w:pPr>
            <w:r>
              <w:rPr>
                <w:rFonts w:hint="eastAsia" w:hAnsi="宋体" w:cs="宋体"/>
                <w:b w:val="0"/>
                <w:bCs w:val="0"/>
                <w:color w:val="auto"/>
                <w:sz w:val="21"/>
                <w:szCs w:val="21"/>
                <w:highlight w:val="none"/>
                <w:lang w:val="en-US"/>
              </w:rPr>
              <w:t>15</w:t>
            </w:r>
          </w:p>
        </w:tc>
        <w:tc>
          <w:tcPr>
            <w:tcW w:w="2290"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hAnsi="宋体" w:cs="宋体"/>
                <w:color w:val="auto"/>
                <w:sz w:val="21"/>
                <w:szCs w:val="21"/>
                <w:highlight w:val="none"/>
              </w:rPr>
              <w:t>水域保洁</w:t>
            </w:r>
          </w:p>
        </w:tc>
        <w:tc>
          <w:tcPr>
            <w:tcW w:w="2195"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r>
              <w:rPr>
                <w:rFonts w:hint="eastAsia" w:hAnsi="宋体" w:cs="宋体"/>
                <w:b w:val="0"/>
                <w:bCs w:val="0"/>
                <w:color w:val="auto"/>
                <w:sz w:val="21"/>
                <w:szCs w:val="21"/>
                <w:highlight w:val="none"/>
              </w:rPr>
              <w:t>非机动保洁船人员</w:t>
            </w:r>
          </w:p>
        </w:tc>
        <w:tc>
          <w:tcPr>
            <w:tcW w:w="2068"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color w:val="auto"/>
                <w:sz w:val="21"/>
                <w:szCs w:val="21"/>
                <w:highlight w:val="none"/>
                <w:lang w:eastAsia="zh-CN"/>
              </w:rPr>
            </w:pPr>
            <w:r>
              <w:rPr>
                <w:rFonts w:hint="eastAsia" w:hAnsi="宋体" w:cs="宋体"/>
                <w:b w:val="0"/>
                <w:bCs w:val="0"/>
                <w:color w:val="auto"/>
                <w:sz w:val="21"/>
                <w:szCs w:val="21"/>
                <w:highlight w:val="none"/>
                <w:lang w:val="en-US"/>
              </w:rPr>
              <w:t>3</w:t>
            </w:r>
          </w:p>
        </w:tc>
        <w:tc>
          <w:tcPr>
            <w:tcW w:w="2290"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hAnsi="宋体" w:cs="宋体"/>
                <w:color w:val="auto"/>
                <w:sz w:val="21"/>
                <w:szCs w:val="21"/>
                <w:highlight w:val="none"/>
              </w:rPr>
              <w:t>公厕保洁</w:t>
            </w:r>
          </w:p>
        </w:tc>
        <w:tc>
          <w:tcPr>
            <w:tcW w:w="2195"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r>
              <w:rPr>
                <w:rFonts w:hint="eastAsia" w:hAnsi="宋体" w:cs="宋体"/>
                <w:b w:val="0"/>
                <w:bCs w:val="0"/>
                <w:color w:val="auto"/>
                <w:sz w:val="21"/>
                <w:szCs w:val="21"/>
                <w:highlight w:val="none"/>
              </w:rPr>
              <w:t>公厕保洁人员</w:t>
            </w:r>
          </w:p>
        </w:tc>
        <w:tc>
          <w:tcPr>
            <w:tcW w:w="2068"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color w:val="auto"/>
                <w:sz w:val="21"/>
                <w:szCs w:val="21"/>
                <w:highlight w:val="none"/>
                <w:lang w:eastAsia="zh-CN"/>
              </w:rPr>
            </w:pPr>
            <w:r>
              <w:rPr>
                <w:rFonts w:hint="eastAsia" w:hAnsi="宋体" w:cs="宋体"/>
                <w:b w:val="0"/>
                <w:bCs w:val="0"/>
                <w:color w:val="auto"/>
                <w:sz w:val="21"/>
                <w:szCs w:val="21"/>
                <w:highlight w:val="none"/>
                <w:lang w:val="en-US"/>
              </w:rPr>
              <w:t>4</w:t>
            </w:r>
          </w:p>
        </w:tc>
        <w:tc>
          <w:tcPr>
            <w:tcW w:w="2290"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94"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hAnsi="宋体" w:cs="宋体"/>
                <w:color w:val="auto"/>
                <w:sz w:val="21"/>
                <w:szCs w:val="21"/>
                <w:highlight w:val="none"/>
              </w:rPr>
              <w:t>转运站管理</w:t>
            </w:r>
          </w:p>
        </w:tc>
        <w:tc>
          <w:tcPr>
            <w:tcW w:w="2195"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r>
              <w:rPr>
                <w:rFonts w:hint="eastAsia" w:hAnsi="宋体" w:cs="宋体"/>
                <w:b w:val="0"/>
                <w:bCs w:val="0"/>
                <w:color w:val="auto"/>
                <w:sz w:val="21"/>
                <w:szCs w:val="21"/>
                <w:highlight w:val="none"/>
              </w:rPr>
              <w:t>转运站管理操作人员</w:t>
            </w:r>
          </w:p>
        </w:tc>
        <w:tc>
          <w:tcPr>
            <w:tcW w:w="2068"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color w:val="auto"/>
                <w:sz w:val="21"/>
                <w:szCs w:val="21"/>
                <w:highlight w:val="none"/>
                <w:lang w:eastAsia="zh-CN"/>
              </w:rPr>
            </w:pPr>
            <w:r>
              <w:rPr>
                <w:rFonts w:hint="eastAsia" w:hAnsi="宋体" w:cs="宋体"/>
                <w:b w:val="0"/>
                <w:bCs w:val="0"/>
                <w:color w:val="auto"/>
                <w:sz w:val="21"/>
                <w:szCs w:val="21"/>
                <w:highlight w:val="none"/>
                <w:lang w:val="en-US"/>
              </w:rPr>
              <w:t>2</w:t>
            </w:r>
          </w:p>
        </w:tc>
        <w:tc>
          <w:tcPr>
            <w:tcW w:w="2290"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94" w:type="dxa"/>
            <w:vMerge w:val="restart"/>
            <w:tcBorders>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hAnsi="宋体" w:cs="宋体"/>
                <w:color w:val="auto"/>
                <w:sz w:val="21"/>
                <w:szCs w:val="21"/>
                <w:highlight w:val="none"/>
              </w:rPr>
              <w:t>垃圾收运</w:t>
            </w:r>
          </w:p>
        </w:tc>
        <w:tc>
          <w:tcPr>
            <w:tcW w:w="2195"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r>
              <w:rPr>
                <w:rFonts w:hint="eastAsia" w:hAnsi="宋体" w:cs="宋体"/>
                <w:b w:val="0"/>
                <w:bCs w:val="0"/>
                <w:color w:val="auto"/>
                <w:sz w:val="21"/>
                <w:szCs w:val="21"/>
                <w:highlight w:val="none"/>
              </w:rPr>
              <w:t>司机</w:t>
            </w:r>
          </w:p>
        </w:tc>
        <w:tc>
          <w:tcPr>
            <w:tcW w:w="2068"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color w:val="auto"/>
                <w:sz w:val="21"/>
                <w:szCs w:val="21"/>
                <w:highlight w:val="none"/>
                <w:lang w:eastAsia="zh-CN"/>
              </w:rPr>
            </w:pPr>
            <w:r>
              <w:rPr>
                <w:rFonts w:hint="eastAsia" w:hAnsi="宋体" w:cs="宋体"/>
                <w:b w:val="0"/>
                <w:bCs w:val="0"/>
                <w:color w:val="auto"/>
                <w:sz w:val="21"/>
                <w:szCs w:val="21"/>
                <w:highlight w:val="none"/>
                <w:lang w:val="en-US"/>
              </w:rPr>
              <w:t>5</w:t>
            </w:r>
          </w:p>
        </w:tc>
        <w:tc>
          <w:tcPr>
            <w:tcW w:w="2290"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94" w:type="dxa"/>
            <w:vMerge w:val="continue"/>
            <w:tcBorders>
              <w:left w:val="single" w:color="auto" w:sz="4" w:space="0"/>
              <w:right w:val="single" w:color="auto" w:sz="4" w:space="0"/>
            </w:tcBorders>
            <w:vAlign w:val="center"/>
          </w:tcPr>
          <w:p>
            <w:pPr>
              <w:jc w:val="center"/>
              <w:rPr>
                <w:rFonts w:ascii="宋体" w:hAnsi="宋体" w:cs="宋体"/>
                <w:color w:val="auto"/>
                <w:szCs w:val="21"/>
                <w:highlight w:val="none"/>
              </w:rPr>
            </w:pPr>
          </w:p>
        </w:tc>
        <w:tc>
          <w:tcPr>
            <w:tcW w:w="2195"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r>
              <w:rPr>
                <w:rFonts w:hint="eastAsia" w:hAnsi="宋体" w:cs="宋体"/>
                <w:b w:val="0"/>
                <w:bCs w:val="0"/>
                <w:color w:val="auto"/>
                <w:sz w:val="21"/>
                <w:szCs w:val="21"/>
                <w:highlight w:val="none"/>
              </w:rPr>
              <w:t>收运人员</w:t>
            </w:r>
          </w:p>
        </w:tc>
        <w:tc>
          <w:tcPr>
            <w:tcW w:w="2068"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color w:val="auto"/>
                <w:sz w:val="21"/>
                <w:szCs w:val="21"/>
                <w:highlight w:val="none"/>
                <w:lang w:eastAsia="zh-CN"/>
              </w:rPr>
            </w:pPr>
            <w:r>
              <w:rPr>
                <w:rFonts w:hint="eastAsia" w:hAnsi="宋体" w:cs="宋体"/>
                <w:b w:val="0"/>
                <w:bCs w:val="0"/>
                <w:color w:val="auto"/>
                <w:sz w:val="21"/>
                <w:szCs w:val="21"/>
                <w:highlight w:val="none"/>
                <w:lang w:val="en-US"/>
              </w:rPr>
              <w:t>8</w:t>
            </w:r>
          </w:p>
        </w:tc>
        <w:tc>
          <w:tcPr>
            <w:tcW w:w="2290"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94" w:type="dxa"/>
            <w:tcBorders>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hAnsi="宋体" w:cs="宋体"/>
                <w:color w:val="auto"/>
                <w:sz w:val="21"/>
                <w:szCs w:val="21"/>
                <w:highlight w:val="none"/>
              </w:rPr>
              <w:t>园林绿化养护</w:t>
            </w:r>
          </w:p>
        </w:tc>
        <w:tc>
          <w:tcPr>
            <w:tcW w:w="2195"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r>
              <w:rPr>
                <w:rFonts w:hint="eastAsia" w:hAnsi="宋体" w:cs="宋体"/>
                <w:b w:val="0"/>
                <w:bCs w:val="0"/>
                <w:color w:val="auto"/>
                <w:sz w:val="21"/>
                <w:szCs w:val="21"/>
                <w:highlight w:val="none"/>
              </w:rPr>
              <w:t>园林绿化养护人员</w:t>
            </w:r>
          </w:p>
        </w:tc>
        <w:tc>
          <w:tcPr>
            <w:tcW w:w="2068"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color w:val="auto"/>
                <w:sz w:val="21"/>
                <w:szCs w:val="21"/>
                <w:highlight w:val="none"/>
                <w:lang w:eastAsia="zh-CN"/>
              </w:rPr>
            </w:pPr>
            <w:r>
              <w:rPr>
                <w:rFonts w:hint="eastAsia" w:hAnsi="宋体" w:cs="宋体"/>
                <w:b w:val="0"/>
                <w:bCs w:val="0"/>
                <w:color w:val="auto"/>
                <w:sz w:val="21"/>
                <w:szCs w:val="21"/>
                <w:highlight w:val="none"/>
                <w:lang w:val="en-US"/>
              </w:rPr>
              <w:t>6</w:t>
            </w:r>
          </w:p>
        </w:tc>
        <w:tc>
          <w:tcPr>
            <w:tcW w:w="2290"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389" w:type="dxa"/>
            <w:gridSpan w:val="2"/>
            <w:tcBorders>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hAnsi="宋体" w:cs="宋体"/>
                <w:color w:val="auto"/>
                <w:sz w:val="21"/>
                <w:szCs w:val="21"/>
                <w:highlight w:val="none"/>
              </w:rPr>
              <w:t>合计</w:t>
            </w:r>
          </w:p>
        </w:tc>
        <w:tc>
          <w:tcPr>
            <w:tcW w:w="2068" w:type="dxa"/>
            <w:tcBorders>
              <w:top w:val="single" w:color="auto" w:sz="4" w:space="0"/>
              <w:left w:val="single" w:color="auto" w:sz="4" w:space="0"/>
              <w:bottom w:val="single" w:color="auto" w:sz="4" w:space="0"/>
              <w:right w:val="single" w:color="auto" w:sz="4" w:space="0"/>
            </w:tcBorders>
            <w:vAlign w:val="center"/>
          </w:tcPr>
          <w:p>
            <w:pPr>
              <w:pStyle w:val="2"/>
              <w:rPr>
                <w:rFonts w:hint="default" w:ascii="宋体" w:hAnsi="宋体" w:eastAsia="宋体" w:cs="宋体"/>
                <w:color w:val="auto"/>
                <w:sz w:val="21"/>
                <w:szCs w:val="21"/>
                <w:highlight w:val="none"/>
                <w:lang w:val="en-US" w:eastAsia="zh-CN"/>
              </w:rPr>
            </w:pPr>
            <w:r>
              <w:rPr>
                <w:rFonts w:hint="eastAsia" w:hAnsi="宋体" w:cs="宋体"/>
                <w:b w:val="0"/>
                <w:bCs w:val="0"/>
                <w:color w:val="auto"/>
                <w:sz w:val="21"/>
                <w:szCs w:val="21"/>
                <w:highlight w:val="none"/>
                <w:lang w:val="en-US"/>
              </w:rPr>
              <w:t>122</w:t>
            </w:r>
          </w:p>
        </w:tc>
        <w:tc>
          <w:tcPr>
            <w:tcW w:w="2290"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 w:val="21"/>
                <w:szCs w:val="21"/>
                <w:highlight w:val="none"/>
              </w:rPr>
            </w:pPr>
          </w:p>
        </w:tc>
      </w:tr>
    </w:tbl>
    <w:p>
      <w:pPr>
        <w:pStyle w:val="2"/>
        <w:spacing w:before="0" w:line="360" w:lineRule="auto"/>
        <w:ind w:lef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1、投标人投标时需承诺书为本项目投入的人员数量不少于以上清单。</w:t>
      </w:r>
    </w:p>
    <w:p>
      <w:pPr>
        <w:pStyle w:val="2"/>
        <w:spacing w:before="0"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2、中标后，如遇人员不足的情况，</w:t>
      </w:r>
      <w:r>
        <w:rPr>
          <w:rFonts w:hint="eastAsia" w:cs="宋体"/>
          <w:color w:val="auto"/>
          <w:sz w:val="21"/>
          <w:szCs w:val="21"/>
          <w:highlight w:val="none"/>
          <w:lang w:eastAsia="zh-CN"/>
        </w:rPr>
        <w:t>甲方</w:t>
      </w:r>
      <w:r>
        <w:rPr>
          <w:rFonts w:hint="eastAsia" w:ascii="宋体" w:hAnsi="宋体" w:eastAsia="宋体" w:cs="宋体"/>
          <w:color w:val="auto"/>
          <w:sz w:val="21"/>
          <w:szCs w:val="21"/>
          <w:highlight w:val="none"/>
        </w:rPr>
        <w:t>有权根据实际所需要求</w:t>
      </w:r>
      <w:r>
        <w:rPr>
          <w:rFonts w:hint="eastAsia" w:cs="宋体"/>
          <w:color w:val="auto"/>
          <w:sz w:val="21"/>
          <w:szCs w:val="21"/>
          <w:highlight w:val="none"/>
          <w:lang w:eastAsia="zh-CN"/>
        </w:rPr>
        <w:t>乙方</w:t>
      </w:r>
      <w:r>
        <w:rPr>
          <w:rFonts w:hint="eastAsia" w:ascii="宋体" w:hAnsi="宋体" w:eastAsia="宋体" w:cs="宋体"/>
          <w:color w:val="auto"/>
          <w:sz w:val="21"/>
          <w:szCs w:val="21"/>
          <w:highlight w:val="none"/>
        </w:rPr>
        <w:t>增加。</w:t>
      </w:r>
    </w:p>
    <w:p>
      <w:pPr>
        <w:pStyle w:val="2"/>
        <w:spacing w:before="0"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3、本项目须投入人员数量不少于以上清单，如遇相关人员数量不足的情况，</w:t>
      </w:r>
      <w:r>
        <w:rPr>
          <w:rFonts w:hint="eastAsia" w:cs="宋体"/>
          <w:color w:val="auto"/>
          <w:sz w:val="21"/>
          <w:szCs w:val="21"/>
          <w:highlight w:val="none"/>
          <w:lang w:eastAsia="zh-CN"/>
        </w:rPr>
        <w:t>乙方</w:t>
      </w:r>
      <w:r>
        <w:rPr>
          <w:rFonts w:hint="eastAsia" w:ascii="宋体" w:hAnsi="宋体" w:eastAsia="宋体" w:cs="宋体"/>
          <w:color w:val="auto"/>
          <w:sz w:val="21"/>
          <w:szCs w:val="21"/>
          <w:highlight w:val="none"/>
        </w:rPr>
        <w:t>应根据实际所需增加。人员在职期间，男不得超过60周岁，女不得超过55周岁。如国家政策发生改变时，按新的国家政策执行。同时，</w:t>
      </w:r>
      <w:r>
        <w:rPr>
          <w:rFonts w:hint="eastAsia" w:cs="宋体"/>
          <w:color w:val="auto"/>
          <w:sz w:val="21"/>
          <w:szCs w:val="21"/>
          <w:highlight w:val="none"/>
          <w:lang w:eastAsia="zh-CN"/>
        </w:rPr>
        <w:t>乙方</w:t>
      </w:r>
      <w:r>
        <w:rPr>
          <w:rFonts w:hint="eastAsia" w:ascii="宋体" w:hAnsi="宋体" w:eastAsia="宋体" w:cs="宋体"/>
          <w:color w:val="auto"/>
          <w:sz w:val="21"/>
          <w:szCs w:val="21"/>
          <w:highlight w:val="none"/>
        </w:rPr>
        <w:t>应当与劳动者订立书面劳动合同（或劳务合同），并为员工购买社保、特定工伤保险及必要的商业险。</w:t>
      </w:r>
    </w:p>
    <w:p>
      <w:pPr>
        <w:pStyle w:val="2"/>
        <w:spacing w:before="0"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cs="宋体"/>
          <w:color w:val="auto"/>
          <w:sz w:val="21"/>
          <w:szCs w:val="21"/>
          <w:highlight w:val="none"/>
          <w:lang w:eastAsia="zh-CN"/>
        </w:rPr>
        <w:t>乙方</w:t>
      </w:r>
      <w:r>
        <w:rPr>
          <w:rFonts w:hint="eastAsia" w:ascii="宋体" w:hAnsi="宋体" w:eastAsia="宋体" w:cs="宋体"/>
          <w:color w:val="auto"/>
          <w:sz w:val="21"/>
          <w:szCs w:val="21"/>
          <w:highlight w:val="none"/>
        </w:rPr>
        <w:t>按照“应收尽收”原则接收自愿留下且满足年龄条件（男不超过60周岁，女不超过55周岁）的原服务项目环卫工人，所有合同期内工人工资标准必须符合劳动法规及相关法律法规，且工人最低工资不能低于东莞市最新公布的最低工资标准。同时，工人加班的劳动报酬也必须符合劳动法及相关行业的法律法规。</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（十三）安全生产要求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w:t>
      </w:r>
      <w:r>
        <w:rPr>
          <w:rFonts w:hint="eastAsia"/>
          <w:color w:val="auto"/>
          <w:sz w:val="21"/>
          <w:szCs w:val="21"/>
          <w:highlight w:val="none"/>
          <w:lang w:eastAsia="zh-CN"/>
        </w:rPr>
        <w:t>乙方</w:t>
      </w:r>
      <w:r>
        <w:rPr>
          <w:rFonts w:hint="eastAsia"/>
          <w:color w:val="auto"/>
          <w:sz w:val="21"/>
          <w:szCs w:val="21"/>
          <w:highlight w:val="none"/>
        </w:rPr>
        <w:t>必须配备符合相关标准的安全作业用品和劳保用品，落实好安全生产措施，开展职业病防治工作，确保员工劳动保护和人身安全。员工的工伤、意外等的一切经济责任和法律责任由</w:t>
      </w:r>
      <w:r>
        <w:rPr>
          <w:rFonts w:hint="eastAsia"/>
          <w:color w:val="auto"/>
          <w:sz w:val="21"/>
          <w:szCs w:val="21"/>
          <w:highlight w:val="none"/>
          <w:lang w:eastAsia="zh-CN"/>
        </w:rPr>
        <w:t>乙方</w:t>
      </w:r>
      <w:r>
        <w:rPr>
          <w:rFonts w:hint="eastAsia"/>
          <w:color w:val="auto"/>
          <w:sz w:val="21"/>
          <w:szCs w:val="21"/>
          <w:highlight w:val="none"/>
        </w:rPr>
        <w:t>承担。</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2、定期对员工进行安全生产教育，落实责任制，落实有关安全措施。</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3、车辆行驶必须严格遵守交通规则。</w:t>
      </w:r>
      <w:r>
        <w:rPr>
          <w:rFonts w:hint="eastAsia"/>
          <w:color w:val="auto"/>
          <w:sz w:val="21"/>
          <w:szCs w:val="21"/>
          <w:highlight w:val="none"/>
          <w:lang w:eastAsia="zh-CN"/>
        </w:rPr>
        <w:t>乙方</w:t>
      </w:r>
      <w:r>
        <w:rPr>
          <w:rFonts w:hint="eastAsia"/>
          <w:color w:val="auto"/>
          <w:sz w:val="21"/>
          <w:szCs w:val="21"/>
          <w:highlight w:val="none"/>
        </w:rPr>
        <w:t>需自行解决户外安全问题，工人上下班不得乱穿马路、作业车辆不得逆向行驶或出现人货混载的情况。</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4、路面作业人员必须统一穿着带反光标志的工作服（按《东莞市城市管理和综合执法局视觉识别系统》中对环卫服装要求执行）。</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5、路面作业时必须落实警示标志及防护措施。</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6、清扫后的斗车、清扫工具等不得妨碍交通。</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7、不得存放易燃、易爆、剧毒等危险品。</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8、落实防火措施，配足性能良好的消防器材。</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9、落实安全用电措施，不得乱拉、乱挂、乱接电线，不使用非生产性大功率电器，不得超线路负载使用电器。</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10、在各类作业期间，必须按各工种的操作特性，落实各类的安全、防护措施，确保人员及财产的安全，发生安全生产事故的，必须及时上报。</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11、洒水车、垃圾清运车、高空作业车等在机动车道行驶的作业车辆需安装右侧盲区探测雷达。</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12、规范开展高空作业工作，高空作业要使用升降车，不得站在车辆车厢、驾驶舱顶部或攀爬树木进行作业，要严格执行“双报备”、高处作业做到“五个必须”（必须培训持证上岗、必须实行作业审批、必须做好个人防护、必须落实工程措施、必须安排专人监护）。占道作业时要做好警示标志及雪糕筒的摆放。</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13、项目部或集中安排工人宿舍的要落实防火、安全用电、安全用气等措施，配足性能良好的消防器材，日常开展安全隐患排查。</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14、在进行作业时，必须认真负责，注意安全操作。如因</w:t>
      </w:r>
      <w:r>
        <w:rPr>
          <w:rFonts w:hint="eastAsia"/>
          <w:color w:val="auto"/>
          <w:sz w:val="21"/>
          <w:szCs w:val="21"/>
          <w:highlight w:val="none"/>
          <w:lang w:eastAsia="zh-CN"/>
        </w:rPr>
        <w:t>乙方</w:t>
      </w:r>
      <w:r>
        <w:rPr>
          <w:rFonts w:hint="eastAsia"/>
          <w:color w:val="auto"/>
          <w:sz w:val="21"/>
          <w:szCs w:val="21"/>
          <w:highlight w:val="none"/>
        </w:rPr>
        <w:t>操作不当、管理疏漏等各种原因造成</w:t>
      </w:r>
      <w:r>
        <w:rPr>
          <w:rFonts w:hint="eastAsia"/>
          <w:color w:val="auto"/>
          <w:sz w:val="21"/>
          <w:szCs w:val="21"/>
          <w:highlight w:val="none"/>
          <w:lang w:eastAsia="zh-CN"/>
        </w:rPr>
        <w:t>乙方</w:t>
      </w:r>
      <w:r>
        <w:rPr>
          <w:rFonts w:hint="eastAsia"/>
          <w:color w:val="auto"/>
          <w:sz w:val="21"/>
          <w:szCs w:val="21"/>
          <w:highlight w:val="none"/>
        </w:rPr>
        <w:t>职工、雇员或任何其他人人身或财产损害的，</w:t>
      </w:r>
      <w:r>
        <w:rPr>
          <w:rFonts w:hint="eastAsia"/>
          <w:color w:val="auto"/>
          <w:sz w:val="21"/>
          <w:szCs w:val="21"/>
          <w:highlight w:val="none"/>
          <w:lang w:eastAsia="zh-CN"/>
        </w:rPr>
        <w:t>乙方</w:t>
      </w:r>
      <w:r>
        <w:rPr>
          <w:rFonts w:hint="eastAsia"/>
          <w:color w:val="auto"/>
          <w:sz w:val="21"/>
          <w:szCs w:val="21"/>
          <w:highlight w:val="none"/>
        </w:rPr>
        <w:t>应承担全部责任。（包括但不限于相关的赔偿费用、诉讼费、保全费、鉴定费、公证费、律师费、差旅费等所有费用）。</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15、提交企业安全生产责任承诺书。</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（十四）应急要求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1、突发事件（如道路污染）和自然灾害（如台风等）要在确保安全情况下及时清理现场并冲洗路面；如遇强台风、特大暴雨等不适应上路作业时段时，</w:t>
      </w:r>
      <w:r>
        <w:rPr>
          <w:rFonts w:hint="eastAsia"/>
          <w:color w:val="auto"/>
          <w:sz w:val="21"/>
          <w:szCs w:val="21"/>
          <w:highlight w:val="none"/>
          <w:lang w:eastAsia="zh-CN"/>
        </w:rPr>
        <w:t>乙方</w:t>
      </w:r>
      <w:r>
        <w:rPr>
          <w:rFonts w:hint="eastAsia"/>
          <w:color w:val="auto"/>
          <w:sz w:val="21"/>
          <w:szCs w:val="21"/>
          <w:highlight w:val="none"/>
        </w:rPr>
        <w:t>可以不安排人员上路清扫保洁，但应按照</w:t>
      </w:r>
      <w:r>
        <w:rPr>
          <w:rFonts w:hint="eastAsia"/>
          <w:color w:val="auto"/>
          <w:sz w:val="21"/>
          <w:szCs w:val="21"/>
          <w:highlight w:val="none"/>
          <w:lang w:eastAsia="zh-CN"/>
        </w:rPr>
        <w:t>甲方</w:t>
      </w:r>
      <w:r>
        <w:rPr>
          <w:rFonts w:hint="eastAsia"/>
          <w:color w:val="auto"/>
          <w:sz w:val="21"/>
          <w:szCs w:val="21"/>
          <w:highlight w:val="none"/>
        </w:rPr>
        <w:t>要求成立一支不少于15人的清扫保洁临时应急队伍，服从</w:t>
      </w:r>
      <w:r>
        <w:rPr>
          <w:rFonts w:hint="eastAsia"/>
          <w:color w:val="auto"/>
          <w:sz w:val="21"/>
          <w:szCs w:val="21"/>
          <w:highlight w:val="none"/>
          <w:lang w:eastAsia="zh-CN"/>
        </w:rPr>
        <w:t>甲方</w:t>
      </w:r>
      <w:r>
        <w:rPr>
          <w:rFonts w:hint="eastAsia"/>
          <w:color w:val="auto"/>
          <w:sz w:val="21"/>
          <w:szCs w:val="21"/>
          <w:highlight w:val="none"/>
        </w:rPr>
        <w:t>和政府相关部门的统一指挥和调度。台风、暴雨过后，</w:t>
      </w:r>
      <w:r>
        <w:rPr>
          <w:rFonts w:hint="eastAsia"/>
          <w:color w:val="auto"/>
          <w:sz w:val="21"/>
          <w:szCs w:val="21"/>
          <w:highlight w:val="none"/>
          <w:lang w:eastAsia="zh-CN"/>
        </w:rPr>
        <w:t>乙方</w:t>
      </w:r>
      <w:r>
        <w:rPr>
          <w:rFonts w:hint="eastAsia"/>
          <w:color w:val="auto"/>
          <w:sz w:val="21"/>
          <w:szCs w:val="21"/>
          <w:highlight w:val="none"/>
        </w:rPr>
        <w:t>应立即组织人员做好清扫保洁工作。特殊情况，如需协助救险救灾工作，</w:t>
      </w:r>
      <w:r>
        <w:rPr>
          <w:rFonts w:hint="eastAsia"/>
          <w:color w:val="auto"/>
          <w:sz w:val="21"/>
          <w:szCs w:val="21"/>
          <w:highlight w:val="none"/>
          <w:lang w:eastAsia="zh-CN"/>
        </w:rPr>
        <w:t>乙方</w:t>
      </w:r>
      <w:r>
        <w:rPr>
          <w:rFonts w:hint="eastAsia"/>
          <w:color w:val="auto"/>
          <w:sz w:val="21"/>
          <w:szCs w:val="21"/>
          <w:highlight w:val="none"/>
        </w:rPr>
        <w:t>应服从</w:t>
      </w:r>
      <w:r>
        <w:rPr>
          <w:rFonts w:hint="eastAsia"/>
          <w:color w:val="auto"/>
          <w:sz w:val="21"/>
          <w:szCs w:val="21"/>
          <w:highlight w:val="none"/>
          <w:lang w:eastAsia="zh-CN"/>
        </w:rPr>
        <w:t>甲方</w:t>
      </w:r>
      <w:r>
        <w:rPr>
          <w:rFonts w:hint="eastAsia"/>
          <w:color w:val="auto"/>
          <w:sz w:val="21"/>
          <w:szCs w:val="21"/>
          <w:highlight w:val="none"/>
        </w:rPr>
        <w:t>和政府相关部门的统一指挥和调度。对不可抗力（如台风、暴雨等自然灾害）造成的环卫损害，应在12小时内完成现场清理和恢复交通（延迟完成清理须经</w:t>
      </w:r>
      <w:r>
        <w:rPr>
          <w:rFonts w:hint="eastAsia"/>
          <w:color w:val="auto"/>
          <w:sz w:val="21"/>
          <w:szCs w:val="21"/>
          <w:highlight w:val="none"/>
          <w:lang w:eastAsia="zh-CN"/>
        </w:rPr>
        <w:t>甲方</w:t>
      </w:r>
      <w:r>
        <w:rPr>
          <w:rFonts w:hint="eastAsia"/>
          <w:color w:val="auto"/>
          <w:sz w:val="21"/>
          <w:szCs w:val="21"/>
          <w:highlight w:val="none"/>
        </w:rPr>
        <w:t>同意），并在</w:t>
      </w:r>
      <w:r>
        <w:rPr>
          <w:rFonts w:hint="eastAsia"/>
          <w:color w:val="auto"/>
          <w:sz w:val="21"/>
          <w:szCs w:val="21"/>
          <w:highlight w:val="none"/>
          <w:lang w:eastAsia="zh-CN"/>
        </w:rPr>
        <w:t>甲方</w:t>
      </w:r>
      <w:r>
        <w:rPr>
          <w:rFonts w:hint="eastAsia"/>
          <w:color w:val="auto"/>
          <w:sz w:val="21"/>
          <w:szCs w:val="21"/>
          <w:highlight w:val="none"/>
        </w:rPr>
        <w:t>根据实际情况设定的时间内恢复原状。</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2、因城市管理工作、创建工作（如创文、创卫等）以及其他临时性重大活动保障要求，</w:t>
      </w:r>
      <w:r>
        <w:rPr>
          <w:rFonts w:hint="eastAsia"/>
          <w:color w:val="auto"/>
          <w:sz w:val="21"/>
          <w:szCs w:val="21"/>
          <w:highlight w:val="none"/>
          <w:lang w:eastAsia="zh-CN"/>
        </w:rPr>
        <w:t>乙方</w:t>
      </w:r>
      <w:r>
        <w:rPr>
          <w:rFonts w:hint="eastAsia"/>
          <w:color w:val="auto"/>
          <w:sz w:val="21"/>
          <w:szCs w:val="21"/>
          <w:highlight w:val="none"/>
        </w:rPr>
        <w:t>必须无条件配合做好考评、检查、创建、活动保障工作，加强保洁服务工作，在检查期间及重大活动保障期间所产生的费用全部由</w:t>
      </w:r>
      <w:r>
        <w:rPr>
          <w:rFonts w:hint="eastAsia"/>
          <w:color w:val="auto"/>
          <w:sz w:val="21"/>
          <w:szCs w:val="21"/>
          <w:highlight w:val="none"/>
          <w:lang w:eastAsia="zh-CN"/>
        </w:rPr>
        <w:t>乙方</w:t>
      </w:r>
      <w:r>
        <w:rPr>
          <w:rFonts w:hint="eastAsia"/>
          <w:color w:val="auto"/>
          <w:sz w:val="21"/>
          <w:szCs w:val="21"/>
          <w:highlight w:val="none"/>
        </w:rPr>
        <w:t>负责。</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3、在接到暴雨预警信息后立即组织对道路雨水口周边垃圾进行清扫；发现作业区域存在大面积淤泥，需根据</w:t>
      </w:r>
      <w:r>
        <w:rPr>
          <w:rFonts w:hint="eastAsia"/>
          <w:color w:val="auto"/>
          <w:sz w:val="21"/>
          <w:szCs w:val="21"/>
          <w:highlight w:val="none"/>
          <w:lang w:eastAsia="zh-CN"/>
        </w:rPr>
        <w:t>甲方</w:t>
      </w:r>
      <w:r>
        <w:rPr>
          <w:rFonts w:hint="eastAsia"/>
          <w:color w:val="auto"/>
          <w:sz w:val="21"/>
          <w:szCs w:val="21"/>
          <w:highlight w:val="none"/>
        </w:rPr>
        <w:t>要求及时清理、冲洗污染路面，影响交通安全的，应立即组织清理。如发现化学物品、危险物品后立即报告相关部门处理。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4、作业范围内如出现车辆机油和运输物等撒漏现象，</w:t>
      </w:r>
      <w:r>
        <w:rPr>
          <w:rFonts w:hint="eastAsia"/>
          <w:color w:val="auto"/>
          <w:sz w:val="21"/>
          <w:szCs w:val="21"/>
          <w:highlight w:val="none"/>
          <w:lang w:eastAsia="zh-CN"/>
        </w:rPr>
        <w:t>乙方</w:t>
      </w:r>
      <w:r>
        <w:rPr>
          <w:rFonts w:hint="eastAsia"/>
          <w:color w:val="auto"/>
          <w:sz w:val="21"/>
          <w:szCs w:val="21"/>
          <w:highlight w:val="none"/>
        </w:rPr>
        <w:t>必须采取应急措施科学处理。</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5、</w:t>
      </w:r>
      <w:r>
        <w:rPr>
          <w:rFonts w:hint="eastAsia"/>
          <w:color w:val="auto"/>
          <w:sz w:val="21"/>
          <w:szCs w:val="21"/>
          <w:highlight w:val="none"/>
          <w:lang w:eastAsia="zh-CN"/>
        </w:rPr>
        <w:t>乙方</w:t>
      </w:r>
      <w:r>
        <w:rPr>
          <w:rFonts w:hint="eastAsia"/>
          <w:color w:val="auto"/>
          <w:sz w:val="21"/>
          <w:szCs w:val="21"/>
          <w:highlight w:val="none"/>
        </w:rPr>
        <w:t>协助监督辖区内施工单位的撒漏问题，督促协助撒漏方及时清理余泥、垃圾和废弃物，发现不配合且情节恶劣的应及时告知</w:t>
      </w:r>
      <w:r>
        <w:rPr>
          <w:rFonts w:hint="eastAsia"/>
          <w:color w:val="auto"/>
          <w:sz w:val="21"/>
          <w:szCs w:val="21"/>
          <w:highlight w:val="none"/>
          <w:lang w:eastAsia="zh-CN"/>
        </w:rPr>
        <w:t>甲方</w:t>
      </w:r>
      <w:r>
        <w:rPr>
          <w:rFonts w:hint="eastAsia"/>
          <w:color w:val="auto"/>
          <w:sz w:val="21"/>
          <w:szCs w:val="21"/>
          <w:highlight w:val="none"/>
        </w:rPr>
        <w:t>，并报告相关部门处理。</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（十五）整改事项要求</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lang w:eastAsia="zh-CN"/>
        </w:rPr>
        <w:t>乙方</w:t>
      </w:r>
      <w:r>
        <w:rPr>
          <w:rFonts w:hint="eastAsia"/>
          <w:color w:val="auto"/>
          <w:sz w:val="21"/>
          <w:szCs w:val="21"/>
          <w:highlight w:val="none"/>
        </w:rPr>
        <w:t>在接到整改事项后需提交整改工作计划并按期按要求整改，若未按要求落实整改的，则按整改事项违约处理。如</w:t>
      </w:r>
      <w:r>
        <w:rPr>
          <w:rFonts w:hint="eastAsia"/>
          <w:color w:val="auto"/>
          <w:sz w:val="21"/>
          <w:szCs w:val="21"/>
          <w:highlight w:val="none"/>
          <w:lang w:eastAsia="zh-CN"/>
        </w:rPr>
        <w:t>乙方</w:t>
      </w:r>
      <w:r>
        <w:rPr>
          <w:rFonts w:hint="eastAsia"/>
          <w:color w:val="auto"/>
          <w:sz w:val="21"/>
          <w:szCs w:val="21"/>
          <w:highlight w:val="none"/>
        </w:rPr>
        <w:t>认为情况不实，有异议的，可在24小时内向</w:t>
      </w:r>
      <w:r>
        <w:rPr>
          <w:rFonts w:hint="eastAsia"/>
          <w:color w:val="auto"/>
          <w:sz w:val="21"/>
          <w:szCs w:val="21"/>
          <w:highlight w:val="none"/>
          <w:lang w:eastAsia="zh-CN"/>
        </w:rPr>
        <w:t>甲方</w:t>
      </w:r>
      <w:r>
        <w:rPr>
          <w:rFonts w:hint="eastAsia"/>
          <w:color w:val="auto"/>
          <w:sz w:val="21"/>
          <w:szCs w:val="21"/>
          <w:highlight w:val="none"/>
        </w:rPr>
        <w:t>申请复核。</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（十六）其他要求</w:t>
      </w:r>
    </w:p>
    <w:p>
      <w:pPr>
        <w:pStyle w:val="2"/>
        <w:spacing w:before="0"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1、在合同期内，因政府部门规划建设及政策变化等原因需调整服务范围或者提前终止合同时，</w:t>
      </w:r>
      <w:r>
        <w:rPr>
          <w:rFonts w:hint="eastAsia" w:cs="宋体"/>
          <w:color w:val="auto"/>
          <w:sz w:val="21"/>
          <w:szCs w:val="21"/>
          <w:highlight w:val="none"/>
          <w:lang w:eastAsia="zh-CN"/>
        </w:rPr>
        <w:t>乙方</w:t>
      </w:r>
      <w:r>
        <w:rPr>
          <w:rFonts w:hint="eastAsia" w:ascii="宋体" w:hAnsi="宋体" w:eastAsia="宋体" w:cs="宋体"/>
          <w:color w:val="auto"/>
          <w:sz w:val="21"/>
          <w:szCs w:val="21"/>
          <w:highlight w:val="none"/>
        </w:rPr>
        <w:t>应服从大局，由此造成的经济损失，</w:t>
      </w:r>
      <w:r>
        <w:rPr>
          <w:rFonts w:hint="eastAsia" w:cs="宋体"/>
          <w:color w:val="auto"/>
          <w:sz w:val="21"/>
          <w:szCs w:val="21"/>
          <w:highlight w:val="none"/>
          <w:lang w:eastAsia="zh-CN"/>
        </w:rPr>
        <w:t>甲方</w:t>
      </w:r>
      <w:r>
        <w:rPr>
          <w:rFonts w:hint="eastAsia" w:ascii="宋体" w:hAnsi="宋体" w:eastAsia="宋体" w:cs="宋体"/>
          <w:color w:val="auto"/>
          <w:sz w:val="21"/>
          <w:szCs w:val="21"/>
          <w:highlight w:val="none"/>
        </w:rPr>
        <w:t>不负违约责任。</w:t>
      </w:r>
    </w:p>
    <w:p>
      <w:pPr>
        <w:pStyle w:val="2"/>
        <w:spacing w:before="0"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2、在符合供水规划和技术条件下，</w:t>
      </w:r>
      <w:r>
        <w:rPr>
          <w:rFonts w:hint="eastAsia" w:cs="宋体"/>
          <w:color w:val="auto"/>
          <w:sz w:val="21"/>
          <w:szCs w:val="21"/>
          <w:highlight w:val="none"/>
          <w:lang w:eastAsia="zh-CN"/>
        </w:rPr>
        <w:t>甲方</w:t>
      </w:r>
      <w:r>
        <w:rPr>
          <w:rFonts w:hint="eastAsia" w:ascii="宋体" w:hAnsi="宋体" w:eastAsia="宋体" w:cs="宋体"/>
          <w:color w:val="auto"/>
          <w:sz w:val="21"/>
          <w:szCs w:val="21"/>
          <w:highlight w:val="none"/>
        </w:rPr>
        <w:t>可协助</w:t>
      </w:r>
      <w:r>
        <w:rPr>
          <w:rFonts w:hint="eastAsia" w:cs="宋体"/>
          <w:color w:val="auto"/>
          <w:sz w:val="21"/>
          <w:szCs w:val="21"/>
          <w:highlight w:val="none"/>
          <w:lang w:eastAsia="zh-CN"/>
        </w:rPr>
        <w:t>乙方</w:t>
      </w:r>
      <w:r>
        <w:rPr>
          <w:rFonts w:hint="eastAsia" w:ascii="宋体" w:hAnsi="宋体" w:eastAsia="宋体" w:cs="宋体"/>
          <w:color w:val="auto"/>
          <w:sz w:val="21"/>
          <w:szCs w:val="21"/>
          <w:highlight w:val="none"/>
        </w:rPr>
        <w:t>按实际需要办理专用给水口，人工费、材料费、水费等由</w:t>
      </w:r>
      <w:r>
        <w:rPr>
          <w:rFonts w:hint="eastAsia" w:cs="宋体"/>
          <w:color w:val="auto"/>
          <w:sz w:val="21"/>
          <w:szCs w:val="21"/>
          <w:highlight w:val="none"/>
          <w:lang w:eastAsia="zh-CN"/>
        </w:rPr>
        <w:t>乙方</w:t>
      </w:r>
      <w:r>
        <w:rPr>
          <w:rFonts w:hint="eastAsia" w:ascii="宋体" w:hAnsi="宋体" w:eastAsia="宋体" w:cs="宋体"/>
          <w:color w:val="auto"/>
          <w:sz w:val="21"/>
          <w:szCs w:val="21"/>
          <w:highlight w:val="none"/>
        </w:rPr>
        <w:t>支付。</w:t>
      </w:r>
    </w:p>
    <w:p>
      <w:pPr>
        <w:pStyle w:val="2"/>
        <w:spacing w:before="0"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cs="宋体"/>
          <w:color w:val="auto"/>
          <w:sz w:val="21"/>
          <w:szCs w:val="21"/>
          <w:highlight w:val="none"/>
          <w:lang w:eastAsia="zh-CN"/>
        </w:rPr>
        <w:t>乙方</w:t>
      </w:r>
      <w:r>
        <w:rPr>
          <w:rFonts w:hint="eastAsia" w:ascii="宋体" w:hAnsi="宋体" w:eastAsia="宋体" w:cs="宋体"/>
          <w:color w:val="auto"/>
          <w:sz w:val="21"/>
          <w:szCs w:val="21"/>
          <w:highlight w:val="none"/>
        </w:rPr>
        <w:t>应严格遵守国家法律、法规的规定，做好社会治安综合治理等工作。不得违反国家法律、法规的规定。如</w:t>
      </w:r>
      <w:r>
        <w:rPr>
          <w:rFonts w:hint="eastAsia" w:cs="宋体"/>
          <w:color w:val="auto"/>
          <w:sz w:val="21"/>
          <w:szCs w:val="21"/>
          <w:highlight w:val="none"/>
          <w:lang w:eastAsia="zh-CN"/>
        </w:rPr>
        <w:t>乙方</w:t>
      </w:r>
      <w:r>
        <w:rPr>
          <w:rFonts w:hint="eastAsia" w:ascii="宋体" w:hAnsi="宋体" w:eastAsia="宋体" w:cs="宋体"/>
          <w:color w:val="auto"/>
          <w:sz w:val="21"/>
          <w:szCs w:val="21"/>
          <w:highlight w:val="none"/>
        </w:rPr>
        <w:t>员工有违法乱纪行为，</w:t>
      </w:r>
      <w:r>
        <w:rPr>
          <w:rFonts w:hint="eastAsia" w:cs="宋体"/>
          <w:color w:val="auto"/>
          <w:sz w:val="21"/>
          <w:szCs w:val="21"/>
          <w:highlight w:val="none"/>
          <w:lang w:eastAsia="zh-CN"/>
        </w:rPr>
        <w:t>乙方</w:t>
      </w:r>
      <w:r>
        <w:rPr>
          <w:rFonts w:hint="eastAsia" w:ascii="宋体" w:hAnsi="宋体" w:eastAsia="宋体" w:cs="宋体"/>
          <w:color w:val="auto"/>
          <w:sz w:val="21"/>
          <w:szCs w:val="21"/>
          <w:highlight w:val="none"/>
        </w:rPr>
        <w:t>承担一切经济责任和法律责任。</w:t>
      </w:r>
    </w:p>
    <w:p>
      <w:pPr>
        <w:pStyle w:val="2"/>
        <w:spacing w:before="0"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cs="宋体"/>
          <w:color w:val="auto"/>
          <w:sz w:val="21"/>
          <w:szCs w:val="21"/>
          <w:highlight w:val="none"/>
          <w:lang w:eastAsia="zh-CN"/>
        </w:rPr>
        <w:t>乙方</w:t>
      </w:r>
      <w:r>
        <w:rPr>
          <w:rFonts w:hint="eastAsia" w:ascii="宋体" w:hAnsi="宋体" w:eastAsia="宋体" w:cs="宋体"/>
          <w:color w:val="auto"/>
          <w:sz w:val="21"/>
          <w:szCs w:val="21"/>
          <w:highlight w:val="none"/>
        </w:rPr>
        <w:t>需按《中华人民共和国民法典》等法律要求保障员工的合法权益。</w:t>
      </w:r>
    </w:p>
    <w:p>
      <w:pPr>
        <w:pStyle w:val="2"/>
        <w:spacing w:before="0"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5、项目执行过程中，如需</w:t>
      </w:r>
      <w:r>
        <w:rPr>
          <w:rFonts w:hint="eastAsia" w:cs="宋体"/>
          <w:color w:val="auto"/>
          <w:sz w:val="21"/>
          <w:szCs w:val="21"/>
          <w:highlight w:val="none"/>
          <w:lang w:eastAsia="zh-CN"/>
        </w:rPr>
        <w:t>甲方</w:t>
      </w:r>
      <w:r>
        <w:rPr>
          <w:rFonts w:hint="eastAsia" w:ascii="宋体" w:hAnsi="宋体" w:eastAsia="宋体" w:cs="宋体"/>
          <w:color w:val="auto"/>
          <w:sz w:val="21"/>
          <w:szCs w:val="21"/>
          <w:highlight w:val="none"/>
        </w:rPr>
        <w:t>配合办理相关手续，或提供相关服务条件，均须在投标文件中详细说明，例如临时场地租用，临时用电电源接入，与</w:t>
      </w:r>
      <w:r>
        <w:rPr>
          <w:rFonts w:hint="eastAsia" w:cs="宋体"/>
          <w:color w:val="auto"/>
          <w:sz w:val="21"/>
          <w:szCs w:val="21"/>
          <w:highlight w:val="none"/>
          <w:lang w:eastAsia="zh-CN"/>
        </w:rPr>
        <w:t>甲方</w:t>
      </w:r>
      <w:r>
        <w:rPr>
          <w:rFonts w:hint="eastAsia" w:ascii="宋体" w:hAnsi="宋体" w:eastAsia="宋体" w:cs="宋体"/>
          <w:color w:val="auto"/>
          <w:sz w:val="21"/>
          <w:szCs w:val="21"/>
          <w:highlight w:val="none"/>
        </w:rPr>
        <w:t>沟通协调等相关事宜，以便于</w:t>
      </w:r>
      <w:r>
        <w:rPr>
          <w:rFonts w:hint="eastAsia" w:cs="宋体"/>
          <w:color w:val="auto"/>
          <w:sz w:val="21"/>
          <w:szCs w:val="21"/>
          <w:highlight w:val="none"/>
          <w:lang w:eastAsia="zh-CN"/>
        </w:rPr>
        <w:t>甲方</w:t>
      </w:r>
      <w:r>
        <w:rPr>
          <w:rFonts w:hint="eastAsia" w:ascii="宋体" w:hAnsi="宋体" w:eastAsia="宋体" w:cs="宋体"/>
          <w:color w:val="auto"/>
          <w:sz w:val="21"/>
          <w:szCs w:val="21"/>
          <w:highlight w:val="none"/>
        </w:rPr>
        <w:t>决定是否接受或提前准备，所涉及的费用均由中标单位承担。</w:t>
      </w:r>
    </w:p>
    <w:p>
      <w:pPr>
        <w:pStyle w:val="2"/>
        <w:spacing w:before="0"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6、由于承包范围内的养护设施被盗或损坏或操作不当而导致他人死伤或造成其他损失的，由</w:t>
      </w:r>
      <w:r>
        <w:rPr>
          <w:rFonts w:hint="eastAsia" w:cs="宋体"/>
          <w:color w:val="auto"/>
          <w:sz w:val="21"/>
          <w:szCs w:val="21"/>
          <w:highlight w:val="none"/>
          <w:lang w:eastAsia="zh-CN"/>
        </w:rPr>
        <w:t>乙方</w:t>
      </w:r>
      <w:r>
        <w:rPr>
          <w:rFonts w:hint="eastAsia" w:ascii="宋体" w:hAnsi="宋体" w:eastAsia="宋体" w:cs="宋体"/>
          <w:color w:val="auto"/>
          <w:sz w:val="21"/>
          <w:szCs w:val="21"/>
          <w:highlight w:val="none"/>
        </w:rPr>
        <w:t>负责赔偿和承担一切责任。</w:t>
      </w:r>
    </w:p>
    <w:p>
      <w:pPr>
        <w:pStyle w:val="2"/>
        <w:spacing w:before="0"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cs="宋体"/>
          <w:color w:val="auto"/>
          <w:sz w:val="21"/>
          <w:szCs w:val="21"/>
          <w:highlight w:val="none"/>
          <w:lang w:eastAsia="zh-CN"/>
        </w:rPr>
        <w:t>乙方</w:t>
      </w:r>
      <w:r>
        <w:rPr>
          <w:rFonts w:hint="eastAsia" w:ascii="宋体" w:hAnsi="宋体" w:eastAsia="宋体" w:cs="宋体"/>
          <w:color w:val="auto"/>
          <w:sz w:val="21"/>
          <w:szCs w:val="21"/>
          <w:highlight w:val="none"/>
        </w:rPr>
        <w:t>按实际要求配足作业人员，配员不能低于该路段的最低配员标准。说明：招标文件要求的作业人员数量配置为最低要求，</w:t>
      </w:r>
      <w:r>
        <w:rPr>
          <w:rFonts w:hint="eastAsia" w:cs="宋体"/>
          <w:color w:val="auto"/>
          <w:sz w:val="21"/>
          <w:szCs w:val="21"/>
          <w:highlight w:val="none"/>
          <w:lang w:eastAsia="zh-CN"/>
        </w:rPr>
        <w:t>乙方</w:t>
      </w:r>
      <w:r>
        <w:rPr>
          <w:rFonts w:hint="eastAsia" w:ascii="宋体" w:hAnsi="宋体" w:eastAsia="宋体" w:cs="宋体"/>
          <w:color w:val="auto"/>
          <w:sz w:val="21"/>
          <w:szCs w:val="21"/>
          <w:highlight w:val="none"/>
        </w:rPr>
        <w:t>在确认中标资格后，且</w:t>
      </w:r>
      <w:r>
        <w:rPr>
          <w:rFonts w:hint="eastAsia" w:cs="宋体"/>
          <w:color w:val="auto"/>
          <w:sz w:val="21"/>
          <w:szCs w:val="21"/>
          <w:highlight w:val="none"/>
          <w:lang w:eastAsia="zh-CN"/>
        </w:rPr>
        <w:t>乙方</w:t>
      </w:r>
      <w:r>
        <w:rPr>
          <w:rFonts w:hint="eastAsia" w:ascii="宋体" w:hAnsi="宋体" w:eastAsia="宋体" w:cs="宋体"/>
          <w:color w:val="auto"/>
          <w:sz w:val="21"/>
          <w:szCs w:val="21"/>
          <w:highlight w:val="none"/>
        </w:rPr>
        <w:t>与</w:t>
      </w:r>
      <w:r>
        <w:rPr>
          <w:rFonts w:hint="eastAsia" w:cs="宋体"/>
          <w:color w:val="auto"/>
          <w:sz w:val="21"/>
          <w:szCs w:val="21"/>
          <w:highlight w:val="none"/>
          <w:lang w:eastAsia="zh-CN"/>
        </w:rPr>
        <w:t>甲方</w:t>
      </w:r>
      <w:r>
        <w:rPr>
          <w:rFonts w:hint="eastAsia" w:ascii="宋体" w:hAnsi="宋体" w:eastAsia="宋体" w:cs="宋体"/>
          <w:color w:val="auto"/>
          <w:sz w:val="21"/>
          <w:szCs w:val="21"/>
          <w:highlight w:val="none"/>
        </w:rPr>
        <w:t>签订合同之前将作业人员相关资料(包括人员名单、已聘用人员劳动合同及社保证明、新聘用员工资料等)提交</w:t>
      </w:r>
      <w:r>
        <w:rPr>
          <w:rFonts w:hint="eastAsia" w:cs="宋体"/>
          <w:color w:val="auto"/>
          <w:sz w:val="21"/>
          <w:szCs w:val="21"/>
          <w:highlight w:val="none"/>
          <w:lang w:eastAsia="zh-CN"/>
        </w:rPr>
        <w:t>甲方</w:t>
      </w:r>
      <w:r>
        <w:rPr>
          <w:rFonts w:hint="eastAsia" w:ascii="宋体" w:hAnsi="宋体" w:eastAsia="宋体" w:cs="宋体"/>
          <w:color w:val="auto"/>
          <w:sz w:val="21"/>
          <w:szCs w:val="21"/>
          <w:highlight w:val="none"/>
        </w:rPr>
        <w:t>备案，作业司机、突发事件的临时应急队伍等作业人员年龄须 55 周岁以下。</w:t>
      </w:r>
    </w:p>
    <w:p>
      <w:pPr>
        <w:pStyle w:val="2"/>
        <w:spacing w:before="0"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8、如因</w:t>
      </w:r>
      <w:r>
        <w:rPr>
          <w:rFonts w:hint="eastAsia" w:cs="宋体"/>
          <w:color w:val="auto"/>
          <w:sz w:val="21"/>
          <w:szCs w:val="21"/>
          <w:highlight w:val="none"/>
          <w:lang w:eastAsia="zh-CN"/>
        </w:rPr>
        <w:t>乙方</w:t>
      </w:r>
      <w:r>
        <w:rPr>
          <w:rFonts w:hint="eastAsia" w:ascii="宋体" w:hAnsi="宋体" w:eastAsia="宋体" w:cs="宋体"/>
          <w:color w:val="auto"/>
          <w:sz w:val="21"/>
          <w:szCs w:val="21"/>
          <w:highlight w:val="none"/>
        </w:rPr>
        <w:t>不及时清扫或清扫不彻底等原因而发生交通事故或其他意外事故，致任何第三人人身或财产受损的，</w:t>
      </w:r>
      <w:r>
        <w:rPr>
          <w:rFonts w:hint="eastAsia" w:cs="宋体"/>
          <w:color w:val="auto"/>
          <w:sz w:val="21"/>
          <w:szCs w:val="21"/>
          <w:highlight w:val="none"/>
          <w:lang w:eastAsia="zh-CN"/>
        </w:rPr>
        <w:t>乙方</w:t>
      </w:r>
      <w:r>
        <w:rPr>
          <w:rFonts w:hint="eastAsia" w:ascii="宋体" w:hAnsi="宋体" w:eastAsia="宋体" w:cs="宋体"/>
          <w:color w:val="auto"/>
          <w:sz w:val="21"/>
          <w:szCs w:val="21"/>
          <w:highlight w:val="none"/>
        </w:rPr>
        <w:t>应承担全部责任。如</w:t>
      </w:r>
      <w:r>
        <w:rPr>
          <w:rFonts w:hint="eastAsia" w:cs="宋体"/>
          <w:color w:val="auto"/>
          <w:sz w:val="21"/>
          <w:szCs w:val="21"/>
          <w:highlight w:val="none"/>
          <w:lang w:eastAsia="zh-CN"/>
        </w:rPr>
        <w:t>甲方</w:t>
      </w:r>
      <w:r>
        <w:rPr>
          <w:rFonts w:hint="eastAsia" w:ascii="宋体" w:hAnsi="宋体" w:eastAsia="宋体" w:cs="宋体"/>
          <w:color w:val="auto"/>
          <w:sz w:val="21"/>
          <w:szCs w:val="21"/>
          <w:highlight w:val="none"/>
        </w:rPr>
        <w:t>在前述情形中实际承担了赔偿责任的，</w:t>
      </w:r>
      <w:r>
        <w:rPr>
          <w:rFonts w:hint="eastAsia" w:cs="宋体"/>
          <w:color w:val="auto"/>
          <w:sz w:val="21"/>
          <w:szCs w:val="21"/>
          <w:highlight w:val="none"/>
          <w:lang w:eastAsia="zh-CN"/>
        </w:rPr>
        <w:t>乙方</w:t>
      </w:r>
      <w:r>
        <w:rPr>
          <w:rFonts w:hint="eastAsia" w:ascii="宋体" w:hAnsi="宋体" w:eastAsia="宋体" w:cs="宋体"/>
          <w:color w:val="auto"/>
          <w:sz w:val="21"/>
          <w:szCs w:val="21"/>
          <w:highlight w:val="none"/>
        </w:rPr>
        <w:t>同意无条件赔偿</w:t>
      </w:r>
      <w:r>
        <w:rPr>
          <w:rFonts w:hint="eastAsia" w:cs="宋体"/>
          <w:color w:val="auto"/>
          <w:sz w:val="21"/>
          <w:szCs w:val="21"/>
          <w:highlight w:val="none"/>
          <w:lang w:eastAsia="zh-CN"/>
        </w:rPr>
        <w:t>甲方</w:t>
      </w:r>
      <w:r>
        <w:rPr>
          <w:rFonts w:hint="eastAsia" w:ascii="宋体" w:hAnsi="宋体" w:eastAsia="宋体" w:cs="宋体"/>
          <w:color w:val="auto"/>
          <w:sz w:val="21"/>
          <w:szCs w:val="21"/>
          <w:highlight w:val="none"/>
        </w:rPr>
        <w:t>的一切损失（包括但不限于</w:t>
      </w:r>
      <w:r>
        <w:rPr>
          <w:rFonts w:hint="eastAsia" w:cs="宋体"/>
          <w:color w:val="auto"/>
          <w:sz w:val="21"/>
          <w:szCs w:val="21"/>
          <w:highlight w:val="none"/>
          <w:lang w:eastAsia="zh-CN"/>
        </w:rPr>
        <w:t>甲方</w:t>
      </w:r>
      <w:r>
        <w:rPr>
          <w:rFonts w:hint="eastAsia" w:ascii="宋体" w:hAnsi="宋体" w:eastAsia="宋体" w:cs="宋体"/>
          <w:color w:val="auto"/>
          <w:sz w:val="21"/>
          <w:szCs w:val="21"/>
          <w:highlight w:val="none"/>
        </w:rPr>
        <w:t>已赔偿的费用、</w:t>
      </w:r>
      <w:r>
        <w:rPr>
          <w:rFonts w:hint="eastAsia" w:cs="宋体"/>
          <w:color w:val="auto"/>
          <w:sz w:val="21"/>
          <w:szCs w:val="21"/>
          <w:highlight w:val="none"/>
          <w:lang w:eastAsia="zh-CN"/>
        </w:rPr>
        <w:t>甲方</w:t>
      </w:r>
      <w:r>
        <w:rPr>
          <w:rFonts w:hint="eastAsia" w:ascii="宋体" w:hAnsi="宋体" w:eastAsia="宋体" w:cs="宋体"/>
          <w:color w:val="auto"/>
          <w:sz w:val="21"/>
          <w:szCs w:val="21"/>
          <w:highlight w:val="none"/>
        </w:rPr>
        <w:t>为向</w:t>
      </w:r>
      <w:r>
        <w:rPr>
          <w:rFonts w:hint="eastAsia" w:cs="宋体"/>
          <w:color w:val="auto"/>
          <w:sz w:val="21"/>
          <w:szCs w:val="21"/>
          <w:highlight w:val="none"/>
          <w:lang w:eastAsia="zh-CN"/>
        </w:rPr>
        <w:t>乙方</w:t>
      </w:r>
      <w:r>
        <w:rPr>
          <w:rFonts w:hint="eastAsia" w:ascii="宋体" w:hAnsi="宋体" w:eastAsia="宋体" w:cs="宋体"/>
          <w:color w:val="auto"/>
          <w:sz w:val="21"/>
          <w:szCs w:val="21"/>
          <w:highlight w:val="none"/>
        </w:rPr>
        <w:t>追讨相关费用而支付的诉讼费、保全费、鉴定费、公证费、律师费、差旅费等所有费用）。</w:t>
      </w:r>
    </w:p>
    <w:p>
      <w:pPr>
        <w:pStyle w:val="2"/>
        <w:spacing w:before="0"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9、服务期内，若</w:t>
      </w:r>
      <w:r>
        <w:rPr>
          <w:rFonts w:hint="eastAsia" w:cs="宋体"/>
          <w:color w:val="auto"/>
          <w:sz w:val="21"/>
          <w:szCs w:val="21"/>
          <w:highlight w:val="none"/>
          <w:lang w:eastAsia="zh-CN"/>
        </w:rPr>
        <w:t>乙方</w:t>
      </w:r>
      <w:r>
        <w:rPr>
          <w:rFonts w:hint="eastAsia" w:ascii="宋体" w:hAnsi="宋体" w:eastAsia="宋体" w:cs="宋体"/>
          <w:color w:val="auto"/>
          <w:sz w:val="21"/>
          <w:szCs w:val="21"/>
          <w:highlight w:val="none"/>
        </w:rPr>
        <w:t>的服务效果未达到招标文件要求的质量标准，</w:t>
      </w:r>
      <w:r>
        <w:rPr>
          <w:rFonts w:hint="eastAsia" w:cs="宋体"/>
          <w:color w:val="auto"/>
          <w:sz w:val="21"/>
          <w:szCs w:val="21"/>
          <w:highlight w:val="none"/>
          <w:lang w:eastAsia="zh-CN"/>
        </w:rPr>
        <w:t>乙方</w:t>
      </w:r>
      <w:r>
        <w:rPr>
          <w:rFonts w:hint="eastAsia" w:ascii="宋体" w:hAnsi="宋体" w:eastAsia="宋体" w:cs="宋体"/>
          <w:color w:val="auto"/>
          <w:sz w:val="21"/>
          <w:szCs w:val="21"/>
          <w:highlight w:val="none"/>
        </w:rPr>
        <w:t>须无条件服从</w:t>
      </w:r>
      <w:r>
        <w:rPr>
          <w:rFonts w:hint="eastAsia" w:cs="宋体"/>
          <w:color w:val="auto"/>
          <w:sz w:val="21"/>
          <w:szCs w:val="21"/>
          <w:highlight w:val="none"/>
          <w:lang w:eastAsia="zh-CN"/>
        </w:rPr>
        <w:t>甲方</w:t>
      </w:r>
      <w:r>
        <w:rPr>
          <w:rFonts w:hint="eastAsia" w:ascii="宋体" w:hAnsi="宋体" w:eastAsia="宋体" w:cs="宋体"/>
          <w:color w:val="auto"/>
          <w:sz w:val="21"/>
          <w:szCs w:val="21"/>
          <w:highlight w:val="none"/>
        </w:rPr>
        <w:t>的要求增加设备及人员，直至达到招标文件要求的质量标准为止。</w:t>
      </w:r>
    </w:p>
    <w:p>
      <w:pPr>
        <w:pStyle w:val="2"/>
        <w:spacing w:before="0"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cs="宋体"/>
          <w:color w:val="auto"/>
          <w:sz w:val="21"/>
          <w:szCs w:val="21"/>
          <w:highlight w:val="none"/>
          <w:lang w:eastAsia="zh-CN"/>
        </w:rPr>
        <w:t>乙方</w:t>
      </w:r>
      <w:r>
        <w:rPr>
          <w:rFonts w:hint="eastAsia" w:ascii="宋体" w:hAnsi="宋体" w:eastAsia="宋体" w:cs="宋体"/>
          <w:color w:val="auto"/>
          <w:sz w:val="21"/>
          <w:szCs w:val="21"/>
          <w:highlight w:val="none"/>
        </w:rPr>
        <w:t>需协助</w:t>
      </w:r>
      <w:r>
        <w:rPr>
          <w:rFonts w:hint="eastAsia" w:cs="宋体"/>
          <w:color w:val="auto"/>
          <w:sz w:val="21"/>
          <w:szCs w:val="21"/>
          <w:highlight w:val="none"/>
          <w:lang w:eastAsia="zh-CN"/>
        </w:rPr>
        <w:t>甲方</w:t>
      </w:r>
      <w:r>
        <w:rPr>
          <w:rFonts w:hint="eastAsia" w:ascii="宋体" w:hAnsi="宋体" w:eastAsia="宋体" w:cs="宋体"/>
          <w:color w:val="auto"/>
          <w:sz w:val="21"/>
          <w:szCs w:val="21"/>
          <w:highlight w:val="none"/>
        </w:rPr>
        <w:t>做好偷倒垃圾的巡查工作，发现存在偷倒垃圾行为的须及时上报</w:t>
      </w:r>
      <w:r>
        <w:rPr>
          <w:rFonts w:hint="eastAsia" w:cs="宋体"/>
          <w:color w:val="auto"/>
          <w:sz w:val="21"/>
          <w:szCs w:val="21"/>
          <w:highlight w:val="none"/>
          <w:lang w:eastAsia="zh-CN"/>
        </w:rPr>
        <w:t>甲方</w:t>
      </w:r>
      <w:r>
        <w:rPr>
          <w:rFonts w:hint="eastAsia" w:ascii="宋体" w:hAnsi="宋体" w:eastAsia="宋体" w:cs="宋体"/>
          <w:color w:val="auto"/>
          <w:sz w:val="21"/>
          <w:szCs w:val="21"/>
          <w:highlight w:val="none"/>
        </w:rPr>
        <w:t>，如未能及时发现偷倒行为造成出现无法确认责任人的，</w:t>
      </w:r>
      <w:r>
        <w:rPr>
          <w:rFonts w:hint="eastAsia" w:cs="宋体"/>
          <w:color w:val="auto"/>
          <w:sz w:val="21"/>
          <w:szCs w:val="21"/>
          <w:highlight w:val="none"/>
          <w:lang w:eastAsia="zh-CN"/>
        </w:rPr>
        <w:t>乙方</w:t>
      </w:r>
      <w:r>
        <w:rPr>
          <w:rFonts w:hint="eastAsia" w:ascii="宋体" w:hAnsi="宋体" w:eastAsia="宋体" w:cs="宋体"/>
          <w:color w:val="auto"/>
          <w:sz w:val="21"/>
          <w:szCs w:val="21"/>
          <w:highlight w:val="none"/>
        </w:rPr>
        <w:t>需协助将垃圾（包括建筑垃圾、工业垃圾等）清理。</w:t>
      </w:r>
    </w:p>
    <w:p>
      <w:pPr>
        <w:pStyle w:val="2"/>
        <w:spacing w:before="0" w:line="360" w:lineRule="auto"/>
        <w:ind w:left="0" w:firstLine="422" w:firstLineChars="200"/>
        <w:rPr>
          <w:b/>
          <w:color w:val="auto"/>
          <w:sz w:val="21"/>
          <w:szCs w:val="21"/>
          <w:highlight w:val="none"/>
        </w:rPr>
      </w:pPr>
      <w:r>
        <w:rPr>
          <w:rFonts w:hint="eastAsia"/>
          <w:b/>
          <w:bCs/>
          <w:color w:val="auto"/>
          <w:sz w:val="21"/>
          <w:szCs w:val="21"/>
          <w:highlight w:val="none"/>
        </w:rPr>
        <w:t>（十七）</w:t>
      </w:r>
      <w:r>
        <w:rPr>
          <w:rFonts w:hint="eastAsia"/>
          <w:b/>
          <w:color w:val="auto"/>
          <w:sz w:val="21"/>
          <w:szCs w:val="21"/>
          <w:highlight w:val="none"/>
        </w:rPr>
        <w:t>其他说明</w:t>
      </w:r>
    </w:p>
    <w:p>
      <w:pPr>
        <w:pStyle w:val="2"/>
        <w:spacing w:before="0" w:line="360" w:lineRule="auto"/>
        <w:ind w:left="0" w:firstLine="420" w:firstLineChars="200"/>
        <w:rPr>
          <w:rFonts w:hint="eastAsia"/>
          <w:color w:val="auto"/>
          <w:sz w:val="21"/>
          <w:szCs w:val="21"/>
          <w:highlight w:val="none"/>
        </w:rPr>
      </w:pPr>
      <w:r>
        <w:rPr>
          <w:rFonts w:hint="eastAsia"/>
          <w:color w:val="auto"/>
          <w:sz w:val="21"/>
          <w:szCs w:val="21"/>
          <w:highlight w:val="none"/>
        </w:rPr>
        <w:t>1、确保交付</w:t>
      </w:r>
      <w:r>
        <w:rPr>
          <w:rFonts w:hint="eastAsia"/>
          <w:color w:val="auto"/>
          <w:sz w:val="21"/>
          <w:szCs w:val="21"/>
          <w:highlight w:val="none"/>
          <w:lang w:eastAsia="zh-CN"/>
        </w:rPr>
        <w:t>乙方</w:t>
      </w:r>
      <w:r>
        <w:rPr>
          <w:rFonts w:hint="eastAsia"/>
          <w:color w:val="auto"/>
          <w:sz w:val="21"/>
          <w:szCs w:val="21"/>
          <w:highlight w:val="none"/>
        </w:rPr>
        <w:t>管理的所有中转站和厕所设施完好无损，达到市精细化考核标准，能正常使用，负责对中转站和公厕墙体主体结构和排水排气设施设备等大物件的保养、维修和更换，并相应承担保养、维修和更换等相关费用。</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2、为</w:t>
      </w:r>
      <w:r>
        <w:rPr>
          <w:rFonts w:hint="eastAsia"/>
          <w:color w:val="auto"/>
          <w:sz w:val="21"/>
          <w:szCs w:val="21"/>
          <w:highlight w:val="none"/>
          <w:lang w:eastAsia="zh-CN"/>
        </w:rPr>
        <w:t>乙方</w:t>
      </w:r>
      <w:r>
        <w:rPr>
          <w:rFonts w:hint="eastAsia"/>
          <w:color w:val="auto"/>
          <w:sz w:val="21"/>
          <w:szCs w:val="21"/>
          <w:highlight w:val="none"/>
        </w:rPr>
        <w:t>项目车辆停放场地和安装变压器充电桩提供必要的协助。</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（十八）保密要求</w:t>
      </w:r>
    </w:p>
    <w:p>
      <w:pPr>
        <w:pStyle w:val="2"/>
        <w:spacing w:before="0" w:line="360" w:lineRule="auto"/>
        <w:ind w:left="0" w:firstLine="420" w:firstLineChars="200"/>
        <w:rPr>
          <w:rFonts w:hint="eastAsia"/>
          <w:color w:val="auto"/>
          <w:sz w:val="21"/>
          <w:szCs w:val="21"/>
          <w:highlight w:val="none"/>
        </w:rPr>
      </w:pPr>
      <w:r>
        <w:rPr>
          <w:rFonts w:hint="eastAsia"/>
          <w:color w:val="auto"/>
          <w:sz w:val="21"/>
          <w:szCs w:val="21"/>
          <w:highlight w:val="none"/>
        </w:rPr>
        <w:t>1、项目实施过程中至</w:t>
      </w:r>
      <w:r>
        <w:rPr>
          <w:rFonts w:hint="eastAsia"/>
          <w:color w:val="auto"/>
          <w:sz w:val="21"/>
          <w:szCs w:val="21"/>
          <w:highlight w:val="none"/>
          <w:lang w:eastAsia="zh-CN"/>
        </w:rPr>
        <w:t>乙方</w:t>
      </w:r>
      <w:r>
        <w:rPr>
          <w:rFonts w:hint="eastAsia"/>
          <w:color w:val="auto"/>
          <w:sz w:val="21"/>
          <w:szCs w:val="21"/>
          <w:highlight w:val="none"/>
        </w:rPr>
        <w:t>正式向</w:t>
      </w:r>
      <w:r>
        <w:rPr>
          <w:rFonts w:hint="eastAsia"/>
          <w:color w:val="auto"/>
          <w:sz w:val="21"/>
          <w:szCs w:val="21"/>
          <w:highlight w:val="none"/>
          <w:lang w:eastAsia="zh-CN"/>
        </w:rPr>
        <w:t>甲方</w:t>
      </w:r>
      <w:r>
        <w:rPr>
          <w:rFonts w:hint="eastAsia"/>
          <w:color w:val="auto"/>
          <w:sz w:val="21"/>
          <w:szCs w:val="21"/>
          <w:highlight w:val="none"/>
        </w:rPr>
        <w:t>交付技术文档资料时止，</w:t>
      </w:r>
      <w:r>
        <w:rPr>
          <w:rFonts w:hint="eastAsia"/>
          <w:color w:val="auto"/>
          <w:sz w:val="21"/>
          <w:szCs w:val="21"/>
          <w:highlight w:val="none"/>
          <w:lang w:eastAsia="zh-CN"/>
        </w:rPr>
        <w:t>乙方</w:t>
      </w:r>
      <w:r>
        <w:rPr>
          <w:rFonts w:hint="eastAsia"/>
          <w:color w:val="auto"/>
          <w:sz w:val="21"/>
          <w:szCs w:val="21"/>
          <w:highlight w:val="none"/>
        </w:rPr>
        <w:t>必须采取措施对本项目实施过程中的数据、源代码、技术文档等资料保密，否则，由于</w:t>
      </w:r>
      <w:r>
        <w:rPr>
          <w:rFonts w:hint="eastAsia"/>
          <w:color w:val="auto"/>
          <w:sz w:val="21"/>
          <w:szCs w:val="21"/>
          <w:highlight w:val="none"/>
          <w:lang w:eastAsia="zh-CN"/>
        </w:rPr>
        <w:t>乙方</w:t>
      </w:r>
      <w:r>
        <w:rPr>
          <w:rFonts w:hint="eastAsia"/>
          <w:color w:val="auto"/>
          <w:sz w:val="21"/>
          <w:szCs w:val="21"/>
          <w:highlight w:val="none"/>
        </w:rPr>
        <w:t>过错导致的上述资料泄密的，</w:t>
      </w:r>
      <w:r>
        <w:rPr>
          <w:rFonts w:hint="eastAsia"/>
          <w:color w:val="auto"/>
          <w:sz w:val="21"/>
          <w:szCs w:val="21"/>
          <w:highlight w:val="none"/>
          <w:lang w:eastAsia="zh-CN"/>
        </w:rPr>
        <w:t>乙方</w:t>
      </w:r>
      <w:r>
        <w:rPr>
          <w:rFonts w:hint="eastAsia"/>
          <w:color w:val="auto"/>
          <w:sz w:val="21"/>
          <w:szCs w:val="21"/>
          <w:highlight w:val="none"/>
        </w:rPr>
        <w:t>必须承担一切责任。项目完成后，甲、乙双方均有责任对本项目的技术保密承担责任。</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2、未经</w:t>
      </w:r>
      <w:r>
        <w:rPr>
          <w:rFonts w:hint="eastAsia"/>
          <w:color w:val="auto"/>
          <w:sz w:val="21"/>
          <w:szCs w:val="21"/>
          <w:highlight w:val="none"/>
          <w:lang w:eastAsia="zh-CN"/>
        </w:rPr>
        <w:t>乙方</w:t>
      </w:r>
      <w:r>
        <w:rPr>
          <w:rFonts w:hint="eastAsia"/>
          <w:color w:val="auto"/>
          <w:sz w:val="21"/>
          <w:szCs w:val="21"/>
          <w:highlight w:val="none"/>
        </w:rPr>
        <w:t>事先书面同意，</w:t>
      </w:r>
      <w:r>
        <w:rPr>
          <w:rFonts w:hint="eastAsia"/>
          <w:color w:val="auto"/>
          <w:sz w:val="21"/>
          <w:szCs w:val="21"/>
          <w:highlight w:val="none"/>
          <w:lang w:eastAsia="zh-CN"/>
        </w:rPr>
        <w:t>甲方</w:t>
      </w:r>
      <w:r>
        <w:rPr>
          <w:rFonts w:hint="eastAsia"/>
          <w:color w:val="auto"/>
          <w:sz w:val="21"/>
          <w:szCs w:val="21"/>
          <w:highlight w:val="none"/>
        </w:rPr>
        <w:t>不得将由</w:t>
      </w:r>
      <w:r>
        <w:rPr>
          <w:rFonts w:hint="eastAsia"/>
          <w:color w:val="auto"/>
          <w:sz w:val="21"/>
          <w:szCs w:val="21"/>
          <w:highlight w:val="none"/>
          <w:lang w:eastAsia="zh-CN"/>
        </w:rPr>
        <w:t>乙方</w:t>
      </w:r>
      <w:r>
        <w:rPr>
          <w:rFonts w:hint="eastAsia"/>
          <w:color w:val="auto"/>
          <w:sz w:val="21"/>
          <w:szCs w:val="21"/>
          <w:highlight w:val="none"/>
        </w:rPr>
        <w:t>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pPr>
        <w:suppressAutoHyphens/>
        <w:spacing w:before="93" w:beforeLines="30" w:after="93" w:afterLines="30"/>
        <w:jc w:val="both"/>
        <w:rPr>
          <w:rFonts w:ascii="宋体" w:hAnsi="宋体" w:cs="宋体"/>
          <w:b/>
          <w:bCs/>
          <w:color w:val="auto"/>
          <w:highlight w:val="none"/>
        </w:rPr>
      </w:pPr>
    </w:p>
    <w:p>
      <w:pPr>
        <w:suppressAutoHyphens/>
        <w:spacing w:before="93" w:beforeLines="30" w:after="93" w:afterLines="30"/>
        <w:jc w:val="both"/>
        <w:rPr>
          <w:rFonts w:ascii="宋体" w:hAnsi="宋体" w:cs="宋体"/>
          <w:b/>
          <w:bCs/>
          <w:color w:val="auto"/>
          <w:highlight w:val="none"/>
        </w:rPr>
      </w:pPr>
      <w:r>
        <w:rPr>
          <w:rFonts w:hint="eastAsia" w:ascii="宋体" w:hAnsi="宋体" w:cs="宋体"/>
          <w:b/>
          <w:bCs/>
          <w:color w:val="auto"/>
          <w:highlight w:val="none"/>
        </w:rPr>
        <w:t>五、服务期间</w:t>
      </w:r>
    </w:p>
    <w:p>
      <w:pPr>
        <w:suppressAutoHyphens/>
        <w:spacing w:line="360"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委托服务期间自</w:t>
      </w:r>
      <w:r>
        <w:rPr>
          <w:rFonts w:hint="eastAsia" w:ascii="宋体" w:hAnsi="宋体" w:cs="宋体"/>
          <w:color w:val="auto"/>
          <w:szCs w:val="21"/>
          <w:highlight w:val="none"/>
          <w:u w:val="single"/>
        </w:rPr>
        <w:t xml:space="preserve">202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日至</w:t>
      </w:r>
      <w:r>
        <w:rPr>
          <w:rFonts w:hint="eastAsia" w:ascii="宋体" w:hAnsi="宋体" w:cs="宋体"/>
          <w:color w:val="auto"/>
          <w:szCs w:val="21"/>
          <w:highlight w:val="none"/>
          <w:u w:val="single"/>
        </w:rPr>
        <w:t xml:space="preserve">202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止。因合同期满或其他原因导致合同提前终止或解除，乙方应及时配合甲方办理相关交接工作，以保证甲方各项工作项目的正常运转。（采用一年一签模式，即只有每年考核达标，才能自动续约下一年合同。如考核未达标的承包单位将自动淘汰出局，由采购单位重新组织项目招标。合同期满前50日内，甲方根据考核办法评定是否达标，具体为：该年度没有出现连续两个月综合考核得分80以下或同一年度内累计三个月综合考核得分80以下或被市同一年度内两次评为黑榜的，视为达标。）</w:t>
      </w:r>
    </w:p>
    <w:p>
      <w:pPr>
        <w:suppressAutoHyphens/>
        <w:spacing w:before="93" w:beforeLines="30" w:after="93" w:afterLines="30"/>
        <w:jc w:val="both"/>
        <w:rPr>
          <w:rFonts w:ascii="宋体" w:hAnsi="宋体" w:cs="宋体"/>
          <w:b/>
          <w:bCs/>
          <w:color w:val="auto"/>
          <w:highlight w:val="none"/>
        </w:rPr>
      </w:pPr>
    </w:p>
    <w:p>
      <w:pPr>
        <w:suppressAutoHyphens/>
        <w:spacing w:before="93" w:beforeLines="30" w:after="93" w:afterLines="30"/>
        <w:jc w:val="both"/>
        <w:rPr>
          <w:rFonts w:ascii="宋体" w:hAnsi="宋体" w:cs="宋体"/>
          <w:b/>
          <w:bCs/>
          <w:color w:val="auto"/>
          <w:highlight w:val="none"/>
        </w:rPr>
      </w:pPr>
      <w:r>
        <w:rPr>
          <w:rFonts w:hint="eastAsia" w:ascii="宋体" w:hAnsi="宋体" w:cs="宋体"/>
          <w:b/>
          <w:bCs/>
          <w:color w:val="auto"/>
          <w:highlight w:val="none"/>
        </w:rPr>
        <w:t>六、服务费用及付款方式</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（一）服务费用</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1、甲方应支付乙方总清扫保洁服务费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元（大写：人民币</w:t>
      </w:r>
      <w:r>
        <w:rPr>
          <w:rFonts w:hint="eastAsia" w:ascii="宋体" w:hAnsi="宋体" w:cs="宋体"/>
          <w:color w:val="auto"/>
          <w:szCs w:val="21"/>
          <w:highlight w:val="none"/>
          <w:u w:val="single"/>
        </w:rPr>
        <w:t xml:space="preserve">                 元整 </w:t>
      </w:r>
      <w:r>
        <w:rPr>
          <w:rFonts w:hint="eastAsia" w:ascii="宋体" w:hAnsi="宋体" w:cs="宋体"/>
          <w:color w:val="auto"/>
          <w:szCs w:val="21"/>
          <w:highlight w:val="none"/>
        </w:rPr>
        <w:t>），每月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元。（如有细项则分项列出）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服务费包含垃圾清运费用、管理费用、人员费用（含员工正常工作时间工资、加班工资、奖金、津贴、食宿费、住房补助、劳动保障、福利、医疗保险与费用、工伤保险与费用、失业保险、社会保障、教育培训费用、暂住费用、伤亡事故处理费用等费用）、税费、生产资料费用（含作业用水、用电的费用，含各种环卫工具、环卫车辆、环卫机械设备的投入和耗损，不含果皮箱、环卫工具房购置及维修费）、市政设施防张贴防涂写防刻画涂料的购买与喷涂费用等与环卫保洁有关的一切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（二）付款方式</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1、按月支付承包款，每月结合考核标准进行结算。合同生效后第二个月起每月</w:t>
      </w:r>
      <w:r>
        <w:rPr>
          <w:rFonts w:hint="eastAsia"/>
          <w:color w:val="auto"/>
          <w:sz w:val="21"/>
          <w:szCs w:val="21"/>
          <w:highlight w:val="none"/>
          <w:u w:val="single"/>
          <w:lang w:val="en-US"/>
        </w:rPr>
        <w:t>20</w:t>
      </w:r>
      <w:r>
        <w:rPr>
          <w:rFonts w:hint="eastAsia"/>
          <w:color w:val="auto"/>
          <w:sz w:val="21"/>
          <w:szCs w:val="21"/>
          <w:highlight w:val="none"/>
        </w:rPr>
        <w:t>日前向乙方支付上月的承包款。</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2、每期款项支付时，乙方应在接到甲方开票通知后10天内，提交相应金额的正式发票；如乙方未能按照约定提供相应金额的正式发票，由此产生的责任和损失由乙方自行承担。</w:t>
      </w:r>
    </w:p>
    <w:p>
      <w:pPr>
        <w:pStyle w:val="26"/>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3、乙方确认本合同项下款项均支付至本合同签署页列明的银行账户，甲方将合同款项支付至乙方指定的银行账户即完成合同款项的支付义务。如本合同尾部列明的收款账户发生任何变更，乙方应自变更之日起立即书面通知甲方；否则，由此引起的相关后果均由乙方自行承担。</w:t>
      </w:r>
    </w:p>
    <w:p>
      <w:pPr>
        <w:suppressAutoHyphens/>
        <w:spacing w:before="93" w:beforeLines="30" w:after="93" w:afterLines="30"/>
        <w:jc w:val="both"/>
        <w:rPr>
          <w:rFonts w:ascii="宋体" w:hAnsi="宋体" w:cs="宋体"/>
          <w:b/>
          <w:bCs/>
          <w:color w:val="auto"/>
          <w:highlight w:val="none"/>
        </w:rPr>
      </w:pPr>
    </w:p>
    <w:p>
      <w:pPr>
        <w:suppressAutoHyphens/>
        <w:spacing w:before="93" w:beforeLines="30" w:after="93" w:afterLines="30"/>
        <w:jc w:val="both"/>
        <w:rPr>
          <w:rFonts w:ascii="宋体" w:hAnsi="宋体" w:cs="宋体"/>
          <w:b/>
          <w:bCs/>
          <w:color w:val="auto"/>
          <w:highlight w:val="none"/>
        </w:rPr>
      </w:pPr>
      <w:r>
        <w:rPr>
          <w:rFonts w:hint="eastAsia" w:ascii="宋体" w:hAnsi="宋体" w:cs="宋体"/>
          <w:b/>
          <w:bCs/>
          <w:color w:val="auto"/>
          <w:highlight w:val="none"/>
        </w:rPr>
        <w:t>七、考核评分办法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关于印发&lt;东莞市城乡市容环卫统筹管理实施方案&gt;的通知》（东府办〔2013〕92号）和《关于印发&lt;长安镇市容环卫统筹方案&gt;的通知》（长府办〔2013〕92号）文件精神，为落实村级环卫体制改革的目标任务，改善社区环境卫生市容市貌，建立和完善环卫统筹管理及环境卫生整治长效管理机制，实现社区市容环卫规范化、高效化、一体化管理、结合社区环卫项目承包合同内容，特制定本评分办法，本评分办法主要是对环卫工作项目市场化公司的检查考核评分办法。</w:t>
      </w:r>
    </w:p>
    <w:p>
      <w:pPr>
        <w:tabs>
          <w:tab w:val="left" w:pos="420"/>
          <w:tab w:val="left" w:pos="840"/>
          <w:tab w:val="left" w:pos="1260"/>
          <w:tab w:val="left" w:pos="1680"/>
          <w:tab w:val="left" w:pos="5848"/>
        </w:tabs>
        <w:spacing w:line="360" w:lineRule="auto"/>
        <w:ind w:firstLine="420" w:firstLineChars="200"/>
        <w:rPr>
          <w:rFonts w:ascii="宋体" w:hAnsi="宋体" w:cs="宋体"/>
          <w:b/>
          <w:color w:val="auto"/>
          <w:szCs w:val="21"/>
          <w:highlight w:val="none"/>
        </w:rPr>
      </w:pPr>
      <w:r>
        <w:rPr>
          <w:rFonts w:hint="eastAsia" w:ascii="宋体" w:hAnsi="宋体" w:cs="宋体"/>
          <w:bCs/>
          <w:color w:val="auto"/>
          <w:szCs w:val="21"/>
          <w:highlight w:val="none"/>
        </w:rPr>
        <w:t>一、工作目标</w:t>
      </w:r>
      <w:r>
        <w:rPr>
          <w:rFonts w:hint="eastAsia" w:ascii="宋体" w:hAnsi="宋体" w:cs="宋体"/>
          <w:b/>
          <w:color w:val="auto"/>
          <w:szCs w:val="21"/>
          <w:highlight w:val="none"/>
        </w:rPr>
        <w:tab/>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围绕社区环卫管理开展的一系列整治环境卫生工作，通过指挥、协调、督导、检查、考核、评分等工作，解决当前社区环境卫生工作中所存在的问题，健全环卫管理机制，巩固整治环境卫生工作成效，打造干净整洁环境优美的城市形象，管理让人民满意的社区。</w:t>
      </w:r>
    </w:p>
    <w:p>
      <w:pPr>
        <w:tabs>
          <w:tab w:val="left" w:pos="420"/>
          <w:tab w:val="left" w:pos="840"/>
          <w:tab w:val="left" w:pos="1260"/>
          <w:tab w:val="left" w:pos="1680"/>
          <w:tab w:val="left" w:pos="5848"/>
        </w:tabs>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二、具体评分考核办法</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（一）检查考核内容</w:t>
      </w:r>
    </w:p>
    <w:p>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1、硬件设备管理。</w:t>
      </w:r>
      <w:r>
        <w:rPr>
          <w:rFonts w:hint="eastAsia" w:ascii="宋体" w:hAnsi="宋体" w:cs="宋体"/>
          <w:color w:val="auto"/>
          <w:szCs w:val="21"/>
          <w:highlight w:val="none"/>
        </w:rPr>
        <w:t>包括：公厕、垃圾转运站管理，人力、电动、机械等环卫作业车辆管理，垃圾桶、果皮箱等垃圾收集容器及其他环卫设施设备的配置、使用、管理情况。</w:t>
      </w:r>
    </w:p>
    <w:p>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2、日常管理工作。</w:t>
      </w:r>
      <w:r>
        <w:rPr>
          <w:rFonts w:hint="eastAsia" w:ascii="宋体" w:hAnsi="宋体" w:cs="宋体"/>
          <w:color w:val="auto"/>
          <w:szCs w:val="21"/>
          <w:highlight w:val="none"/>
        </w:rPr>
        <w:t>包括：管理架构和制度，人员配备和资金保障，日常人工，机械清扫保洁，沉沙井（排水井）清理，河涌、堤围保洁，垃圾收集、清运，“牛皮癣”、乱涂鸦、乱粘贴整治等。</w:t>
      </w:r>
    </w:p>
    <w:p>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3、其他事项。</w:t>
      </w:r>
      <w:r>
        <w:rPr>
          <w:rFonts w:hint="eastAsia" w:ascii="宋体" w:hAnsi="宋体" w:cs="宋体"/>
          <w:color w:val="auto"/>
          <w:szCs w:val="21"/>
          <w:highlight w:val="none"/>
        </w:rPr>
        <w:t>包括：明查暗访，卫生投诉等。</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（二）检查考核方式及其分值（总分100分）</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1、日检（占总分50分）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社区：社区对辖区范围进行分区域监督管理，根据实际情况配备足够的专职卫生监督员，分组对各管辖区域进行全覆盖巡查监督，对市场化的公司在管辖区域的工作质量进行日常的考核评分，每组每天不少于3次的全面巡查，每次根据《长安镇</w:t>
      </w:r>
      <w:r>
        <w:rPr>
          <w:rFonts w:hint="eastAsia" w:ascii="宋体" w:hAnsi="宋体" w:cs="宋体"/>
          <w:color w:val="auto"/>
          <w:szCs w:val="21"/>
          <w:highlight w:val="none"/>
          <w:lang w:eastAsia="zh-CN"/>
        </w:rPr>
        <w:t>新民</w:t>
      </w:r>
      <w:r>
        <w:rPr>
          <w:rFonts w:hint="eastAsia" w:ascii="宋体" w:hAnsi="宋体" w:cs="宋体"/>
          <w:color w:val="auto"/>
          <w:szCs w:val="21"/>
          <w:highlight w:val="none"/>
        </w:rPr>
        <w:t>社区环卫统筹日常考核检查评分表》进行现场考核评分，扣分部分拍照为据，评分结果由社区卫生监督员和市场化公司陪检人员共同签章确认；因考虑环境卫生的流动性，为免引起不必要的纠纷，评分表填写不允许涂改，若有涂改的评分表作不合格处理；日检分数不得修改；社区卫生监督员对管辖区域的卫生质量负责，对每次评分结果负全责。当天工作结束，社区专人负责收集各组一天各3次的评分表及按要求整理照片依据，并于第二天将评分表及整理后照片依据通过电脑扫描等形式，发给社区环境办专职人员，月末将原件存档，另安排专人负责收集每天的日检评分结果，月末综合当月的日检评分结果，换算市场化承包公司日检的最终分值。</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市场化公司：市场化公司根据社区一组卫生监督员设置一名或一名以上陪检人员的标准配备陪检人员人数，每天陪同社区卫生监督员进行日常巡查、监督、评分，对该组的评分结果进行确认签章，对负责区域的环境卫生质量负全责，同时，对外界任何渠道反映的卫生情况要及时安排人员处理，确保负责区域的卫生质量全天候达标。</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2、半月检（占总分20分：管理架构等10分，设备车辆10分）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社区环境办的分管副主任负责牵头，联同社区相关人员到市场化公司的管理办公室等地，通过查阅资料和现场检查等形式，对市场化公司在社区设置的管理架构、人员制度、资金保障、车辆配置、工作记录、资料存档等资料进行确认核查，每次根据《长安镇</w:t>
      </w:r>
      <w:r>
        <w:rPr>
          <w:rFonts w:hint="eastAsia" w:ascii="宋体" w:hAnsi="宋体" w:cs="宋体"/>
          <w:color w:val="auto"/>
          <w:szCs w:val="21"/>
          <w:highlight w:val="none"/>
          <w:lang w:eastAsia="zh-CN"/>
        </w:rPr>
        <w:t>新民</w:t>
      </w:r>
      <w:r>
        <w:rPr>
          <w:rFonts w:hint="eastAsia" w:ascii="宋体" w:hAnsi="宋体" w:cs="宋体"/>
          <w:color w:val="auto"/>
          <w:szCs w:val="21"/>
          <w:highlight w:val="none"/>
        </w:rPr>
        <w:t>社区环卫统筹管理架构人员配备评分表》和《长安镇</w:t>
      </w:r>
      <w:r>
        <w:rPr>
          <w:rFonts w:hint="eastAsia" w:ascii="宋体" w:hAnsi="宋体" w:cs="宋体"/>
          <w:color w:val="auto"/>
          <w:szCs w:val="21"/>
          <w:highlight w:val="none"/>
          <w:lang w:eastAsia="zh-CN"/>
        </w:rPr>
        <w:t>新民</w:t>
      </w:r>
      <w:r>
        <w:rPr>
          <w:rFonts w:hint="eastAsia" w:ascii="宋体" w:hAnsi="宋体" w:cs="宋体"/>
          <w:color w:val="auto"/>
          <w:szCs w:val="21"/>
          <w:highlight w:val="none"/>
        </w:rPr>
        <w:t>社区环卫统筹设施设备车辆配备评分表》内容和要求进行现场考核评分，评分结果由双方代表共同现场签名盖章确认，每月检查两次，两次各项平均得分总和作为市场化承包公司半月检的最终分值。</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3、月检（占总分30分：现场检查评比20分，投诉处理5分，明查暗访5分）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（1）现场检查评比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每月开展一次现场评比检查，由社区领导组织、社区环境办、市场化公司代表组成的检查组，对市场化公司，开展每月一次整治环境卫生大检查工作。每位检查组成员对检查结果进行现场评分，现场填写《长安镇</w:t>
      </w:r>
      <w:r>
        <w:rPr>
          <w:rFonts w:hint="eastAsia" w:ascii="宋体" w:hAnsi="宋体" w:cs="宋体"/>
          <w:color w:val="auto"/>
          <w:szCs w:val="21"/>
          <w:highlight w:val="none"/>
          <w:lang w:eastAsia="zh-CN"/>
        </w:rPr>
        <w:t>新民</w:t>
      </w:r>
      <w:r>
        <w:rPr>
          <w:rFonts w:hint="eastAsia" w:ascii="宋体" w:hAnsi="宋体" w:cs="宋体"/>
          <w:color w:val="auto"/>
          <w:szCs w:val="21"/>
          <w:highlight w:val="none"/>
        </w:rPr>
        <w:t>社区环卫月考核现场检查评分表》（以下简称“月评分表”）并对每次评分结果负全责。社区领导现场检查评比分占总分60%，社区环境办组现场检查评比分占总分40%。为确保评比结果的公平、公正，允许市场化公司一起参与评分，但评分结果只作为参考，不计入评比分值。每份评分表上同时有社区环境办和市场化公司陪检人员的签名盖章为有效，社区工作人员要根据检查人员数量，核定有效和无效评分表数量，按比例换算当天检查考核评分结果，汇总评分所得作为市场化承包公司月考核现场检查评比的最终分值。</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（2）投诉处理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社区环境办通过投诉电话、报社、电视台、网络、其分媒体或其他部门转达等渠道收到的投诉并记录在投诉转办单为有效，以投诉转办单为依据，当月凡是被投诉有卫生问题，经核实与投诉内容一致的，被投诉一处（记录一笔转办单）扣0.5分，总分5分，扣完为止，无投诉有卫生问题的社区得满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（3）明查暗访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接受市城管委办公室组织工作人员、长安镇公用事业服务中心每月对社区的环境卫生明查暗访，当月凡是被市明查暗访曝光有卫生问题的，被曝光一处扣0.5分，总分5分，扣完为止，没有被市明查暗访曝光有卫生问题得满分。上级领导行走过程中发现“脏乱差”并通报批评的，以镇相关部门印发的文件或数字城管案件为扣分依据，每发现一处扣0.5分。</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（三）考核结果及奖惩</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综合各项考核得分分为：优100分—90分（含）；良90分—85分（含）；中85-80分（含）；差80分以下；共四个档次。以阶梯形式扣除承包费用。分数若有小数点，则向下取整支付承包费用。90分（含）为“优秀”，可全额支付当月承包费用；属“良”的，每少一分扣除当月承包费用的1%；属“中”的，每少一分扣除当月承包费用的3%；属“差”的，每少一分扣除当月承包费用的5%。</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例如：考核分数为78分，当月承包费用为500000元，则扣费为5分×（500000×1%）元+5分×（500000×3%）元+2分×（500000×5%）元=150000元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连续两个月综合考核得分80以下或同一年度内累计三个月综合考核得分80以下的，乙方视为违约，甲方有权立即终止承包合同，并按合同条款执行相关事项。市场化公司每月考核因不合格扣减承包费用,由社区制定工作方案，用于城市管理工作中。</w:t>
      </w:r>
    </w:p>
    <w:p>
      <w:pPr>
        <w:tabs>
          <w:tab w:val="left" w:pos="420"/>
          <w:tab w:val="left" w:pos="840"/>
          <w:tab w:val="left" w:pos="1260"/>
          <w:tab w:val="left" w:pos="1680"/>
          <w:tab w:val="left" w:pos="5848"/>
        </w:tabs>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三、其他事项</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1、建立例会通报制度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市场化公司、社区就督查情况每周举行例会一次，反映环境卫生整治情况或卫生现场不能立即解决，需要双方协商处理的问题等。开会前，负责处理方必须将上次有待解决的问题进展情况或处理结果向另外一方交代说明，再进行本周的会议议程，会议形成纪要，做到天天督查、周周例会、月月考核评分通报。</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2、设立约谈机制</w:t>
      </w:r>
    </w:p>
    <w:p>
      <w:pPr>
        <w:spacing w:line="360"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对于排名在月综合考评成绩排名末2位，且低于80分（不含80分）的社区和被市评为“黑榜”的社区，应由社区分管城市管理工作的两委成员约谈市场化公司负责人。对于连续2次或年度累计3次排名末2位，且低于80分（不含80分）的社区，应由社区书记直接约谈市场化工作负责人。对年度月综合考评平均成绩排名末2位，且平均成绩低于80分（不含80分）的社区，其市场化公司相关负责人不得参与年度优秀评选。</w:t>
      </w:r>
    </w:p>
    <w:p>
      <w:pPr>
        <w:spacing w:line="360" w:lineRule="auto"/>
        <w:ind w:firstLine="422" w:firstLineChars="200"/>
        <w:jc w:val="both"/>
        <w:rPr>
          <w:rFonts w:ascii="宋体" w:hAnsi="宋体" w:cs="宋体"/>
          <w:b/>
          <w:color w:val="auto"/>
          <w:szCs w:val="21"/>
          <w:highlight w:val="none"/>
        </w:rPr>
      </w:pPr>
      <w:r>
        <w:rPr>
          <w:rFonts w:hint="eastAsia" w:ascii="宋体" w:hAnsi="宋体" w:cs="宋体"/>
          <w:b/>
          <w:bCs/>
          <w:color w:val="auto"/>
          <w:szCs w:val="21"/>
          <w:highlight w:val="none"/>
        </w:rPr>
        <w:t>3、</w:t>
      </w:r>
      <w:r>
        <w:rPr>
          <w:rFonts w:hint="eastAsia" w:ascii="宋体" w:hAnsi="宋体" w:cs="宋体"/>
          <w:b/>
          <w:color w:val="auto"/>
          <w:szCs w:val="21"/>
          <w:highlight w:val="none"/>
        </w:rPr>
        <w:t>评分办法解释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考核评分办法是社区根据现时国家、省、市市容环境卫生管理条例及结合本社区实际情况制定的，在执行过程中，如遇以上规章制度的制定颁发部门进行政策调整或本镇实际情况发生改变，社区有权对本考核评分办法进行相应的修改和调整，并保留对本办法的修改权和解释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附件：1、长安镇</w:t>
      </w:r>
      <w:r>
        <w:rPr>
          <w:rFonts w:hint="eastAsia" w:ascii="宋体" w:hAnsi="宋体" w:cs="宋体"/>
          <w:color w:val="auto"/>
          <w:szCs w:val="21"/>
          <w:highlight w:val="none"/>
          <w:lang w:eastAsia="zh-CN"/>
        </w:rPr>
        <w:t>新民</w:t>
      </w:r>
      <w:r>
        <w:rPr>
          <w:rFonts w:hint="eastAsia" w:ascii="宋体" w:hAnsi="宋体" w:cs="宋体"/>
          <w:color w:val="auto"/>
          <w:szCs w:val="21"/>
          <w:highlight w:val="none"/>
        </w:rPr>
        <w:t>社区环卫日常考核检查评分表；2、长安镇</w:t>
      </w:r>
      <w:r>
        <w:rPr>
          <w:rFonts w:hint="eastAsia" w:ascii="宋体" w:hAnsi="宋体" w:cs="宋体"/>
          <w:color w:val="auto"/>
          <w:szCs w:val="21"/>
          <w:highlight w:val="none"/>
          <w:lang w:eastAsia="zh-CN"/>
        </w:rPr>
        <w:t>新民</w:t>
      </w:r>
      <w:r>
        <w:rPr>
          <w:rFonts w:hint="eastAsia" w:ascii="宋体" w:hAnsi="宋体" w:cs="宋体"/>
          <w:color w:val="auto"/>
          <w:szCs w:val="21"/>
          <w:highlight w:val="none"/>
        </w:rPr>
        <w:t>社区环卫管理架构人员配备评分表（半月检）；3、长安镇</w:t>
      </w:r>
      <w:r>
        <w:rPr>
          <w:rFonts w:hint="eastAsia" w:ascii="宋体" w:hAnsi="宋体" w:cs="宋体"/>
          <w:color w:val="auto"/>
          <w:szCs w:val="21"/>
          <w:highlight w:val="none"/>
          <w:lang w:eastAsia="zh-CN"/>
        </w:rPr>
        <w:t>新民</w:t>
      </w:r>
      <w:r>
        <w:rPr>
          <w:rFonts w:hint="eastAsia" w:ascii="宋体" w:hAnsi="宋体" w:cs="宋体"/>
          <w:color w:val="auto"/>
          <w:szCs w:val="21"/>
          <w:highlight w:val="none"/>
        </w:rPr>
        <w:t>社区环卫设施设备车辆配备评分表（半月检）；4、长安镇</w:t>
      </w:r>
      <w:r>
        <w:rPr>
          <w:rFonts w:hint="eastAsia" w:ascii="宋体" w:hAnsi="宋体" w:cs="宋体"/>
          <w:color w:val="auto"/>
          <w:szCs w:val="21"/>
          <w:highlight w:val="none"/>
          <w:lang w:eastAsia="zh-CN"/>
        </w:rPr>
        <w:t>新民</w:t>
      </w:r>
      <w:r>
        <w:rPr>
          <w:rFonts w:hint="eastAsia" w:ascii="宋体" w:hAnsi="宋体" w:cs="宋体"/>
          <w:color w:val="auto"/>
          <w:szCs w:val="21"/>
          <w:highlight w:val="none"/>
        </w:rPr>
        <w:t>社区环卫月考核检查评分表；5、长安镇</w:t>
      </w:r>
      <w:r>
        <w:rPr>
          <w:rFonts w:hint="eastAsia" w:ascii="宋体" w:hAnsi="宋体" w:cs="宋体"/>
          <w:color w:val="auto"/>
          <w:szCs w:val="21"/>
          <w:highlight w:val="none"/>
          <w:lang w:eastAsia="zh-CN"/>
        </w:rPr>
        <w:t>新民</w:t>
      </w:r>
      <w:r>
        <w:rPr>
          <w:rFonts w:hint="eastAsia" w:ascii="宋体" w:hAnsi="宋体" w:cs="宋体"/>
          <w:color w:val="auto"/>
          <w:szCs w:val="21"/>
          <w:highlight w:val="none"/>
        </w:rPr>
        <w:t>社区*年*月环卫工作项目考核评分结果汇总及扣分扣费情况表；6、*年长安镇</w:t>
      </w:r>
      <w:r>
        <w:rPr>
          <w:rFonts w:hint="eastAsia" w:ascii="宋体" w:hAnsi="宋体" w:cs="宋体"/>
          <w:color w:val="auto"/>
          <w:szCs w:val="21"/>
          <w:highlight w:val="none"/>
          <w:lang w:eastAsia="zh-CN"/>
        </w:rPr>
        <w:t>新民</w:t>
      </w:r>
      <w:r>
        <w:rPr>
          <w:rFonts w:hint="eastAsia" w:ascii="宋体" w:hAnsi="宋体" w:cs="宋体"/>
          <w:color w:val="auto"/>
          <w:szCs w:val="21"/>
          <w:highlight w:val="none"/>
        </w:rPr>
        <w:t>社区环卫年终考核评分表。</w:t>
      </w:r>
    </w:p>
    <w:p>
      <w:pPr>
        <w:suppressAutoHyphens/>
        <w:spacing w:before="93" w:beforeLines="30" w:after="93" w:afterLines="30"/>
        <w:jc w:val="both"/>
        <w:rPr>
          <w:rFonts w:ascii="宋体" w:hAnsi="宋体" w:cs="宋体"/>
          <w:b/>
          <w:bCs/>
          <w:color w:val="auto"/>
          <w:highlight w:val="none"/>
        </w:rPr>
      </w:pPr>
    </w:p>
    <w:p>
      <w:pPr>
        <w:suppressAutoHyphens/>
        <w:spacing w:before="93" w:beforeLines="30" w:after="93" w:afterLines="30"/>
        <w:jc w:val="both"/>
        <w:rPr>
          <w:rFonts w:ascii="宋体" w:hAnsi="宋体" w:cs="宋体"/>
          <w:b/>
          <w:bCs/>
          <w:color w:val="auto"/>
          <w:highlight w:val="none"/>
        </w:rPr>
      </w:pPr>
      <w:r>
        <w:rPr>
          <w:rFonts w:hint="eastAsia" w:ascii="宋体" w:hAnsi="宋体" w:cs="宋体"/>
          <w:b/>
          <w:bCs/>
          <w:color w:val="auto"/>
          <w:highlight w:val="none"/>
        </w:rPr>
        <w:t>八、甲方乙方的权利和义务</w:t>
      </w:r>
    </w:p>
    <w:p>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（一）甲方的权利和义务：</w:t>
      </w:r>
    </w:p>
    <w:p>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1、甲方应协助乙方开展此项目的相关工作，并提供相关资料。</w:t>
      </w:r>
    </w:p>
    <w:p>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2、甲方应按本合同有关规定及时支付相关费用。</w:t>
      </w:r>
    </w:p>
    <w:p>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3、甲方有权根据工作需要，提出本合同范围以外的工作内容，乙方应予以执行，所发生费用，经双方核算工作量并协商后，另行签署补充协议，签订补充协议的金额不得超过原合同的10%。</w:t>
      </w:r>
    </w:p>
    <w:p>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（二）乙方的权利和义务：</w:t>
      </w:r>
    </w:p>
    <w:p>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1、乙方必须根据采购文件及有关的技术要求、国家现行有关设计标准、技术规范、规程、甲方要求完成合同约定范围内的全部任务，并按规定向甲方交付成果，确保质量与进度。</w:t>
      </w:r>
    </w:p>
    <w:p>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2、乙方应按时召开内部沟通会议，跟进项目进度，并及时向甲方汇报项目进展情况，及时参加甲方召开的项目会议。</w:t>
      </w:r>
    </w:p>
    <w:p>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3、乙方应保证服务质量，因乙方自身原因出现错误或遗漏或甲方不满意之处，必须按甲方意见进行修改完善。</w:t>
      </w:r>
    </w:p>
    <w:p>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 xml:space="preserve">4、乙方损坏甲方设施、设备且不按规定赔偿的，甲方有权直接从清扫保洁服务费中直接扣除相关的赔偿金和费用。 </w:t>
      </w:r>
    </w:p>
    <w:p>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5、合同期内，乙方拖欠员工工资（含加班工资）或者拒绝按东莞市最低工资标准调整员工工资的，甲方有权直接从清扫保洁服务费内代为支付乙方所拖欠的员工工资或补足最低工资。</w:t>
      </w:r>
    </w:p>
    <w:p>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6、乙方因各种原因造成停工、歇工等事件不能开展正常的清扫保洁作业时，甲方可以临时指定其它清扫保洁服务企业对停工或歇工路段（含道路和公共场所）进行清扫和保洁，临时清扫保洁服务费由乙方承担，甲方有权直接从清扫保洁服务费中进行扣除。</w:t>
      </w:r>
    </w:p>
    <w:p>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7、如甲方提出本合同范围以外的工作内容，乙方在甲方规定的合理时间内应予以执行，同时双方尽快落实签署补充协议。</w:t>
      </w:r>
    </w:p>
    <w:p>
      <w:pPr>
        <w:suppressAutoHyphens/>
        <w:spacing w:before="93" w:beforeLines="30" w:after="93" w:afterLines="30"/>
        <w:jc w:val="both"/>
        <w:rPr>
          <w:rFonts w:ascii="宋体" w:hAnsi="宋体" w:cs="宋体"/>
          <w:b/>
          <w:bCs/>
          <w:color w:val="auto"/>
          <w:highlight w:val="none"/>
        </w:rPr>
      </w:pPr>
    </w:p>
    <w:p>
      <w:pPr>
        <w:suppressAutoHyphens/>
        <w:spacing w:before="93" w:beforeLines="30" w:after="93" w:afterLines="30"/>
        <w:jc w:val="both"/>
        <w:rPr>
          <w:rFonts w:ascii="宋体" w:hAnsi="宋体" w:cs="宋体"/>
          <w:b/>
          <w:bCs/>
          <w:color w:val="auto"/>
          <w:highlight w:val="none"/>
        </w:rPr>
      </w:pPr>
      <w:r>
        <w:rPr>
          <w:rFonts w:hint="eastAsia" w:ascii="宋体" w:hAnsi="宋体" w:cs="宋体"/>
          <w:b/>
          <w:bCs/>
          <w:color w:val="auto"/>
          <w:highlight w:val="none"/>
        </w:rPr>
        <w:t>九、履约保证金</w:t>
      </w:r>
    </w:p>
    <w:p>
      <w:pPr>
        <w:suppressAutoHyphens/>
        <w:ind w:firstLine="420" w:firstLineChars="200"/>
        <w:jc w:val="both"/>
        <w:rPr>
          <w:rFonts w:ascii="宋体" w:eastAsia="宋体" w:cs="宋体"/>
          <w:color w:val="auto"/>
          <w:sz w:val="21"/>
          <w:szCs w:val="21"/>
          <w:highlight w:val="none"/>
        </w:rPr>
      </w:pPr>
      <w:r>
        <w:rPr>
          <w:rFonts w:hint="eastAsia" w:ascii="宋体" w:hAnsi="宋体" w:cs="宋体"/>
          <w:color w:val="auto"/>
          <w:szCs w:val="21"/>
          <w:highlight w:val="none"/>
        </w:rPr>
        <w:t>1、乙方与甲方签订承包合同时，必须向甲方提交履约保证金或履约担保函，履约保证金金额为合同价的5%。</w:t>
      </w:r>
    </w:p>
    <w:p>
      <w:pPr>
        <w:suppressAutoHyphens/>
        <w:spacing w:before="93" w:beforeLines="30" w:after="93" w:afterLines="30"/>
        <w:jc w:val="both"/>
        <w:rPr>
          <w:rFonts w:ascii="宋体" w:hAnsi="宋体" w:cs="宋体"/>
          <w:b/>
          <w:bCs/>
          <w:color w:val="auto"/>
          <w:highlight w:val="none"/>
        </w:rPr>
      </w:pPr>
    </w:p>
    <w:p>
      <w:pPr>
        <w:suppressAutoHyphens/>
        <w:spacing w:before="93" w:beforeLines="30" w:after="93" w:afterLines="30"/>
        <w:jc w:val="both"/>
        <w:rPr>
          <w:rFonts w:ascii="宋体" w:hAnsi="宋体" w:cs="宋体"/>
          <w:b/>
          <w:bCs/>
          <w:color w:val="auto"/>
          <w:highlight w:val="none"/>
        </w:rPr>
      </w:pPr>
      <w:r>
        <w:rPr>
          <w:rFonts w:hint="eastAsia" w:ascii="宋体" w:hAnsi="宋体" w:cs="宋体"/>
          <w:b/>
          <w:bCs/>
          <w:color w:val="auto"/>
          <w:highlight w:val="none"/>
        </w:rPr>
        <w:t>十、违约责任与赔偿损失</w:t>
      </w:r>
    </w:p>
    <w:p>
      <w:pPr>
        <w:pStyle w:val="26"/>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（一）乙方提供的服务不符合本合同规定的，甲方有权拒收，并且乙方须向甲方支付本合同总价5%的违约金。</w:t>
      </w:r>
    </w:p>
    <w:p>
      <w:pPr>
        <w:pStyle w:val="26"/>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（二）乙方未能按本合同规定的服务期提供服务，从逾期之日起每日按本合同总价3‰的数额向甲方支付违约金；逾期半个月以上的，甲方有权终止合同，由此造成的甲方经济损失由乙方承担。</w:t>
      </w:r>
    </w:p>
    <w:p>
      <w:pPr>
        <w:pStyle w:val="26"/>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（三）对于因政策变化或不可抗力除外，因甲方原因导致变更、中止或者终止采购合同的，甲方应当对乙方受到的损失予以赔偿或者补偿。</w:t>
      </w:r>
    </w:p>
    <w:p>
      <w:pPr>
        <w:pStyle w:val="26"/>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四）本合同期内，乙方出现有下列任何一种情况的，甲方有权即时单方解除承包合同，同时，在终止合同后，乙方应保证无条件服务至下一服务单位交接完毕，以保证项目顺利进行，否则，甲方有权没收履约保证金。</w:t>
      </w:r>
    </w:p>
    <w:p>
      <w:pPr>
        <w:pStyle w:val="26"/>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1、乙方书面表示放弃承包经营权，或无法继续履行承包义务的。</w:t>
      </w:r>
    </w:p>
    <w:p>
      <w:pPr>
        <w:pStyle w:val="26"/>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2、乙方服务有效期内有越权收费、弄虚作假等违法经营行为，可能导致本合同无法继续履行的。</w:t>
      </w:r>
    </w:p>
    <w:p>
      <w:pPr>
        <w:pStyle w:val="26"/>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3、甲方每月对乙方进行考核，连续二次（含二次）或一年内累积有三次考核结果为“差”的，除按规定扣款外，甲方有权解除协议，没收承包单位履约保证金，乙方无偿退出。</w:t>
      </w:r>
    </w:p>
    <w:p>
      <w:pPr>
        <w:pStyle w:val="26"/>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4、乙方合同期内，因承包方在本项目中操作不当、管理疏漏等原因，发生安全生产责任事故造成1人以上（含1人）死亡或3人以上（含3人）重伤的安全事故，并负主要责任的。</w:t>
      </w:r>
    </w:p>
    <w:p>
      <w:pPr>
        <w:pStyle w:val="26"/>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5、乙方任一个月未按时足额发放员工工资（含加班工资）的人数达5人以上（含5人）的，或乙方拖欠员工工资（含加班工资）达两个月的，或东莞市最低工资标准发生变化，乙方拒绝根据有关规定予以相应调整的。</w:t>
      </w:r>
    </w:p>
    <w:p>
      <w:pPr>
        <w:pStyle w:val="26"/>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6、乙方违反劳动法，损害工人合法权益，出现性质严重或情节恶劣的。</w:t>
      </w:r>
    </w:p>
    <w:p>
      <w:pPr>
        <w:pStyle w:val="26"/>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7、乙方有纵容、煽动工人怠工、罢工等过激行为的，或因乙方无视工人权益引致工人有怠工、罢工等过激行为的。</w:t>
      </w:r>
    </w:p>
    <w:p>
      <w:pPr>
        <w:pStyle w:val="26"/>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8、合同履行期间，乙方在本项目中因一般违法行为被行政机关处罚达到三次或因重大违法行为被行政机关处罚（责令停产停业、吊销许可证或者执照、没收或罚款达50万元等）的。</w:t>
      </w:r>
    </w:p>
    <w:p>
      <w:pPr>
        <w:pStyle w:val="26"/>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9、乙方有转包、违规分包行为的。</w:t>
      </w:r>
    </w:p>
    <w:p>
      <w:pPr>
        <w:pStyle w:val="26"/>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10、乙方一年内未按整改通知书要求落实整改超过3次的。</w:t>
      </w:r>
    </w:p>
    <w:p>
      <w:pPr>
        <w:pStyle w:val="26"/>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11、乙方一年内无故停工达到2次的。</w:t>
      </w:r>
    </w:p>
    <w:p>
      <w:pPr>
        <w:pStyle w:val="26"/>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12、《中华人民共和国民法典》、《中华人民共和国政府采购法》、《中华人民共和国政府采购法实施条例》等法律规定的中标无效或合同无效的情形。</w:t>
      </w:r>
    </w:p>
    <w:p>
      <w:pPr>
        <w:pStyle w:val="26"/>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13、乙方违反法律、法规、规章和其它相关规范性文件的规定，影响本合同履行的。</w:t>
      </w:r>
    </w:p>
    <w:p>
      <w:pPr>
        <w:pStyle w:val="26"/>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（五）如因乙方没有依照合同约定履行义务，给第三方造成人身或财产损害的，进而致使甲方对外承担赔偿责任的，则赔偿款项由乙方承担。</w:t>
      </w:r>
    </w:p>
    <w:p>
      <w:pPr>
        <w:pStyle w:val="26"/>
        <w:spacing w:line="360" w:lineRule="auto"/>
        <w:ind w:firstLine="422" w:firstLineChars="200"/>
        <w:rPr>
          <w:rFonts w:hint="eastAsia" w:ascii="宋体" w:eastAsia="宋体" w:cs="宋体"/>
          <w:b/>
          <w:bCs/>
          <w:color w:val="auto"/>
          <w:sz w:val="21"/>
          <w:szCs w:val="21"/>
          <w:highlight w:val="none"/>
        </w:rPr>
      </w:pPr>
      <w:r>
        <w:rPr>
          <w:rFonts w:hint="eastAsia" w:ascii="宋体" w:eastAsia="宋体" w:cs="宋体"/>
          <w:b/>
          <w:bCs/>
          <w:color w:val="auto"/>
          <w:sz w:val="21"/>
          <w:szCs w:val="21"/>
          <w:highlight w:val="none"/>
        </w:rPr>
        <w:t>（六）因合同期满或其他原因解除合同，还未确定新承包队伍或新承包队伍未完全接手时,乙方必须在中标地域继续按合同质量要求履行相关责任和义务，落实好交接过渡期的各项工作，确保各项工作项目的的正常运转，并顺利交接。交接完成在得到甲方的书面确认后，乙方才可以完全退场退设备。若乙方不配合，不接受甲方安排，未落实好交接工作的，甲方有权没收履约保证金。</w:t>
      </w:r>
    </w:p>
    <w:p>
      <w:pPr>
        <w:pStyle w:val="26"/>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（六）其它违约责任按《中华人民共和国民法典》处理。</w:t>
      </w:r>
    </w:p>
    <w:p>
      <w:pPr>
        <w:suppressAutoHyphens/>
        <w:spacing w:before="93" w:beforeLines="30" w:after="93" w:afterLines="30"/>
        <w:jc w:val="both"/>
        <w:rPr>
          <w:rFonts w:ascii="宋体" w:hAnsi="宋体" w:cs="宋体"/>
          <w:b/>
          <w:bCs/>
          <w:color w:val="auto"/>
          <w:highlight w:val="none"/>
        </w:rPr>
      </w:pPr>
    </w:p>
    <w:p>
      <w:pPr>
        <w:suppressAutoHyphens/>
        <w:spacing w:before="93" w:beforeLines="30" w:after="93" w:afterLines="30"/>
        <w:jc w:val="both"/>
        <w:rPr>
          <w:rFonts w:ascii="宋体" w:hAnsi="宋体" w:cs="宋体"/>
          <w:b/>
          <w:bCs/>
          <w:color w:val="auto"/>
          <w:highlight w:val="none"/>
        </w:rPr>
      </w:pPr>
      <w:r>
        <w:rPr>
          <w:rFonts w:hint="eastAsia" w:ascii="宋体" w:hAnsi="宋体" w:cs="宋体"/>
          <w:b/>
          <w:bCs/>
          <w:color w:val="auto"/>
          <w:highlight w:val="none"/>
        </w:rPr>
        <w:t>十一、知识产权归属</w:t>
      </w:r>
    </w:p>
    <w:p>
      <w:pPr>
        <w:pStyle w:val="26"/>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（一）乙方必须保证甲方在接受其所提供服务期的任何时候不受到知识产权或版权的纠纷，否则，由此产生的任何责任完全由乙方承担。</w:t>
      </w:r>
    </w:p>
    <w:p>
      <w:pPr>
        <w:pStyle w:val="26"/>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（二）本合同过程中形成的所有服务内容，包括但不限于技术成果及其知识产权归甲方所有。同时，未经甲方许可，乙方不得将甲方相关资料提供给第三方。</w:t>
      </w:r>
    </w:p>
    <w:p>
      <w:pPr>
        <w:pStyle w:val="26"/>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（三）甲方委托乙方为其提供服务所产生的成果，甲方独立拥有完整的知识产权及其他权益。</w:t>
      </w:r>
    </w:p>
    <w:p>
      <w:pPr>
        <w:suppressAutoHyphens/>
        <w:spacing w:before="93" w:beforeLines="30" w:after="93" w:afterLines="30"/>
        <w:jc w:val="both"/>
        <w:rPr>
          <w:rFonts w:ascii="宋体" w:hAnsi="宋体" w:cs="宋体"/>
          <w:b/>
          <w:bCs/>
          <w:color w:val="auto"/>
          <w:highlight w:val="none"/>
        </w:rPr>
      </w:pPr>
    </w:p>
    <w:p>
      <w:pPr>
        <w:suppressAutoHyphens/>
        <w:spacing w:before="93" w:beforeLines="30" w:after="93" w:afterLines="30"/>
        <w:jc w:val="both"/>
        <w:rPr>
          <w:rFonts w:ascii="宋体" w:hAnsi="宋体" w:cs="宋体"/>
          <w:b/>
          <w:bCs/>
          <w:color w:val="auto"/>
          <w:highlight w:val="none"/>
        </w:rPr>
      </w:pPr>
      <w:r>
        <w:rPr>
          <w:rFonts w:hint="eastAsia" w:ascii="宋体" w:hAnsi="宋体" w:cs="宋体"/>
          <w:b/>
          <w:bCs/>
          <w:color w:val="auto"/>
          <w:highlight w:val="none"/>
        </w:rPr>
        <w:t>十二、不可抗力</w:t>
      </w:r>
    </w:p>
    <w:p>
      <w:pPr>
        <w:pStyle w:val="26"/>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uppressAutoHyphens/>
        <w:spacing w:before="93" w:beforeLines="30" w:after="93" w:afterLines="30"/>
        <w:jc w:val="both"/>
        <w:rPr>
          <w:rFonts w:ascii="宋体" w:hAnsi="宋体" w:cs="宋体"/>
          <w:b/>
          <w:bCs/>
          <w:color w:val="auto"/>
          <w:highlight w:val="none"/>
        </w:rPr>
      </w:pPr>
    </w:p>
    <w:p>
      <w:pPr>
        <w:suppressAutoHyphens/>
        <w:spacing w:before="93" w:beforeLines="30" w:after="93" w:afterLines="30"/>
        <w:jc w:val="both"/>
        <w:rPr>
          <w:rFonts w:ascii="宋体" w:hAnsi="宋体" w:cs="宋体"/>
          <w:b/>
          <w:bCs/>
          <w:color w:val="auto"/>
          <w:highlight w:val="none"/>
        </w:rPr>
      </w:pPr>
      <w:r>
        <w:rPr>
          <w:rFonts w:hint="eastAsia" w:ascii="宋体" w:hAnsi="宋体" w:cs="宋体"/>
          <w:b/>
          <w:bCs/>
          <w:color w:val="auto"/>
          <w:highlight w:val="none"/>
        </w:rPr>
        <w:t>十三、合同争议的解决</w:t>
      </w:r>
    </w:p>
    <w:p>
      <w:pPr>
        <w:pStyle w:val="26"/>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因合同履行中发生的争议，可通过甲、乙双方友好协商解决。协商不成的，任何一方可向甲方所在地有管辖权的人民法院提起诉讼。</w:t>
      </w:r>
    </w:p>
    <w:p>
      <w:pPr>
        <w:suppressAutoHyphens/>
        <w:spacing w:before="93" w:beforeLines="30" w:after="93" w:afterLines="30"/>
        <w:jc w:val="both"/>
        <w:rPr>
          <w:rFonts w:ascii="宋体" w:hAnsi="宋体" w:cs="宋体"/>
          <w:b/>
          <w:bCs/>
          <w:color w:val="auto"/>
          <w:highlight w:val="none"/>
        </w:rPr>
      </w:pPr>
    </w:p>
    <w:p>
      <w:pPr>
        <w:suppressAutoHyphens/>
        <w:spacing w:before="93" w:beforeLines="30" w:after="93" w:afterLines="30"/>
        <w:jc w:val="both"/>
        <w:rPr>
          <w:rFonts w:ascii="宋体" w:hAnsi="宋体" w:cs="宋体"/>
          <w:b/>
          <w:bCs/>
          <w:color w:val="auto"/>
          <w:highlight w:val="none"/>
        </w:rPr>
      </w:pPr>
      <w:r>
        <w:rPr>
          <w:rFonts w:hint="eastAsia" w:ascii="宋体" w:hAnsi="宋体" w:cs="宋体"/>
          <w:b/>
          <w:bCs/>
          <w:color w:val="auto"/>
          <w:highlight w:val="none"/>
        </w:rPr>
        <w:t>十四、合同解除和终止</w:t>
      </w:r>
    </w:p>
    <w:p>
      <w:pPr>
        <w:pStyle w:val="26"/>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甲、乙双方各自完成合同规定的责任和义务，合同自然终止。</w:t>
      </w:r>
    </w:p>
    <w:p>
      <w:pPr>
        <w:suppressAutoHyphens/>
        <w:spacing w:before="93" w:beforeLines="30" w:after="93" w:afterLines="30"/>
        <w:jc w:val="both"/>
        <w:rPr>
          <w:rFonts w:ascii="宋体" w:hAnsi="宋体" w:cs="宋体"/>
          <w:b/>
          <w:bCs/>
          <w:color w:val="auto"/>
          <w:highlight w:val="none"/>
        </w:rPr>
      </w:pPr>
    </w:p>
    <w:p>
      <w:pPr>
        <w:suppressAutoHyphens/>
        <w:spacing w:before="93" w:beforeLines="30" w:after="93" w:afterLines="30"/>
        <w:jc w:val="both"/>
        <w:rPr>
          <w:rFonts w:ascii="宋体" w:hAnsi="宋体" w:cs="宋体"/>
          <w:b/>
          <w:bCs/>
          <w:color w:val="auto"/>
          <w:highlight w:val="none"/>
        </w:rPr>
      </w:pPr>
      <w:r>
        <w:rPr>
          <w:rFonts w:hint="eastAsia" w:ascii="宋体" w:hAnsi="宋体" w:cs="宋体"/>
          <w:b/>
          <w:bCs/>
          <w:color w:val="auto"/>
          <w:highlight w:val="none"/>
        </w:rPr>
        <w:t>十五、合同生效</w:t>
      </w:r>
    </w:p>
    <w:p>
      <w:pPr>
        <w:pStyle w:val="26"/>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（一）本合同在甲、乙双方法人代表或其授权代表签字盖章后生效。</w:t>
      </w:r>
    </w:p>
    <w:p>
      <w:pPr>
        <w:pStyle w:val="26"/>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（二）合同一式6份，其中甲方执3份，乙方执2份，招标代理执1份。</w:t>
      </w:r>
    </w:p>
    <w:p>
      <w:pPr>
        <w:suppressAutoHyphens/>
        <w:spacing w:before="93" w:beforeLines="30" w:after="93" w:afterLines="30"/>
        <w:jc w:val="both"/>
        <w:rPr>
          <w:rFonts w:ascii="宋体" w:hAnsi="宋体" w:cs="宋体"/>
          <w:b/>
          <w:bCs/>
          <w:color w:val="auto"/>
          <w:highlight w:val="none"/>
        </w:rPr>
      </w:pPr>
    </w:p>
    <w:p>
      <w:pPr>
        <w:suppressAutoHyphens/>
        <w:spacing w:before="93" w:beforeLines="30" w:after="93" w:afterLines="30"/>
        <w:jc w:val="both"/>
        <w:rPr>
          <w:rFonts w:ascii="宋体" w:hAnsi="宋体" w:cs="宋体"/>
          <w:b/>
          <w:bCs/>
          <w:color w:val="auto"/>
          <w:highlight w:val="none"/>
        </w:rPr>
      </w:pPr>
      <w:r>
        <w:rPr>
          <w:rFonts w:hint="eastAsia" w:ascii="宋体" w:hAnsi="宋体" w:cs="宋体"/>
          <w:b/>
          <w:bCs/>
          <w:color w:val="auto"/>
          <w:highlight w:val="none"/>
        </w:rPr>
        <w:t>十六、送达条款</w:t>
      </w:r>
    </w:p>
    <w:p>
      <w:pPr>
        <w:pStyle w:val="26"/>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1.双方确认：合同签署页所载的联系地址（包括邮寄、传真、电子邮箱等地址）为双方的有效送达地址，任何一方向对方发出的有关本合同的通知、信件、数据电文等，均应按照该地址以书面形式作出。该地址亦为各方解决争议时接收诉讼、仲裁等法律文书之送达地址。若当面递送，以收件方签收时间为送达时间，收件方拒收的，送达人可采取拍照、录像方式记录送达过程，并将文书留置，亦视为送达；以邮寄方式递送，以发件人寄出邮件后的第4天视为送达日期（无论收件人实际收件时间、是否实际收到、无法送达或退件）；以电子邮件、短信、微信等方式递送，以留存在发送方系统当中的发送成功记录时间为送达时间；如采取多种方式送达的，送达时间以最早的送达为准。</w:t>
      </w:r>
    </w:p>
    <w:p>
      <w:pPr>
        <w:pStyle w:val="26"/>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2.双方保证：提供的送达地址信息准确、有效，如有变更，变更方负有义务通知对方，并书面告知新的送达地址。如果提供的送达地址信息不确切，或者不及时告知变更后的送达地址信息，使法律文书无法送达或未及时送达，自行承担由此可能产生的法律后果。</w:t>
      </w:r>
    </w:p>
    <w:p>
      <w:pPr>
        <w:suppressAutoHyphens/>
        <w:spacing w:before="93" w:beforeLines="30" w:after="93" w:afterLines="30"/>
        <w:jc w:val="both"/>
        <w:rPr>
          <w:rFonts w:ascii="宋体" w:hAnsi="宋体" w:cs="宋体"/>
          <w:b/>
          <w:bCs/>
          <w:color w:val="auto"/>
          <w:highlight w:val="none"/>
        </w:rPr>
      </w:pPr>
      <w:r>
        <w:rPr>
          <w:rFonts w:hint="eastAsia" w:ascii="宋体" w:hAnsi="宋体" w:cs="宋体"/>
          <w:b/>
          <w:bCs/>
          <w:color w:val="auto"/>
          <w:highlight w:val="none"/>
        </w:rPr>
        <w:t>十七、附件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1、长安镇</w:t>
      </w:r>
      <w:r>
        <w:rPr>
          <w:rFonts w:hint="eastAsia" w:ascii="宋体" w:hAnsi="宋体" w:cs="宋体"/>
          <w:color w:val="auto"/>
          <w:szCs w:val="21"/>
          <w:highlight w:val="none"/>
          <w:lang w:eastAsia="zh-CN"/>
        </w:rPr>
        <w:t>新民</w:t>
      </w:r>
      <w:r>
        <w:rPr>
          <w:rFonts w:hint="eastAsia" w:ascii="宋体" w:hAnsi="宋体" w:cs="宋体"/>
          <w:color w:val="auto"/>
          <w:szCs w:val="21"/>
          <w:highlight w:val="none"/>
        </w:rPr>
        <w:t>社区环卫日常考核检查评分表；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2、长安镇</w:t>
      </w:r>
      <w:r>
        <w:rPr>
          <w:rFonts w:hint="eastAsia" w:ascii="宋体" w:hAnsi="宋体" w:cs="宋体"/>
          <w:color w:val="auto"/>
          <w:szCs w:val="21"/>
          <w:highlight w:val="none"/>
          <w:lang w:eastAsia="zh-CN"/>
        </w:rPr>
        <w:t>新民</w:t>
      </w:r>
      <w:r>
        <w:rPr>
          <w:rFonts w:hint="eastAsia" w:ascii="宋体" w:hAnsi="宋体" w:cs="宋体"/>
          <w:color w:val="auto"/>
          <w:szCs w:val="21"/>
          <w:highlight w:val="none"/>
        </w:rPr>
        <w:t>社区环卫管理架构人员配备评分表（半月检）；</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3、长安镇</w:t>
      </w:r>
      <w:r>
        <w:rPr>
          <w:rFonts w:hint="eastAsia" w:ascii="宋体" w:hAnsi="宋体" w:cs="宋体"/>
          <w:color w:val="auto"/>
          <w:szCs w:val="21"/>
          <w:highlight w:val="none"/>
          <w:lang w:eastAsia="zh-CN"/>
        </w:rPr>
        <w:t>新民</w:t>
      </w:r>
      <w:r>
        <w:rPr>
          <w:rFonts w:hint="eastAsia" w:ascii="宋体" w:hAnsi="宋体" w:cs="宋体"/>
          <w:color w:val="auto"/>
          <w:szCs w:val="21"/>
          <w:highlight w:val="none"/>
        </w:rPr>
        <w:t>社区环卫设施设备车辆配备评分表（半月检）；</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4、长安镇</w:t>
      </w:r>
      <w:r>
        <w:rPr>
          <w:rFonts w:hint="eastAsia" w:ascii="宋体" w:hAnsi="宋体" w:cs="宋体"/>
          <w:color w:val="auto"/>
          <w:szCs w:val="21"/>
          <w:highlight w:val="none"/>
          <w:lang w:eastAsia="zh-CN"/>
        </w:rPr>
        <w:t>新民</w:t>
      </w:r>
      <w:r>
        <w:rPr>
          <w:rFonts w:hint="eastAsia" w:ascii="宋体" w:hAnsi="宋体" w:cs="宋体"/>
          <w:color w:val="auto"/>
          <w:szCs w:val="21"/>
          <w:highlight w:val="none"/>
        </w:rPr>
        <w:t>社区环卫月考核检查评分表；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5、长安镇</w:t>
      </w:r>
      <w:r>
        <w:rPr>
          <w:rFonts w:hint="eastAsia" w:ascii="宋体" w:hAnsi="宋体" w:cs="宋体"/>
          <w:color w:val="auto"/>
          <w:szCs w:val="21"/>
          <w:highlight w:val="none"/>
          <w:lang w:eastAsia="zh-CN"/>
        </w:rPr>
        <w:t>新民</w:t>
      </w:r>
      <w:r>
        <w:rPr>
          <w:rFonts w:hint="eastAsia" w:ascii="宋体" w:hAnsi="宋体" w:cs="宋体"/>
          <w:color w:val="auto"/>
          <w:szCs w:val="21"/>
          <w:highlight w:val="none"/>
        </w:rPr>
        <w:t>社区*年*月环卫工作项目考核评分结果汇总及扣分扣费情况表；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6、*年长安镇</w:t>
      </w:r>
      <w:r>
        <w:rPr>
          <w:rFonts w:hint="eastAsia" w:ascii="宋体" w:hAnsi="宋体" w:cs="宋体"/>
          <w:color w:val="auto"/>
          <w:szCs w:val="21"/>
          <w:highlight w:val="none"/>
          <w:lang w:eastAsia="zh-CN"/>
        </w:rPr>
        <w:t>新民</w:t>
      </w:r>
      <w:r>
        <w:rPr>
          <w:rFonts w:hint="eastAsia" w:ascii="宋体" w:hAnsi="宋体" w:cs="宋体"/>
          <w:color w:val="auto"/>
          <w:szCs w:val="21"/>
          <w:highlight w:val="none"/>
        </w:rPr>
        <w:t>社区环卫年终考核评分表。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7、招标文件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9、中标通知书</w:t>
      </w:r>
    </w:p>
    <w:p>
      <w:pPr>
        <w:suppressAutoHyphens/>
        <w:jc w:val="both"/>
        <w:rPr>
          <w:rFonts w:ascii="宋体" w:hAnsi="宋体" w:cs="宋体"/>
          <w:color w:val="auto"/>
          <w:szCs w:val="21"/>
          <w:highlight w:val="none"/>
        </w:rPr>
      </w:pPr>
    </w:p>
    <w:p>
      <w:pPr>
        <w:suppressAutoHyphens/>
        <w:jc w:val="both"/>
        <w:rPr>
          <w:rFonts w:ascii="宋体" w:hAnsi="宋体" w:cs="宋体"/>
          <w:color w:val="auto"/>
          <w:szCs w:val="21"/>
          <w:highlight w:val="none"/>
        </w:rPr>
      </w:pPr>
    </w:p>
    <w:p>
      <w:pPr>
        <w:suppressAutoHyphens/>
        <w:jc w:val="both"/>
        <w:rPr>
          <w:rFonts w:ascii="宋体" w:hAnsi="宋体" w:cs="宋体"/>
          <w:color w:val="auto"/>
          <w:szCs w:val="21"/>
          <w:highlight w:val="none"/>
        </w:rPr>
      </w:pPr>
    </w:p>
    <w:p>
      <w:pPr>
        <w:suppressAutoHyphens/>
        <w:jc w:val="both"/>
        <w:rPr>
          <w:rFonts w:ascii="宋体" w:hAnsi="宋体" w:cs="宋体"/>
          <w:color w:val="auto"/>
          <w:szCs w:val="21"/>
          <w:highlight w:val="none"/>
        </w:rPr>
      </w:pPr>
      <w:r>
        <w:rPr>
          <w:rFonts w:hint="eastAsia" w:ascii="宋体" w:hAnsi="宋体" w:cs="宋体"/>
          <w:color w:val="auto"/>
          <w:szCs w:val="21"/>
          <w:highlight w:val="none"/>
        </w:rPr>
        <w:t>甲方（盖章）：                     乙方（盖章）：</w:t>
      </w:r>
    </w:p>
    <w:p>
      <w:pPr>
        <w:suppressAutoHyphens/>
        <w:adjustRightInd w:val="0"/>
        <w:snapToGrid w:val="0"/>
        <w:ind w:firstLine="420" w:firstLineChars="200"/>
        <w:jc w:val="both"/>
        <w:rPr>
          <w:rFonts w:ascii="宋体" w:hAnsi="宋体" w:cs="宋体"/>
          <w:color w:val="auto"/>
          <w:highlight w:val="none"/>
        </w:rPr>
      </w:pPr>
    </w:p>
    <w:p>
      <w:pPr>
        <w:suppressAutoHyphens/>
        <w:jc w:val="both"/>
        <w:rPr>
          <w:rFonts w:ascii="宋体" w:hAnsi="宋体" w:cs="宋体"/>
          <w:color w:val="auto"/>
          <w:szCs w:val="21"/>
          <w:highlight w:val="none"/>
        </w:rPr>
      </w:pPr>
      <w:r>
        <w:rPr>
          <w:rFonts w:hint="eastAsia" w:ascii="宋体" w:hAnsi="宋体" w:cs="宋体"/>
          <w:color w:val="auto"/>
          <w:szCs w:val="21"/>
          <w:highlight w:val="none"/>
        </w:rPr>
        <w:t>法定代表人/授权代表：              法定代表人/授权代表：</w:t>
      </w:r>
    </w:p>
    <w:p>
      <w:pPr>
        <w:suppressAutoHyphens/>
        <w:adjustRightInd w:val="0"/>
        <w:snapToGrid w:val="0"/>
        <w:ind w:firstLine="420" w:firstLineChars="200"/>
        <w:jc w:val="both"/>
        <w:rPr>
          <w:rFonts w:ascii="宋体" w:hAnsi="宋体" w:cs="宋体"/>
          <w:color w:val="auto"/>
          <w:highlight w:val="none"/>
        </w:rPr>
      </w:pPr>
    </w:p>
    <w:p>
      <w:pPr>
        <w:suppressAutoHyphens/>
        <w:jc w:val="both"/>
        <w:rPr>
          <w:rFonts w:ascii="宋体" w:hAnsi="宋体" w:cs="宋体"/>
          <w:color w:val="auto"/>
          <w:szCs w:val="21"/>
          <w:highlight w:val="none"/>
        </w:rPr>
      </w:pPr>
      <w:r>
        <w:rPr>
          <w:rFonts w:hint="eastAsia" w:ascii="宋体" w:hAnsi="宋体" w:cs="宋体"/>
          <w:color w:val="auto"/>
          <w:szCs w:val="21"/>
          <w:highlight w:val="none"/>
        </w:rPr>
        <w:t>联系电话：                         联系电话：</w:t>
      </w:r>
    </w:p>
    <w:p>
      <w:pPr>
        <w:suppressAutoHyphens/>
        <w:adjustRightInd w:val="0"/>
        <w:snapToGrid w:val="0"/>
        <w:ind w:firstLine="420" w:firstLineChars="200"/>
        <w:jc w:val="both"/>
        <w:rPr>
          <w:rFonts w:ascii="宋体" w:hAnsi="宋体" w:cs="宋体"/>
          <w:color w:val="auto"/>
          <w:szCs w:val="21"/>
          <w:highlight w:val="none"/>
        </w:rPr>
      </w:pPr>
    </w:p>
    <w:p>
      <w:pPr>
        <w:suppressAutoHyphens/>
        <w:jc w:val="both"/>
        <w:rPr>
          <w:rFonts w:ascii="宋体" w:hAnsi="宋体" w:cs="宋体"/>
          <w:color w:val="auto"/>
          <w:highlight w:val="none"/>
        </w:rPr>
      </w:pPr>
      <w:r>
        <w:rPr>
          <w:rFonts w:hint="eastAsia" w:ascii="宋体" w:hAnsi="宋体" w:cs="宋体"/>
          <w:color w:val="auto"/>
          <w:szCs w:val="21"/>
          <w:highlight w:val="none"/>
        </w:rPr>
        <w:t>联系地址：                         联系地址：</w:t>
      </w:r>
    </w:p>
    <w:p>
      <w:pPr>
        <w:suppressAutoHyphens/>
        <w:adjustRightInd w:val="0"/>
        <w:snapToGrid w:val="0"/>
        <w:ind w:firstLine="420" w:firstLineChars="200"/>
        <w:jc w:val="both"/>
        <w:rPr>
          <w:rFonts w:ascii="宋体" w:hAnsi="宋体" w:cs="宋体"/>
          <w:color w:val="auto"/>
          <w:highlight w:val="none"/>
        </w:rPr>
      </w:pPr>
      <w:r>
        <w:rPr>
          <w:rFonts w:hint="eastAsia" w:ascii="宋体" w:hAnsi="宋体" w:cs="宋体"/>
          <w:color w:val="auto"/>
          <w:highlight w:val="none"/>
        </w:rPr>
        <w:t xml:space="preserve"> </w:t>
      </w:r>
    </w:p>
    <w:p>
      <w:pPr>
        <w:suppressAutoHyphens/>
        <w:jc w:val="both"/>
        <w:rPr>
          <w:rFonts w:ascii="宋体" w:hAnsi="宋体" w:cs="宋体"/>
          <w:color w:val="auto"/>
          <w:highlight w:val="none"/>
        </w:rPr>
      </w:pPr>
      <w:r>
        <w:rPr>
          <w:rFonts w:hint="eastAsia" w:ascii="宋体" w:hAnsi="宋体" w:cs="宋体"/>
          <w:color w:val="auto"/>
          <w:highlight w:val="none"/>
        </w:rPr>
        <w:t>开户银行：                         开户银行：</w:t>
      </w:r>
    </w:p>
    <w:p>
      <w:pPr>
        <w:suppressAutoHyphens/>
        <w:adjustRightInd w:val="0"/>
        <w:snapToGrid w:val="0"/>
        <w:ind w:firstLine="420" w:firstLineChars="200"/>
        <w:jc w:val="both"/>
        <w:rPr>
          <w:rFonts w:ascii="宋体" w:hAnsi="宋体" w:cs="宋体"/>
          <w:color w:val="auto"/>
          <w:highlight w:val="none"/>
        </w:rPr>
      </w:pPr>
    </w:p>
    <w:p>
      <w:pPr>
        <w:suppressAutoHyphens/>
        <w:jc w:val="both"/>
        <w:rPr>
          <w:rFonts w:ascii="宋体" w:hAnsi="宋体" w:cs="宋体"/>
          <w:color w:val="auto"/>
          <w:highlight w:val="none"/>
        </w:rPr>
      </w:pPr>
      <w:r>
        <w:rPr>
          <w:rFonts w:hint="eastAsia" w:ascii="宋体" w:hAnsi="宋体" w:cs="宋体"/>
          <w:color w:val="auto"/>
          <w:highlight w:val="none"/>
        </w:rPr>
        <w:t>帐号：                             帐号：</w:t>
      </w:r>
    </w:p>
    <w:p>
      <w:pPr>
        <w:suppressAutoHyphens/>
        <w:adjustRightInd w:val="0"/>
        <w:snapToGrid w:val="0"/>
        <w:ind w:firstLine="420" w:firstLineChars="200"/>
        <w:jc w:val="both"/>
        <w:rPr>
          <w:rFonts w:ascii="宋体" w:hAnsi="宋体" w:cs="宋体"/>
          <w:color w:val="auto"/>
          <w:highlight w:val="none"/>
        </w:rPr>
      </w:pPr>
    </w:p>
    <w:p>
      <w:pPr>
        <w:suppressAutoHyphens/>
        <w:jc w:val="both"/>
        <w:rPr>
          <w:rFonts w:ascii="宋体" w:hAnsi="宋体" w:cs="宋体"/>
          <w:color w:val="auto"/>
          <w:szCs w:val="21"/>
          <w:highlight w:val="none"/>
        </w:rPr>
      </w:pPr>
      <w:r>
        <w:rPr>
          <w:rFonts w:hint="eastAsia" w:ascii="宋体" w:hAnsi="宋体" w:cs="宋体"/>
          <w:color w:val="auto"/>
          <w:szCs w:val="21"/>
          <w:highlight w:val="none"/>
        </w:rPr>
        <w:t>签定日期： 年 月 日                签定日期： 年 月 日</w:t>
      </w:r>
    </w:p>
    <w:p>
      <w:pPr>
        <w:pStyle w:val="26"/>
        <w:spacing w:line="360" w:lineRule="auto"/>
        <w:ind w:firstLine="422" w:firstLineChars="200"/>
        <w:rPr>
          <w:rFonts w:ascii="宋体" w:eastAsia="宋体" w:cs="宋体"/>
          <w:b/>
          <w:bCs/>
          <w:color w:val="auto"/>
          <w:sz w:val="21"/>
          <w:highlight w:val="none"/>
        </w:rPr>
      </w:pPr>
    </w:p>
    <w:p>
      <w:pPr>
        <w:pStyle w:val="26"/>
        <w:spacing w:line="360" w:lineRule="auto"/>
        <w:ind w:firstLine="422" w:firstLineChars="200"/>
        <w:rPr>
          <w:rFonts w:ascii="宋体" w:eastAsia="宋体" w:cs="宋体"/>
          <w:b/>
          <w:bCs/>
          <w:color w:val="auto"/>
          <w:sz w:val="21"/>
          <w:highlight w:val="none"/>
        </w:rPr>
      </w:pPr>
    </w:p>
    <w:p>
      <w:pPr>
        <w:pStyle w:val="26"/>
        <w:spacing w:line="360" w:lineRule="auto"/>
        <w:ind w:firstLine="422" w:firstLineChars="200"/>
        <w:rPr>
          <w:rFonts w:ascii="宋体" w:eastAsia="宋体" w:cs="宋体"/>
          <w:b/>
          <w:bCs/>
          <w:color w:val="auto"/>
          <w:sz w:val="21"/>
          <w:highlight w:val="none"/>
        </w:rPr>
      </w:pPr>
    </w:p>
    <w:p>
      <w:pPr>
        <w:spacing w:line="360" w:lineRule="auto"/>
        <w:jc w:val="both"/>
        <w:rPr>
          <w:rFonts w:ascii="宋体" w:hAnsi="宋体"/>
          <w:b/>
          <w:color w:val="auto"/>
          <w:szCs w:val="21"/>
          <w:highlight w:val="none"/>
        </w:rPr>
      </w:pPr>
      <w:r>
        <w:rPr>
          <w:rFonts w:hint="eastAsia" w:ascii="宋体" w:hAnsi="宋体"/>
          <w:b/>
          <w:color w:val="auto"/>
          <w:szCs w:val="21"/>
          <w:highlight w:val="none"/>
        </w:rPr>
        <w:t>此仅为合同书样本，中标人需根据实际情况和甲方签订相应的合同！</w:t>
      </w:r>
    </w:p>
    <w:p>
      <w:pPr>
        <w:rPr>
          <w:rFonts w:ascii="宋体" w:hAnsi="宋体"/>
          <w:b/>
          <w:color w:val="auto"/>
          <w:szCs w:val="21"/>
          <w:highlight w:val="none"/>
        </w:rPr>
      </w:pPr>
      <w:r>
        <w:rPr>
          <w:rFonts w:hint="eastAsia" w:ascii="宋体" w:hAnsi="宋体"/>
          <w:b/>
          <w:color w:val="auto"/>
          <w:szCs w:val="21"/>
          <w:highlight w:val="none"/>
        </w:rPr>
        <w:br w:type="page"/>
      </w:r>
    </w:p>
    <w:p>
      <w:pPr>
        <w:pStyle w:val="3"/>
        <w:pageBreakBefore/>
        <w:rPr>
          <w:rFonts w:hAnsi="宋体" w:cs="宋体"/>
          <w:color w:val="auto"/>
          <w:sz w:val="24"/>
          <w:highlight w:val="none"/>
        </w:rPr>
      </w:pPr>
      <w:r>
        <w:rPr>
          <w:rFonts w:hint="eastAsia" w:hAnsi="宋体" w:cs="宋体"/>
          <w:color w:val="auto"/>
          <w:sz w:val="24"/>
          <w:highlight w:val="none"/>
        </w:rPr>
        <w:t>附件：1、长安镇</w:t>
      </w:r>
      <w:r>
        <w:rPr>
          <w:rFonts w:hint="eastAsia" w:hAnsi="宋体" w:cs="宋体"/>
          <w:color w:val="auto"/>
          <w:sz w:val="24"/>
          <w:highlight w:val="none"/>
          <w:lang w:eastAsia="zh-CN"/>
        </w:rPr>
        <w:t>新民</w:t>
      </w:r>
      <w:r>
        <w:rPr>
          <w:rFonts w:hint="eastAsia" w:hAnsi="宋体" w:cs="宋体"/>
          <w:color w:val="auto"/>
          <w:sz w:val="24"/>
          <w:highlight w:val="none"/>
        </w:rPr>
        <w:t>社区环卫日常考核检查评分表</w:t>
      </w:r>
    </w:p>
    <w:tbl>
      <w:tblPr>
        <w:tblStyle w:val="18"/>
        <w:tblW w:w="8669" w:type="dxa"/>
        <w:tblInd w:w="0" w:type="dxa"/>
        <w:tblLayout w:type="fixed"/>
        <w:tblCellMar>
          <w:top w:w="0" w:type="dxa"/>
          <w:left w:w="108" w:type="dxa"/>
          <w:bottom w:w="0" w:type="dxa"/>
          <w:right w:w="108" w:type="dxa"/>
        </w:tblCellMar>
      </w:tblPr>
      <w:tblGrid>
        <w:gridCol w:w="394"/>
        <w:gridCol w:w="394"/>
        <w:gridCol w:w="3710"/>
        <w:gridCol w:w="3226"/>
        <w:gridCol w:w="524"/>
        <w:gridCol w:w="421"/>
      </w:tblGrid>
      <w:tr>
        <w:tblPrEx>
          <w:tblCellMar>
            <w:top w:w="0" w:type="dxa"/>
            <w:left w:w="108" w:type="dxa"/>
            <w:bottom w:w="0" w:type="dxa"/>
            <w:right w:w="108" w:type="dxa"/>
          </w:tblCellMar>
        </w:tblPrEx>
        <w:trPr>
          <w:trHeight w:val="23" w:hRule="atLeast"/>
        </w:trPr>
        <w:tc>
          <w:tcPr>
            <w:tcW w:w="788" w:type="dxa"/>
            <w:gridSpan w:val="2"/>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表1-1</w:t>
            </w:r>
          </w:p>
        </w:tc>
        <w:tc>
          <w:tcPr>
            <w:tcW w:w="7881" w:type="dxa"/>
            <w:gridSpan w:val="4"/>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长安镇</w:t>
            </w:r>
            <w:r>
              <w:rPr>
                <w:rFonts w:hint="eastAsia" w:ascii="宋体" w:hAnsi="宋体" w:cs="宋体"/>
                <w:b/>
                <w:bCs/>
                <w:color w:val="auto"/>
                <w:kern w:val="0"/>
                <w:szCs w:val="21"/>
                <w:highlight w:val="none"/>
                <w:lang w:eastAsia="zh-CN" w:bidi="ar"/>
              </w:rPr>
              <w:t>新民</w:t>
            </w:r>
            <w:r>
              <w:rPr>
                <w:rFonts w:hint="eastAsia" w:ascii="宋体" w:hAnsi="宋体" w:cs="宋体"/>
                <w:b/>
                <w:bCs/>
                <w:color w:val="auto"/>
                <w:kern w:val="0"/>
                <w:szCs w:val="21"/>
                <w:highlight w:val="none"/>
                <w:lang w:bidi="ar"/>
              </w:rPr>
              <w:t>社区环卫日常考核检查评分表</w:t>
            </w:r>
          </w:p>
        </w:tc>
      </w:tr>
      <w:tr>
        <w:tblPrEx>
          <w:tblCellMar>
            <w:top w:w="0" w:type="dxa"/>
            <w:left w:w="108" w:type="dxa"/>
            <w:bottom w:w="0" w:type="dxa"/>
            <w:right w:w="108" w:type="dxa"/>
          </w:tblCellMar>
        </w:tblPrEx>
        <w:trPr>
          <w:trHeight w:val="23" w:hRule="atLeast"/>
        </w:trPr>
        <w:tc>
          <w:tcPr>
            <w:tcW w:w="4498" w:type="dxa"/>
            <w:gridSpan w:val="3"/>
            <w:tcBorders>
              <w:top w:val="nil"/>
              <w:left w:val="nil"/>
              <w:bottom w:val="nil"/>
              <w:right w:val="nil"/>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总分:100分,得分:</w:t>
            </w:r>
          </w:p>
        </w:tc>
        <w:tc>
          <w:tcPr>
            <w:tcW w:w="4171" w:type="dxa"/>
            <w:gridSpan w:val="3"/>
            <w:tcBorders>
              <w:top w:val="nil"/>
              <w:left w:val="nil"/>
              <w:bottom w:val="nil"/>
              <w:right w:val="nil"/>
            </w:tcBorders>
            <w:shd w:val="clear" w:color="auto" w:fill="auto"/>
            <w:vAlign w:val="center"/>
          </w:tcPr>
          <w:p>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评分时间:   年   月  日</w:t>
            </w:r>
          </w:p>
        </w:tc>
      </w:tr>
      <w:tr>
        <w:tblPrEx>
          <w:tblCellMar>
            <w:top w:w="0" w:type="dxa"/>
            <w:left w:w="108" w:type="dxa"/>
            <w:bottom w:w="0" w:type="dxa"/>
            <w:right w:w="108" w:type="dxa"/>
          </w:tblCellMar>
        </w:tblPrEx>
        <w:trPr>
          <w:trHeight w:val="23" w:hRule="atLeast"/>
        </w:trPr>
        <w:tc>
          <w:tcPr>
            <w:tcW w:w="44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现场考核</w:t>
            </w:r>
          </w:p>
        </w:tc>
        <w:tc>
          <w:tcPr>
            <w:tcW w:w="32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扣分办法(提供资料证明)</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应得分</w:t>
            </w:r>
          </w:p>
        </w:tc>
        <w:tc>
          <w:tcPr>
            <w:tcW w:w="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检查扣分</w:t>
            </w:r>
          </w:p>
        </w:tc>
      </w:tr>
      <w:tr>
        <w:tblPrEx>
          <w:tblCellMar>
            <w:top w:w="0" w:type="dxa"/>
            <w:left w:w="108" w:type="dxa"/>
            <w:bottom w:w="0" w:type="dxa"/>
            <w:right w:w="108" w:type="dxa"/>
          </w:tblCellMar>
        </w:tblPrEx>
        <w:trPr>
          <w:trHeight w:val="23" w:hRule="atLeast"/>
        </w:trPr>
        <w:tc>
          <w:tcPr>
            <w:tcW w:w="7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项目内容</w:t>
            </w:r>
          </w:p>
        </w:tc>
        <w:tc>
          <w:tcPr>
            <w:tcW w:w="3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考核标准和依据</w:t>
            </w:r>
          </w:p>
        </w:tc>
        <w:tc>
          <w:tcPr>
            <w:tcW w:w="32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(出现以下未提及事项均参照合同依据的法律法规和办法)</w:t>
            </w:r>
          </w:p>
        </w:tc>
        <w:tc>
          <w:tcPr>
            <w:tcW w:w="32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一、人工清扫保洁(35分)</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1、旧村每天普扫两次，作业时间为6：00-22：00，巡回保洁根据情况而定</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旧村每天无普扫两次的扣2分；无按时完成普扫的扣1分；卫生质量差的扣1分；扣完为止.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2、河边、鱼塘边、山边、闲置地等根据卫生情况合理进行不定期保洁，每天有专人负责巡查随时了解卫生情况，发现超过卫生质量标准，即时组织人员清洁（未硬底化的闲置地不在合同范围，建议闲置地围闭）</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河边、鱼塘边、山边、闲置地等无根据卫生情况合理进行不定期保洁的扣1分；无专人每天负责巡查随时了解卫生情况的扣0.5分；卫生质量差的扣0.5分；扣完为止.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绿化隔离带,公园广场、路旁绿地,行道树穴,渠化岛、草坪内的垃圾清洁时间为7：00-22：30。每天上午9：30时前完成首次绿地清洁工作，其余时间做好保洁；禁止焚烧枯枝干叶及杂物；对绿化管理人员清理出来的剪枝（树枝和树干标准长度≤90cm且直径≤15cm）及落叶、果皮纸屑、烟头、胶袋等垃圾要及时收集清走。(绿化浇水施肥、除草松土、喷药除杂、树木修剪后集中堆放等养护不在合同范围内)</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在保洁时间无足够人员在保洁的扣0.2分；9：30时前未完成首次绿地清洁工作的扣0.2分；发现焚烧枯枝干叶及杂物的扣0.2分；；对绿化管理人员清理出来符合标准的剪枝及垃圾没有进行及时的清理扣0.2分；发现有果皮果壳卫生质量差的扣0.5分；扣完为止.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道路、公共场所等均按二类清扫保洁标准，普扫和保洁人员数量各占一半。一天普扫两次，时间分别是早上5：30-7：00，下午17：30-19：00，其余时间根据实际情况灵活安排；保洁分两批人四班次，时间为7：00-23：00，共16小时。繁华街区每周彻底清扫道路和沟渠一遍，每小时保洁一遍；其余道路每两周彻底清扫道路和沟渠一遍。实行无缝链接清扫保洁，不得漏扫，保洁时间内由保洁人员采用机械（人工）的办法进行，维持道路、公共场所等的清洁</w:t>
            </w:r>
            <w:r>
              <w:rPr>
                <w:rStyle w:val="46"/>
                <w:rFonts w:hint="default"/>
                <w:color w:val="auto"/>
                <w:sz w:val="21"/>
                <w:szCs w:val="21"/>
                <w:highlight w:val="none"/>
                <w:lang w:bidi="ar"/>
              </w:rPr>
              <w:t>(行人道、路沿石的杂草清除属保洁范围)</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未按要求完成普扫的扣1分；保洁时间一定范围内无足够人员在保洁的扣0.5分；繁华街区每周无彻底清扫道路和沟渠一遍的扣0.5分；无每小时保洁一遍的扣0.5分；其余道路每两周无彻底清扫道路和沟渠一遍的扣0.5分；无实行无缝链接清扫保洁，出现漏扫，影响卫生质量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5、主干道、红绿灯口、繁华地区等道路要根据不同时间段、人流密度等加派保洁人员保洁，确保周一至五上下班高峰时段、节假日或周六日全天候卫生情况良好</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主干道、红绿灯口、繁华地区等道路无根据不同时间段、人流密度等加派保洁人员保洁，卫生质量差的一处扣0.5分，扣完为止.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繁华街区人行道每周彻底清洗不少于两次，其余街区人行道每周彻底清洗不少于一次，如特殊情况特殊路段要求每天清洗，冲洗时间为当日23时至次日6时,高压冲洗车车速:5km/h～10km/h，清洗人行道时，冲洗车须调整好水流幅宽，并配以人工洗刷路面，清洗被油污污染较为严重的路面时，可适当添加洗洁精等清洁液，反复冲洗，直至路面见本色</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繁华街区人行道每周彻底清洗少于两次，其余街区人行道每周彻底清洗少于一次，每少1次扣0.5分；特殊情况特殊路段没有每天清洗的每少一次扣0.5分；无在规定时间内冲洗的每次扣0.5分；无按指定车速行驶的发现一次扣0.5分；清洗行人道时,无按要求洗刷路面的一次扣0.5分；冲洗不干净,路面不见本色的发现一处扣0.5分；出现漏冲路段的发现一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一、人工清扫保洁(35分)</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每天定时洒水3次（早上8点、下午14点和晚上23点，周六日晚上推迟至23：30，雨天除外），30℃以上每天不少于3次，洒水车车速:≤10km/h,作业时应发送警示信号提醒路人,并控制适当的水压和高度,避免妨碍路人；不得倒车洒水，不得漏洒(漏冲),作业结束后,应做到地面、路缘石基本见本色,路面侧石、交通隔离带以及道路相关公共设施周围无泥沙和积水；发现洒漏沙石、油污、工程建设污染等和路障的地段，视实际需要进行降尘或冲洗，立即处理，并上报相关主管部门</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没按时洒水的发现少一次扣0.5分；每天洒水次数不够每少一次扣0.5分；没有按指定车速作业的发现一次扣0.5分；作业时没按要求操作的发现一次扣0.5分；作业结束后未达到要求的发现一次扣0.5分；发现洒漏沙石、油污、工程建设污染等和路障等情况无立即处理的一次扣1分；出现状况无上报相关主管部门的一次扣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清扫保洁应达到路面整洁、无杂草、无残留污水，明渠无垃圾堆积、排水畅通，狭窄内巷无卫生死角，排水口清洁、无沙土残积，路沿石、防蚊设施、废物箱、广告路灯等公共设施无明显污迹，行道树圈无垃圾杂物、陈旧落叶等要求，保洁率达到100%</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达到路面无残留污水、无杂草、明渠无垃圾堆积、排水畅通，狭窄内巷无卫生死角，排水口清洁、无沙土残积，公共设施无明显污迹，行道树圈无垃圾杂物、陈旧落叶等要求的发现一处扣0.2分；保洁率达不到100%的扣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bdr w:val="single" w:color="000000" w:sz="4" w:space="0"/>
                <w:lang w:bidi="ar"/>
              </w:rPr>
              <w:drawing>
                <wp:anchor distT="0" distB="0" distL="114300" distR="114300" simplePos="0" relativeHeight="251660288" behindDoc="0" locked="0" layoutInCell="1" allowOverlap="1">
                  <wp:simplePos x="0" y="0"/>
                  <wp:positionH relativeFrom="column">
                    <wp:posOffset>46355</wp:posOffset>
                  </wp:positionH>
                  <wp:positionV relativeFrom="paragraph">
                    <wp:posOffset>796925</wp:posOffset>
                  </wp:positionV>
                  <wp:extent cx="2134870" cy="335915"/>
                  <wp:effectExtent l="0" t="0" r="17780" b="6985"/>
                  <wp:wrapNone/>
                  <wp:docPr id="20" name="Picture_4"/>
                  <wp:cNvGraphicFramePr/>
                  <a:graphic xmlns:a="http://schemas.openxmlformats.org/drawingml/2006/main">
                    <a:graphicData uri="http://schemas.openxmlformats.org/drawingml/2006/picture">
                      <pic:pic xmlns:pic="http://schemas.openxmlformats.org/drawingml/2006/picture">
                        <pic:nvPicPr>
                          <pic:cNvPr id="20" name="Picture_4"/>
                          <pic:cNvPicPr/>
                        </pic:nvPicPr>
                        <pic:blipFill>
                          <a:blip r:embed="rId16"/>
                          <a:stretch>
                            <a:fillRect/>
                          </a:stretch>
                        </pic:blipFill>
                        <pic:spPr>
                          <a:xfrm>
                            <a:off x="0" y="0"/>
                            <a:ext cx="2134870" cy="335915"/>
                          </a:xfrm>
                          <a:prstGeom prst="rect">
                            <a:avLst/>
                          </a:prstGeom>
                          <a:noFill/>
                          <a:ln>
                            <a:noFill/>
                          </a:ln>
                        </pic:spPr>
                      </pic:pic>
                    </a:graphicData>
                  </a:graphic>
                </wp:anchor>
              </w:drawing>
            </w:r>
            <w:r>
              <w:rPr>
                <w:rFonts w:hint="eastAsia" w:ascii="宋体" w:hAnsi="宋体" w:cs="宋体"/>
                <w:color w:val="auto"/>
                <w:kern w:val="0"/>
                <w:szCs w:val="21"/>
                <w:highlight w:val="none"/>
                <w:lang w:bidi="ar"/>
              </w:rPr>
              <w:t>9、路面废弃物控制指标应符合下表规定，在同一单位长度内不得超过各单项废弃物总数的50%。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注：为方便实际操作，测算面积可适当调整，各类指标按比例折算</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路面废弃物控制指标不符合规定的发现一处扣0.2分，扣完为止.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10、人行天桥、人行过街地下通道、车行隧道的清扫保洁质量标准与连接的道路相同；栏杆、阶梯、扶手、墙面、地面、路面等应保持整洁、无乱张贴、乱画、垃圾和积存污水</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人行天桥、人行过街地下通道、车行隧道与其连接的道路；栏杆、阶梯、扶手、墙面、地面、路面等无保持整洁,有乱张贴、乱画、垃圾和积存污水现象的一处扣0.2分，扣完为止.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11、普扫、保洁要达到“六无六净一通”标准。</w:t>
            </w:r>
            <w:r>
              <w:rPr>
                <w:rStyle w:val="47"/>
                <w:rFonts w:hint="default"/>
                <w:color w:val="auto"/>
                <w:sz w:val="21"/>
                <w:szCs w:val="21"/>
                <w:highlight w:val="none"/>
                <w:lang w:bidi="ar"/>
              </w:rPr>
              <w:t>六无：</w:t>
            </w:r>
            <w:r>
              <w:rPr>
                <w:rFonts w:hint="eastAsia" w:ascii="宋体" w:hAnsi="宋体" w:cs="宋体"/>
                <w:color w:val="auto"/>
                <w:kern w:val="0"/>
                <w:szCs w:val="21"/>
                <w:highlight w:val="none"/>
                <w:lang w:bidi="ar"/>
              </w:rPr>
              <w:t>地面、路面无积泥(沙)积水，无果皮纸屑、烟头等废弃物，无香口糖迹、痰迹等污迹，无漏收垃圾堆，无往雨水井口、排水渠口、明渠、绿化带、果皮箱扫倒垃圾污物，无乱张贴广告、招纸、乱涂画、乱刻写等。</w:t>
            </w:r>
            <w:r>
              <w:rPr>
                <w:rStyle w:val="47"/>
                <w:rFonts w:hint="default"/>
                <w:color w:val="auto"/>
                <w:sz w:val="21"/>
                <w:szCs w:val="21"/>
                <w:highlight w:val="none"/>
                <w:lang w:bidi="ar"/>
              </w:rPr>
              <w:t>六净：</w:t>
            </w:r>
            <w:r>
              <w:rPr>
                <w:rFonts w:hint="eastAsia" w:ascii="宋体" w:hAnsi="宋体" w:cs="宋体"/>
                <w:color w:val="auto"/>
                <w:kern w:val="0"/>
                <w:szCs w:val="21"/>
                <w:highlight w:val="none"/>
                <w:lang w:bidi="ar"/>
              </w:rPr>
              <w:t>地面、路面、人行道净，路缘石净，墙基净，果皮箱净、公共设施净，雨水井口净、地下通道净，树穴绿化带净。</w:t>
            </w:r>
            <w:r>
              <w:rPr>
                <w:rStyle w:val="47"/>
                <w:rFonts w:hint="default"/>
                <w:color w:val="auto"/>
                <w:sz w:val="21"/>
                <w:szCs w:val="21"/>
                <w:highlight w:val="none"/>
                <w:lang w:bidi="ar"/>
              </w:rPr>
              <w:t>一通：</w:t>
            </w:r>
            <w:r>
              <w:rPr>
                <w:rFonts w:hint="eastAsia" w:ascii="宋体" w:hAnsi="宋体" w:cs="宋体"/>
                <w:color w:val="auto"/>
                <w:kern w:val="0"/>
                <w:szCs w:val="21"/>
                <w:highlight w:val="none"/>
                <w:lang w:bidi="ar"/>
              </w:rPr>
              <w:t>雨水井口、排水明渠通</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普扫、保洁无达到“六无六净一通”标准的发现一处扣0.2分，扣完为止.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12、道路两侧的建筑物外立面应无明显污迹，无残墙断壁、无乱张贴、乱拉挂的“六乱现象”，过时破损的宣传标语要及时修补或更换</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道路两侧的建筑物外立面保洁不到位有明显污迹，有乱张贴、乱拉挂等“六乱现象”的发现一处扣0.2分；过时破损的宣传标语无及时修补或更换的发现一处扣0.2分；扣完为止.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一、人工清扫保洁(35分)</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13、道路两侧的公交候车站、广告牌、路牌、邮筒、读报栏、管线等设施保持完好，无污迹、积尘、无乱张贴、无残旧破损</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道路两侧的公交候车站、广告牌、路牌、邮筒、读报栏、管线等设施有污迹、积尘，有乱张贴和残旧破损现象的发现一处扣0.2分，扣完为止.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清洁工人上班必须穿有安全反光标志的工作服，着装整洁，进行清扫时要按规范安全作业，遵守交通规则，留意周边环境，根据本路段的人、车情况，合理安排作业时间和方式；非普扫时间不使用大扫把；小心执扫，控制扬尘，避免妨碍行人，避免与路人发生矛盾</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清洁工人上班无穿有安全反光标志的工作服的一个扣1分；着装不整洁的一个扣0.5分；清扫时无按规范作业的一次扣0.5分；无安全作业的一次扣0.5分；扣完为止.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清洁工人出车前，应做好车辆例行保养，检查车容车况，确保车辆性能完好和车容整洁；作业时，按岗位责任制和岗位作业流程操作，请路人配合时要使用“你好、请、对不起、让一让、谢谢”等文明用语，虚心接受群众的意见</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出车前无做好车辆例行保养和检查车容车况的一次扣0.2分；使用性能差和车容不整洁车辆作业的一次扣0.2分；作业时，没有文明工作的一次扣0.2分；扣完为止.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16、上岗工作期间，禁止员工分拣垃圾或挑选垃圾收集，禁止任何作业车辆堆挂杂物或车身空隙堆塞任何与作业无关的物件。</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发现员工分拣垃圾或挑选垃圾收集的一次扣0.5分；发现作业车辆堆挂杂物或车身空隙堆塞任何与作业无关的物件的一次扣0.5分；扣完为止.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17、清洁工人在清扫和保洁时，应按车行线反方向清扫，特别在清扫中间护拦时要提高警觉，注意来车；清理主车道上的成堆的泥土时，应在清理点来车方向100米处设置醒目路障，并做好防护措施</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清洁工人在清扫和保洁特别在清扫中间护拦时，无按车行线反方向清扫，无注意来车的扣0.5分；清理主车道上的成堆的泥土时，无在清理点来车方向100米处设置醒目路障，并做好防护措施的一次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18、在从事地下通道、立交桥等车辆密集地段作业时，应设置警戒标志或选择在车辆较少的时间内清扫</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在地下通道、立交桥等车辆密集地段作业时，无设置警戒标志的一次扣0.5分；扣完为止.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19、保洁垃圾车、手推车不能太靠近车行线停放，不得横向占道，装载垃圾时，必须覆盖密闭，以防臭味外逾</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保洁垃圾车、手推车存在靠近车行线和横向占道等乱停放现象的一次扣0.5分；装载垃圾时没有覆盖密闭的一次扣0.5分；扣完为止.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车辆回场后，应将车辆停放在洗车站，将车辆和作业工具都进行彻底清洗，将清洗出的垃圾放入指定容器，保持洗车场地清洁；将车辆和作业工具清洗完后，使用人做好例保工作，仔细检查车容车况，工具性能，发现故障及时修理，并做好相关的例保记录，最后将车辆和作业工具按规定位置停放、摆放好</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车辆回场后，无将车辆停放在洗车站将车辆和作业工具都进行彻底清洗的一次扣0.5分；没有做好例保工作并进行相关记录的一次扣0.5分；没有将清洗检查保养好的车辆和作业工具按规定位置停放、摆放好的一次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二、机械清扫保洁(⒖分)</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1、道路机械清扫保洁时间从5：00-22：00，繁华街区每天全面巡回清扫至少两遍；其余街区每天全面巡回清扫至少一遍；分别在上午7：30和下午18：00完成清扫，其余时间为巡回保洁时间</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无按时完成全面清扫的扣0.5分；无按规定遍数的少一遍扣0.5分；出现漏扫地方或卫生质量差的扣0.5分；清扫保洁时间内人和车都不在岗的扣0.5分；扣扣完为止.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2、机械化清扫车辆出车前必须进行车辆性能检查，发现故障及时排除；加足水，并根据路面状况调整好机扫车侧刷和吸口，禁止侧刷、吸口不落地空跑，不得有漏扫现象，避免“干扫”，做到喷雾清扫不扬尘</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出车前无进行车辆性能检查,导致作业时出故障的一次扣0.5分；发生侧刷、吸口不落地空跑、漏扫、“干扫”无喷雾清扫的一次扣0.5分；扣完为止.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机械化清扫车辆出车作业时必须严格遵守交通规则，落实安全警示和防护措施,开警示灯和坏车灯（大车），禁止鸣笛，司机必须穿反光衣，礼让行车，注意行人的安全，不得防碍交通；正常车速为6-7公里/小时，最快速度不能超10公里/小时，不得超速</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没有遵守交通规则的一次扣1.5分；没有落实安全警示和防护措施、无开警示灯和坏车灯（大车）、鸣笛、司机及其工作人员无穿反光衣、无礼让行车、无注意行人安全、防碍交通的一次扣1分；没有按车速行驶的一次扣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4、清扫时注意观察路面清扫质量和路面障碍情况，对机扫车不能清除的大件垃圾或硬物，应及时下车清除，确保清扫质量和设备不受损坏</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对机扫车不能清除的大件垃圾或硬物无及时下车清除的一次扣0.5分；清扫时无注意观察路面障碍情况，导致清扫设备损坏扣0.5分；扣完为止.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5、道路的清扫、保洁质量标准必须符合以下要求：                                                                  ⑴路面基本见本色；                                                                                              ⑵快车道中间分隔带侧石垂直1米为宽度的任意100m</w:t>
            </w:r>
            <w:r>
              <w:rPr>
                <w:rStyle w:val="48"/>
                <w:rFonts w:hint="default"/>
                <w:color w:val="auto"/>
                <w:sz w:val="21"/>
                <w:szCs w:val="21"/>
                <w:highlight w:val="none"/>
                <w:lang w:bidi="ar"/>
              </w:rPr>
              <w:t>2</w:t>
            </w:r>
            <w:r>
              <w:rPr>
                <w:rFonts w:hint="eastAsia" w:ascii="宋体" w:hAnsi="宋体" w:cs="宋体"/>
                <w:color w:val="auto"/>
                <w:kern w:val="0"/>
                <w:szCs w:val="21"/>
                <w:highlight w:val="none"/>
                <w:lang w:bidi="ar"/>
              </w:rPr>
              <w:t xml:space="preserve"> 地面，沙泥石块不得超过0.2升；                                                                          ⑶慢车倒侧石垂直1米为宽度的任意100m</w:t>
            </w:r>
            <w:r>
              <w:rPr>
                <w:rStyle w:val="48"/>
                <w:rFonts w:hint="default"/>
                <w:color w:val="auto"/>
                <w:sz w:val="21"/>
                <w:szCs w:val="21"/>
                <w:highlight w:val="none"/>
                <w:lang w:bidi="ar"/>
              </w:rPr>
              <w:t xml:space="preserve">2 </w:t>
            </w:r>
            <w:r>
              <w:rPr>
                <w:rFonts w:hint="eastAsia" w:ascii="宋体" w:hAnsi="宋体" w:cs="宋体"/>
                <w:color w:val="auto"/>
                <w:kern w:val="0"/>
                <w:szCs w:val="21"/>
                <w:highlight w:val="none"/>
                <w:lang w:bidi="ar"/>
              </w:rPr>
              <w:t>地面，沙泥石块不得超过0.4升；                                               ⑷任意100m</w:t>
            </w:r>
            <w:r>
              <w:rPr>
                <w:rStyle w:val="48"/>
                <w:rFonts w:hint="default"/>
                <w:color w:val="auto"/>
                <w:sz w:val="21"/>
                <w:szCs w:val="21"/>
                <w:highlight w:val="none"/>
                <w:lang w:bidi="ar"/>
              </w:rPr>
              <w:t>2</w:t>
            </w:r>
            <w:r>
              <w:rPr>
                <w:rFonts w:hint="eastAsia" w:ascii="宋体" w:hAnsi="宋体" w:cs="宋体"/>
                <w:color w:val="auto"/>
                <w:kern w:val="0"/>
                <w:szCs w:val="21"/>
                <w:highlight w:val="none"/>
                <w:lang w:bidi="ar"/>
              </w:rPr>
              <w:t>地面,沙泥石块不超过0.2升；                                                                        ⑸任意300m</w:t>
            </w:r>
            <w:r>
              <w:rPr>
                <w:rStyle w:val="48"/>
                <w:rFonts w:hint="default"/>
                <w:color w:val="auto"/>
                <w:sz w:val="21"/>
                <w:szCs w:val="21"/>
                <w:highlight w:val="none"/>
                <w:lang w:bidi="ar"/>
              </w:rPr>
              <w:t>2</w:t>
            </w:r>
            <w:r>
              <w:rPr>
                <w:rFonts w:hint="eastAsia" w:ascii="宋体" w:hAnsi="宋体" w:cs="宋体"/>
                <w:color w:val="auto"/>
                <w:kern w:val="0"/>
                <w:szCs w:val="21"/>
                <w:highlight w:val="none"/>
                <w:lang w:bidi="ar"/>
              </w:rPr>
              <w:t>地面,胶袋、纸张、果皮等不超过3个（块）；                                                              ⑹任意300m</w:t>
            </w:r>
            <w:r>
              <w:rPr>
                <w:rStyle w:val="48"/>
                <w:rFonts w:hint="default"/>
                <w:color w:val="auto"/>
                <w:sz w:val="21"/>
                <w:szCs w:val="21"/>
                <w:highlight w:val="none"/>
                <w:lang w:bidi="ar"/>
              </w:rPr>
              <w:t>2</w:t>
            </w:r>
            <w:r>
              <w:rPr>
                <w:rFonts w:hint="eastAsia" w:ascii="宋体" w:hAnsi="宋体" w:cs="宋体"/>
                <w:color w:val="auto"/>
                <w:kern w:val="0"/>
                <w:szCs w:val="21"/>
                <w:highlight w:val="none"/>
                <w:lang w:bidi="ar"/>
              </w:rPr>
              <w:t>地面,烟头、痰迹不超过5个（处）；                                                              ⑺地面不得有人为积水.</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道路的清扫、保洁质量标准不符合要求的，发现一项扣0.2分；扣完为止.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6、清扫完毕，应检查车辆内垃圾是否卸清，并做好车辆保洁和维护，保持车容整洁，性能良好</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清扫完毕，车辆内垃圾无卸清一次扣0.25分；无做好车辆保洁和维护的一次扣0.25分；扣完为止.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7.清扫车辆收集的垃圾必须到指定地点倾倒，不得偷倒</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收集的垃圾无到指定地点倾倒的一次扣0.5分；存在偷倒的一次扣0.5分；扣完为止.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8、路面机械化清扫达到80%</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路面机械化清扫无达到80%的扣0.5分</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三、垃圾收集容器保洁维护(5分)</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1、垃圾收集容器包括收集箱、垃圾桶、果皮箱等。垃圾收集容器外观应整洁、无迹垢，每天至少清洁箱体一次，擦抹箱体表面，清除表面的污迹和“牛皮癣”</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每天没对全部或部分箱体至少清洁一次的扣0.5分，箱体表面存有污迹和“牛皮癣”的一个扣0.2分；扣完为止.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垃圾收集容器内垃圾要及时清走，一天清走垃圾不少于两次（上、下午各一次）。繁华街区一天三次，环卫工人每天晚班下班前全面清理完垃圾收集容器的垃圾，做到日产日清；垃圾量多的地方要根据情况定，不能有满溢、外观脏乱现象，并将产生的垃圾收集到指定地点</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垃圾收集容器内垃圾清走少于两次少一次的扣0.1分；繁华街区晚班下班前无全面清理完垃圾收集容器的垃圾，做到日产日清的一次扣0.2分；有满溢、外观脏乱现象的一处扣0.1分；无将垃圾收集到指定地点的发现一次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3、垃圾收集容器体光洁无明显积垢，箱体放置地面周围不得有垃圾抛落、垃圾堆积，无积水，无臭味</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箱体放置地面周围有垃圾抛落、垃圾堆积，有积水和臭味的发现一处扣0.1分；扣完为止.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4、垃圾收集容器应随时保持正常完好的状态，不能东倒西歪</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垃圾收集容器无保持正常完好的状态，东倒西歪的发现一个扣0.1分；扣完为止.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5、垃圾收集容器出现歪斜、松脱、不能使用和被盗等，要及时维修、拆卸、更换、补充和恢复，完好率不得低于98%</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对歪斜、松脱、不能使用和被盗等的垃圾收集容器，无及时维修、拆卸、更换、补充和恢复的一个扣0.2分；扣扣完为止.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6、每周至少两次大清洗、消毒箱体表面和内胆，并对箱体周围地面进行擦拖抹和清洗</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无每周至少两次大清洗箱体表面和内胆，无对箱体周围地面进行擦拖抹和清洗的少一次扣0.25分；扣扣完为止.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7、禁止使用非统一配置的垃圾收集容器，如竹箩、竹筐、纸箱等未密闭的垃圾收集容器；</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发现竹箩、竹筐、纸箱等非统一配置垃圾收集容器，一处扣0.1分；扣扣完为止.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8、禁止环卫工人在垃圾收集容器、垃圾收集站内翻捡废品</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发现环卫工人在垃圾收集容器、垃圾收集站内翻捡废品的一次扣0.1分；扣扣完为止.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四、排水井清理(5分)</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1、日常做好雨水井口、井盖、格栅疏水孔、排水明渠及有排水孔且具有活动盖板的暗渠口和防蚊闸的清理和疏通工作（清淤除外），保证排水功能正常，每月全面彻底清理不少于2次</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日常无做好雨水井口、井盖、格栅疏水孔、排水明渠、有排水孔且具有活动盖板的暗渠口、防蚊闸的清理和疏通工作，导致排水功能不正常的发现一处扣0.5分；每月全面彻底清理少于2次少一次扣1分；扣扣完为止.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遇到雨季、台风季节等情况，要及时检视和清理；因下雨天下水道排水不畅造成道路水浸，保洁人员不得擅自离岗（遇雷电时及时躲避），在确保人身安全前提下，及时清理排水口的树叶和垃圾等堵塞物，确保排水畅通</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遇到雨季、台风季节等情况，无及时检视和清理，下雨时下水道排水不畅造成道路水浸的一处扣0.2分；保洁人员擅自离岗的一次扣0.5分，水浸时无及时清理排水口的树叶和垃圾等堵塞物的一处扣1分；扣完为止.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当出现内涝情况时，即时启动应急处理方案，采取相应措施，人员和设备要在20分钟内全部到位，尽快摆齐警示标志，做好安全保护措施，与其他部门互相配合，安排专人通宵值班，24小时开机，随时掌控情况并汇报</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当内涝启动应急方案时，人员和设备不在20分钟内全部到位的扣1分；无尽快摆齐警示标志,做好安全保护措施的扣1分；无安排专人值班，24小时开机的扣0.5分；无随时掌控情况及时汇报的扣0.5分；扣完为止.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五、河涌、护坡、堤围保洁(5分)</w:t>
            </w:r>
          </w:p>
        </w:tc>
        <w:tc>
          <w:tcPr>
            <w:tcW w:w="3710" w:type="dxa"/>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1、巡查时间8：00-18：00（6级或6级以上大风、红色暴雨警告以上天气除外）,有专人负责保洁和管理</w:t>
            </w:r>
          </w:p>
        </w:tc>
        <w:tc>
          <w:tcPr>
            <w:tcW w:w="3226" w:type="dxa"/>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在规定巡查时间内，无专人负责保洁和管理的扣0.5分</w:t>
            </w:r>
          </w:p>
        </w:tc>
        <w:tc>
          <w:tcPr>
            <w:tcW w:w="52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2、每天根据卫生质量标准决定打捞水面漂浮垃圾和收集河涌护坡垃圾次数（河涌清淤除外）</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对超过卫生质量标准无及时打捞，发现扣0.5分</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3、水面无水浮莲等大件漂浮垃圾（≥1m</w:t>
            </w:r>
            <w:r>
              <w:rPr>
                <w:rStyle w:val="48"/>
                <w:rFonts w:hint="default"/>
                <w:color w:val="auto"/>
                <w:sz w:val="21"/>
                <w:szCs w:val="21"/>
                <w:highlight w:val="none"/>
                <w:lang w:bidi="ar"/>
              </w:rPr>
              <w:t>2</w:t>
            </w:r>
            <w:r>
              <w:rPr>
                <w:rFonts w:hint="eastAsia" w:ascii="宋体" w:hAnsi="宋体" w:cs="宋体"/>
                <w:color w:val="auto"/>
                <w:kern w:val="0"/>
                <w:szCs w:val="21"/>
                <w:highlight w:val="none"/>
                <w:lang w:bidi="ar"/>
              </w:rPr>
              <w:t>),小件零星垃圾两件之间最小间距≥20米</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水面存在水浮莲等大件漂浮垃圾和小件零星垃圾的一处扣0.1分；扣完为止.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4、做到河道畅通，岸坡整洁,无悬挂物、无垃圾杂物堆积,无漂浮物</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河道不畅通，岸坡不整洁，有悬挂物和漂浮物的一处扣0.2分；扣完为止.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5、汛期必须积极配合水利部门进行清疏、排灌</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汛期不积极配合水利部门进行清疏、排灌的扣0.3分</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0.3</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6、打捞、收集的垃圾要定点堆放,送指定地点处理,日产日清</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打捞、收集的垃圾无定点堆放的发现一处扣0.5分，无日产日清的扣0.5分；扣完为止.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7、垃圾清运后必须把场地清扫干净，无垃圾和杂物堆放</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垃圾清运后仍有垃圾和杂物堆放发现一处扣0.1分；扣完为止.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8、垃圾异味太大或有动物残体时要进行密封包装</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对垃圾异味太大和动物残体没有进行密封包装发现一处扣0.1分；扣完为止.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0.3</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9、河道内船只、垃圾车辆容貌整洁，外观无缺损，无残留垃圾</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河道内船只及垃圾车辆外观缺损扣0.1分；有残留垃圾的一处扣0.1分；扣完为止.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10、水上作业人员必须熟习水性，作业时要穿着救生衣，船上备用救生器材，落实有关安全措施</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水上作业人员不熟习水性的一个扣0.1分；作业时无穿着救生衣的一个扣0.1分；船上无备用救生器材的扣0.1分；扣完为止.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六、垃圾收集清运(15分)</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1、道路、临街店铺、住宅、公共场所等的垃圾收集与清扫保洁同步，要求每天上门收集不少于4次，上、下午各2次，所收集垃圾必须运到指定垃圾站（点）或收集车辆配合落实无缝接运，不得随意堆放</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道路、临街店铺、住宅、公共场所等的垃圾收集与清扫保洁无同步的扣0.5分；每天上门收集少于4次的扣0.5分；所收集垃圾无运到指定垃圾站（点）或无收集车辆配合落实无缝接运的扣0.5分；所收集垃圾随意堆放发现一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2、旧村内巷垃圾收集与清扫保洁同步，每天收集不少于2次，上午、下午各1次，所收集垃圾必须运到指定垃圾站（点）或收集车辆配合落实无缝接运，不得随意堆放</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旧村内巷垃圾收集与清扫保洁不同步的扣0.5分；每天收集少于2次的扣0.5分；所收集垃圾无运到指定垃圾站（点）或无收集车辆配合落实无缝接运的扣1分；所收集垃圾随意堆放发现一处扣0.5分；扣完为止.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3、绿化隔离带、公园广场、路旁绿地、行道树穴、渠化岛、草坪内的垃圾与保洁同步，根据垃圾量收集，每天不少于1次，所收集垃圾必须运到指定垃圾站（点）或收集车辆配合落实无缝接运，不得随意堆放</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绿化隔离带、公园广场、路旁绿地、行道树穴、渠化岛、草坪内的垃圾与保洁不同步的扣0.5分；所收集垃圾无运到指定垃圾站（点）或无收集车辆配合落实无缝接运的扣0.5分；所收集垃圾随意堆放发现一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4、河边、鱼塘边、山边、闲置地等垃圾收集与保洁同步，根据垃圾量而定，所收集垃圾必须运到指定垃圾站（点）或收集车辆配合落实无缝接运，不得随意堆放</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河边、鱼塘边、山边、闲置地等垃圾收集与保洁不同步的扣0.5分；所收集垃圾无运到指定垃圾站（点）或无收集车辆配合落实无缝接运的扣0.5分；扣完为止.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六、垃圾收集清运(15分)</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5、按指定户数、指定路线、指定的单位、厂企、桶装收集的店铺指定收集点每天至少上门收集垃圾一次，落实无缝接运，不得擅自设点及随意堆放</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无按指定户数、指定路线、指定的单位、厂企、店铺上门收集垃圾的一次扣0.5分；无特殊情况出现漏收的一次扣1分；擅自设点及随意堆放发现一处扣0.5分；扣完为止.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6、根据道路的宽度配备垃圾收集车辆，旧村按要求配置小型密闭自御垃圾收集车，车辆技术指标必须满足垃圾收集站收运设施正常使用的要求,禁止使用未报批的其他收集车辆</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旧村等狭窄道路无配备小型密闭垃圾收集机动车辆的扣0.5分，使用未报批的其他收集车辆的扣0.5分；扣完为止.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7、取得IC卡的垃圾运输车辆按指定路线运往镇指定转运站卸倒垃圾，入站后要服从站内工作人员的交通引导、安全卸载等指挥工作，不得随意偷倒</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取得IC卡的垃圾运输车辆不按指定路线运往镇指定转运站卸倒垃圾的一次扣0.5分，入站后不听指挥随意偷倒的扣0.5分；扣完为止.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8、禁止分拣垃圾，所有垃圾运输车辆加装密闭装置，全程密闭运输，车容整洁,外观无堆挂杂物,运输过程中垃圾不得扬、洒、拖挂，不得乱倒、乱卸、乱抛，不得有污水滴漏，以免造成二次污染</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有分拣垃圾现象的一次扣0.5分；全程输无密闭运输的，如后置式压缩车后盖打开行驶等，发现一次扣1分；车容不整洁,车身空隙塞有杂物或外观有堆挂杂物的一次扣0.5分；运输过程中垃圾存在扬、洒、拖挂，有污水滴漏的一次扣0.5分；发现乱倒、乱卸的一次扣.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9、保洁产生的垃圾要及时通过流动机械收集车或清洁工人通过手推车收集到附近指定转运站或垃圾收集点，落实无缝接运，确保保洁的质量与效率，不得擅自设点，不得裸露堆放</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流动机械收集车或手推车收集的垃圾无运至指定转运站或垃圾收集点的一次扣0.5分；垃圾裸露堆放的一次扣0.5分；扣完为止.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10、垃圾运输车辆只限于收集生活垃圾和固体废弃物，不得收运工业垃圾、渣土余泥、建筑垃圾，不得收运剧毒、易燃易爆、医疗等有危险性的特种垃圾</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垃圾运输车辆只限于收集生活垃圾和固体废弃物，发现收运工业垃圾、渣土余泥、建筑垃圾及剧毒、易燃易爆、医疗等有危险性的特种垃圾的一次扣0.5分；扣完为止.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11、密闭压缩式垃圾运输车收集垃圾时,必须严格遵守交通规则，亮警示灯,礼让行车，注意行人的安全，不得防碍交通；在辅道两旁沿路收集垃圾,出现的洒、漏垃圾要即时清理干净</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收集垃圾时,无亮警示灯,不礼让行车，不注意行人安全，防碍交通，违反交通规则的一次扣0.5分；收集垃圾时，出现洒、漏垃圾无即时清理干净的一次扣0.5分；扣完为止.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12、要求手推车、三轮车等垃圾收集专用车车辆性能良好，统一标识，外观无缺损、编号牌清晰，有密封设备且封盖严密，车容整洁，无残留垃圾、无陈旧积泥、无滋生蝇蛆</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手推车、三轮车等垃圾收集专用车性能差，无统一标识，外观缺损、编号牌不清晰的扣0.5分；无密封设备且封盖不严密的扣0.5分；有残留垃圾、陈旧积泥、滋生蝇蛆的扣0.5分；扣完为止.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13、安全、文明作业，尽量减少噪音扰民、防碍交通现象，禁止乱停乱放、随车配备清扫工具乱摆放，未按指定地点倾倒垃圾</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无安全、文明作业，有噪音扰民和防碍交通现象的扣0.5分；乱停乱放、清扫工具乱摆放的扣0.5分；未按指定地点倾倒垃圾的扣0.5分；扣完为止.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14、作业结束后必须及时把车辆、作业工具擦洗干净，并按指定位置停放好</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作业结束后无及时把车辆、作业工具擦洗干净的扣0.5分；无按指定位置停放好的扣0.5分；扣完为止.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七、公厕管理(5分)</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1、从7:00-23:00配专人全时段看管、保洁,不得离岗,厕所免费开放,公示投诉电话</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在规定时间无专人看管、保洁的扣0.5分；厕所有收费的扣0.5分；无公示投诉电话的扣0.5分；扣完为止.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2、指示牌、标志牌、《公厕服务承诺》、《公厕使用守则》设置规范、明显、完整</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无设置指示牌、标志牌、《公厕服务承诺》、《公厕使用守则》的扣0.5分；设置不规范、不明显、不完整扣0.5分；扣完为止.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3、无人为停水情况，保持水龙头和冲水器的出水量充足</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有人为停水情况扣0.1分；水龙头和冲水器的出水量不充足的一个扣0.1分；扣完为止.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0.3</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4、公厕内采光、照明和通风良好，无明显臭味</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公厕内采光、照明不够的一处扣0.1分；不通风，有明显臭味扣0.1分；扣完为止.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5、公厕内地面光洁,无积水</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公厕内地面不光亮洁静的扣0.2分；,有积水的扣0.3分；扣完为止.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6、内墙面、天花板、门窗、隔离板无积灰、污迹、蛛网，无乱涂乱画</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内墙面、天花板、门窗、隔离板有积灰、污迹、蛛网、乱涂乱画的一处扣0.1分；扣完为止.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7、蹲位整洁,大便槽两侧无粪便污物,槽内无积粪,洁净见底</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蹲位不整洁,大便槽两侧有粪便污物,槽内有积粪的一处扣0.1分；扣完为止.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8、下便槽(斗)无水锈、尿垢、垃圾、基本无臭味：沟眼、管道保持畅通</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下便槽(斗)有水锈、尿垢、垃圾、有臭味，沟眼、管道不畅通的一处扣0.1分；扣完为止.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0.3</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9、门窗、照明灯具、洗手器皿、镜子、冲水设备等完好，无积灰、污物</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门窗、照明灯具、洗手器皿、镜子、冲水设备等不完好，有积灰、污物的一处扣0.1分；扣完为止.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0.3</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10、公厕外环境整洁,无乱堆杂物,保持工具放置整齐，外墙面整洁</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公厕外环境不整洁,有乱堆杂物,工具放置不整齐，外墙面不整洁的一处扣0.1分；扣完为止.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11、定时喷洒灭蚊蝇、蟑螂药物，有效控制蝇蛆滋生,有真实的喷药时间和数量记录,并提供抽粪记录</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无定时喷洒灭蚊蝇、蟑螂药物，控制蝇蛆滋生,无真实的喷药时间和数量记录的扣0.1分；无提供抽粪记录的扣0.1分；扣完为止.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八、转运站和垃圾房管理 (5分)</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1、禁止使用露天垃圾池用于垃圾收集和转运</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2、使用露天垃圾池用于垃圾收集和转运的扣0.5分</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2、垃圾转运站开放时间为5：30-23：00，有专人管理</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无配专人管理的扣0.25分；开放时间内无人在岗作业的扣0.25分；扣完为止.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3、无积存垃圾，做到日产日清,在规定时间内完成垃圾转运工作，每天冲洗3次，早、午、晚各一次</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有积存垃圾，无做到日产日清的扣0.3分,无在规定时间内完成垃圾转运工作的扣0.3分，每天冲洗不到3次每少一次的扣0.1分；扣完为止.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4、站内及站外周边环境保持清洁干净，不得分拣垃圾，不得存放废旧物品，不得堆放杂物，劳动工具定点有序摆放</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站内及站外清洁不到位扣0.5分；有分拣垃圾现象扣0.3分；存放废旧物品和堆放杂物情况的扣0.3分；劳动工具不定点摆放或乱摆放的扣0.2分；扣完为止.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八、转运站和垃圾房管理(5分)</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5、沟渠畅通，无垃圾积聚、及时排清污水,每天冲洗3次，早、午、晚各一次</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沟渠有垃圾、污水积聚的扣0.3分；排水不畅通的扣0.2分；扣完为止.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6、车辆进出有序，合理安排垃圾安全卸载，不得争先恐后</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车辆进出争先恐后，无合理安排垃圾安全卸载的发现一次扣0.1分；扣完为止.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7、工作人员要熟悉机械、安全操作，负责管理维护设施完好无缺，每天清运完毕要做好冲洗保洁、性能检查等维护保养工作，确保明天的正常使用</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工作人员不熟悉机械操作安全上岗的扣0.3分；每天清运完毕无做好机械冲洗保洁的扣0.2分；无做好检查维护保养工作，确保明天能正常使用的扣0.1分；扣完为止.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8、当天工作完毕必须把站清理干净，站内外检查一遍后再关门上锁</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工作完毕无把站清理干净的扣0.3分；无做好站内外检查关门上锁的扣0.1分；扣完为止.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九、“牛皮癣”清理(5分)</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1、每天5：00-22：00清洁辖区范围内的乱张贴和乱涂画，根据工作量配足专业的专职人员和专业的清理工具</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没有在每天规定时间内清洁完成辖区范围内的乱张贴和乱涂画的扣0.5分；无根据工作量配足人员和专业的作业工具的扣0.5分；扣完为止.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2、辖区范围内的路面、路缘石、侧石、桥栏、护栏、墙壁、灯箱、灯柱、信号灯、电箱、公交车站、建筑物外墙、内街小巷、门闸、商铺卷闸门、树木、市政公共设施等可视范围内均无“牛皮癣” </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辖区范围可视范围内存在“牛皮癣” ，每发现一处扣0.2分；扣完为止.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3、质量监督员对管辖区域全面巡查，发现有乱张贴、乱涂画的必须在2小时内清理完毕，使其表面干净、整洁</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质量监督员对管辖区域无进行全面质量巡查的扣0.5分；发现乱张贴、乱涂画无在2小时内清理完毕的扣0.5分；扣完为止.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4.文明作业，将对群众的影响降到最低，接到群众投诉或相关单位通报的，必须在要求的时间内整改完毕，并及时回复</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接到投诉和通报，在要求的时间内未整改完毕，并及时回复的一笔扣0.1分；扣完为止.</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5、“牛皮癣”清理作业方法：                                                                               ⑴所有张贴类“牛皮癣”须用“牛皮癣”清理机进行清理；                                                            ⑵镜面墙体如大理石、花岗岩、瓷砖、铝塑板等防水涂料等喷涂类“牛皮癣”，用喷壶装入药剂喷施在字体表面后进行擦洗，直至彻底清除；                                                                                    ⑶粗糙墙体如水泥、石材等喷涂类“牛皮癣”，在清洗不能解决时可调配相同颜色的涂料（或油漆）进行覆盖。</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无按“牛皮癣”清理方法进行清理，造成二次污染或更严重后果的一次扣0.1分；扣完为止.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十、绿化养护(5分)</w:t>
            </w:r>
          </w:p>
        </w:tc>
        <w:tc>
          <w:tcPr>
            <w:tcW w:w="3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① 草坪植物叶片色泽正常,无明显枯黄叶;其它植物新梢枝叶萌发正常,叶片大小、色泽基 本正常,无明显枯枝败叶。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② 乔木树冠基本完整,生长与开花结果正常;分枝基本不影响游览及观景。行道树的倾斜率小于 7%。乔木树杆无铁钉、木板等附着物。确保树木无遮挡交通设施情况。补植乔木必须做好支撑，并根据树木生长情况适时进行“松绑”处理。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③花灌木生长发育基本正常,木本地被覆盖率达 95%以上。</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④ 花坛、花带及绿篱基本无残缺,杂草覆盖率小于 5%,无死株、缺株。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⑤ 造型植物的修剪基本合理。规则式种植的造型植物,形状、体量大致一致;自然式种植的, 形状和体量基本符合设计和景观的要求。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⑥ 藤本植物生长基本正常,开花适时,牵引合理,覆盖率不低于 80%;定期及时修剪、清除、疏删老弱藤蔓。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⑦ 草本花卉基本正常,株型基本完整,开花时覆盖率达到 80%以上,杂草覆盖率小于 5%; 花后需修剪的,基本得到修剪。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⑧ 草坪绿色期不少于 230 天,覆盖率不小于 85%,杂草的覆盖率不超过 5%,草坪表面积水 在雨后24小时内排清。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⑨ 水生植物生长基本正常,开花适时。绿篱生长基本正常,无死株,无明显断垄,无高草杂草,无明显病虫害发生。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⑩病虫害得到控制,被害植株不超过 7%,被害叶片不超过植株叶片总量的 5%。同时使用安全有效方法防治红火蚁。</w:t>
            </w:r>
          </w:p>
        </w:tc>
        <w:tc>
          <w:tcPr>
            <w:tcW w:w="3226"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（1）植株生长不良、长势差，部分树干死亡，扣0.5分/株。植株重度损坏，扣0.3分/株；                      </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3226"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（2）缺乏修剪或修剪不适当，扣0.5分/株；枝叶遮挡交通灯或交通指示牌或路灯的，扣0.5分/株。                                                                             </w:t>
            </w: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3226"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（3）有枯枝、折枝、或棕榈科的干枯叶片未及时清理的，扣0.2分/株。</w:t>
            </w: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3226"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（4）树木根系生长覆盖路面未及时处理的，扣0.2分/处；树池或树池盖损坏、或树池盖不平整影响景观的，扣0.2分/穴。</w:t>
            </w: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3226"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（5）树体腐烂（或开口）部位未及时剔除、消毒、封口处理的，每株扣1.0分。</w:t>
            </w: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3226"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（6）护树设施、景观灯等固定框损坏树干的，扣0.2分/株。</w:t>
            </w: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3226"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（7）死亡、缺株未及时补种的，每处或每平方米扣0.3分；植株老化未及时更换的，每处或每平方米扣0.2分；黄土裸露的，累计每平方米扣0.2分。</w:t>
            </w: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3226"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（8）杂草过多未及时修剪清除的，每平方米扣0.2分。</w:t>
            </w: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3226"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（9）草坪未及时修剪、未正确控制草坪高度及修剪留茬高度的，每平方米扣0.1分，最高扣4分。                                               </w:t>
            </w: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3226"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（10）病虫害控制不及时，对树木叶片危害每株超过10%的，扣0.5分/株；蛀干性害虫危害未处理的扣0.5-1.0分/株；白蚁红火蚁等危害未处理的，视危害程度扣1.0-2.0分/株。</w:t>
            </w: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866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合计总得分（    ）＝总分（100）－合计总扣分（     ）</w:t>
            </w:r>
          </w:p>
        </w:tc>
      </w:tr>
      <w:tr>
        <w:tblPrEx>
          <w:tblCellMar>
            <w:top w:w="0" w:type="dxa"/>
            <w:left w:w="108" w:type="dxa"/>
            <w:bottom w:w="0" w:type="dxa"/>
            <w:right w:w="108" w:type="dxa"/>
          </w:tblCellMar>
        </w:tblPrEx>
        <w:trPr>
          <w:trHeight w:val="23" w:hRule="atLeast"/>
        </w:trPr>
        <w:tc>
          <w:tcPr>
            <w:tcW w:w="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1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22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1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22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1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22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104" w:type="dxa"/>
            <w:gridSpan w:val="2"/>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社区评分卫监签名:</w:t>
            </w:r>
          </w:p>
        </w:tc>
        <w:tc>
          <w:tcPr>
            <w:tcW w:w="3226" w:type="dxa"/>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社区环境办负责人签名(盖章):</w:t>
            </w:r>
          </w:p>
        </w:tc>
        <w:tc>
          <w:tcPr>
            <w:tcW w:w="52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1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22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1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22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1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22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3" w:hRule="atLeast"/>
        </w:trPr>
        <w:tc>
          <w:tcPr>
            <w:tcW w:w="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104" w:type="dxa"/>
            <w:gridSpan w:val="2"/>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市场化公司现场陪同人员签名:</w:t>
            </w:r>
          </w:p>
        </w:tc>
        <w:tc>
          <w:tcPr>
            <w:tcW w:w="3750" w:type="dxa"/>
            <w:gridSpan w:val="2"/>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市场化公司负责人签名(盖章):</w:t>
            </w:r>
          </w:p>
        </w:tc>
        <w:tc>
          <w:tcPr>
            <w:tcW w:w="4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bl>
    <w:p>
      <w:pPr>
        <w:rPr>
          <w:rFonts w:ascii="宋体" w:hAnsi="宋体"/>
          <w:color w:val="auto"/>
          <w:sz w:val="24"/>
          <w:highlight w:val="none"/>
        </w:rPr>
      </w:pPr>
      <w:r>
        <w:rPr>
          <w:rFonts w:ascii="宋体" w:hAnsi="宋体"/>
          <w:color w:val="auto"/>
          <w:sz w:val="24"/>
          <w:highlight w:val="none"/>
        </w:rPr>
        <w:br w:type="page"/>
      </w:r>
    </w:p>
    <w:tbl>
      <w:tblPr>
        <w:tblStyle w:val="18"/>
        <w:tblW w:w="0" w:type="auto"/>
        <w:tblInd w:w="0" w:type="dxa"/>
        <w:tblLayout w:type="autofit"/>
        <w:tblCellMar>
          <w:top w:w="0" w:type="dxa"/>
          <w:left w:w="108" w:type="dxa"/>
          <w:bottom w:w="0" w:type="dxa"/>
          <w:right w:w="108" w:type="dxa"/>
        </w:tblCellMar>
      </w:tblPr>
      <w:tblGrid>
        <w:gridCol w:w="802"/>
        <w:gridCol w:w="432"/>
        <w:gridCol w:w="430"/>
        <w:gridCol w:w="430"/>
        <w:gridCol w:w="424"/>
        <w:gridCol w:w="424"/>
        <w:gridCol w:w="424"/>
        <w:gridCol w:w="424"/>
        <w:gridCol w:w="424"/>
        <w:gridCol w:w="579"/>
        <w:gridCol w:w="657"/>
        <w:gridCol w:w="641"/>
        <w:gridCol w:w="579"/>
        <w:gridCol w:w="579"/>
        <w:gridCol w:w="424"/>
        <w:gridCol w:w="424"/>
        <w:gridCol w:w="425"/>
      </w:tblGrid>
      <w:tr>
        <w:tblPrEx>
          <w:tblCellMar>
            <w:top w:w="0" w:type="dxa"/>
            <w:left w:w="108" w:type="dxa"/>
            <w:bottom w:w="0" w:type="dxa"/>
            <w:right w:w="108" w:type="dxa"/>
          </w:tblCellMar>
        </w:tblPrEx>
        <w:trPr>
          <w:trHeight w:val="480" w:hRule="atLeast"/>
        </w:trPr>
        <w:tc>
          <w:tcPr>
            <w:tcW w:w="0" w:type="auto"/>
            <w:tcBorders>
              <w:top w:val="nil"/>
              <w:left w:val="nil"/>
              <w:bottom w:val="single" w:color="000000" w:sz="4" w:space="0"/>
              <w:right w:val="nil"/>
            </w:tcBorders>
            <w:shd w:val="clear" w:color="auto" w:fill="auto"/>
            <w:noWrap/>
            <w:vAlign w:val="center"/>
          </w:tcPr>
          <w:p>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表1-2</w:t>
            </w:r>
          </w:p>
        </w:tc>
        <w:tc>
          <w:tcPr>
            <w:tcW w:w="0" w:type="auto"/>
            <w:gridSpan w:val="16"/>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长安镇</w:t>
            </w:r>
            <w:r>
              <w:rPr>
                <w:rFonts w:hint="eastAsia" w:ascii="宋体" w:hAnsi="宋体" w:cs="宋体"/>
                <w:b/>
                <w:bCs/>
                <w:color w:val="auto"/>
                <w:kern w:val="0"/>
                <w:szCs w:val="21"/>
                <w:highlight w:val="none"/>
                <w:u w:val="single"/>
                <w:lang w:bidi="ar"/>
              </w:rPr>
              <w:t xml:space="preserve">     </w:t>
            </w:r>
            <w:r>
              <w:rPr>
                <w:rFonts w:hint="eastAsia" w:ascii="宋体" w:hAnsi="宋体" w:cs="宋体"/>
                <w:b/>
                <w:bCs/>
                <w:color w:val="auto"/>
                <w:kern w:val="0"/>
                <w:szCs w:val="21"/>
                <w:highlight w:val="none"/>
                <w:lang w:bidi="ar"/>
              </w:rPr>
              <w:t>社区</w:t>
            </w:r>
            <w:r>
              <w:rPr>
                <w:rFonts w:hint="eastAsia" w:ascii="宋体" w:hAnsi="宋体" w:cs="宋体"/>
                <w:b/>
                <w:bCs/>
                <w:color w:val="auto"/>
                <w:kern w:val="0"/>
                <w:szCs w:val="21"/>
                <w:highlight w:val="none"/>
                <w:u w:val="single"/>
                <w:lang w:bidi="ar"/>
              </w:rPr>
              <w:t>　　</w:t>
            </w:r>
            <w:r>
              <w:rPr>
                <w:rFonts w:hint="eastAsia" w:ascii="宋体" w:hAnsi="宋体" w:cs="宋体"/>
                <w:b/>
                <w:bCs/>
                <w:color w:val="auto"/>
                <w:kern w:val="0"/>
                <w:szCs w:val="21"/>
                <w:highlight w:val="none"/>
                <w:lang w:bidi="ar"/>
              </w:rPr>
              <w:t>月环卫日检计分表</w:t>
            </w:r>
          </w:p>
        </w:tc>
      </w:tr>
      <w:tr>
        <w:tblPrEx>
          <w:tblCellMar>
            <w:top w:w="0" w:type="dxa"/>
            <w:left w:w="108" w:type="dxa"/>
            <w:bottom w:w="0" w:type="dxa"/>
            <w:right w:w="108" w:type="dxa"/>
          </w:tblCellMar>
        </w:tblPrEx>
        <w:trPr>
          <w:trHeight w:val="3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日期</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一队检查评分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二队检查评分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三队检查评分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总平均   得分</w:t>
            </w:r>
          </w:p>
        </w:tc>
      </w:tr>
      <w:tr>
        <w:tblPrEx>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检查路线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上午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下午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晚上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平均 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检查路线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上午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下午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晚上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平均 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检查路线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上午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下午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晚上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平均 得分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总平   均分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0" w:type="auto"/>
            <w:gridSpan w:val="4"/>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社区统计人员签名：</w:t>
            </w: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gridSpan w:val="2"/>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gridSpan w:val="5"/>
            <w:tcBorders>
              <w:top w:val="nil"/>
              <w:left w:val="nil"/>
              <w:bottom w:val="nil"/>
              <w:right w:val="nil"/>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社区环境办负责人签名(盖章):</w:t>
            </w: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0" w:type="auto"/>
            <w:tcBorders>
              <w:top w:val="nil"/>
              <w:left w:val="nil"/>
              <w:bottom w:val="nil"/>
              <w:right w:val="nil"/>
            </w:tcBorders>
            <w:shd w:val="clear" w:color="auto" w:fill="auto"/>
            <w:noWrap/>
            <w:vAlign w:val="center"/>
          </w:tcPr>
          <w:p>
            <w:pPr>
              <w:rPr>
                <w:rFonts w:ascii="宋体" w:hAnsi="宋体" w:cs="宋体"/>
                <w:color w:val="auto"/>
                <w:szCs w:val="21"/>
                <w:highlight w:val="none"/>
              </w:rPr>
            </w:pPr>
          </w:p>
        </w:tc>
      </w:tr>
    </w:tbl>
    <w:p>
      <w:pPr>
        <w:pStyle w:val="3"/>
        <w:pageBreakBefore/>
        <w:rPr>
          <w:rFonts w:hAnsi="宋体" w:cs="宋体"/>
          <w:color w:val="auto"/>
          <w:sz w:val="24"/>
          <w:highlight w:val="none"/>
        </w:rPr>
      </w:pPr>
      <w:r>
        <w:rPr>
          <w:rFonts w:hint="eastAsia" w:hAnsi="宋体" w:cs="宋体"/>
          <w:color w:val="auto"/>
          <w:sz w:val="24"/>
          <w:highlight w:val="none"/>
        </w:rPr>
        <w:t>附件：2、长安镇</w:t>
      </w:r>
      <w:r>
        <w:rPr>
          <w:rFonts w:hint="eastAsia" w:hAnsi="宋体" w:cs="宋体"/>
          <w:color w:val="auto"/>
          <w:sz w:val="24"/>
          <w:highlight w:val="none"/>
          <w:lang w:eastAsia="zh-CN"/>
        </w:rPr>
        <w:t>新民</w:t>
      </w:r>
      <w:r>
        <w:rPr>
          <w:rFonts w:hint="eastAsia" w:hAnsi="宋体" w:cs="宋体"/>
          <w:color w:val="auto"/>
          <w:sz w:val="24"/>
          <w:highlight w:val="none"/>
        </w:rPr>
        <w:t>社区环卫管理架构人员配备评分表（半月检）</w:t>
      </w:r>
    </w:p>
    <w:tbl>
      <w:tblPr>
        <w:tblStyle w:val="18"/>
        <w:tblW w:w="8575" w:type="dxa"/>
        <w:tblInd w:w="0" w:type="dxa"/>
        <w:tblLayout w:type="fixed"/>
        <w:tblCellMar>
          <w:top w:w="0" w:type="dxa"/>
          <w:left w:w="108" w:type="dxa"/>
          <w:bottom w:w="0" w:type="dxa"/>
          <w:right w:w="108" w:type="dxa"/>
        </w:tblCellMar>
      </w:tblPr>
      <w:tblGrid>
        <w:gridCol w:w="292"/>
        <w:gridCol w:w="292"/>
        <w:gridCol w:w="3497"/>
        <w:gridCol w:w="3645"/>
        <w:gridCol w:w="424"/>
        <w:gridCol w:w="425"/>
      </w:tblGrid>
      <w:tr>
        <w:tblPrEx>
          <w:tblCellMar>
            <w:top w:w="0" w:type="dxa"/>
            <w:left w:w="108" w:type="dxa"/>
            <w:bottom w:w="0" w:type="dxa"/>
            <w:right w:w="108" w:type="dxa"/>
          </w:tblCellMar>
        </w:tblPrEx>
        <w:trPr>
          <w:trHeight w:val="390" w:hRule="atLeast"/>
        </w:trPr>
        <w:tc>
          <w:tcPr>
            <w:tcW w:w="584" w:type="dxa"/>
            <w:gridSpan w:val="2"/>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表2</w:t>
            </w:r>
          </w:p>
        </w:tc>
        <w:tc>
          <w:tcPr>
            <w:tcW w:w="7991" w:type="dxa"/>
            <w:gridSpan w:val="4"/>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长安镇</w:t>
            </w:r>
            <w:r>
              <w:rPr>
                <w:rFonts w:hint="eastAsia" w:ascii="宋体" w:hAnsi="宋体" w:cs="宋体"/>
                <w:b/>
                <w:bCs/>
                <w:color w:val="auto"/>
                <w:kern w:val="0"/>
                <w:szCs w:val="21"/>
                <w:highlight w:val="none"/>
                <w:u w:val="single"/>
                <w:lang w:eastAsia="zh-CN" w:bidi="ar"/>
              </w:rPr>
              <w:t>新民</w:t>
            </w:r>
            <w:r>
              <w:rPr>
                <w:rFonts w:hint="eastAsia" w:ascii="宋体" w:hAnsi="宋体" w:cs="宋体"/>
                <w:b/>
                <w:bCs/>
                <w:color w:val="auto"/>
                <w:kern w:val="0"/>
                <w:szCs w:val="21"/>
                <w:highlight w:val="none"/>
                <w:lang w:bidi="ar"/>
              </w:rPr>
              <w:t>社区环卫管理架构人员配备评分表(半月检)</w:t>
            </w:r>
          </w:p>
        </w:tc>
      </w:tr>
      <w:tr>
        <w:tblPrEx>
          <w:tblCellMar>
            <w:top w:w="0" w:type="dxa"/>
            <w:left w:w="108" w:type="dxa"/>
            <w:bottom w:w="0" w:type="dxa"/>
            <w:right w:w="108" w:type="dxa"/>
          </w:tblCellMar>
        </w:tblPrEx>
        <w:trPr>
          <w:trHeight w:val="360" w:hRule="atLeast"/>
        </w:trPr>
        <w:tc>
          <w:tcPr>
            <w:tcW w:w="4081" w:type="dxa"/>
            <w:gridSpan w:val="3"/>
            <w:tcBorders>
              <w:top w:val="nil"/>
              <w:left w:val="nil"/>
              <w:bottom w:val="nil"/>
              <w:right w:val="nil"/>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总分:100分,得分:</w:t>
            </w:r>
          </w:p>
        </w:tc>
        <w:tc>
          <w:tcPr>
            <w:tcW w:w="4494" w:type="dxa"/>
            <w:gridSpan w:val="3"/>
            <w:tcBorders>
              <w:top w:val="nil"/>
              <w:left w:val="nil"/>
              <w:bottom w:val="nil"/>
              <w:right w:val="nil"/>
            </w:tcBorders>
            <w:shd w:val="clear" w:color="auto" w:fill="auto"/>
            <w:vAlign w:val="center"/>
          </w:tcPr>
          <w:p>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评分时间:   年  月   日</w:t>
            </w:r>
          </w:p>
        </w:tc>
      </w:tr>
      <w:tr>
        <w:tblPrEx>
          <w:tblCellMar>
            <w:top w:w="0" w:type="dxa"/>
            <w:left w:w="108" w:type="dxa"/>
            <w:bottom w:w="0" w:type="dxa"/>
            <w:right w:w="108" w:type="dxa"/>
          </w:tblCellMar>
        </w:tblPrEx>
        <w:trPr>
          <w:trHeight w:val="465" w:hRule="atLeast"/>
        </w:trPr>
        <w:tc>
          <w:tcPr>
            <w:tcW w:w="40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现场考核</w:t>
            </w:r>
          </w:p>
        </w:tc>
        <w:tc>
          <w:tcPr>
            <w:tcW w:w="36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扣分办法(提供资料证明)</w:t>
            </w:r>
          </w:p>
        </w:tc>
        <w:tc>
          <w:tcPr>
            <w:tcW w:w="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应得分</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检查扣分</w:t>
            </w:r>
          </w:p>
        </w:tc>
      </w:tr>
      <w:tr>
        <w:tblPrEx>
          <w:tblCellMar>
            <w:top w:w="0" w:type="dxa"/>
            <w:left w:w="108" w:type="dxa"/>
            <w:bottom w:w="0" w:type="dxa"/>
            <w:right w:w="108" w:type="dxa"/>
          </w:tblCellMar>
        </w:tblPrEx>
        <w:trPr>
          <w:trHeight w:val="435" w:hRule="atLeast"/>
        </w:trPr>
        <w:tc>
          <w:tcPr>
            <w:tcW w:w="5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项目内容</w:t>
            </w:r>
          </w:p>
        </w:tc>
        <w:tc>
          <w:tcPr>
            <w:tcW w:w="3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Cs w:val="21"/>
                <w:highlight w:val="none"/>
              </w:rPr>
            </w:pPr>
            <w:r>
              <w:rPr>
                <w:rFonts w:hint="eastAsia" w:ascii="宋体" w:hAnsi="宋体" w:cs="宋体"/>
                <w:color w:val="auto"/>
                <w:kern w:val="0"/>
                <w:szCs w:val="21"/>
                <w:highlight w:val="none"/>
                <w:lang w:bidi="ar"/>
              </w:rPr>
              <w:t>考核标准和依据</w:t>
            </w: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45"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(出现以下未提及事项均参照合同依据的法律法规和办法)</w:t>
            </w: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45" w:hRule="atLeast"/>
        </w:trPr>
        <w:tc>
          <w:tcPr>
            <w:tcW w:w="5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一、管理架构和制度(40分)</w:t>
            </w:r>
          </w:p>
        </w:tc>
        <w:tc>
          <w:tcPr>
            <w:tcW w:w="3497" w:type="dxa"/>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1、具备环卫统筹项目经营范围的营业执照和资质证件</w:t>
            </w:r>
          </w:p>
        </w:tc>
        <w:tc>
          <w:tcPr>
            <w:tcW w:w="3645"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无营业执照和资质证件的扣2分,少一件扣</w:t>
            </w:r>
            <w:r>
              <w:rPr>
                <w:rStyle w:val="49"/>
                <w:rFonts w:hint="default"/>
                <w:color w:val="auto"/>
                <w:sz w:val="21"/>
                <w:szCs w:val="21"/>
                <w:highlight w:val="none"/>
                <w:lang w:bidi="ar"/>
              </w:rPr>
              <w:t>2分；扣完为止.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545"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2、在中标所在地注册成立子公司，已申办营业执照、税务登记证、法人代码证等相关证件，在中标所在地开设了银行帐号，缴纳相关税金</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未在中标所在地注册成立子公司的扣2分；无营业执照、税务登记证、法人代码证等相关证件的扣</w:t>
            </w:r>
            <w:r>
              <w:rPr>
                <w:rStyle w:val="49"/>
                <w:rFonts w:hint="default"/>
                <w:color w:val="auto"/>
                <w:sz w:val="21"/>
                <w:szCs w:val="21"/>
                <w:highlight w:val="none"/>
                <w:lang w:bidi="ar"/>
              </w:rPr>
              <w:t>1分,少一件扣1分；未在中标所在地开设银行帐号的扣1分；无缴纳相关税金的1分；扣完为止.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290"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3、在承包地域范围内设有固定的办公场所和独立管理办公室、员工宿舍和饭堂、停放作业车辆的停车场、摆放作业工具和药物的货仓等；配齐日常的办公用品和设备</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未在承包地域范围内设有管理办公室、员工宿舍和饭堂、停车场、作业工具和药物货仓等的扣2分；无配齐日常的办公用品和设备的扣</w:t>
            </w:r>
            <w:r>
              <w:rPr>
                <w:rStyle w:val="49"/>
                <w:rFonts w:hint="default"/>
                <w:color w:val="auto"/>
                <w:sz w:val="21"/>
                <w:szCs w:val="21"/>
                <w:highlight w:val="none"/>
                <w:lang w:bidi="ar"/>
              </w:rPr>
              <w:t>2分,少一件扣2分；扣完为止.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815"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4、有完善的管理架构，按统筹项目内容分别设立相应的管理部门，各部门、各岗位有明确分工和职责，建立相应职责分工表，及时更新并存档</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未全部按统筹项目内容分别设立相应的管理部门、各部门设立相应的岗位的扣</w:t>
            </w:r>
            <w:r>
              <w:rPr>
                <w:rStyle w:val="49"/>
                <w:rFonts w:hint="default"/>
                <w:color w:val="auto"/>
                <w:sz w:val="21"/>
                <w:szCs w:val="21"/>
                <w:highlight w:val="none"/>
                <w:lang w:bidi="ar"/>
              </w:rPr>
              <w:t>1分，存在部分的扣1分；各部门、各岗位全部未有明确分工和职责的扣1分，存在部分的扣1分；未及时更新存档的扣1分；扣完为止.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750"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5、管理架构图、分工表、管理制度挂墙</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管理架构图片、分工表、管理制度全部或部分无挂墙的扣0.</w:t>
            </w:r>
            <w:r>
              <w:rPr>
                <w:rStyle w:val="49"/>
                <w:rFonts w:hint="default"/>
                <w:color w:val="auto"/>
                <w:sz w:val="21"/>
                <w:szCs w:val="21"/>
                <w:highlight w:val="none"/>
                <w:lang w:bidi="ar"/>
              </w:rPr>
              <w:t>5分.</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260"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6、有完善的管理制度，除国家、省、市相应的法律法规和镇制订的地方政策外，还有结合自己实际情况制订的规范和制度并存档</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除了国家、省、市相应的法律法规和镇制订的地方政策外，无结合自己实际情况制定自己的管理制度并存档的少一个扣0</w:t>
            </w:r>
            <w:r>
              <w:rPr>
                <w:rStyle w:val="49"/>
                <w:rFonts w:hint="default"/>
                <w:color w:val="auto"/>
                <w:sz w:val="21"/>
                <w:szCs w:val="21"/>
                <w:highlight w:val="none"/>
                <w:lang w:bidi="ar"/>
              </w:rPr>
              <w:t>.5分；扣完为止.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545"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制订了工作应急预案，详细说明在出现自然灾害、社区突发事件或遇到重要活动、突击检查、交通事故等情况时的人员分工、应对措施及报送制度等。如遇到突发事件，接到通知后要在20分钟内所有人员全部到位，</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未制定工作应急预案的扣2分；如遇到突发事件等未按制度启动预案的扣</w:t>
            </w:r>
            <w:r>
              <w:rPr>
                <w:rStyle w:val="49"/>
                <w:rFonts w:hint="default"/>
                <w:color w:val="auto"/>
                <w:sz w:val="21"/>
                <w:szCs w:val="21"/>
                <w:highlight w:val="none"/>
                <w:lang w:bidi="ar"/>
              </w:rPr>
              <w:t>2分；接到通知后未在20分钟内所有人员全部到位的扣2分；无在规定时间内处理完的扣2分；扣完为止.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070"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办公场所、员工宿舍、饭堂和货仓等地方要落实防火措施，配足性能良好的消防器材；落实安全用电措施，不得乱拉、乱挂、乱接电线，不使用非生产性大功率的电器，不得超线路负载使用电器；不得存放易燃、易爆、剧毒等危险品，落实相关安全措施</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未在办公场所、员工宿舍、饭堂和货仓等地方落实相关安全措施，</w:t>
            </w:r>
            <w:r>
              <w:rPr>
                <w:rStyle w:val="49"/>
                <w:rFonts w:hint="default"/>
                <w:color w:val="auto"/>
                <w:sz w:val="21"/>
                <w:szCs w:val="21"/>
                <w:highlight w:val="none"/>
                <w:lang w:bidi="ar"/>
              </w:rPr>
              <w:t>配足消防器材的扣0.5分；未落实安全用电措施，存在乱拉、乱挂、乱接电线的扣0.5分；使用非生产性大功率的电器或超线路负载使用电器的扣0.5分；存放易燃、易爆、剧毒等危险品的扣0.5分；扣完为止.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145"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制订安全生产制度，定期对员工进行安全生产教育，落实责任制，落实有关安全措施；明晰各部门各岗位的安全作业规范，要求“安全第一，预防为主”，把安全工作作为搞好生产的前提条件，事先采取确实有效的安全措施，确保生产任务完成。发生安全生产事故的，要即时上报</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未制订安全生产制度的扣2分；</w:t>
            </w:r>
            <w:r>
              <w:rPr>
                <w:rStyle w:val="49"/>
                <w:rFonts w:hint="default"/>
                <w:color w:val="auto"/>
                <w:sz w:val="21"/>
                <w:szCs w:val="21"/>
                <w:highlight w:val="none"/>
                <w:lang w:bidi="ar"/>
              </w:rPr>
              <w:t>无定期对员工进行安全生产教育的扣2分；无落实安全生产责任制的扣2分；无落实有关安全措施的扣4分；无明晰各部门各岗位安全作业规范的扣4分；发生安全生产事故的无即时上报的扣2分；扣完为止.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115" w:hRule="atLeast"/>
        </w:trPr>
        <w:tc>
          <w:tcPr>
            <w:tcW w:w="5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一、管理架构和制度(40分)</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制订培训制度，详细说明培训对象、培训内容、具体要求，培训达到的效果等等。对新入职员工进行岗前培训的内容要包括业务技能、质量标准、操作规程、安全生产、文明行为规范、交通规则、劳动合同法、社会治安条例等；对在岗期间经常出现问题的员工定期举行再培训教育。对每次培训要进行工作记录</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未制订培训制度的扣1分,</w:t>
            </w:r>
            <w:r>
              <w:rPr>
                <w:rStyle w:val="49"/>
                <w:rFonts w:hint="default"/>
                <w:color w:val="auto"/>
                <w:sz w:val="21"/>
                <w:szCs w:val="21"/>
                <w:highlight w:val="none"/>
                <w:lang w:bidi="ar"/>
              </w:rPr>
              <w:t>对新入职员工未进行相关培训的扣1分；对在岗期间经常出现问题的员工无定期举行再培训教育的扣1分；每次培训无进行工作记录的一次扣1分；扣完为止.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145"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制订投诉处理制度，介定通过来访、来信、来电登记转办单或其他部门反映，报刊、电视、网络等媒体曝光，经共同现场核实的都为有效投诉，要求对接到投诉的时间、渠道，被投诉地点、原因，处理的过程、处理结果、回复时间等都有专人负责组织人员处理，并跟踪落实做好记录</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未制订投诉处理制度的扣1分；无按流程安排收到投诉立即处理按时回复的扣1</w:t>
            </w:r>
            <w:r>
              <w:rPr>
                <w:rStyle w:val="49"/>
                <w:rFonts w:hint="default"/>
                <w:color w:val="auto"/>
                <w:sz w:val="21"/>
                <w:szCs w:val="21"/>
                <w:highlight w:val="none"/>
                <w:lang w:bidi="ar"/>
              </w:rPr>
              <w:t>分；无设工作人员专职负责的扣1分；处理投诉后一段时间内无跟踪处理成果的扣1分；未做好相关记录的扣1分；扣完为止.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005"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12、各部门、各岗位、各项工作活动有相应的工作登记记录、图片证明，记录和图片存档</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各部门、各岗位、</w:t>
            </w:r>
            <w:r>
              <w:rPr>
                <w:rStyle w:val="49"/>
                <w:rFonts w:hint="default"/>
                <w:color w:val="auto"/>
                <w:sz w:val="21"/>
                <w:szCs w:val="21"/>
                <w:highlight w:val="none"/>
                <w:lang w:bidi="ar"/>
              </w:rPr>
              <w:t>各项工作活动无登记相应的工作记录、图片证明，记录和图片存档的少一项扣0.5分；扣完为止.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960"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13、填报资料真实、准确、无误，和报送资料一致</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填报的资料存在不真实、不准确情况的扣1分；和报送的资料不一致的一次扣1分；扣完为止.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945"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14、无条件服从监督部门的监管、质量检查、日检评分、依据扣分等工作</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不配合监督部门监管、质量检查、日检评分、依据扣分等工作的一次扣0.5分；扣完为止.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750"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15、无条件配合监督部门要求协助解决的各类问题</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不配合监督部门要求协助解决的各类问题的一次扣0.5分；扣完为止.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260" w:hRule="atLeast"/>
        </w:trPr>
        <w:tc>
          <w:tcPr>
            <w:tcW w:w="5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二、人员配备和资金保障(60分)</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1、岗们人员数量及相应的设施设备配备数量不少于《长安镇各社区环卫统筹人员设备清单》要求的至少配备数量</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岗们人员数量及相应的设施设备配备数量少天《长安镇各社区环卫统筹人员设备清单》要求的至少配备数量，少一人或少一台设备扣12分，扣完为止。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380"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2、生产工人一人一岗且只能服务天本中标区域指定范围，不能出现借用借调其他区域或与其他区域共用等现象</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生产工人一人一岗且只能服务</w:t>
            </w:r>
            <w:r>
              <w:rPr>
                <w:rStyle w:val="49"/>
                <w:rFonts w:hint="default"/>
                <w:color w:val="auto"/>
                <w:sz w:val="21"/>
                <w:szCs w:val="21"/>
                <w:highlight w:val="none"/>
                <w:lang w:bidi="ar"/>
              </w:rPr>
              <w:t>于本中标区域指定范围，出现借用借调其他区域或与其他区域共用等现象，发现一次扣0.5分,扣完为止.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515"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3、在各服务半径范围内的中转站设置人员打卡或清点人数设备，安装摄像头及承担相应安装费用和维护费用（相关打卡设备需符合甲方要求），各服务半径范围内的作业人员每天必须定点打卡</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在各服务半径范围内的中转站设置人员打卡或清点人数设备，安装摄像头及承担相应安装费用和维护费用，一个点扣1分，服务半径范围内的作业人员每天必须定点打卡，少一人扣</w:t>
            </w:r>
            <w:r>
              <w:rPr>
                <w:rStyle w:val="49"/>
                <w:rFonts w:hint="default"/>
                <w:color w:val="auto"/>
                <w:sz w:val="21"/>
                <w:szCs w:val="21"/>
                <w:highlight w:val="none"/>
                <w:lang w:bidi="ar"/>
              </w:rPr>
              <w:t>1分；扣完为止.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590"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4、按职能部门数量分别建立人员名册，名册上要登记入职人员的姓名、性别、身份证号码、本地住址、联系电话号码、职务、工号、工作职责和范围，每本人员名册都相应附上清晰身份证复印件</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未按职能部门数量分别建立人员名册的扣1分；名册上登记的项目不齐或人员漏登记的扣1分；扣完为止.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275" w:hRule="atLeast"/>
        </w:trPr>
        <w:tc>
          <w:tcPr>
            <w:tcW w:w="5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二、人员配备和资金保障(6分)</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5、明确部门分工，按部门职责确定岗位明确人员分工。分别建立部门职责分工表和岗位职责分工表，并注明每个部门、每个岗位的人员名单，做到定员定岗定责</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无建立部门职责分工表和岗位职责分工表的扣1分，</w:t>
            </w:r>
            <w:r>
              <w:rPr>
                <w:rStyle w:val="49"/>
                <w:rFonts w:hint="default"/>
                <w:color w:val="auto"/>
                <w:sz w:val="21"/>
                <w:szCs w:val="21"/>
                <w:highlight w:val="none"/>
                <w:lang w:bidi="ar"/>
              </w:rPr>
              <w:t>无注明每个部门、每个岗位的人员名单，做到定员定岗定责的扣1分，扣完为止。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230"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6、有专业技能的岗位必须持有有效证件上岗，即司机必须持有效的驾驶证上岗，电工必须持有效的电工证上岗</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专业技能的岗位人员不具有相应有效证件的，发现一个扣1分，扣完为止.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425"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7、路面作业人员人均配有一套以上有反光标识的统一工作服，标有服务社区名称、工号和投诉电话，并设有专人负责着装监督。</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路面作业人员无人均配有一套以上有反光标识的统一工作服，工作服无标有服务社区名称、工号和投诉电话的一个扣1分，</w:t>
            </w:r>
            <w:r>
              <w:rPr>
                <w:rStyle w:val="49"/>
                <w:rFonts w:hint="default"/>
                <w:color w:val="auto"/>
                <w:sz w:val="21"/>
                <w:szCs w:val="21"/>
                <w:highlight w:val="none"/>
                <w:lang w:bidi="ar"/>
              </w:rPr>
              <w:t>无设有专人负责着装监督的一个扣1分；扣完为止。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200"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8、严禁弄虚作假，严禁利用工作便利从事超出合同条款的违规行为。各作业部门设立质量监督员全程跟进作业质量，确保达到规范质量标准。</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出现弄虚作假和利用工作便利从事超出合同条款的违规行为的扣1分。各作业部门无设立质量监督员全程跟进作业质量的扣</w:t>
            </w:r>
            <w:r>
              <w:rPr>
                <w:rStyle w:val="49"/>
                <w:rFonts w:hint="default"/>
                <w:color w:val="auto"/>
                <w:sz w:val="21"/>
                <w:szCs w:val="21"/>
                <w:highlight w:val="none"/>
                <w:lang w:bidi="ar"/>
              </w:rPr>
              <w:t>1分，扣完为止。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290"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9、如实做好日常各项工作记录，各类调查、验收表格必须如实填写，各部门要有专人负责监督检查、定期将记录存档。</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无如实做好日常各项工作记录的扣1分，无将各类调查、验收表格如实填写的扣</w:t>
            </w:r>
            <w:r>
              <w:rPr>
                <w:rStyle w:val="49"/>
                <w:rFonts w:hint="default"/>
                <w:color w:val="auto"/>
                <w:sz w:val="21"/>
                <w:szCs w:val="21"/>
                <w:highlight w:val="none"/>
                <w:lang w:bidi="ar"/>
              </w:rPr>
              <w:t>1分，各部门无专人负责监督检查、定期将记录存档的扣1分，扣完为止。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995"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按法律法规和员工签订雇用合同，按劳动法规向工人发放工资、加班费、高温补贴；按时支付员工工资和有关福利待遇；为员工购买社会养老、工伤、医疗、失业、意外等相关保险，为环卫工人、外勤人员投保团体意外保险。</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未按法律法规和员工签定雇佣合同的扣1分；未按劳动法规向工人发放工资、加班费、高温补贴、无按时支付员工工资和有关福利待遇的扣</w:t>
            </w:r>
            <w:r>
              <w:rPr>
                <w:rStyle w:val="49"/>
                <w:rFonts w:hint="default"/>
                <w:color w:val="auto"/>
                <w:sz w:val="21"/>
                <w:szCs w:val="21"/>
                <w:highlight w:val="none"/>
                <w:lang w:bidi="ar"/>
              </w:rPr>
              <w:t>1分；无为员工购买社会养老、工伤、医疗、失业、意外等相关保险，无为环卫工人、外勤人员投保团体意外保险的扣1分；扣完为止.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005" w:hRule="atLeast"/>
        </w:trPr>
        <w:tc>
          <w:tcPr>
            <w:tcW w:w="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11、交齐了履约保证金，在规定期限内及时补足保障资金</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未交齐了履约保证金的扣5分，在规定期限内未及时补足保障资金的扣5分；扣完为止.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90" w:hRule="atLeast"/>
        </w:trPr>
        <w:tc>
          <w:tcPr>
            <w:tcW w:w="40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合  计</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90" w:hRule="atLeast"/>
        </w:trPr>
        <w:tc>
          <w:tcPr>
            <w:tcW w:w="85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合计总得分（  ）＝总分（ 100 ）－合计总扣分（  ）</w:t>
            </w:r>
          </w:p>
        </w:tc>
      </w:tr>
      <w:tr>
        <w:tblPrEx>
          <w:tblCellMar>
            <w:top w:w="0" w:type="dxa"/>
            <w:left w:w="108" w:type="dxa"/>
            <w:bottom w:w="0" w:type="dxa"/>
            <w:right w:w="108" w:type="dxa"/>
          </w:tblCellMar>
        </w:tblPrEx>
        <w:trPr>
          <w:trHeight w:val="480" w:hRule="atLeast"/>
        </w:trPr>
        <w:tc>
          <w:tcPr>
            <w:tcW w:w="29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9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49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4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60" w:hRule="atLeast"/>
        </w:trPr>
        <w:tc>
          <w:tcPr>
            <w:tcW w:w="4081" w:type="dxa"/>
            <w:gridSpan w:val="3"/>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494" w:type="dxa"/>
            <w:gridSpan w:val="3"/>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570" w:hRule="atLeast"/>
        </w:trPr>
        <w:tc>
          <w:tcPr>
            <w:tcW w:w="29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9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49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4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65" w:hRule="atLeast"/>
        </w:trPr>
        <w:tc>
          <w:tcPr>
            <w:tcW w:w="4081" w:type="dxa"/>
            <w:gridSpan w:val="3"/>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社区环境办检查人员签名:</w:t>
            </w:r>
          </w:p>
        </w:tc>
        <w:tc>
          <w:tcPr>
            <w:tcW w:w="4494" w:type="dxa"/>
            <w:gridSpan w:val="3"/>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社区环境办负责人签名(盖章):</w:t>
            </w:r>
          </w:p>
        </w:tc>
      </w:tr>
      <w:tr>
        <w:tblPrEx>
          <w:tblCellMar>
            <w:top w:w="0" w:type="dxa"/>
            <w:left w:w="108" w:type="dxa"/>
            <w:bottom w:w="0" w:type="dxa"/>
            <w:right w:w="108" w:type="dxa"/>
          </w:tblCellMar>
        </w:tblPrEx>
        <w:trPr>
          <w:trHeight w:val="555" w:hRule="atLeast"/>
        </w:trPr>
        <w:tc>
          <w:tcPr>
            <w:tcW w:w="29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9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49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4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810" w:hRule="atLeast"/>
        </w:trPr>
        <w:tc>
          <w:tcPr>
            <w:tcW w:w="4081" w:type="dxa"/>
            <w:gridSpan w:val="3"/>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市场化公司陪检人员签名:</w:t>
            </w:r>
          </w:p>
        </w:tc>
        <w:tc>
          <w:tcPr>
            <w:tcW w:w="4494" w:type="dxa"/>
            <w:gridSpan w:val="3"/>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市场化公司负责人签名(盖章):</w:t>
            </w:r>
          </w:p>
        </w:tc>
      </w:tr>
    </w:tbl>
    <w:p>
      <w:pPr>
        <w:rPr>
          <w:color w:val="auto"/>
          <w:highlight w:val="none"/>
        </w:rPr>
      </w:pPr>
    </w:p>
    <w:p>
      <w:pPr>
        <w:pStyle w:val="3"/>
        <w:pageBreakBefore/>
        <w:rPr>
          <w:rFonts w:hAnsi="宋体" w:cs="宋体"/>
          <w:color w:val="auto"/>
          <w:sz w:val="24"/>
          <w:highlight w:val="none"/>
        </w:rPr>
      </w:pPr>
      <w:r>
        <w:rPr>
          <w:rFonts w:hint="eastAsia" w:hAnsi="宋体" w:cs="宋体"/>
          <w:color w:val="auto"/>
          <w:sz w:val="24"/>
          <w:highlight w:val="none"/>
        </w:rPr>
        <w:t>附件：3、长安镇</w:t>
      </w:r>
      <w:r>
        <w:rPr>
          <w:rFonts w:hint="eastAsia" w:hAnsi="宋体" w:cs="宋体"/>
          <w:color w:val="auto"/>
          <w:sz w:val="24"/>
          <w:highlight w:val="none"/>
          <w:lang w:eastAsia="zh-CN"/>
        </w:rPr>
        <w:t>新民</w:t>
      </w:r>
      <w:r>
        <w:rPr>
          <w:rFonts w:hint="eastAsia" w:hAnsi="宋体" w:cs="宋体"/>
          <w:color w:val="auto"/>
          <w:sz w:val="24"/>
          <w:highlight w:val="none"/>
        </w:rPr>
        <w:t>社区环卫设施设备车辆配备评分表（半月检）</w:t>
      </w:r>
    </w:p>
    <w:tbl>
      <w:tblPr>
        <w:tblStyle w:val="18"/>
        <w:tblW w:w="8613" w:type="dxa"/>
        <w:tblInd w:w="0" w:type="dxa"/>
        <w:tblLayout w:type="fixed"/>
        <w:tblCellMar>
          <w:top w:w="0" w:type="dxa"/>
          <w:left w:w="108" w:type="dxa"/>
          <w:bottom w:w="0" w:type="dxa"/>
          <w:right w:w="108" w:type="dxa"/>
        </w:tblCellMar>
      </w:tblPr>
      <w:tblGrid>
        <w:gridCol w:w="579"/>
        <w:gridCol w:w="236"/>
        <w:gridCol w:w="3564"/>
        <w:gridCol w:w="3388"/>
        <w:gridCol w:w="423"/>
        <w:gridCol w:w="423"/>
      </w:tblGrid>
      <w:tr>
        <w:tblPrEx>
          <w:tblCellMar>
            <w:top w:w="0" w:type="dxa"/>
            <w:left w:w="108" w:type="dxa"/>
            <w:bottom w:w="0" w:type="dxa"/>
            <w:right w:w="108" w:type="dxa"/>
          </w:tblCellMar>
        </w:tblPrEx>
        <w:trPr>
          <w:trHeight w:val="465" w:hRule="atLeast"/>
        </w:trPr>
        <w:tc>
          <w:tcPr>
            <w:tcW w:w="581" w:type="dxa"/>
            <w:tcBorders>
              <w:top w:val="nil"/>
              <w:left w:val="nil"/>
              <w:bottom w:val="nil"/>
              <w:right w:val="nil"/>
            </w:tcBorders>
            <w:shd w:val="clear" w:color="auto" w:fill="auto"/>
            <w:noWrap/>
            <w:vAlign w:val="center"/>
          </w:tcPr>
          <w:p>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表3</w:t>
            </w:r>
          </w:p>
        </w:tc>
        <w:tc>
          <w:tcPr>
            <w:tcW w:w="222" w:type="dxa"/>
            <w:tcBorders>
              <w:top w:val="nil"/>
              <w:left w:val="nil"/>
              <w:bottom w:val="nil"/>
              <w:right w:val="nil"/>
            </w:tcBorders>
            <w:shd w:val="clear" w:color="auto" w:fill="auto"/>
            <w:noWrap/>
            <w:vAlign w:val="center"/>
          </w:tcPr>
          <w:p>
            <w:pPr>
              <w:rPr>
                <w:rFonts w:ascii="宋体" w:hAnsi="宋体" w:cs="宋体"/>
                <w:b/>
                <w:bCs/>
                <w:color w:val="auto"/>
                <w:szCs w:val="21"/>
                <w:highlight w:val="none"/>
              </w:rPr>
            </w:pPr>
          </w:p>
        </w:tc>
        <w:tc>
          <w:tcPr>
            <w:tcW w:w="7810" w:type="dxa"/>
            <w:gridSpan w:val="4"/>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长安镇</w:t>
            </w:r>
            <w:r>
              <w:rPr>
                <w:rFonts w:hint="eastAsia" w:ascii="宋体" w:hAnsi="宋体" w:cs="宋体"/>
                <w:b/>
                <w:bCs/>
                <w:color w:val="auto"/>
                <w:kern w:val="0"/>
                <w:szCs w:val="21"/>
                <w:highlight w:val="none"/>
                <w:u w:val="single"/>
                <w:lang w:eastAsia="zh-CN" w:bidi="ar"/>
              </w:rPr>
              <w:t>新民</w:t>
            </w:r>
            <w:r>
              <w:rPr>
                <w:rFonts w:hint="eastAsia" w:ascii="宋体" w:hAnsi="宋体" w:cs="宋体"/>
                <w:b/>
                <w:bCs/>
                <w:color w:val="auto"/>
                <w:kern w:val="0"/>
                <w:szCs w:val="21"/>
                <w:highlight w:val="none"/>
                <w:lang w:bidi="ar"/>
              </w:rPr>
              <w:t>社区环卫设施设备车辆配备评分表(半月检)</w:t>
            </w:r>
          </w:p>
        </w:tc>
      </w:tr>
      <w:tr>
        <w:tblPrEx>
          <w:tblCellMar>
            <w:top w:w="0" w:type="dxa"/>
            <w:left w:w="108" w:type="dxa"/>
            <w:bottom w:w="0" w:type="dxa"/>
            <w:right w:w="108" w:type="dxa"/>
          </w:tblCellMar>
        </w:tblPrEx>
        <w:trPr>
          <w:trHeight w:val="345" w:hRule="atLeast"/>
        </w:trPr>
        <w:tc>
          <w:tcPr>
            <w:tcW w:w="4373" w:type="dxa"/>
            <w:gridSpan w:val="3"/>
            <w:tcBorders>
              <w:top w:val="nil"/>
              <w:left w:val="nil"/>
              <w:bottom w:val="nil"/>
              <w:right w:val="nil"/>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总分:100分,得分:</w:t>
            </w:r>
          </w:p>
        </w:tc>
        <w:tc>
          <w:tcPr>
            <w:tcW w:w="4240" w:type="dxa"/>
            <w:gridSpan w:val="3"/>
            <w:tcBorders>
              <w:top w:val="nil"/>
              <w:left w:val="nil"/>
              <w:bottom w:val="nil"/>
              <w:right w:val="nil"/>
            </w:tcBorders>
            <w:shd w:val="clear" w:color="auto" w:fill="auto"/>
            <w:vAlign w:val="center"/>
          </w:tcPr>
          <w:p>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评分时间:     年  月   日</w:t>
            </w:r>
          </w:p>
        </w:tc>
      </w:tr>
      <w:tr>
        <w:tblPrEx>
          <w:tblCellMar>
            <w:top w:w="0" w:type="dxa"/>
            <w:left w:w="108" w:type="dxa"/>
            <w:bottom w:w="0" w:type="dxa"/>
            <w:right w:w="108" w:type="dxa"/>
          </w:tblCellMar>
        </w:tblPrEx>
        <w:trPr>
          <w:trHeight w:val="720" w:hRule="atLeast"/>
        </w:trPr>
        <w:tc>
          <w:tcPr>
            <w:tcW w:w="43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现场考核</w:t>
            </w:r>
          </w:p>
        </w:tc>
        <w:tc>
          <w:tcPr>
            <w:tcW w:w="33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扣分办法(检查资料证明)</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应得分</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检查扣分</w:t>
            </w:r>
          </w:p>
        </w:tc>
      </w:tr>
      <w:tr>
        <w:tblPrEx>
          <w:tblCellMar>
            <w:top w:w="0" w:type="dxa"/>
            <w:left w:w="108" w:type="dxa"/>
            <w:bottom w:w="0" w:type="dxa"/>
            <w:right w:w="108" w:type="dxa"/>
          </w:tblCellMar>
        </w:tblPrEx>
        <w:trPr>
          <w:trHeight w:val="465" w:hRule="atLeast"/>
        </w:trPr>
        <w:tc>
          <w:tcPr>
            <w:tcW w:w="8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项目内容</w:t>
            </w:r>
          </w:p>
        </w:tc>
        <w:tc>
          <w:tcPr>
            <w:tcW w:w="3570" w:type="dxa"/>
            <w:tcBorders>
              <w:top w:val="single" w:color="000000" w:sz="4" w:space="0"/>
              <w:left w:val="single" w:color="000000" w:sz="4" w:space="0"/>
              <w:bottom w:val="nil"/>
              <w:right w:val="single" w:color="000000" w:sz="4" w:space="0"/>
            </w:tcBorders>
            <w:shd w:val="clear" w:color="auto" w:fill="auto"/>
            <w:noWrap/>
            <w:vAlign w:val="bottom"/>
          </w:tcPr>
          <w:p>
            <w:pPr>
              <w:widowControl/>
              <w:jc w:val="center"/>
              <w:textAlignment w:val="bottom"/>
              <w:rPr>
                <w:rFonts w:ascii="宋体" w:hAnsi="宋体" w:cs="宋体"/>
                <w:color w:val="auto"/>
                <w:szCs w:val="21"/>
                <w:highlight w:val="none"/>
              </w:rPr>
            </w:pPr>
            <w:r>
              <w:rPr>
                <w:rFonts w:hint="eastAsia" w:ascii="宋体" w:hAnsi="宋体" w:cs="宋体"/>
                <w:color w:val="auto"/>
                <w:kern w:val="0"/>
                <w:szCs w:val="21"/>
                <w:highlight w:val="none"/>
                <w:lang w:bidi="ar"/>
              </w:rPr>
              <w:t>考核标准和依据</w:t>
            </w:r>
          </w:p>
        </w:tc>
        <w:tc>
          <w:tcPr>
            <w:tcW w:w="33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8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357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(出现以下未提及事项均参照合同依据的法律法规和办法)</w:t>
            </w:r>
          </w:p>
        </w:tc>
        <w:tc>
          <w:tcPr>
            <w:tcW w:w="33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62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设施设备车辆配备情况</w:t>
            </w:r>
          </w:p>
        </w:tc>
        <w:tc>
          <w:tcPr>
            <w:tcW w:w="222" w:type="dxa"/>
            <w:tcBorders>
              <w:top w:val="single" w:color="000000" w:sz="4" w:space="0"/>
              <w:left w:val="nil"/>
              <w:bottom w:val="nil"/>
              <w:right w:val="single" w:color="000000" w:sz="4" w:space="0"/>
            </w:tcBorders>
            <w:shd w:val="clear" w:color="auto" w:fill="auto"/>
            <w:textDirection w:val="tbRlV"/>
            <w:vAlign w:val="center"/>
          </w:tcPr>
          <w:p>
            <w:pPr>
              <w:rPr>
                <w:rFonts w:ascii="宋体" w:hAnsi="宋体" w:cs="宋体"/>
                <w:b/>
                <w:bCs/>
                <w:color w:val="auto"/>
                <w:szCs w:val="21"/>
                <w:highlight w:val="none"/>
              </w:rPr>
            </w:pPr>
          </w:p>
        </w:tc>
        <w:tc>
          <w:tcPr>
            <w:tcW w:w="3570" w:type="dxa"/>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1、各部门各岗位使用的办工设备、作业工具、环卫车辆、药物等设施设备要配备足够，车辆和相关设备的配备数以现有数为参考且不少于现有数，能满足相应的作业需求，确保相应的工作质量</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检查登记资料及现场情况，办工设备、作业工具、环卫车辆、药物等设施设备全部未配备足够的扣10分,每缺少一件设施设备设的扣2分；扣完为止.</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02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222" w:type="dxa"/>
            <w:tcBorders>
              <w:top w:val="nil"/>
              <w:left w:val="nil"/>
              <w:bottom w:val="nil"/>
              <w:right w:val="single" w:color="000000" w:sz="4" w:space="0"/>
            </w:tcBorders>
            <w:shd w:val="clear" w:color="auto" w:fill="auto"/>
            <w:textDirection w:val="tbRlV"/>
            <w:vAlign w:val="center"/>
          </w:tcPr>
          <w:p>
            <w:pPr>
              <w:rPr>
                <w:rFonts w:ascii="宋体" w:hAnsi="宋体" w:cs="宋体"/>
                <w:b/>
                <w:bCs/>
                <w:color w:val="auto"/>
                <w:szCs w:val="21"/>
                <w:highlight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2、所有设施设备的配置不得低于标书所列明的标准</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已购买的施设备的配置低于标书所列明的标准的发现一种设施或设备的扣2分；扣完为止。</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515"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222" w:type="dxa"/>
            <w:tcBorders>
              <w:top w:val="nil"/>
              <w:left w:val="nil"/>
              <w:bottom w:val="nil"/>
              <w:right w:val="single" w:color="000000" w:sz="4" w:space="0"/>
            </w:tcBorders>
            <w:shd w:val="clear" w:color="auto" w:fill="auto"/>
            <w:textDirection w:val="tbRlV"/>
            <w:vAlign w:val="center"/>
          </w:tcPr>
          <w:p>
            <w:pPr>
              <w:rPr>
                <w:rFonts w:ascii="宋体" w:hAnsi="宋体" w:cs="宋体"/>
                <w:b/>
                <w:bCs/>
                <w:color w:val="auto"/>
                <w:szCs w:val="21"/>
                <w:highlight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3、设施设备是全新购买，以中标日期后购买的设施设备为有效；环卫车辆等设备登记的所有人和地址是在东莞市长安镇注册成立的子公司名称和地址</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检查相关证明资料，存在全部或部分设施设备不是全新购买的扣2分；不是中标日期后购买的扣2分；环卫车辆等设备登记的所有人和地址不是在东莞市长安镇注册成立的子公司名称和地址的扣5分；扣完为止.</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29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222" w:type="dxa"/>
            <w:tcBorders>
              <w:top w:val="nil"/>
              <w:left w:val="nil"/>
              <w:bottom w:val="nil"/>
              <w:right w:val="single" w:color="000000" w:sz="4" w:space="0"/>
            </w:tcBorders>
            <w:shd w:val="clear" w:color="auto" w:fill="auto"/>
            <w:textDirection w:val="tbRlV"/>
            <w:vAlign w:val="center"/>
          </w:tcPr>
          <w:p>
            <w:pPr>
              <w:rPr>
                <w:rFonts w:ascii="宋体" w:hAnsi="宋体" w:cs="宋体"/>
                <w:b/>
                <w:bCs/>
                <w:color w:val="auto"/>
                <w:szCs w:val="21"/>
                <w:highlight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4、标书配备的设施设备只服务于本中标区域指定范围，不能借用借调给中标区域外的其他区域或与中标区域外的其他区域共用</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存在全部或部分的设施设备不是服务于本中标区域指定范围的扣10分；借用借调给中标区域外的其他区域或与中标区域外的其他区域共用的扣10分；扣完为止.</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355"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222" w:type="dxa"/>
            <w:tcBorders>
              <w:top w:val="nil"/>
              <w:left w:val="nil"/>
              <w:bottom w:val="nil"/>
              <w:right w:val="single" w:color="000000" w:sz="4" w:space="0"/>
            </w:tcBorders>
            <w:shd w:val="clear" w:color="auto" w:fill="auto"/>
            <w:textDirection w:val="tbRlV"/>
            <w:vAlign w:val="center"/>
          </w:tcPr>
          <w:p>
            <w:pPr>
              <w:rPr>
                <w:rFonts w:ascii="宋体" w:hAnsi="宋体" w:cs="宋体"/>
                <w:b/>
                <w:bCs/>
                <w:color w:val="auto"/>
                <w:szCs w:val="21"/>
                <w:highlight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定期召开车辆安全例会,落实《环卫车辆驾驶员安全管理制度》,做到"管理有规范,维护有周期,检查有标准,安全有体系",坚持每周对车辆的紧固、润滑、卫生、电器等进行检查,发现隐患及时进行修理，每天作业完毕在设定的地点对车辆进行清洗干净和检查，确保明天的正常使用；并登记相关检查清洗记录</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没有定期召开车辆安全例会的扣1分,每天作业完毕没有在设定的地点对车辆进行清洗干净和检查的扣2分,无登记相关检查清洗记录的扣2分；扣完为止.</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305"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222" w:type="dxa"/>
            <w:tcBorders>
              <w:top w:val="nil"/>
              <w:left w:val="nil"/>
              <w:bottom w:val="nil"/>
              <w:right w:val="single" w:color="000000" w:sz="4" w:space="0"/>
            </w:tcBorders>
            <w:shd w:val="clear" w:color="auto" w:fill="auto"/>
            <w:textDirection w:val="tbRlV"/>
            <w:vAlign w:val="center"/>
          </w:tcPr>
          <w:p>
            <w:pPr>
              <w:rPr>
                <w:rFonts w:ascii="宋体" w:hAnsi="宋体" w:cs="宋体"/>
                <w:b/>
                <w:bCs/>
                <w:color w:val="auto"/>
                <w:szCs w:val="21"/>
                <w:highlight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6、每月至少一次组织司机学习《道路交通管理法》，强化安全意识，利用电视录像，典型事故案例分析或请交警同志讲课等形式，对驾驶员进行教育；并登记相关记录</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没有每月组织司机学习,强化安全意识的扣1分；没有登记学习内容、参加人员等相关资料的每次扣1分；扣完为止.</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98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222" w:type="dxa"/>
            <w:tcBorders>
              <w:top w:val="nil"/>
              <w:left w:val="nil"/>
              <w:bottom w:val="nil"/>
              <w:right w:val="single" w:color="000000" w:sz="4" w:space="0"/>
            </w:tcBorders>
            <w:shd w:val="clear" w:color="auto" w:fill="auto"/>
            <w:textDirection w:val="tbRlV"/>
            <w:vAlign w:val="center"/>
          </w:tcPr>
          <w:p>
            <w:pPr>
              <w:rPr>
                <w:rFonts w:ascii="宋体" w:hAnsi="宋体" w:cs="宋体"/>
                <w:b/>
                <w:bCs/>
                <w:color w:val="auto"/>
                <w:szCs w:val="21"/>
                <w:highlight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7、所有车辆行驶必须严格遵守交通规则，按标准要求贴上荧光标识；车身标明社区名称、车（压缩箱）编号、投诉电话及宣传标语，没报批存档的车辆不得使用</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车辆登记资料及图册，车辆存在违反交通规则情况的一车扣1分；没有按标准要求贴上荧光标识的一车扣1分；车身没有标明社区名称、车（压缩箱）编号、投诉电话及宣传标语的一车扣1分；使用没有报批车辆的一车扣1分；扣完为止.</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025"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222" w:type="dxa"/>
            <w:tcBorders>
              <w:top w:val="nil"/>
              <w:left w:val="nil"/>
              <w:bottom w:val="nil"/>
              <w:right w:val="single" w:color="000000" w:sz="4" w:space="0"/>
            </w:tcBorders>
            <w:shd w:val="clear" w:color="auto" w:fill="auto"/>
            <w:textDirection w:val="tbRlV"/>
            <w:vAlign w:val="center"/>
          </w:tcPr>
          <w:p>
            <w:pPr>
              <w:rPr>
                <w:rFonts w:ascii="宋体" w:hAnsi="宋体" w:cs="宋体"/>
                <w:b/>
                <w:bCs/>
                <w:color w:val="auto"/>
                <w:szCs w:val="21"/>
                <w:highlight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所有车辆密闭性良好，车身无脏物、无污水滴漏、、车容整洁、车况良好;车身无破损、锈迹，定期检修刷漆翻新，有胶条封边的手推车及三轮车至少三个月更换胶条一次，垃圾运输车至少半年更换胶条一次，扫路车等其他车辆至少一年更换胶条一次。以上内容要有相关记录</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车辆外观及资料，发现车身附有脏物、车容不整洁、密闭性差、散发臭味、污水滴漏等情况的一辆车扣5分；车况差、车身破损、有锈迹、无定期检修刷漆翻新无相关记录的一次扣5分，各类车辆无按要求定期更换接口胶条并无相关记录的一次扣5分；扣完为止.</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20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设备车辆配备情况</w:t>
            </w:r>
          </w:p>
        </w:tc>
        <w:tc>
          <w:tcPr>
            <w:tcW w:w="222" w:type="dxa"/>
            <w:tcBorders>
              <w:top w:val="nil"/>
              <w:left w:val="nil"/>
              <w:bottom w:val="nil"/>
              <w:right w:val="single" w:color="000000" w:sz="4" w:space="0"/>
            </w:tcBorders>
            <w:shd w:val="clear" w:color="auto" w:fill="auto"/>
            <w:textDirection w:val="tbRlV"/>
            <w:vAlign w:val="center"/>
          </w:tcPr>
          <w:p>
            <w:pPr>
              <w:rPr>
                <w:rFonts w:ascii="宋体" w:hAnsi="宋体" w:cs="宋体"/>
                <w:b/>
                <w:bCs/>
                <w:color w:val="auto"/>
                <w:szCs w:val="21"/>
                <w:highlight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9、所有机动车辆安装GPS定位跟踪动态监控系统，与联网系统接轨；在中标地域范围内按指定路线行驶</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存在全部或部分车辆没有安装GPS定位跟踪动态监控系统的扣3分；没有在中标地域范围内按指定路线行驶的扣2分；扣完为止.</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35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222" w:type="dxa"/>
            <w:tcBorders>
              <w:top w:val="nil"/>
              <w:left w:val="nil"/>
              <w:bottom w:val="nil"/>
              <w:right w:val="single" w:color="000000" w:sz="4" w:space="0"/>
            </w:tcBorders>
            <w:shd w:val="clear" w:color="auto" w:fill="auto"/>
            <w:textDirection w:val="tbRlV"/>
            <w:vAlign w:val="center"/>
          </w:tcPr>
          <w:p>
            <w:pPr>
              <w:rPr>
                <w:rFonts w:ascii="宋体" w:hAnsi="宋体" w:cs="宋体"/>
                <w:b/>
                <w:bCs/>
                <w:color w:val="auto"/>
                <w:szCs w:val="21"/>
                <w:highlight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10、对所有进入镇垃圾转运站倾倒垃圾的垃圾运输车辆安装入站IC卡（一个车牌号码对应一张IC卡），未取得核发IC卡的车辆不允许进入站内</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存在全部或部分进入镇垃圾转运站的垃圾运输车辆没有安装入站IC卡的扣5分；未取得核发IC卡的车辆未经审批闯入站内的扣5分；扣完为止.</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305"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222" w:type="dxa"/>
            <w:tcBorders>
              <w:top w:val="nil"/>
              <w:left w:val="nil"/>
              <w:bottom w:val="nil"/>
              <w:right w:val="single" w:color="000000" w:sz="4" w:space="0"/>
            </w:tcBorders>
            <w:shd w:val="clear" w:color="auto" w:fill="auto"/>
            <w:textDirection w:val="tbRlV"/>
            <w:vAlign w:val="center"/>
          </w:tcPr>
          <w:p>
            <w:pPr>
              <w:rPr>
                <w:rFonts w:ascii="宋体" w:hAnsi="宋体" w:cs="宋体"/>
                <w:b/>
                <w:bCs/>
                <w:color w:val="auto"/>
                <w:szCs w:val="21"/>
                <w:highlight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11、垃圾称磅单设专人统一收集，次日及时送社区指定人员留存，协助镇和社区做好垃圾清运管理工作，在规定时间内完成垃圾量数据核对工作</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没设专人统一收集垃圾称磅单的扣2分；次日没有及时送社区指定人员留存，影响社区没在规定时间内完成垃圾量数据核对的扣5分；扣完为止.</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245"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222" w:type="dxa"/>
            <w:tcBorders>
              <w:top w:val="nil"/>
              <w:left w:val="nil"/>
              <w:bottom w:val="nil"/>
              <w:right w:val="single" w:color="000000" w:sz="4" w:space="0"/>
            </w:tcBorders>
            <w:shd w:val="clear" w:color="auto" w:fill="auto"/>
            <w:textDirection w:val="tbRlV"/>
            <w:vAlign w:val="center"/>
          </w:tcPr>
          <w:p>
            <w:pPr>
              <w:rPr>
                <w:rFonts w:ascii="宋体" w:hAnsi="宋体" w:cs="宋体"/>
                <w:b/>
                <w:bCs/>
                <w:color w:val="auto"/>
                <w:szCs w:val="21"/>
                <w:highlight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12、做好车辆备案，按职能部门分别设立环卫设施设备资产登记本，按要求拍照存档，设专人管理</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没有做好车辆备案的扣2分；没有按职能部门分别设立环卫设施设备资产登记本的扣2分，没有设专人管理的扣2分；扣完为止.</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945"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222" w:type="dxa"/>
            <w:tcBorders>
              <w:top w:val="nil"/>
              <w:left w:val="nil"/>
              <w:bottom w:val="nil"/>
              <w:right w:val="single" w:color="000000" w:sz="4" w:space="0"/>
            </w:tcBorders>
            <w:shd w:val="clear" w:color="auto" w:fill="auto"/>
            <w:textDirection w:val="tbRlV"/>
            <w:vAlign w:val="center"/>
          </w:tcPr>
          <w:p>
            <w:pPr>
              <w:rPr>
                <w:rFonts w:ascii="宋体" w:hAnsi="宋体" w:cs="宋体"/>
                <w:b/>
                <w:bCs/>
                <w:color w:val="auto"/>
                <w:szCs w:val="21"/>
                <w:highlight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13、环卫机动车辆要证照齐全，按期办理保险、年审缴费等相关手续</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环卫机动车辆要证照不全的扣2分；没有按期办理保险、年审缴费等相关手续的扣2分；扣完为止.</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915"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222" w:type="dxa"/>
            <w:tcBorders>
              <w:top w:val="nil"/>
              <w:left w:val="nil"/>
              <w:bottom w:val="nil"/>
              <w:right w:val="single" w:color="000000" w:sz="4" w:space="0"/>
            </w:tcBorders>
            <w:shd w:val="clear" w:color="auto" w:fill="auto"/>
            <w:textDirection w:val="tbRlV"/>
            <w:vAlign w:val="center"/>
          </w:tcPr>
          <w:p>
            <w:pPr>
              <w:rPr>
                <w:rFonts w:ascii="宋体" w:hAnsi="宋体" w:cs="宋体"/>
                <w:b/>
                <w:bCs/>
                <w:color w:val="auto"/>
                <w:szCs w:val="21"/>
                <w:highlight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14、上门收集、清运垃圾要按指定用户名单、上门收集次数、指定桶数收集、并按指定运输路线行驶</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上门收集、清运垃圾没有按指定用户名单、上门收集次数、指定桶数收集、无按指定运输路线行驶的发现一次扣2分，扣完为止.</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305"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b/>
                <w:bCs/>
                <w:color w:val="auto"/>
                <w:szCs w:val="21"/>
                <w:highlight w:val="none"/>
              </w:rPr>
            </w:pPr>
          </w:p>
        </w:tc>
        <w:tc>
          <w:tcPr>
            <w:tcW w:w="222" w:type="dxa"/>
            <w:tcBorders>
              <w:top w:val="nil"/>
              <w:left w:val="nil"/>
              <w:bottom w:val="nil"/>
              <w:right w:val="single" w:color="000000" w:sz="4" w:space="0"/>
            </w:tcBorders>
            <w:shd w:val="clear" w:color="auto" w:fill="auto"/>
            <w:textDirection w:val="tbRlV"/>
            <w:vAlign w:val="center"/>
          </w:tcPr>
          <w:p>
            <w:pPr>
              <w:rPr>
                <w:rFonts w:ascii="宋体" w:hAnsi="宋体" w:cs="宋体"/>
                <w:b/>
                <w:bCs/>
                <w:color w:val="auto"/>
                <w:szCs w:val="21"/>
                <w:highlight w:val="none"/>
              </w:rPr>
            </w:pPr>
          </w:p>
        </w:tc>
        <w:tc>
          <w:tcPr>
            <w:tcW w:w="3570"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15、垃圾桶、果皮箱等设备的数量不变（以移交数量为准），从承包后第二年开始每年更新数量不少于移交数量的20%，完好率不得低于98%，有相关的清洁工作记录</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垃圾桶、果皮箱数量每减少一只扣1分；无按时间要求及时更新的扣1分，完好率低于98%的扣1分,无清洁记录的少一次扣1分；扣完为止.</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3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合  计</w:t>
            </w:r>
          </w:p>
        </w:tc>
        <w:tc>
          <w:tcPr>
            <w:tcW w:w="3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6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合计总得分（   ）＝总分（ 100 ）－合计总扣分（   ）</w:t>
            </w:r>
          </w:p>
        </w:tc>
      </w:tr>
      <w:tr>
        <w:tblPrEx>
          <w:tblCellMar>
            <w:top w:w="0" w:type="dxa"/>
            <w:left w:w="108" w:type="dxa"/>
            <w:bottom w:w="0" w:type="dxa"/>
            <w:right w:w="108" w:type="dxa"/>
          </w:tblCellMar>
        </w:tblPrEx>
        <w:trPr>
          <w:trHeight w:val="510" w:hRule="atLeast"/>
        </w:trPr>
        <w:tc>
          <w:tcPr>
            <w:tcW w:w="58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2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57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3"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3"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810" w:hRule="atLeast"/>
        </w:trPr>
        <w:tc>
          <w:tcPr>
            <w:tcW w:w="58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2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57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3"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3"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4373" w:type="dxa"/>
            <w:gridSpan w:val="3"/>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社区环境办检查人员签名:</w:t>
            </w:r>
          </w:p>
        </w:tc>
        <w:tc>
          <w:tcPr>
            <w:tcW w:w="4240" w:type="dxa"/>
            <w:gridSpan w:val="3"/>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社区环境办负责人签名(盖章):</w:t>
            </w:r>
          </w:p>
        </w:tc>
      </w:tr>
      <w:tr>
        <w:tblPrEx>
          <w:tblCellMar>
            <w:top w:w="0" w:type="dxa"/>
            <w:left w:w="108" w:type="dxa"/>
            <w:bottom w:w="0" w:type="dxa"/>
            <w:right w:w="108" w:type="dxa"/>
          </w:tblCellMar>
        </w:tblPrEx>
        <w:trPr>
          <w:trHeight w:val="885" w:hRule="atLeast"/>
        </w:trPr>
        <w:tc>
          <w:tcPr>
            <w:tcW w:w="58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2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57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394"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3"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3"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05" w:hRule="atLeast"/>
        </w:trPr>
        <w:tc>
          <w:tcPr>
            <w:tcW w:w="4373" w:type="dxa"/>
            <w:gridSpan w:val="3"/>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市场化公司陪检人员签名:</w:t>
            </w:r>
          </w:p>
        </w:tc>
        <w:tc>
          <w:tcPr>
            <w:tcW w:w="4240" w:type="dxa"/>
            <w:gridSpan w:val="3"/>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市场化公司负责人签名(盖章):</w:t>
            </w:r>
          </w:p>
        </w:tc>
      </w:tr>
    </w:tbl>
    <w:p>
      <w:pPr>
        <w:pStyle w:val="2"/>
        <w:tabs>
          <w:tab w:val="left" w:pos="567"/>
        </w:tabs>
        <w:spacing w:line="360" w:lineRule="auto"/>
        <w:rPr>
          <w:color w:val="auto"/>
          <w:highlight w:val="none"/>
        </w:rPr>
      </w:pPr>
    </w:p>
    <w:p>
      <w:pPr>
        <w:pStyle w:val="3"/>
        <w:pageBreakBefore/>
        <w:rPr>
          <w:rFonts w:hAnsi="宋体" w:cs="宋体"/>
          <w:color w:val="auto"/>
          <w:sz w:val="24"/>
          <w:highlight w:val="none"/>
        </w:rPr>
      </w:pPr>
      <w:r>
        <w:rPr>
          <w:rFonts w:hint="eastAsia" w:hAnsi="宋体" w:cs="宋体"/>
          <w:color w:val="auto"/>
          <w:sz w:val="24"/>
          <w:highlight w:val="none"/>
        </w:rPr>
        <w:t>附件：4、长安镇</w:t>
      </w:r>
      <w:r>
        <w:rPr>
          <w:rFonts w:hint="eastAsia" w:hAnsi="宋体" w:cs="宋体"/>
          <w:color w:val="auto"/>
          <w:sz w:val="24"/>
          <w:highlight w:val="none"/>
          <w:lang w:eastAsia="zh-CN"/>
        </w:rPr>
        <w:t>新民</w:t>
      </w:r>
      <w:r>
        <w:rPr>
          <w:rFonts w:hint="eastAsia" w:hAnsi="宋体" w:cs="宋体"/>
          <w:color w:val="auto"/>
          <w:sz w:val="24"/>
          <w:highlight w:val="none"/>
        </w:rPr>
        <w:t>社区环卫月考核检查评分表</w:t>
      </w:r>
    </w:p>
    <w:tbl>
      <w:tblPr>
        <w:tblStyle w:val="18"/>
        <w:tblW w:w="0" w:type="auto"/>
        <w:tblInd w:w="0" w:type="dxa"/>
        <w:tblLayout w:type="fixed"/>
        <w:tblCellMar>
          <w:top w:w="0" w:type="dxa"/>
          <w:left w:w="108" w:type="dxa"/>
          <w:bottom w:w="0" w:type="dxa"/>
          <w:right w:w="108" w:type="dxa"/>
        </w:tblCellMar>
      </w:tblPr>
      <w:tblGrid>
        <w:gridCol w:w="888"/>
        <w:gridCol w:w="4797"/>
        <w:gridCol w:w="1970"/>
        <w:gridCol w:w="432"/>
        <w:gridCol w:w="429"/>
      </w:tblGrid>
      <w:tr>
        <w:trPr>
          <w:trHeight w:val="525" w:hRule="atLeast"/>
        </w:trPr>
        <w:tc>
          <w:tcPr>
            <w:tcW w:w="8516" w:type="dxa"/>
            <w:gridSpan w:val="5"/>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长安镇环卫月考核现场检查评分表</w:t>
            </w:r>
          </w:p>
        </w:tc>
      </w:tr>
      <w:tr>
        <w:tblPrEx>
          <w:tblCellMar>
            <w:top w:w="0" w:type="dxa"/>
            <w:left w:w="108" w:type="dxa"/>
            <w:bottom w:w="0" w:type="dxa"/>
            <w:right w:w="108" w:type="dxa"/>
          </w:tblCellMar>
        </w:tblPrEx>
        <w:trPr>
          <w:trHeight w:val="465" w:hRule="atLeast"/>
        </w:trPr>
        <w:tc>
          <w:tcPr>
            <w:tcW w:w="888" w:type="dxa"/>
            <w:tcBorders>
              <w:top w:val="nil"/>
              <w:left w:val="nil"/>
              <w:bottom w:val="nil"/>
              <w:right w:val="nil"/>
            </w:tcBorders>
            <w:shd w:val="clear" w:color="auto" w:fill="auto"/>
            <w:noWrap/>
            <w:vAlign w:val="center"/>
          </w:tcPr>
          <w:p>
            <w:pPr>
              <w:rPr>
                <w:rFonts w:ascii="宋体" w:hAnsi="宋体" w:cs="宋体"/>
                <w:b/>
                <w:bCs/>
                <w:color w:val="auto"/>
                <w:szCs w:val="21"/>
                <w:highlight w:val="none"/>
              </w:rPr>
            </w:pPr>
          </w:p>
        </w:tc>
        <w:tc>
          <w:tcPr>
            <w:tcW w:w="7199" w:type="dxa"/>
            <w:gridSpan w:val="3"/>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auto"/>
                <w:szCs w:val="21"/>
                <w:highlight w:val="none"/>
              </w:rPr>
            </w:pPr>
            <w:r>
              <w:rPr>
                <w:rStyle w:val="50"/>
                <w:rFonts w:hint="eastAsia" w:ascii="宋体" w:hAnsi="宋体" w:eastAsia="宋体" w:cs="宋体"/>
                <w:color w:val="auto"/>
                <w:sz w:val="21"/>
                <w:szCs w:val="21"/>
                <w:highlight w:val="none"/>
                <w:lang w:bidi="ar"/>
              </w:rPr>
              <w:t xml:space="preserve">     </w:t>
            </w:r>
            <w:r>
              <w:rPr>
                <w:rFonts w:hint="eastAsia" w:ascii="宋体" w:hAnsi="宋体" w:cs="宋体"/>
                <w:b/>
                <w:bCs/>
                <w:color w:val="auto"/>
                <w:kern w:val="0"/>
                <w:szCs w:val="21"/>
                <w:highlight w:val="none"/>
                <w:lang w:bidi="ar"/>
              </w:rPr>
              <w:t>社区</w:t>
            </w:r>
            <w:r>
              <w:rPr>
                <w:rStyle w:val="50"/>
                <w:rFonts w:hint="eastAsia" w:ascii="宋体" w:hAnsi="宋体" w:eastAsia="宋体" w:cs="宋体"/>
                <w:color w:val="auto"/>
                <w:sz w:val="21"/>
                <w:szCs w:val="21"/>
                <w:highlight w:val="none"/>
                <w:lang w:bidi="ar"/>
              </w:rPr>
              <w:t xml:space="preserve">     </w:t>
            </w:r>
            <w:r>
              <w:rPr>
                <w:rFonts w:hint="eastAsia" w:ascii="宋体" w:hAnsi="宋体" w:cs="宋体"/>
                <w:b/>
                <w:bCs/>
                <w:color w:val="auto"/>
                <w:kern w:val="0"/>
                <w:szCs w:val="21"/>
                <w:highlight w:val="none"/>
                <w:lang w:bidi="ar"/>
              </w:rPr>
              <w:t>年</w:t>
            </w:r>
            <w:r>
              <w:rPr>
                <w:rStyle w:val="50"/>
                <w:rFonts w:hint="eastAsia" w:ascii="宋体" w:hAnsi="宋体" w:eastAsia="宋体" w:cs="宋体"/>
                <w:color w:val="auto"/>
                <w:sz w:val="21"/>
                <w:szCs w:val="21"/>
                <w:highlight w:val="none"/>
                <w:lang w:bidi="ar"/>
              </w:rPr>
              <w:t xml:space="preserve">   </w:t>
            </w:r>
            <w:r>
              <w:rPr>
                <w:rFonts w:hint="eastAsia" w:ascii="宋体" w:hAnsi="宋体" w:cs="宋体"/>
                <w:b/>
                <w:bCs/>
                <w:color w:val="auto"/>
                <w:kern w:val="0"/>
                <w:szCs w:val="21"/>
                <w:highlight w:val="none"/>
                <w:lang w:bidi="ar"/>
              </w:rPr>
              <w:t>月</w:t>
            </w:r>
          </w:p>
        </w:tc>
        <w:tc>
          <w:tcPr>
            <w:tcW w:w="429" w:type="dxa"/>
            <w:tcBorders>
              <w:top w:val="nil"/>
              <w:left w:val="nil"/>
              <w:bottom w:val="nil"/>
              <w:right w:val="nil"/>
            </w:tcBorders>
            <w:shd w:val="clear" w:color="auto" w:fill="auto"/>
            <w:noWrap/>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360" w:hRule="atLeast"/>
        </w:trPr>
        <w:tc>
          <w:tcPr>
            <w:tcW w:w="5685" w:type="dxa"/>
            <w:gridSpan w:val="2"/>
            <w:tcBorders>
              <w:top w:val="nil"/>
              <w:left w:val="nil"/>
              <w:bottom w:val="single" w:color="000000" w:sz="4" w:space="0"/>
              <w:right w:val="nil"/>
            </w:tcBorders>
            <w:shd w:val="clear" w:color="auto" w:fill="auto"/>
            <w:noWrap/>
            <w:vAlign w:val="center"/>
          </w:tcPr>
          <w:p>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总分100分</w:t>
            </w:r>
          </w:p>
        </w:tc>
        <w:tc>
          <w:tcPr>
            <w:tcW w:w="2831" w:type="dxa"/>
            <w:gridSpan w:val="3"/>
            <w:tcBorders>
              <w:top w:val="nil"/>
              <w:left w:val="nil"/>
              <w:bottom w:val="single" w:color="000000" w:sz="4" w:space="0"/>
              <w:right w:val="nil"/>
            </w:tcBorders>
            <w:shd w:val="clear" w:color="auto" w:fill="auto"/>
            <w:noWrap/>
            <w:vAlign w:val="center"/>
          </w:tcPr>
          <w:p>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年  月  日</w:t>
            </w:r>
          </w:p>
        </w:tc>
      </w:tr>
      <w:tr>
        <w:tblPrEx>
          <w:tblCellMar>
            <w:top w:w="0" w:type="dxa"/>
            <w:left w:w="108" w:type="dxa"/>
            <w:bottom w:w="0" w:type="dxa"/>
            <w:right w:w="108" w:type="dxa"/>
          </w:tblCellMar>
        </w:tblPrEx>
        <w:trPr>
          <w:trHeight w:val="312"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检查   项目</w:t>
            </w:r>
          </w:p>
        </w:tc>
        <w:tc>
          <w:tcPr>
            <w:tcW w:w="4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检查标准</w:t>
            </w:r>
          </w:p>
        </w:tc>
        <w:tc>
          <w:tcPr>
            <w:tcW w:w="1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地点</w:t>
            </w:r>
          </w:p>
        </w:tc>
        <w:tc>
          <w:tcPr>
            <w:tcW w:w="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扣分项目</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r>
      <w:tr>
        <w:tblPrEx>
          <w:tblCellMar>
            <w:top w:w="0" w:type="dxa"/>
            <w:left w:w="108" w:type="dxa"/>
            <w:bottom w:w="0" w:type="dxa"/>
            <w:right w:w="108" w:type="dxa"/>
          </w:tblCellMar>
        </w:tblPrEx>
        <w:trPr>
          <w:trHeight w:val="465"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restart"/>
            <w:tcBorders>
              <w:top w:val="single" w:color="000000" w:sz="4" w:space="0"/>
              <w:left w:val="single" w:color="000000" w:sz="4" w:space="0"/>
              <w:bottom w:val="nil"/>
              <w:right w:val="nil"/>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1、清扫保洁情况  (30分）</w:t>
            </w:r>
          </w:p>
        </w:tc>
        <w:tc>
          <w:tcPr>
            <w:tcW w:w="4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 xml:space="preserve">（1）道路、公共场所早上七点前未完成普扫；                                          （2）未及时进行旧村、河塘河涌水面、绿化带、建筑外立面保洁；                                                             （3）使用露天垃圾池；                        （4）使用竹箩、非密闭垃圾收集容器，垃圾桶、果皮箱、收集箱摆放不整齐，外观脏乱差；         </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（5）排水井口、井盖无及时清理周边垃圾</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 xml:space="preserve">（6）未按规定上门收集垃圾的。                （7）存在生活垃圾和建筑垃圾堆积、卫生死角；    </w:t>
            </w:r>
            <w:r>
              <w:rPr>
                <w:rFonts w:hint="eastAsia" w:ascii="宋体" w:hAnsi="宋体" w:cs="宋体"/>
                <w:b/>
                <w:bCs/>
                <w:color w:val="auto"/>
                <w:kern w:val="0"/>
                <w:szCs w:val="21"/>
                <w:highlight w:val="none"/>
                <w:lang w:bidi="ar"/>
              </w:rPr>
              <w:br w:type="textWrapping"/>
            </w:r>
            <w:r>
              <w:rPr>
                <w:rStyle w:val="51"/>
                <w:rFonts w:hint="eastAsia" w:ascii="宋体" w:hAnsi="宋体" w:eastAsia="宋体" w:cs="宋体"/>
                <w:color w:val="auto"/>
                <w:sz w:val="21"/>
                <w:szCs w:val="21"/>
                <w:highlight w:val="none"/>
                <w:lang w:bidi="ar"/>
              </w:rPr>
              <w:t>现场发现以上情况，每例扣</w:t>
            </w:r>
            <w:r>
              <w:rPr>
                <w:rStyle w:val="52"/>
                <w:rFonts w:hint="eastAsia" w:ascii="宋体" w:hAnsi="宋体" w:eastAsia="宋体" w:cs="宋体"/>
                <w:color w:val="auto"/>
                <w:sz w:val="21"/>
                <w:szCs w:val="21"/>
                <w:highlight w:val="none"/>
                <w:lang w:bidi="ar"/>
              </w:rPr>
              <w:t>1</w:t>
            </w:r>
            <w:r>
              <w:rPr>
                <w:rStyle w:val="51"/>
                <w:rFonts w:hint="eastAsia" w:ascii="宋体" w:hAnsi="宋体" w:eastAsia="宋体" w:cs="宋体"/>
                <w:color w:val="auto"/>
                <w:sz w:val="21"/>
                <w:szCs w:val="21"/>
                <w:highlight w:val="none"/>
                <w:lang w:bidi="ar"/>
              </w:rPr>
              <w:t>分，共发现 （ ）例，扣完此项分为止。</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nil"/>
              <w:right w:val="nil"/>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nil"/>
              <w:right w:val="nil"/>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nil"/>
              <w:right w:val="nil"/>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nil"/>
              <w:right w:val="nil"/>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50" w:hRule="atLeast"/>
        </w:trPr>
        <w:tc>
          <w:tcPr>
            <w:tcW w:w="888" w:type="dxa"/>
            <w:vMerge w:val="continue"/>
            <w:tcBorders>
              <w:top w:val="single" w:color="000000" w:sz="4" w:space="0"/>
              <w:left w:val="single" w:color="000000" w:sz="4" w:space="0"/>
              <w:bottom w:val="nil"/>
              <w:right w:val="nil"/>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restart"/>
            <w:tcBorders>
              <w:top w:val="single" w:color="000000" w:sz="4" w:space="0"/>
              <w:left w:val="single" w:color="000000" w:sz="4" w:space="0"/>
              <w:bottom w:val="nil"/>
              <w:right w:val="nil"/>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2、环卫作业情况  (10分）</w:t>
            </w:r>
          </w:p>
        </w:tc>
        <w:tc>
          <w:tcPr>
            <w:tcW w:w="4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 xml:space="preserve">（1）垃圾运输车、环卫手推车未密闭；               </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 xml:space="preserve">（2）环卫作业车辆车容不整，外观脏乱差，有污水滴漏、垃圾抛洒等现象；       </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 xml:space="preserve">（3）环卫工人作业未穿着环卫反光衣。 </w:t>
            </w:r>
            <w:r>
              <w:rPr>
                <w:rFonts w:hint="eastAsia" w:ascii="宋体" w:hAnsi="宋体" w:cs="宋体"/>
                <w:b/>
                <w:bCs/>
                <w:color w:val="auto"/>
                <w:kern w:val="0"/>
                <w:szCs w:val="21"/>
                <w:highlight w:val="none"/>
                <w:lang w:bidi="ar"/>
              </w:rPr>
              <w:br w:type="textWrapping"/>
            </w:r>
            <w:r>
              <w:rPr>
                <w:rStyle w:val="51"/>
                <w:rFonts w:hint="eastAsia" w:ascii="宋体" w:hAnsi="宋体" w:eastAsia="宋体" w:cs="宋体"/>
                <w:color w:val="auto"/>
                <w:sz w:val="21"/>
                <w:szCs w:val="21"/>
                <w:highlight w:val="none"/>
                <w:lang w:bidi="ar"/>
              </w:rPr>
              <w:t>现场发现以上情况，每例扣</w:t>
            </w:r>
            <w:r>
              <w:rPr>
                <w:rStyle w:val="52"/>
                <w:rFonts w:hint="eastAsia" w:ascii="宋体" w:hAnsi="宋体" w:eastAsia="宋体" w:cs="宋体"/>
                <w:color w:val="auto"/>
                <w:sz w:val="21"/>
                <w:szCs w:val="21"/>
                <w:highlight w:val="none"/>
                <w:lang w:bidi="ar"/>
              </w:rPr>
              <w:t>1</w:t>
            </w:r>
            <w:r>
              <w:rPr>
                <w:rStyle w:val="51"/>
                <w:rFonts w:hint="eastAsia" w:ascii="宋体" w:hAnsi="宋体" w:eastAsia="宋体" w:cs="宋体"/>
                <w:color w:val="auto"/>
                <w:sz w:val="21"/>
                <w:szCs w:val="21"/>
                <w:highlight w:val="none"/>
                <w:lang w:bidi="ar"/>
              </w:rPr>
              <w:t>分，共发现  （ ）例，扣完此项分为止</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nil"/>
              <w:right w:val="nil"/>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nil"/>
              <w:right w:val="nil"/>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nil"/>
              <w:right w:val="nil"/>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 xml:space="preserve"> 3、“三边”（路边、山边、水边）情况      (10分)</w:t>
            </w:r>
          </w:p>
        </w:tc>
        <w:tc>
          <w:tcPr>
            <w:tcW w:w="479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（1）“三边”（路边、山边、水边）积存垃圾未清理；</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（2）“三边”（路边、山边、水边）堆放淤泥渣土；</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（3）“三边”（路边、山边、水边）有焚烧生活垃圾现象；</w:t>
            </w:r>
            <w:r>
              <w:rPr>
                <w:rFonts w:hint="eastAsia" w:ascii="宋体" w:hAnsi="宋体" w:cs="宋体"/>
                <w:b/>
                <w:bCs/>
                <w:color w:val="auto"/>
                <w:kern w:val="0"/>
                <w:szCs w:val="21"/>
                <w:highlight w:val="none"/>
                <w:lang w:bidi="ar"/>
              </w:rPr>
              <w:br w:type="textWrapping"/>
            </w:r>
            <w:r>
              <w:rPr>
                <w:rStyle w:val="51"/>
                <w:rFonts w:hint="eastAsia" w:ascii="宋体" w:hAnsi="宋体" w:eastAsia="宋体" w:cs="宋体"/>
                <w:color w:val="auto"/>
                <w:sz w:val="21"/>
                <w:szCs w:val="21"/>
                <w:highlight w:val="none"/>
                <w:lang w:bidi="ar"/>
              </w:rPr>
              <w:t>现场发现以上情况，每例扣1分,共发现(    )处，扣完此项分止。</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 xml:space="preserve">4、垃圾桶（箱）的配备及保洁工作（10分) </w:t>
            </w:r>
          </w:p>
        </w:tc>
        <w:tc>
          <w:tcPr>
            <w:tcW w:w="4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 xml:space="preserve"> 商业、金融街道每50-100m设置一个；主干路、次干路、有辅道的快速路每100-200m设置一个；支路、有人行道的快速路每200-400m设置一个；①垃圾桶（箱）残破；</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②垃圾桶（箱）表面有明显的污迹；</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 xml:space="preserve">③未按标准配置垃圾桶（箱） </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④周边环境“脏乱差”。</w:t>
            </w:r>
            <w:r>
              <w:rPr>
                <w:rFonts w:hint="eastAsia" w:ascii="宋体" w:hAnsi="宋体" w:cs="宋体"/>
                <w:b/>
                <w:bCs/>
                <w:color w:val="auto"/>
                <w:kern w:val="0"/>
                <w:szCs w:val="21"/>
                <w:highlight w:val="none"/>
                <w:lang w:bidi="ar"/>
              </w:rPr>
              <w:br w:type="textWrapping"/>
            </w:r>
            <w:r>
              <w:rPr>
                <w:rStyle w:val="51"/>
                <w:rFonts w:hint="eastAsia" w:ascii="宋体" w:hAnsi="宋体" w:eastAsia="宋体" w:cs="宋体"/>
                <w:color w:val="auto"/>
                <w:sz w:val="21"/>
                <w:szCs w:val="21"/>
                <w:highlight w:val="none"/>
                <w:lang w:bidi="ar"/>
              </w:rPr>
              <w:t>现场发现以上情况，每例扣1分,共发现(    )处，扣完此项分止。</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5、公厕管理情况(10分）</w:t>
            </w:r>
          </w:p>
        </w:tc>
        <w:tc>
          <w:tcPr>
            <w:tcW w:w="479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 xml:space="preserve">（1）公共厕所内有异味；                            （2）显眼位置未设置统一编号、标识；                                              （3）设备有损坏；                              （4）无管理人员在岗保洁、管理；    </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（5）公厕不开放使用；　　　　　　　　　　　　　（6）公厕存在收费现象。</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 xml:space="preserve">（7） 辖区内所属公厕未达到国家二类标准。                      </w:t>
            </w:r>
            <w:r>
              <w:rPr>
                <w:rStyle w:val="51"/>
                <w:rFonts w:hint="eastAsia" w:ascii="宋体" w:hAnsi="宋体" w:eastAsia="宋体" w:cs="宋体"/>
                <w:color w:val="auto"/>
                <w:sz w:val="21"/>
                <w:szCs w:val="21"/>
                <w:highlight w:val="none"/>
                <w:lang w:bidi="ar"/>
              </w:rPr>
              <w:t>现场发现以上情况，每例扣</w:t>
            </w:r>
            <w:r>
              <w:rPr>
                <w:rStyle w:val="52"/>
                <w:rFonts w:hint="eastAsia" w:ascii="宋体" w:hAnsi="宋体" w:eastAsia="宋体" w:cs="宋体"/>
                <w:color w:val="auto"/>
                <w:sz w:val="21"/>
                <w:szCs w:val="21"/>
                <w:highlight w:val="none"/>
                <w:lang w:bidi="ar"/>
              </w:rPr>
              <w:t>1</w:t>
            </w:r>
            <w:r>
              <w:rPr>
                <w:rStyle w:val="51"/>
                <w:rFonts w:hint="eastAsia" w:ascii="宋体" w:hAnsi="宋体" w:eastAsia="宋体" w:cs="宋体"/>
                <w:color w:val="auto"/>
                <w:sz w:val="21"/>
                <w:szCs w:val="21"/>
                <w:highlight w:val="none"/>
                <w:lang w:bidi="ar"/>
              </w:rPr>
              <w:t>分，共发现（ ）例，扣完此项分为止</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10" w:hRule="atLeast"/>
        </w:trPr>
        <w:tc>
          <w:tcPr>
            <w:tcW w:w="88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6、转运站管理情况(5分）</w:t>
            </w:r>
          </w:p>
        </w:tc>
        <w:tc>
          <w:tcPr>
            <w:tcW w:w="4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 xml:space="preserve">（1）转运站内有异味；                           （2）无统一编号和规章制度；                            （3）设备未密闭，存在露天垃圾池；                             </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（4）无管理人员在岗保洁、管理；                    （5）周边环境“脏乱差”；</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 xml:space="preserve">（6） 垃圾转运站（含收集点）无配备水电。                            </w:t>
            </w:r>
            <w:r>
              <w:rPr>
                <w:rStyle w:val="51"/>
                <w:rFonts w:hint="eastAsia" w:ascii="宋体" w:hAnsi="宋体" w:eastAsia="宋体" w:cs="宋体"/>
                <w:color w:val="auto"/>
                <w:sz w:val="21"/>
                <w:szCs w:val="21"/>
                <w:highlight w:val="none"/>
                <w:lang w:bidi="ar"/>
              </w:rPr>
              <w:t xml:space="preserve">现场发现以上情况，每例扣1分，共发现（ ）例，扣完此项分为止。           </w:t>
            </w:r>
            <w:r>
              <w:rPr>
                <w:rStyle w:val="52"/>
                <w:rFonts w:hint="eastAsia" w:ascii="宋体" w:hAnsi="宋体" w:eastAsia="宋体" w:cs="宋体"/>
                <w:color w:val="auto"/>
                <w:sz w:val="21"/>
                <w:szCs w:val="21"/>
                <w:highlight w:val="none"/>
                <w:lang w:bidi="ar"/>
              </w:rPr>
              <w:t xml:space="preserve">              </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nil"/>
              <w:left w:val="nil"/>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 xml:space="preserve">7、“牛皮癣”管理情况（15分）   </w:t>
            </w:r>
            <w:r>
              <w:rPr>
                <w:rStyle w:val="53"/>
                <w:rFonts w:hint="default" w:ascii="宋体" w:eastAsia="宋体" w:cs="宋体"/>
                <w:color w:val="auto"/>
                <w:sz w:val="21"/>
                <w:szCs w:val="21"/>
                <w:highlight w:val="none"/>
                <w:lang w:bidi="ar"/>
              </w:rPr>
              <w:t xml:space="preserve">                                                 </w:t>
            </w:r>
          </w:p>
        </w:tc>
        <w:tc>
          <w:tcPr>
            <w:tcW w:w="4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路面、市政设施、灯箱、灯柱、电箱、护栏、墙壁、公交车站、内街小巷、商铺卷闸门等可视范围内有“牛皮癣”的。</w:t>
            </w:r>
            <w:r>
              <w:rPr>
                <w:rStyle w:val="51"/>
                <w:rFonts w:hint="eastAsia" w:ascii="宋体" w:hAnsi="宋体" w:eastAsia="宋体" w:cs="宋体"/>
                <w:color w:val="auto"/>
                <w:sz w:val="21"/>
                <w:szCs w:val="21"/>
                <w:highlight w:val="none"/>
                <w:lang w:bidi="ar"/>
              </w:rPr>
              <w:br w:type="textWrapping"/>
            </w:r>
            <w:r>
              <w:rPr>
                <w:rStyle w:val="51"/>
                <w:rFonts w:hint="eastAsia" w:ascii="宋体" w:hAnsi="宋体" w:eastAsia="宋体" w:cs="宋体"/>
                <w:color w:val="auto"/>
                <w:sz w:val="21"/>
                <w:szCs w:val="21"/>
                <w:highlight w:val="none"/>
                <w:lang w:bidi="ar"/>
              </w:rPr>
              <w:t>现场发现以上情况，每例扣</w:t>
            </w:r>
            <w:r>
              <w:rPr>
                <w:rStyle w:val="52"/>
                <w:rFonts w:hint="eastAsia" w:ascii="宋体" w:hAnsi="宋体" w:eastAsia="宋体" w:cs="宋体"/>
                <w:color w:val="auto"/>
                <w:sz w:val="21"/>
                <w:szCs w:val="21"/>
                <w:highlight w:val="none"/>
                <w:lang w:bidi="ar"/>
              </w:rPr>
              <w:t>1.5</w:t>
            </w:r>
            <w:r>
              <w:rPr>
                <w:rStyle w:val="51"/>
                <w:rFonts w:hint="eastAsia" w:ascii="宋体" w:hAnsi="宋体" w:eastAsia="宋体" w:cs="宋体"/>
                <w:color w:val="auto"/>
                <w:sz w:val="21"/>
                <w:szCs w:val="21"/>
                <w:highlight w:val="none"/>
                <w:lang w:bidi="ar"/>
              </w:rPr>
              <w:t>分，共发现（  )例，扣完此项分为止。</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8、绿化养护（5分）</w:t>
            </w:r>
          </w:p>
        </w:tc>
        <w:tc>
          <w:tcPr>
            <w:tcW w:w="4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（1）植株生长不良、长势差，部分树干死亡，植株重度损坏。                                                          （2）缺乏修剪或修剪不适当，枝叶遮挡交通灯或交通指示牌或路灯的。</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（3）病虫害控制不及时。</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（4）有枯枝、折枝、或棕榈科的干枯叶片未及时清理的。</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（5）树木根系生长覆盖路面未及时处理的，树池或树池盖损坏、或树池盖不平整影响景观的。</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（6）树体腐烂（或开口）部位未及时剔除、消毒、封口处理的。</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（7）护树设施、景观灯等固定框损坏树干的，残花、枯萎的黄叶和黄蒂（梗）未及时清除，未及时修剪影响景观的。</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（8）死亡、缺株未及时补种的。</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（9）草坪杂草过多又无法净化或草坪衰老，未及时更新或重建的。                                                             （10）草坪未及时修剪、未正确控制草坪高度及修剪留茬高度的。                                                                              （11）黄土裸露的。</w:t>
            </w:r>
            <w:r>
              <w:rPr>
                <w:rFonts w:hint="eastAsia" w:ascii="宋体" w:hAnsi="宋体" w:cs="宋体"/>
                <w:b/>
                <w:bCs/>
                <w:color w:val="auto"/>
                <w:kern w:val="0"/>
                <w:szCs w:val="21"/>
                <w:highlight w:val="none"/>
                <w:lang w:bidi="ar"/>
              </w:rPr>
              <w:br w:type="textWrapping"/>
            </w:r>
            <w:r>
              <w:rPr>
                <w:rStyle w:val="51"/>
                <w:rFonts w:hint="eastAsia" w:ascii="宋体" w:hAnsi="宋体" w:eastAsia="宋体" w:cs="宋体"/>
                <w:color w:val="auto"/>
                <w:sz w:val="21"/>
                <w:szCs w:val="21"/>
                <w:highlight w:val="none"/>
                <w:lang w:bidi="ar"/>
              </w:rPr>
              <w:t>现场发现以上情况，每例扣0.5分，共发现（  )例，扣完此项分为止。</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3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 xml:space="preserve">9、每月重点工作配合（5分） </w:t>
            </w:r>
            <w:r>
              <w:rPr>
                <w:rStyle w:val="53"/>
                <w:rFonts w:hint="default" w:ascii="宋体" w:eastAsia="宋体" w:cs="宋体"/>
                <w:color w:val="auto"/>
                <w:sz w:val="21"/>
                <w:szCs w:val="21"/>
                <w:highlight w:val="none"/>
                <w:lang w:bidi="ar"/>
              </w:rPr>
              <w:t xml:space="preserve">                                                </w:t>
            </w:r>
          </w:p>
        </w:tc>
        <w:tc>
          <w:tcPr>
            <w:tcW w:w="4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（1）每日督导办函整改不到位扣0.5分；                 （2）重点工作督导问题整改不到位，情节严重扣0.5分；                                                                                   （3）重点工作督导问题不整改，情节严重扣1分；</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（4）未按时参加会议的、不按时上报资料的、未经请示同意不参加学习培训的扣1分；</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（5）卫生收费日常工作不配合：如不按规范流程操作，不按时交资料，处理态度恶劣，其他不配合事项等扣1分；</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（6）垃圾处理日常工作不配合：如不按规范流程操作，不按时交资料，处理态度恶劣，其他不配合事项等扣1分。</w:t>
            </w:r>
          </w:p>
        </w:tc>
        <w:tc>
          <w:tcPr>
            <w:tcW w:w="2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2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2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2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2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2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12"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2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50" w:hRule="atLeast"/>
        </w:trPr>
        <w:tc>
          <w:tcPr>
            <w:tcW w:w="5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总合计</w:t>
            </w: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88" w:type="dxa"/>
            <w:tcBorders>
              <w:top w:val="nil"/>
              <w:left w:val="nil"/>
              <w:bottom w:val="nil"/>
              <w:right w:val="nil"/>
            </w:tcBorders>
            <w:shd w:val="clear" w:color="auto" w:fill="auto"/>
            <w:vAlign w:val="center"/>
          </w:tcPr>
          <w:p>
            <w:pPr>
              <w:jc w:val="center"/>
              <w:rPr>
                <w:rFonts w:ascii="宋体" w:hAnsi="宋体" w:cs="宋体"/>
                <w:b/>
                <w:bCs/>
                <w:color w:val="auto"/>
                <w:szCs w:val="21"/>
                <w:highlight w:val="none"/>
              </w:rPr>
            </w:pPr>
          </w:p>
        </w:tc>
        <w:tc>
          <w:tcPr>
            <w:tcW w:w="4797" w:type="dxa"/>
            <w:tcBorders>
              <w:top w:val="nil"/>
              <w:left w:val="nil"/>
              <w:bottom w:val="nil"/>
              <w:right w:val="nil"/>
            </w:tcBorders>
            <w:shd w:val="clear" w:color="auto" w:fill="auto"/>
            <w:vAlign w:val="center"/>
          </w:tcPr>
          <w:p>
            <w:pPr>
              <w:jc w:val="center"/>
              <w:rPr>
                <w:rFonts w:ascii="宋体" w:hAnsi="宋体" w:cs="宋体"/>
                <w:b/>
                <w:bCs/>
                <w:color w:val="auto"/>
                <w:szCs w:val="21"/>
                <w:highlight w:val="none"/>
              </w:rPr>
            </w:pPr>
          </w:p>
        </w:tc>
        <w:tc>
          <w:tcPr>
            <w:tcW w:w="1970" w:type="dxa"/>
            <w:tcBorders>
              <w:top w:val="nil"/>
              <w:left w:val="nil"/>
              <w:bottom w:val="nil"/>
              <w:right w:val="nil"/>
            </w:tcBorders>
            <w:shd w:val="clear" w:color="auto" w:fill="auto"/>
            <w:vAlign w:val="center"/>
          </w:tcPr>
          <w:p>
            <w:pPr>
              <w:rPr>
                <w:rFonts w:ascii="宋体" w:hAnsi="宋体" w:cs="宋体"/>
                <w:color w:val="auto"/>
                <w:szCs w:val="21"/>
                <w:highlight w:val="none"/>
              </w:rPr>
            </w:pPr>
          </w:p>
        </w:tc>
        <w:tc>
          <w:tcPr>
            <w:tcW w:w="432" w:type="dxa"/>
            <w:tcBorders>
              <w:top w:val="nil"/>
              <w:left w:val="nil"/>
              <w:bottom w:val="nil"/>
              <w:right w:val="nil"/>
            </w:tcBorders>
            <w:shd w:val="clear" w:color="auto" w:fill="auto"/>
            <w:vAlign w:val="center"/>
          </w:tcPr>
          <w:p>
            <w:pPr>
              <w:rPr>
                <w:rFonts w:ascii="宋体" w:hAnsi="宋体" w:cs="宋体"/>
                <w:color w:val="auto"/>
                <w:szCs w:val="21"/>
                <w:highlight w:val="none"/>
              </w:rPr>
            </w:pPr>
          </w:p>
        </w:tc>
        <w:tc>
          <w:tcPr>
            <w:tcW w:w="429" w:type="dxa"/>
            <w:tcBorders>
              <w:top w:val="nil"/>
              <w:left w:val="nil"/>
              <w:bottom w:val="nil"/>
              <w:right w:val="nil"/>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90" w:hRule="atLeast"/>
        </w:trPr>
        <w:tc>
          <w:tcPr>
            <w:tcW w:w="5685" w:type="dxa"/>
            <w:gridSpan w:val="2"/>
            <w:tcBorders>
              <w:top w:val="nil"/>
              <w:left w:val="nil"/>
              <w:bottom w:val="nil"/>
              <w:right w:val="nil"/>
            </w:tcBorders>
            <w:shd w:val="clear" w:color="auto" w:fill="auto"/>
            <w:noWrap/>
            <w:vAlign w:val="center"/>
          </w:tcPr>
          <w:p>
            <w:pPr>
              <w:jc w:val="center"/>
              <w:rPr>
                <w:rFonts w:ascii="宋体" w:hAnsi="宋体" w:cs="宋体"/>
                <w:color w:val="auto"/>
                <w:szCs w:val="21"/>
                <w:highlight w:val="none"/>
              </w:rPr>
            </w:pPr>
          </w:p>
        </w:tc>
        <w:tc>
          <w:tcPr>
            <w:tcW w:w="2831" w:type="dxa"/>
            <w:gridSpan w:val="3"/>
            <w:tcBorders>
              <w:top w:val="nil"/>
              <w:left w:val="nil"/>
              <w:bottom w:val="nil"/>
              <w:right w:val="nil"/>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88" w:type="dxa"/>
            <w:tcBorders>
              <w:top w:val="nil"/>
              <w:left w:val="nil"/>
              <w:bottom w:val="nil"/>
              <w:right w:val="nil"/>
            </w:tcBorders>
            <w:shd w:val="clear" w:color="auto" w:fill="auto"/>
            <w:noWrap/>
            <w:vAlign w:val="bottom"/>
          </w:tcPr>
          <w:p>
            <w:pPr>
              <w:rPr>
                <w:rFonts w:ascii="宋体" w:hAnsi="宋体" w:cs="宋体"/>
                <w:color w:val="auto"/>
                <w:szCs w:val="21"/>
                <w:highlight w:val="none"/>
              </w:rPr>
            </w:pPr>
          </w:p>
        </w:tc>
        <w:tc>
          <w:tcPr>
            <w:tcW w:w="4797" w:type="dxa"/>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社区环境办检查人员签名：</w:t>
            </w:r>
          </w:p>
        </w:tc>
        <w:tc>
          <w:tcPr>
            <w:tcW w:w="1970" w:type="dxa"/>
            <w:tcBorders>
              <w:top w:val="nil"/>
              <w:left w:val="nil"/>
              <w:bottom w:val="nil"/>
              <w:right w:val="nil"/>
            </w:tcBorders>
            <w:shd w:val="clear" w:color="auto" w:fill="auto"/>
            <w:noWrap/>
            <w:vAlign w:val="bottom"/>
          </w:tcPr>
          <w:p>
            <w:pPr>
              <w:widowControl/>
              <w:textAlignment w:val="bottom"/>
              <w:rPr>
                <w:rFonts w:ascii="宋体" w:hAnsi="宋体" w:cs="宋体"/>
                <w:color w:val="auto"/>
                <w:szCs w:val="21"/>
                <w:highlight w:val="none"/>
              </w:rPr>
            </w:pPr>
            <w:r>
              <w:rPr>
                <w:rFonts w:hint="eastAsia" w:ascii="宋体" w:hAnsi="宋体" w:cs="宋体"/>
                <w:color w:val="auto"/>
                <w:kern w:val="0"/>
                <w:szCs w:val="21"/>
                <w:highlight w:val="none"/>
                <w:lang w:bidi="ar"/>
              </w:rPr>
              <w:t xml:space="preserve">          市场化检查人员签名：</w:t>
            </w:r>
          </w:p>
        </w:tc>
        <w:tc>
          <w:tcPr>
            <w:tcW w:w="43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9"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88" w:type="dxa"/>
            <w:tcBorders>
              <w:top w:val="nil"/>
              <w:left w:val="nil"/>
              <w:bottom w:val="nil"/>
              <w:right w:val="nil"/>
            </w:tcBorders>
            <w:shd w:val="clear" w:color="auto" w:fill="auto"/>
            <w:noWrap/>
            <w:vAlign w:val="bottom"/>
          </w:tcPr>
          <w:p>
            <w:pPr>
              <w:rPr>
                <w:rFonts w:ascii="宋体" w:hAnsi="宋体" w:cs="宋体"/>
                <w:color w:val="auto"/>
                <w:szCs w:val="21"/>
                <w:highlight w:val="none"/>
              </w:rPr>
            </w:pPr>
          </w:p>
        </w:tc>
        <w:tc>
          <w:tcPr>
            <w:tcW w:w="479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70" w:type="dxa"/>
            <w:tcBorders>
              <w:top w:val="nil"/>
              <w:left w:val="nil"/>
              <w:bottom w:val="nil"/>
              <w:right w:val="nil"/>
            </w:tcBorders>
            <w:shd w:val="clear" w:color="auto" w:fill="auto"/>
            <w:noWrap/>
            <w:vAlign w:val="bottom"/>
          </w:tcPr>
          <w:p>
            <w:pPr>
              <w:rPr>
                <w:rFonts w:ascii="宋体" w:hAnsi="宋体" w:cs="宋体"/>
                <w:color w:val="auto"/>
                <w:szCs w:val="21"/>
                <w:highlight w:val="none"/>
              </w:rPr>
            </w:pPr>
          </w:p>
        </w:tc>
        <w:tc>
          <w:tcPr>
            <w:tcW w:w="432" w:type="dxa"/>
            <w:tcBorders>
              <w:top w:val="nil"/>
              <w:left w:val="nil"/>
              <w:bottom w:val="nil"/>
              <w:right w:val="nil"/>
            </w:tcBorders>
            <w:shd w:val="clear" w:color="auto" w:fill="auto"/>
            <w:noWrap/>
            <w:vAlign w:val="bottom"/>
          </w:tcPr>
          <w:p>
            <w:pPr>
              <w:rPr>
                <w:rFonts w:ascii="宋体" w:hAnsi="宋体" w:cs="宋体"/>
                <w:color w:val="auto"/>
                <w:szCs w:val="21"/>
                <w:highlight w:val="none"/>
              </w:rPr>
            </w:pPr>
          </w:p>
        </w:tc>
        <w:tc>
          <w:tcPr>
            <w:tcW w:w="429" w:type="dxa"/>
            <w:tcBorders>
              <w:top w:val="nil"/>
              <w:left w:val="nil"/>
              <w:bottom w:val="nil"/>
              <w:right w:val="nil"/>
            </w:tcBorders>
            <w:shd w:val="clear" w:color="auto" w:fill="auto"/>
            <w:noWrap/>
            <w:vAlign w:val="bottom"/>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88" w:type="dxa"/>
            <w:tcBorders>
              <w:top w:val="nil"/>
              <w:left w:val="nil"/>
              <w:bottom w:val="nil"/>
              <w:right w:val="nil"/>
            </w:tcBorders>
            <w:shd w:val="clear" w:color="auto" w:fill="auto"/>
            <w:noWrap/>
            <w:vAlign w:val="bottom"/>
          </w:tcPr>
          <w:p>
            <w:pPr>
              <w:rPr>
                <w:rFonts w:ascii="宋体" w:hAnsi="宋体" w:cs="宋体"/>
                <w:color w:val="auto"/>
                <w:szCs w:val="21"/>
                <w:highlight w:val="none"/>
              </w:rPr>
            </w:pPr>
          </w:p>
        </w:tc>
        <w:tc>
          <w:tcPr>
            <w:tcW w:w="479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70" w:type="dxa"/>
            <w:tcBorders>
              <w:top w:val="nil"/>
              <w:left w:val="nil"/>
              <w:bottom w:val="nil"/>
              <w:right w:val="nil"/>
            </w:tcBorders>
            <w:shd w:val="clear" w:color="auto" w:fill="auto"/>
            <w:noWrap/>
            <w:vAlign w:val="bottom"/>
          </w:tcPr>
          <w:p>
            <w:pPr>
              <w:rPr>
                <w:rFonts w:ascii="宋体" w:hAnsi="宋体" w:cs="宋体"/>
                <w:color w:val="auto"/>
                <w:szCs w:val="21"/>
                <w:highlight w:val="none"/>
              </w:rPr>
            </w:pPr>
          </w:p>
        </w:tc>
        <w:tc>
          <w:tcPr>
            <w:tcW w:w="432" w:type="dxa"/>
            <w:tcBorders>
              <w:top w:val="nil"/>
              <w:left w:val="nil"/>
              <w:bottom w:val="nil"/>
              <w:right w:val="nil"/>
            </w:tcBorders>
            <w:shd w:val="clear" w:color="auto" w:fill="auto"/>
            <w:noWrap/>
            <w:vAlign w:val="bottom"/>
          </w:tcPr>
          <w:p>
            <w:pPr>
              <w:rPr>
                <w:rFonts w:ascii="宋体" w:hAnsi="宋体" w:cs="宋体"/>
                <w:color w:val="auto"/>
                <w:szCs w:val="21"/>
                <w:highlight w:val="none"/>
              </w:rPr>
            </w:pPr>
          </w:p>
        </w:tc>
        <w:tc>
          <w:tcPr>
            <w:tcW w:w="429" w:type="dxa"/>
            <w:tcBorders>
              <w:top w:val="nil"/>
              <w:left w:val="nil"/>
              <w:bottom w:val="nil"/>
              <w:right w:val="nil"/>
            </w:tcBorders>
            <w:shd w:val="clear" w:color="auto" w:fill="auto"/>
            <w:noWrap/>
            <w:vAlign w:val="bottom"/>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88" w:type="dxa"/>
            <w:tcBorders>
              <w:top w:val="nil"/>
              <w:left w:val="nil"/>
              <w:bottom w:val="nil"/>
              <w:right w:val="nil"/>
            </w:tcBorders>
            <w:shd w:val="clear" w:color="auto" w:fill="auto"/>
            <w:noWrap/>
            <w:vAlign w:val="bottom"/>
          </w:tcPr>
          <w:p>
            <w:pPr>
              <w:rPr>
                <w:rFonts w:ascii="宋体" w:hAnsi="宋体" w:cs="宋体"/>
                <w:color w:val="auto"/>
                <w:szCs w:val="21"/>
                <w:highlight w:val="none"/>
              </w:rPr>
            </w:pPr>
          </w:p>
        </w:tc>
        <w:tc>
          <w:tcPr>
            <w:tcW w:w="479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70" w:type="dxa"/>
            <w:tcBorders>
              <w:top w:val="nil"/>
              <w:left w:val="nil"/>
              <w:bottom w:val="nil"/>
              <w:right w:val="nil"/>
            </w:tcBorders>
            <w:shd w:val="clear" w:color="auto" w:fill="auto"/>
            <w:noWrap/>
            <w:vAlign w:val="bottom"/>
          </w:tcPr>
          <w:p>
            <w:pPr>
              <w:rPr>
                <w:rFonts w:ascii="宋体" w:hAnsi="宋体" w:cs="宋体"/>
                <w:color w:val="auto"/>
                <w:szCs w:val="21"/>
                <w:highlight w:val="none"/>
              </w:rPr>
            </w:pPr>
          </w:p>
        </w:tc>
        <w:tc>
          <w:tcPr>
            <w:tcW w:w="432" w:type="dxa"/>
            <w:tcBorders>
              <w:top w:val="nil"/>
              <w:left w:val="nil"/>
              <w:bottom w:val="nil"/>
              <w:right w:val="nil"/>
            </w:tcBorders>
            <w:shd w:val="clear" w:color="auto" w:fill="auto"/>
            <w:noWrap/>
            <w:vAlign w:val="bottom"/>
          </w:tcPr>
          <w:p>
            <w:pPr>
              <w:rPr>
                <w:rFonts w:ascii="宋体" w:hAnsi="宋体" w:cs="宋体"/>
                <w:color w:val="auto"/>
                <w:szCs w:val="21"/>
                <w:highlight w:val="none"/>
              </w:rPr>
            </w:pPr>
          </w:p>
        </w:tc>
        <w:tc>
          <w:tcPr>
            <w:tcW w:w="429" w:type="dxa"/>
            <w:tcBorders>
              <w:top w:val="nil"/>
              <w:left w:val="nil"/>
              <w:bottom w:val="nil"/>
              <w:right w:val="nil"/>
            </w:tcBorders>
            <w:shd w:val="clear" w:color="auto" w:fill="auto"/>
            <w:noWrap/>
            <w:vAlign w:val="bottom"/>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915" w:hRule="atLeast"/>
        </w:trPr>
        <w:tc>
          <w:tcPr>
            <w:tcW w:w="888" w:type="dxa"/>
            <w:tcBorders>
              <w:top w:val="nil"/>
              <w:left w:val="nil"/>
              <w:bottom w:val="nil"/>
              <w:right w:val="nil"/>
            </w:tcBorders>
            <w:shd w:val="clear" w:color="auto" w:fill="auto"/>
            <w:noWrap/>
            <w:vAlign w:val="bottom"/>
          </w:tcPr>
          <w:p>
            <w:pPr>
              <w:rPr>
                <w:rFonts w:ascii="宋体" w:hAnsi="宋体" w:cs="宋体"/>
                <w:color w:val="auto"/>
                <w:szCs w:val="21"/>
                <w:highlight w:val="none"/>
              </w:rPr>
            </w:pPr>
          </w:p>
        </w:tc>
        <w:tc>
          <w:tcPr>
            <w:tcW w:w="4797" w:type="dxa"/>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社区环境办主任签名：（盖章）</w:t>
            </w:r>
          </w:p>
        </w:tc>
        <w:tc>
          <w:tcPr>
            <w:tcW w:w="2402" w:type="dxa"/>
            <w:gridSpan w:val="2"/>
            <w:tcBorders>
              <w:top w:val="nil"/>
              <w:left w:val="nil"/>
              <w:bottom w:val="nil"/>
              <w:right w:val="nil"/>
            </w:tcBorders>
            <w:shd w:val="clear" w:color="auto" w:fill="auto"/>
            <w:noWrap/>
            <w:vAlign w:val="center"/>
          </w:tcPr>
          <w:p>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市场化公司负责人签名：（盖章）</w:t>
            </w:r>
          </w:p>
        </w:tc>
        <w:tc>
          <w:tcPr>
            <w:tcW w:w="429" w:type="dxa"/>
            <w:tcBorders>
              <w:top w:val="nil"/>
              <w:left w:val="nil"/>
              <w:bottom w:val="nil"/>
              <w:right w:val="nil"/>
            </w:tcBorders>
            <w:shd w:val="clear" w:color="auto" w:fill="auto"/>
            <w:noWrap/>
            <w:vAlign w:val="bottom"/>
          </w:tcPr>
          <w:p>
            <w:pPr>
              <w:rPr>
                <w:rFonts w:ascii="宋体" w:hAnsi="宋体" w:cs="宋体"/>
                <w:color w:val="auto"/>
                <w:szCs w:val="21"/>
                <w:highlight w:val="none"/>
              </w:rPr>
            </w:pPr>
          </w:p>
        </w:tc>
      </w:tr>
    </w:tbl>
    <w:p>
      <w:pPr>
        <w:spacing w:line="360" w:lineRule="auto"/>
        <w:rPr>
          <w:rFonts w:ascii="宋体" w:hAnsi="宋体" w:cs="宋体"/>
          <w:color w:val="auto"/>
          <w:sz w:val="24"/>
          <w:highlight w:val="none"/>
        </w:rPr>
      </w:pPr>
    </w:p>
    <w:p>
      <w:pPr>
        <w:pStyle w:val="2"/>
        <w:tabs>
          <w:tab w:val="left" w:pos="567"/>
        </w:tabs>
        <w:rPr>
          <w:color w:val="auto"/>
          <w:highlight w:val="none"/>
        </w:rPr>
      </w:pPr>
    </w:p>
    <w:p>
      <w:pPr>
        <w:rPr>
          <w:rFonts w:ascii="宋体" w:hAnsi="宋体" w:cs="宋体"/>
          <w:color w:val="auto"/>
          <w:sz w:val="24"/>
          <w:highlight w:val="none"/>
        </w:rPr>
      </w:pPr>
      <w:r>
        <w:rPr>
          <w:rFonts w:ascii="宋体" w:hAnsi="宋体" w:cs="宋体"/>
          <w:color w:val="auto"/>
          <w:sz w:val="24"/>
          <w:highlight w:val="none"/>
        </w:rPr>
        <w:br w:type="page"/>
      </w:r>
    </w:p>
    <w:tbl>
      <w:tblPr>
        <w:tblStyle w:val="18"/>
        <w:tblW w:w="5000" w:type="pct"/>
        <w:tblInd w:w="0" w:type="dxa"/>
        <w:tblLayout w:type="autofit"/>
        <w:tblCellMar>
          <w:top w:w="0" w:type="dxa"/>
          <w:left w:w="108" w:type="dxa"/>
          <w:bottom w:w="0" w:type="dxa"/>
          <w:right w:w="108" w:type="dxa"/>
        </w:tblCellMar>
      </w:tblPr>
      <w:tblGrid>
        <w:gridCol w:w="468"/>
        <w:gridCol w:w="468"/>
        <w:gridCol w:w="468"/>
        <w:gridCol w:w="468"/>
        <w:gridCol w:w="468"/>
        <w:gridCol w:w="468"/>
        <w:gridCol w:w="342"/>
        <w:gridCol w:w="468"/>
        <w:gridCol w:w="468"/>
        <w:gridCol w:w="468"/>
        <w:gridCol w:w="468"/>
        <w:gridCol w:w="469"/>
        <w:gridCol w:w="343"/>
        <w:gridCol w:w="469"/>
        <w:gridCol w:w="469"/>
        <w:gridCol w:w="469"/>
        <w:gridCol w:w="469"/>
        <w:gridCol w:w="469"/>
        <w:gridCol w:w="343"/>
      </w:tblGrid>
      <w:tr>
        <w:tblPrEx>
          <w:tblCellMar>
            <w:top w:w="0" w:type="dxa"/>
            <w:left w:w="108" w:type="dxa"/>
            <w:bottom w:w="0" w:type="dxa"/>
            <w:right w:w="108" w:type="dxa"/>
          </w:tblCellMar>
        </w:tblPrEx>
        <w:trPr>
          <w:trHeight w:val="1080" w:hRule="atLeast"/>
        </w:trPr>
        <w:tc>
          <w:tcPr>
            <w:tcW w:w="5000" w:type="pct"/>
            <w:gridSpan w:val="19"/>
            <w:tcBorders>
              <w:top w:val="nil"/>
              <w:left w:val="nil"/>
              <w:bottom w:val="nil"/>
              <w:right w:val="nil"/>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长安镇</w:t>
            </w:r>
            <w:r>
              <w:rPr>
                <w:rFonts w:hint="eastAsia" w:ascii="宋体" w:hAnsi="宋体" w:cs="宋体"/>
                <w:color w:val="auto"/>
                <w:kern w:val="0"/>
                <w:szCs w:val="21"/>
                <w:highlight w:val="none"/>
                <w:u w:val="single"/>
                <w:lang w:eastAsia="zh-CN" w:bidi="ar"/>
              </w:rPr>
              <w:t>新民</w:t>
            </w:r>
            <w:r>
              <w:rPr>
                <w:rFonts w:hint="eastAsia" w:ascii="宋体" w:hAnsi="宋体" w:cs="宋体"/>
                <w:color w:val="auto"/>
                <w:kern w:val="0"/>
                <w:szCs w:val="21"/>
                <w:highlight w:val="none"/>
                <w:lang w:bidi="ar"/>
              </w:rPr>
              <w:t>社区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月环卫作业项目现场检查评分明细表</w:t>
            </w:r>
          </w:p>
        </w:tc>
      </w:tr>
      <w:tr>
        <w:tblPrEx>
          <w:tblCellMar>
            <w:top w:w="0" w:type="dxa"/>
            <w:left w:w="108" w:type="dxa"/>
            <w:bottom w:w="0" w:type="dxa"/>
            <w:right w:w="108" w:type="dxa"/>
          </w:tblCellMar>
        </w:tblPrEx>
        <w:trPr>
          <w:trHeight w:val="360" w:hRule="atLeast"/>
        </w:trPr>
        <w:tc>
          <w:tcPr>
            <w:tcW w:w="5000" w:type="pct"/>
            <w:gridSpan w:val="19"/>
            <w:tcBorders>
              <w:top w:val="nil"/>
              <w:left w:val="nil"/>
              <w:bottom w:val="nil"/>
              <w:right w:val="nil"/>
            </w:tcBorders>
            <w:shd w:val="clear" w:color="auto" w:fill="auto"/>
            <w:noWrap/>
            <w:vAlign w:val="center"/>
          </w:tcPr>
          <w:p>
            <w:pPr>
              <w:rPr>
                <w:rFonts w:ascii="宋体" w:hAnsi="宋体" w:cs="宋体"/>
                <w:color w:val="auto"/>
                <w:szCs w:val="21"/>
                <w:highlight w:val="none"/>
              </w:rPr>
            </w:pPr>
            <w:r>
              <w:rPr>
                <w:rFonts w:hint="eastAsia" w:ascii="宋体" w:hAnsi="宋体" w:cs="宋体"/>
                <w:color w:val="auto"/>
                <w:kern w:val="0"/>
                <w:szCs w:val="21"/>
                <w:highlight w:val="none"/>
                <w:lang w:bidi="ar"/>
              </w:rPr>
              <w:t>表4-2</w:t>
            </w:r>
          </w:p>
        </w:tc>
      </w:tr>
      <w:tr>
        <w:tblPrEx>
          <w:tblCellMar>
            <w:top w:w="0" w:type="dxa"/>
            <w:left w:w="108" w:type="dxa"/>
            <w:bottom w:w="0" w:type="dxa"/>
            <w:right w:w="108" w:type="dxa"/>
          </w:tblCellMar>
        </w:tblPrEx>
        <w:trPr>
          <w:trHeight w:val="375" w:hRule="atLeast"/>
        </w:trPr>
        <w:tc>
          <w:tcPr>
            <w:tcW w:w="5000" w:type="pct"/>
            <w:gridSpan w:val="19"/>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日期:     年   月    日</w:t>
            </w:r>
          </w:p>
        </w:tc>
      </w:tr>
      <w:tr>
        <w:tblPrEx>
          <w:tblCellMar>
            <w:top w:w="0" w:type="dxa"/>
            <w:left w:w="108" w:type="dxa"/>
            <w:bottom w:w="0" w:type="dxa"/>
            <w:right w:w="108" w:type="dxa"/>
          </w:tblCellMar>
        </w:tblPrEx>
        <w:trPr>
          <w:trHeight w:val="555" w:hRule="atLeast"/>
        </w:trPr>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社区</w:t>
            </w:r>
          </w:p>
        </w:tc>
        <w:tc>
          <w:tcPr>
            <w:tcW w:w="147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社区领导评分明细</w:t>
            </w:r>
          </w:p>
        </w:tc>
        <w:tc>
          <w:tcPr>
            <w:tcW w:w="1474"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环境办评分明细</w:t>
            </w:r>
          </w:p>
        </w:tc>
        <w:tc>
          <w:tcPr>
            <w:tcW w:w="1474"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市场化公司（作参考）</w:t>
            </w:r>
          </w:p>
        </w:tc>
      </w:tr>
      <w:tr>
        <w:tblPrEx>
          <w:tblCellMar>
            <w:top w:w="0" w:type="dxa"/>
            <w:left w:w="108" w:type="dxa"/>
            <w:bottom w:w="0" w:type="dxa"/>
            <w:right w:w="108" w:type="dxa"/>
          </w:tblCellMar>
        </w:tblPrEx>
        <w:trPr>
          <w:trHeight w:val="630" w:hRule="atLeast"/>
        </w:trPr>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280" w:type="pct"/>
            <w:gridSpan w:val="5"/>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实际评分明细</w:t>
            </w:r>
          </w:p>
        </w:tc>
        <w:tc>
          <w:tcPr>
            <w:tcW w:w="191"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实际平均分</w:t>
            </w:r>
          </w:p>
        </w:tc>
        <w:tc>
          <w:tcPr>
            <w:tcW w:w="1282" w:type="pct"/>
            <w:gridSpan w:val="5"/>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实际评分明细</w:t>
            </w:r>
          </w:p>
        </w:tc>
        <w:tc>
          <w:tcPr>
            <w:tcW w:w="191"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实际平均分</w:t>
            </w:r>
          </w:p>
        </w:tc>
        <w:tc>
          <w:tcPr>
            <w:tcW w:w="1282" w:type="pct"/>
            <w:gridSpan w:val="5"/>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实际评分明细</w:t>
            </w:r>
          </w:p>
        </w:tc>
        <w:tc>
          <w:tcPr>
            <w:tcW w:w="191"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实际平均分</w:t>
            </w:r>
          </w:p>
        </w:tc>
      </w:tr>
      <w:tr>
        <w:tblPrEx>
          <w:tblCellMar>
            <w:top w:w="0" w:type="dxa"/>
            <w:left w:w="108" w:type="dxa"/>
            <w:bottom w:w="0" w:type="dxa"/>
            <w:right w:w="108" w:type="dxa"/>
          </w:tblCellMar>
        </w:tblPrEx>
        <w:trPr>
          <w:trHeight w:val="630" w:hRule="atLeast"/>
        </w:trPr>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日检</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人员</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暗防</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投诉</w:t>
            </w:r>
          </w:p>
        </w:tc>
        <w:tc>
          <w:tcPr>
            <w:tcW w:w="1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日检</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人员</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暗防</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投诉</w:t>
            </w:r>
          </w:p>
        </w:tc>
        <w:tc>
          <w:tcPr>
            <w:tcW w:w="1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日检</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人员</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暗防</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投诉</w:t>
            </w:r>
          </w:p>
        </w:tc>
        <w:tc>
          <w:tcPr>
            <w:tcW w:w="1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780" w:hRule="atLeast"/>
        </w:trPr>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10" w:hRule="atLeast"/>
        </w:trPr>
        <w:tc>
          <w:tcPr>
            <w:tcW w:w="5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5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5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585" w:hRule="atLeast"/>
        </w:trPr>
        <w:tc>
          <w:tcPr>
            <w:tcW w:w="1347" w:type="pct"/>
            <w:gridSpan w:val="4"/>
            <w:tcBorders>
              <w:top w:val="nil"/>
              <w:left w:val="nil"/>
              <w:bottom w:val="nil"/>
              <w:right w:val="nil"/>
            </w:tcBorders>
            <w:shd w:val="clear" w:color="auto" w:fill="auto"/>
            <w:noWrap/>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lang w:bidi="ar"/>
              </w:rPr>
              <w:t>统计人员签名：</w:t>
            </w: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217" w:type="pct"/>
            <w:gridSpan w:val="5"/>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部门负责人签名：</w:t>
            </w: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5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5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5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5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217" w:type="pct"/>
            <w:gridSpan w:val="5"/>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分管领导签名：</w:t>
            </w: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5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bl>
    <w:p>
      <w:pPr>
        <w:rPr>
          <w:rFonts w:ascii="宋体" w:hAnsi="宋体"/>
          <w:color w:val="auto"/>
          <w:sz w:val="24"/>
          <w:highlight w:val="none"/>
        </w:rPr>
      </w:pPr>
    </w:p>
    <w:p>
      <w:pPr>
        <w:pStyle w:val="2"/>
        <w:tabs>
          <w:tab w:val="left" w:pos="567"/>
        </w:tabs>
        <w:rPr>
          <w:color w:val="auto"/>
          <w:highlight w:val="none"/>
        </w:rPr>
      </w:pPr>
    </w:p>
    <w:p>
      <w:pPr>
        <w:pStyle w:val="2"/>
        <w:tabs>
          <w:tab w:val="left" w:pos="567"/>
        </w:tabs>
        <w:rPr>
          <w:color w:val="auto"/>
          <w:highlight w:val="none"/>
        </w:rPr>
      </w:pPr>
      <w:r>
        <w:rPr>
          <w:color w:val="auto"/>
          <w:highlight w:val="none"/>
        </w:rPr>
        <w:br w:type="page"/>
      </w:r>
    </w:p>
    <w:tbl>
      <w:tblPr>
        <w:tblStyle w:val="18"/>
        <w:tblW w:w="5000" w:type="pct"/>
        <w:tblInd w:w="0" w:type="dxa"/>
        <w:tblLayout w:type="fixed"/>
        <w:tblCellMar>
          <w:top w:w="0" w:type="dxa"/>
          <w:left w:w="108" w:type="dxa"/>
          <w:bottom w:w="0" w:type="dxa"/>
          <w:right w:w="108" w:type="dxa"/>
        </w:tblCellMar>
      </w:tblPr>
      <w:tblGrid>
        <w:gridCol w:w="328"/>
        <w:gridCol w:w="505"/>
        <w:gridCol w:w="300"/>
        <w:gridCol w:w="339"/>
        <w:gridCol w:w="298"/>
        <w:gridCol w:w="341"/>
        <w:gridCol w:w="300"/>
        <w:gridCol w:w="341"/>
        <w:gridCol w:w="298"/>
        <w:gridCol w:w="341"/>
        <w:gridCol w:w="298"/>
        <w:gridCol w:w="341"/>
        <w:gridCol w:w="298"/>
        <w:gridCol w:w="341"/>
        <w:gridCol w:w="298"/>
        <w:gridCol w:w="341"/>
        <w:gridCol w:w="300"/>
        <w:gridCol w:w="343"/>
        <w:gridCol w:w="298"/>
        <w:gridCol w:w="341"/>
        <w:gridCol w:w="298"/>
        <w:gridCol w:w="341"/>
        <w:gridCol w:w="298"/>
        <w:gridCol w:w="341"/>
        <w:gridCol w:w="298"/>
        <w:gridCol w:w="356"/>
      </w:tblGrid>
      <w:tr>
        <w:tblPrEx>
          <w:tblCellMar>
            <w:top w:w="0" w:type="dxa"/>
            <w:left w:w="108" w:type="dxa"/>
            <w:bottom w:w="0" w:type="dxa"/>
            <w:right w:w="108" w:type="dxa"/>
          </w:tblCellMar>
        </w:tblPrEx>
        <w:trPr>
          <w:trHeight w:val="620" w:hRule="atLeast"/>
        </w:trPr>
        <w:tc>
          <w:tcPr>
            <w:tcW w:w="5000" w:type="pct"/>
            <w:gridSpan w:val="26"/>
            <w:tcBorders>
              <w:top w:val="nil"/>
              <w:left w:val="nil"/>
              <w:bottom w:val="nil"/>
              <w:right w:val="nil"/>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长安镇</w:t>
            </w:r>
            <w:r>
              <w:rPr>
                <w:rFonts w:hint="eastAsia" w:ascii="宋体" w:hAnsi="宋体" w:cs="宋体"/>
                <w:color w:val="auto"/>
                <w:kern w:val="0"/>
                <w:szCs w:val="21"/>
                <w:highlight w:val="none"/>
                <w:u w:val="single"/>
                <w:lang w:eastAsia="zh-CN" w:bidi="ar"/>
              </w:rPr>
              <w:t>新民</w:t>
            </w:r>
            <w:r>
              <w:rPr>
                <w:rFonts w:hint="eastAsia" w:ascii="宋体" w:hAnsi="宋体" w:cs="宋体"/>
                <w:color w:val="auto"/>
                <w:kern w:val="0"/>
                <w:szCs w:val="21"/>
                <w:highlight w:val="none"/>
                <w:lang w:bidi="ar"/>
              </w:rPr>
              <w:t>社区环卫投诉处理评分统计表</w:t>
            </w:r>
          </w:p>
        </w:tc>
      </w:tr>
      <w:tr>
        <w:tblPrEx>
          <w:tblCellMar>
            <w:top w:w="0" w:type="dxa"/>
            <w:left w:w="108" w:type="dxa"/>
            <w:bottom w:w="0" w:type="dxa"/>
            <w:right w:w="108" w:type="dxa"/>
          </w:tblCellMar>
        </w:tblPrEx>
        <w:trPr>
          <w:trHeight w:val="285" w:hRule="atLeast"/>
        </w:trPr>
        <w:tc>
          <w:tcPr>
            <w:tcW w:w="5000" w:type="pct"/>
            <w:gridSpan w:val="26"/>
            <w:tcBorders>
              <w:top w:val="nil"/>
              <w:left w:val="nil"/>
              <w:bottom w:val="nil"/>
              <w:right w:val="nil"/>
            </w:tcBorders>
            <w:shd w:val="clear" w:color="auto" w:fill="auto"/>
            <w:noWrap/>
            <w:vAlign w:val="center"/>
          </w:tcPr>
          <w:p>
            <w:pPr>
              <w:rPr>
                <w:rFonts w:ascii="宋体" w:hAnsi="宋体" w:cs="宋体"/>
                <w:color w:val="auto"/>
                <w:szCs w:val="21"/>
                <w:highlight w:val="none"/>
              </w:rPr>
            </w:pPr>
            <w:r>
              <w:rPr>
                <w:rFonts w:hint="eastAsia" w:ascii="宋体" w:hAnsi="宋体" w:cs="宋体"/>
                <w:color w:val="auto"/>
                <w:kern w:val="0"/>
                <w:szCs w:val="21"/>
                <w:highlight w:val="none"/>
                <w:lang w:bidi="ar"/>
              </w:rPr>
              <w:t>表4-3</w:t>
            </w:r>
          </w:p>
        </w:tc>
      </w:tr>
      <w:tr>
        <w:tblPrEx>
          <w:tblCellMar>
            <w:top w:w="0" w:type="dxa"/>
            <w:left w:w="108" w:type="dxa"/>
            <w:bottom w:w="0" w:type="dxa"/>
            <w:right w:w="108" w:type="dxa"/>
          </w:tblCellMar>
        </w:tblPrEx>
        <w:trPr>
          <w:trHeight w:val="375" w:hRule="atLeast"/>
        </w:trPr>
        <w:tc>
          <w:tcPr>
            <w:tcW w:w="5000" w:type="pct"/>
            <w:gridSpan w:val="26"/>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日期:     年  月  日</w:t>
            </w:r>
          </w:p>
        </w:tc>
      </w:tr>
      <w:tr>
        <w:tblPrEx>
          <w:tblCellMar>
            <w:top w:w="0" w:type="dxa"/>
            <w:left w:w="108" w:type="dxa"/>
            <w:bottom w:w="0" w:type="dxa"/>
            <w:right w:w="108" w:type="dxa"/>
          </w:tblCellMar>
        </w:tblPrEx>
        <w:trPr>
          <w:trHeight w:val="520" w:hRule="atLeast"/>
        </w:trPr>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社区  名称</w:t>
            </w:r>
          </w:p>
        </w:tc>
        <w:tc>
          <w:tcPr>
            <w:tcW w:w="4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一月</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二月</w:t>
            </w:r>
          </w:p>
        </w:tc>
        <w:tc>
          <w:tcPr>
            <w:tcW w:w="3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三月</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四月</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五月</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六月</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七月</w:t>
            </w:r>
          </w:p>
        </w:tc>
        <w:tc>
          <w:tcPr>
            <w:tcW w:w="3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八月</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九月</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十月</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十一月</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十二月</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全年投诉合计（笔）</w:t>
            </w:r>
          </w:p>
        </w:tc>
      </w:tr>
      <w:tr>
        <w:tblPrEx>
          <w:tblCellMar>
            <w:top w:w="0" w:type="dxa"/>
            <w:left w:w="108" w:type="dxa"/>
            <w:bottom w:w="0" w:type="dxa"/>
            <w:right w:w="108" w:type="dxa"/>
          </w:tblCellMar>
        </w:tblPrEx>
        <w:trPr>
          <w:trHeight w:val="198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（笔）</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得分（总分5分）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（笔）</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得分（总分5分）</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（笔）</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得分（总分5分）</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（笔）</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得分（总分5分）</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（笔）</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得分（总分5分）</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（笔）</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得分（总分5分）</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（笔）</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得分（总分5分）</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（笔）</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得分（总分5分）</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（笔）</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得分（总分5分）</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（笔）</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得分（总分5分）</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（笔）</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得分（总分5分）</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（笔）</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得分（总分5分）</w:t>
            </w: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19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9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19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9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19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9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19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9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19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222" w:type="pct"/>
            <w:gridSpan w:val="6"/>
            <w:tcBorders>
              <w:top w:val="nil"/>
              <w:left w:val="nil"/>
              <w:bottom w:val="nil"/>
              <w:right w:val="nil"/>
            </w:tcBorders>
            <w:shd w:val="clear" w:color="auto" w:fill="auto"/>
            <w:noWrap/>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lang w:bidi="ar"/>
              </w:rPr>
              <w:t>统计人员签名：</w:t>
            </w: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302" w:type="pct"/>
            <w:gridSpan w:val="7"/>
            <w:tcBorders>
              <w:top w:val="nil"/>
              <w:left w:val="nil"/>
              <w:bottom w:val="nil"/>
              <w:right w:val="nil"/>
            </w:tcBorders>
            <w:shd w:val="clear" w:color="auto" w:fill="auto"/>
            <w:noWrap/>
            <w:vAlign w:val="center"/>
          </w:tcPr>
          <w:p>
            <w:pPr>
              <w:rPr>
                <w:rFonts w:ascii="宋体" w:hAnsi="宋体" w:cs="宋体"/>
                <w:color w:val="auto"/>
                <w:szCs w:val="21"/>
                <w:highlight w:val="none"/>
              </w:rPr>
            </w:pPr>
            <w:r>
              <w:rPr>
                <w:rFonts w:hint="eastAsia" w:ascii="宋体" w:hAnsi="宋体" w:cs="宋体"/>
                <w:color w:val="auto"/>
                <w:kern w:val="0"/>
                <w:szCs w:val="21"/>
                <w:highlight w:val="none"/>
                <w:lang w:bidi="ar"/>
              </w:rPr>
              <w:t>部门负责人签名：</w:t>
            </w: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19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9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19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9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19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9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9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19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222" w:type="pct"/>
            <w:gridSpan w:val="6"/>
            <w:tcBorders>
              <w:top w:val="nil"/>
              <w:left w:val="nil"/>
              <w:bottom w:val="nil"/>
              <w:right w:val="nil"/>
            </w:tcBorders>
            <w:shd w:val="clear" w:color="auto" w:fill="auto"/>
            <w:noWrap/>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lang w:bidi="ar"/>
              </w:rPr>
              <w:t>复核人员签名：</w:t>
            </w: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127" w:type="pct"/>
            <w:gridSpan w:val="6"/>
            <w:tcBorders>
              <w:top w:val="nil"/>
              <w:left w:val="nil"/>
              <w:bottom w:val="nil"/>
              <w:right w:val="nil"/>
            </w:tcBorders>
            <w:shd w:val="clear" w:color="auto" w:fill="auto"/>
            <w:noWrap/>
            <w:vAlign w:val="center"/>
          </w:tcPr>
          <w:p>
            <w:pPr>
              <w:rPr>
                <w:rFonts w:ascii="宋体" w:hAnsi="宋体" w:cs="宋体"/>
                <w:color w:val="auto"/>
                <w:szCs w:val="21"/>
                <w:highlight w:val="none"/>
              </w:rPr>
            </w:pPr>
            <w:r>
              <w:rPr>
                <w:rFonts w:hint="eastAsia" w:ascii="宋体" w:hAnsi="宋体" w:cs="宋体"/>
                <w:color w:val="auto"/>
                <w:kern w:val="0"/>
                <w:szCs w:val="21"/>
                <w:highlight w:val="none"/>
                <w:lang w:bidi="ar"/>
              </w:rPr>
              <w:t>分管领导签名：</w:t>
            </w: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4"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bl>
    <w:p>
      <w:pPr>
        <w:pStyle w:val="2"/>
        <w:tabs>
          <w:tab w:val="left" w:pos="567"/>
        </w:tabs>
        <w:rPr>
          <w:color w:val="auto"/>
          <w:highlight w:val="none"/>
        </w:rPr>
      </w:pPr>
    </w:p>
    <w:p>
      <w:pPr>
        <w:rPr>
          <w:rFonts w:ascii="宋体" w:hAnsi="宋体"/>
          <w:color w:val="auto"/>
          <w:sz w:val="24"/>
          <w:highlight w:val="none"/>
        </w:rPr>
      </w:pPr>
    </w:p>
    <w:p>
      <w:pPr>
        <w:pStyle w:val="2"/>
        <w:tabs>
          <w:tab w:val="left" w:pos="567"/>
        </w:tabs>
        <w:rPr>
          <w:color w:val="auto"/>
          <w:highlight w:val="none"/>
        </w:rPr>
      </w:pPr>
      <w:r>
        <w:rPr>
          <w:color w:val="auto"/>
          <w:highlight w:val="none"/>
        </w:rPr>
        <w:br w:type="page"/>
      </w:r>
    </w:p>
    <w:tbl>
      <w:tblPr>
        <w:tblStyle w:val="18"/>
        <w:tblW w:w="5000" w:type="pct"/>
        <w:tblInd w:w="0" w:type="dxa"/>
        <w:tblLayout w:type="autofit"/>
        <w:tblCellMar>
          <w:top w:w="0" w:type="dxa"/>
          <w:left w:w="108" w:type="dxa"/>
          <w:bottom w:w="0" w:type="dxa"/>
          <w:right w:w="108" w:type="dxa"/>
        </w:tblCellMar>
      </w:tblPr>
      <w:tblGrid>
        <w:gridCol w:w="261"/>
        <w:gridCol w:w="352"/>
        <w:gridCol w:w="307"/>
        <w:gridCol w:w="352"/>
        <w:gridCol w:w="307"/>
        <w:gridCol w:w="352"/>
        <w:gridCol w:w="307"/>
        <w:gridCol w:w="352"/>
        <w:gridCol w:w="307"/>
        <w:gridCol w:w="352"/>
        <w:gridCol w:w="307"/>
        <w:gridCol w:w="352"/>
        <w:gridCol w:w="307"/>
        <w:gridCol w:w="352"/>
        <w:gridCol w:w="307"/>
        <w:gridCol w:w="352"/>
        <w:gridCol w:w="307"/>
        <w:gridCol w:w="352"/>
        <w:gridCol w:w="307"/>
        <w:gridCol w:w="352"/>
        <w:gridCol w:w="307"/>
        <w:gridCol w:w="352"/>
        <w:gridCol w:w="307"/>
        <w:gridCol w:w="352"/>
        <w:gridCol w:w="307"/>
        <w:gridCol w:w="353"/>
      </w:tblGrid>
      <w:tr>
        <w:tblPrEx>
          <w:tblCellMar>
            <w:top w:w="0" w:type="dxa"/>
            <w:left w:w="108" w:type="dxa"/>
            <w:bottom w:w="0" w:type="dxa"/>
            <w:right w:w="108" w:type="dxa"/>
          </w:tblCellMar>
        </w:tblPrEx>
        <w:trPr>
          <w:trHeight w:val="620" w:hRule="atLeast"/>
        </w:trPr>
        <w:tc>
          <w:tcPr>
            <w:tcW w:w="5000" w:type="pct"/>
            <w:gridSpan w:val="26"/>
            <w:tcBorders>
              <w:top w:val="nil"/>
              <w:left w:val="nil"/>
              <w:bottom w:val="nil"/>
              <w:right w:val="nil"/>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长安镇</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u w:val="single"/>
                <w:lang w:eastAsia="zh-CN" w:bidi="ar"/>
              </w:rPr>
              <w:t>新民</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社区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月环卫明查暗访评分统计表</w:t>
            </w:r>
          </w:p>
        </w:tc>
      </w:tr>
      <w:tr>
        <w:tblPrEx>
          <w:tblCellMar>
            <w:top w:w="0" w:type="dxa"/>
            <w:left w:w="108" w:type="dxa"/>
            <w:bottom w:w="0" w:type="dxa"/>
            <w:right w:w="108" w:type="dxa"/>
          </w:tblCellMar>
        </w:tblPrEx>
        <w:trPr>
          <w:trHeight w:val="285" w:hRule="atLeast"/>
        </w:trPr>
        <w:tc>
          <w:tcPr>
            <w:tcW w:w="5000" w:type="pct"/>
            <w:gridSpan w:val="26"/>
            <w:tcBorders>
              <w:top w:val="nil"/>
              <w:left w:val="nil"/>
              <w:bottom w:val="nil"/>
              <w:right w:val="nil"/>
            </w:tcBorders>
            <w:shd w:val="clear" w:color="auto" w:fill="auto"/>
            <w:noWrap/>
            <w:vAlign w:val="center"/>
          </w:tcPr>
          <w:p>
            <w:pPr>
              <w:rPr>
                <w:rFonts w:ascii="宋体" w:hAnsi="宋体" w:cs="宋体"/>
                <w:color w:val="auto"/>
                <w:szCs w:val="21"/>
                <w:highlight w:val="none"/>
              </w:rPr>
            </w:pPr>
            <w:r>
              <w:rPr>
                <w:rFonts w:hint="eastAsia" w:ascii="宋体" w:hAnsi="宋体" w:cs="宋体"/>
                <w:color w:val="auto"/>
                <w:kern w:val="0"/>
                <w:szCs w:val="21"/>
                <w:highlight w:val="none"/>
                <w:lang w:bidi="ar"/>
              </w:rPr>
              <w:t>表4-4</w:t>
            </w:r>
          </w:p>
        </w:tc>
      </w:tr>
      <w:tr>
        <w:tblPrEx>
          <w:tblCellMar>
            <w:top w:w="0" w:type="dxa"/>
            <w:left w:w="108" w:type="dxa"/>
            <w:bottom w:w="0" w:type="dxa"/>
            <w:right w:w="108" w:type="dxa"/>
          </w:tblCellMar>
        </w:tblPrEx>
        <w:trPr>
          <w:trHeight w:val="375" w:hRule="atLeast"/>
        </w:trPr>
        <w:tc>
          <w:tcPr>
            <w:tcW w:w="5000" w:type="pct"/>
            <w:gridSpan w:val="26"/>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日期:    年    月     日</w:t>
            </w:r>
          </w:p>
        </w:tc>
      </w:tr>
      <w:tr>
        <w:tblPrEx>
          <w:tblCellMar>
            <w:top w:w="0" w:type="dxa"/>
            <w:left w:w="108" w:type="dxa"/>
            <w:bottom w:w="0" w:type="dxa"/>
            <w:right w:w="108" w:type="dxa"/>
          </w:tblCellMar>
        </w:tblPrEx>
        <w:trPr>
          <w:trHeight w:val="540" w:hRule="atLeast"/>
        </w:trPr>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社区  名称</w:t>
            </w:r>
          </w:p>
        </w:tc>
        <w:tc>
          <w:tcPr>
            <w:tcW w:w="3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一月</w:t>
            </w:r>
          </w:p>
        </w:tc>
        <w:tc>
          <w:tcPr>
            <w:tcW w:w="3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二月</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三月</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四月</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五月</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六月</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七月</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八月</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九月</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十月</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十一月</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十二月</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全年明查暗访合计（笔）</w:t>
            </w:r>
          </w:p>
        </w:tc>
      </w:tr>
      <w:tr>
        <w:tblPrEx>
          <w:tblCellMar>
            <w:top w:w="0" w:type="dxa"/>
            <w:left w:w="108" w:type="dxa"/>
            <w:bottom w:w="0" w:type="dxa"/>
            <w:right w:w="108" w:type="dxa"/>
          </w:tblCellMar>
        </w:tblPrEx>
        <w:trPr>
          <w:trHeight w:val="198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明查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暗访（笔）</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5分）</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明查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暗访（笔）</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5分）</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明查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暗访（笔）</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5分）</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明查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暗访（笔）</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5分）</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明查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暗访（笔）</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5分）</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明查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暗访（笔）</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5分）</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明查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暗访（笔）</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5分）</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明查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暗访（笔）</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5分）</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明查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暗访（笔）</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5分）</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明查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暗访（笔）</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5分）</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明查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暗访（笔）</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5分）</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明查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暗访（笔）</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得分（总分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5分）</w:t>
            </w: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720"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15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15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15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15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15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158" w:type="pct"/>
            <w:gridSpan w:val="6"/>
            <w:tcBorders>
              <w:top w:val="nil"/>
              <w:left w:val="nil"/>
              <w:bottom w:val="nil"/>
              <w:right w:val="nil"/>
            </w:tcBorders>
            <w:shd w:val="clear" w:color="auto" w:fill="auto"/>
            <w:noWrap/>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lang w:bidi="ar"/>
              </w:rPr>
              <w:t>统计人员签名：</w:t>
            </w: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160" w:type="pct"/>
            <w:gridSpan w:val="6"/>
            <w:tcBorders>
              <w:top w:val="nil"/>
              <w:left w:val="nil"/>
              <w:bottom w:val="nil"/>
              <w:right w:val="nil"/>
            </w:tcBorders>
            <w:shd w:val="clear" w:color="auto" w:fill="auto"/>
            <w:noWrap/>
            <w:vAlign w:val="center"/>
          </w:tcPr>
          <w:p>
            <w:pPr>
              <w:rPr>
                <w:rFonts w:ascii="宋体" w:hAnsi="宋体" w:cs="宋体"/>
                <w:color w:val="auto"/>
                <w:szCs w:val="21"/>
                <w:highlight w:val="none"/>
              </w:rPr>
            </w:pPr>
            <w:r>
              <w:rPr>
                <w:rFonts w:hint="eastAsia" w:ascii="宋体" w:hAnsi="宋体" w:cs="宋体"/>
                <w:color w:val="auto"/>
                <w:kern w:val="0"/>
                <w:szCs w:val="21"/>
                <w:highlight w:val="none"/>
                <w:lang w:bidi="ar"/>
              </w:rPr>
              <w:t>部门负责人签名：</w:t>
            </w: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15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15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15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79"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15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158" w:type="pct"/>
            <w:gridSpan w:val="6"/>
            <w:tcBorders>
              <w:top w:val="nil"/>
              <w:left w:val="nil"/>
              <w:bottom w:val="nil"/>
              <w:right w:val="nil"/>
            </w:tcBorders>
            <w:shd w:val="clear" w:color="auto" w:fill="auto"/>
            <w:noWrap/>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lang w:bidi="ar"/>
              </w:rPr>
              <w:t>复核人员签名：</w:t>
            </w: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954" w:type="pct"/>
            <w:gridSpan w:val="5"/>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分管领导签名：</w:t>
            </w: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bl>
    <w:p>
      <w:pPr>
        <w:pStyle w:val="2"/>
        <w:tabs>
          <w:tab w:val="left" w:pos="567"/>
        </w:tabs>
        <w:rPr>
          <w:color w:val="auto"/>
          <w:highlight w:val="none"/>
        </w:rPr>
      </w:pPr>
      <w:r>
        <w:rPr>
          <w:rFonts w:hint="eastAsia"/>
          <w:color w:val="auto"/>
          <w:highlight w:val="none"/>
        </w:rPr>
        <w:t xml:space="preserve"> </w:t>
      </w:r>
    </w:p>
    <w:p>
      <w:pPr>
        <w:rPr>
          <w:rFonts w:ascii="宋体" w:hAnsi="宋体"/>
          <w:color w:val="auto"/>
          <w:sz w:val="24"/>
          <w:highlight w:val="none"/>
        </w:rPr>
      </w:pPr>
      <w:r>
        <w:rPr>
          <w:rFonts w:ascii="宋体" w:hAnsi="宋体"/>
          <w:color w:val="auto"/>
          <w:sz w:val="24"/>
          <w:highlight w:val="none"/>
        </w:rPr>
        <w:br w:type="page"/>
      </w:r>
    </w:p>
    <w:tbl>
      <w:tblPr>
        <w:tblStyle w:val="18"/>
        <w:tblW w:w="5000" w:type="pct"/>
        <w:tblInd w:w="0" w:type="dxa"/>
        <w:tblLayout w:type="autofit"/>
        <w:tblCellMar>
          <w:top w:w="0" w:type="dxa"/>
          <w:left w:w="108" w:type="dxa"/>
          <w:bottom w:w="0" w:type="dxa"/>
          <w:right w:w="108" w:type="dxa"/>
        </w:tblCellMar>
      </w:tblPr>
      <w:tblGrid>
        <w:gridCol w:w="629"/>
        <w:gridCol w:w="1686"/>
        <w:gridCol w:w="943"/>
        <w:gridCol w:w="760"/>
        <w:gridCol w:w="918"/>
        <w:gridCol w:w="678"/>
        <w:gridCol w:w="768"/>
        <w:gridCol w:w="750"/>
        <w:gridCol w:w="656"/>
        <w:gridCol w:w="734"/>
      </w:tblGrid>
      <w:tr>
        <w:tblPrEx>
          <w:tblCellMar>
            <w:top w:w="0" w:type="dxa"/>
            <w:left w:w="108" w:type="dxa"/>
            <w:bottom w:w="0" w:type="dxa"/>
            <w:right w:w="108" w:type="dxa"/>
          </w:tblCellMar>
        </w:tblPrEx>
        <w:trPr>
          <w:trHeight w:val="720" w:hRule="atLeast"/>
        </w:trPr>
        <w:tc>
          <w:tcPr>
            <w:tcW w:w="5000" w:type="pct"/>
            <w:gridSpan w:val="10"/>
            <w:tcBorders>
              <w:top w:val="nil"/>
              <w:left w:val="nil"/>
              <w:bottom w:val="nil"/>
              <w:right w:val="nil"/>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长安镇</w:t>
            </w:r>
            <w:r>
              <w:rPr>
                <w:rFonts w:hint="eastAsia" w:ascii="宋体" w:hAnsi="宋体" w:cs="宋体"/>
                <w:color w:val="auto"/>
                <w:kern w:val="0"/>
                <w:szCs w:val="21"/>
                <w:highlight w:val="none"/>
                <w:u w:val="single"/>
                <w:lang w:eastAsia="zh-CN" w:bidi="ar"/>
              </w:rPr>
              <w:t>新民</w:t>
            </w:r>
            <w:r>
              <w:rPr>
                <w:rFonts w:hint="eastAsia" w:ascii="宋体" w:hAnsi="宋体" w:cs="宋体"/>
                <w:color w:val="auto"/>
                <w:kern w:val="0"/>
                <w:szCs w:val="21"/>
                <w:highlight w:val="none"/>
                <w:lang w:bidi="ar"/>
              </w:rPr>
              <w:t>社区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月环卫作业项目现场检查评分汇总表（30分）</w:t>
            </w:r>
          </w:p>
        </w:tc>
      </w:tr>
      <w:tr>
        <w:tblPrEx>
          <w:tblCellMar>
            <w:top w:w="0" w:type="dxa"/>
            <w:left w:w="108" w:type="dxa"/>
            <w:bottom w:w="0" w:type="dxa"/>
            <w:right w:w="108" w:type="dxa"/>
          </w:tblCellMar>
        </w:tblPrEx>
        <w:trPr>
          <w:trHeight w:val="285" w:hRule="atLeast"/>
        </w:trPr>
        <w:tc>
          <w:tcPr>
            <w:tcW w:w="5000" w:type="pct"/>
            <w:gridSpan w:val="10"/>
            <w:tcBorders>
              <w:top w:val="nil"/>
              <w:left w:val="nil"/>
              <w:bottom w:val="nil"/>
              <w:right w:val="nil"/>
            </w:tcBorders>
            <w:shd w:val="clear" w:color="auto" w:fill="auto"/>
            <w:noWrap/>
            <w:vAlign w:val="center"/>
          </w:tcPr>
          <w:p>
            <w:pPr>
              <w:rPr>
                <w:rFonts w:ascii="宋体" w:hAnsi="宋体" w:cs="宋体"/>
                <w:color w:val="auto"/>
                <w:szCs w:val="21"/>
                <w:highlight w:val="none"/>
              </w:rPr>
            </w:pPr>
            <w:r>
              <w:rPr>
                <w:rFonts w:hint="eastAsia" w:ascii="宋体" w:hAnsi="宋体" w:cs="宋体"/>
                <w:color w:val="auto"/>
                <w:kern w:val="0"/>
                <w:szCs w:val="21"/>
                <w:highlight w:val="none"/>
                <w:lang w:bidi="ar"/>
              </w:rPr>
              <w:t>表4-5</w:t>
            </w:r>
          </w:p>
        </w:tc>
      </w:tr>
      <w:tr>
        <w:tblPrEx>
          <w:tblCellMar>
            <w:top w:w="0" w:type="dxa"/>
            <w:left w:w="108" w:type="dxa"/>
            <w:bottom w:w="0" w:type="dxa"/>
            <w:right w:w="108" w:type="dxa"/>
          </w:tblCellMar>
        </w:tblPrEx>
        <w:trPr>
          <w:trHeight w:val="375" w:hRule="atLeast"/>
        </w:trPr>
        <w:tc>
          <w:tcPr>
            <w:tcW w:w="5000" w:type="pct"/>
            <w:gridSpan w:val="10"/>
            <w:tcBorders>
              <w:top w:val="nil"/>
              <w:left w:val="nil"/>
              <w:bottom w:val="nil"/>
              <w:right w:val="nil"/>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日期:    年   月   日</w:t>
            </w:r>
          </w:p>
        </w:tc>
      </w:tr>
      <w:tr>
        <w:tblPrEx>
          <w:tblCellMar>
            <w:top w:w="0" w:type="dxa"/>
            <w:left w:w="108" w:type="dxa"/>
            <w:bottom w:w="0" w:type="dxa"/>
            <w:right w:w="108" w:type="dxa"/>
          </w:tblCellMar>
        </w:tblPrEx>
        <w:trPr>
          <w:trHeight w:val="690" w:hRule="atLeast"/>
        </w:trPr>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社区</w:t>
            </w:r>
          </w:p>
        </w:tc>
        <w:tc>
          <w:tcPr>
            <w:tcW w:w="27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月考核现场检查（20分）</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投诉处理得分（5分）</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明查暗访得分 （5分）</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月考核  总分</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备注</w:t>
            </w:r>
          </w:p>
        </w:tc>
      </w:tr>
      <w:tr>
        <w:tblPrEx>
          <w:tblCellMar>
            <w:top w:w="0" w:type="dxa"/>
            <w:left w:w="108" w:type="dxa"/>
            <w:bottom w:w="0" w:type="dxa"/>
            <w:right w:w="108" w:type="dxa"/>
          </w:tblCellMar>
        </w:tblPrEx>
        <w:trPr>
          <w:trHeight w:val="480"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3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社区领导评名占60%（12分）</w:t>
            </w:r>
          </w:p>
        </w:tc>
        <w:tc>
          <w:tcPr>
            <w:tcW w:w="10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环境办评分占40%（8分）</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合计得分</w:t>
            </w: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85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实际平均分</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按12分换算得分</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实际平均分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按8分换算得分</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82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39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6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78"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7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6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1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39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6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78"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7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6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1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39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6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78"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7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6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1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39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60" w:type="pct"/>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统计人员签名：</w:t>
            </w:r>
          </w:p>
        </w:tc>
        <w:tc>
          <w:tcPr>
            <w:tcW w:w="578"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7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229" w:type="pct"/>
            <w:gridSpan w:val="5"/>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部门负责人签名：</w:t>
            </w:r>
          </w:p>
        </w:tc>
      </w:tr>
      <w:tr>
        <w:tblPrEx>
          <w:tblCellMar>
            <w:top w:w="0" w:type="dxa"/>
            <w:left w:w="108" w:type="dxa"/>
            <w:bottom w:w="0" w:type="dxa"/>
            <w:right w:w="108" w:type="dxa"/>
          </w:tblCellMar>
        </w:tblPrEx>
        <w:trPr>
          <w:trHeight w:val="375" w:hRule="atLeast"/>
        </w:trPr>
        <w:tc>
          <w:tcPr>
            <w:tcW w:w="39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6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78"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7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6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1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39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6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78"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7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6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1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39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6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78"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72"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2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7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6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10"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5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395"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811" w:type="pct"/>
            <w:gridSpan w:val="3"/>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复核人员签名：</w:t>
            </w:r>
          </w:p>
        </w:tc>
        <w:tc>
          <w:tcPr>
            <w:tcW w:w="56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229" w:type="pct"/>
            <w:gridSpan w:val="5"/>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分管领导签名：</w:t>
            </w:r>
          </w:p>
        </w:tc>
      </w:tr>
    </w:tbl>
    <w:p>
      <w:pPr>
        <w:rPr>
          <w:rFonts w:ascii="宋体" w:hAnsi="宋体"/>
          <w:color w:val="auto"/>
          <w:szCs w:val="21"/>
          <w:highlight w:val="none"/>
        </w:rPr>
      </w:pPr>
      <w:r>
        <w:rPr>
          <w:rFonts w:hint="eastAsia" w:ascii="宋体" w:hAnsi="宋体"/>
          <w:color w:val="auto"/>
          <w:szCs w:val="21"/>
          <w:highlight w:val="none"/>
        </w:rPr>
        <w:t xml:space="preserve"> </w:t>
      </w:r>
    </w:p>
    <w:p>
      <w:pPr>
        <w:pStyle w:val="3"/>
        <w:pageBreakBefore/>
        <w:spacing w:line="360" w:lineRule="auto"/>
        <w:rPr>
          <w:rFonts w:hAnsi="宋体" w:cs="仿宋_GB2312"/>
          <w:color w:val="auto"/>
          <w:sz w:val="24"/>
          <w:highlight w:val="none"/>
        </w:rPr>
      </w:pPr>
      <w:r>
        <w:rPr>
          <w:rFonts w:hint="eastAsia" w:hAnsi="宋体" w:cs="仿宋_GB2312"/>
          <w:color w:val="auto"/>
          <w:sz w:val="24"/>
          <w:highlight w:val="none"/>
        </w:rPr>
        <w:t>附件：5、长安镇</w:t>
      </w:r>
      <w:r>
        <w:rPr>
          <w:rFonts w:hint="eastAsia" w:hAnsi="宋体" w:cs="仿宋_GB2312"/>
          <w:color w:val="auto"/>
          <w:sz w:val="24"/>
          <w:highlight w:val="none"/>
          <w:lang w:eastAsia="zh-CN"/>
        </w:rPr>
        <w:t>新民</w:t>
      </w:r>
      <w:r>
        <w:rPr>
          <w:rFonts w:hint="eastAsia" w:hAnsi="宋体" w:cs="仿宋_GB2312"/>
          <w:color w:val="auto"/>
          <w:sz w:val="24"/>
          <w:highlight w:val="none"/>
        </w:rPr>
        <w:t>社区*年*月环卫工作项目考核评分结果汇总及扣分扣费情况表</w:t>
      </w:r>
    </w:p>
    <w:tbl>
      <w:tblPr>
        <w:tblStyle w:val="18"/>
        <w:tblW w:w="8554" w:type="dxa"/>
        <w:tblInd w:w="0" w:type="dxa"/>
        <w:tblLayout w:type="fixed"/>
        <w:tblCellMar>
          <w:top w:w="0" w:type="dxa"/>
          <w:left w:w="108" w:type="dxa"/>
          <w:bottom w:w="0" w:type="dxa"/>
          <w:right w:w="108" w:type="dxa"/>
        </w:tblCellMar>
      </w:tblPr>
      <w:tblGrid>
        <w:gridCol w:w="560"/>
        <w:gridCol w:w="563"/>
        <w:gridCol w:w="708"/>
        <w:gridCol w:w="877"/>
        <w:gridCol w:w="915"/>
        <w:gridCol w:w="666"/>
        <w:gridCol w:w="542"/>
        <w:gridCol w:w="625"/>
        <w:gridCol w:w="375"/>
        <w:gridCol w:w="542"/>
        <w:gridCol w:w="521"/>
        <w:gridCol w:w="830"/>
        <w:gridCol w:w="830"/>
      </w:tblGrid>
      <w:tr>
        <w:tblPrEx>
          <w:tblCellMar>
            <w:top w:w="0" w:type="dxa"/>
            <w:left w:w="108" w:type="dxa"/>
            <w:bottom w:w="0" w:type="dxa"/>
            <w:right w:w="108" w:type="dxa"/>
          </w:tblCellMar>
        </w:tblPrEx>
        <w:trPr>
          <w:trHeight w:val="700" w:hRule="atLeast"/>
        </w:trPr>
        <w:tc>
          <w:tcPr>
            <w:tcW w:w="8554" w:type="dxa"/>
            <w:gridSpan w:val="13"/>
            <w:tcBorders>
              <w:top w:val="nil"/>
              <w:left w:val="nil"/>
              <w:bottom w:val="nil"/>
              <w:right w:val="nil"/>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长安镇</w:t>
            </w:r>
            <w:r>
              <w:rPr>
                <w:rFonts w:hint="eastAsia" w:ascii="宋体" w:hAnsi="宋体" w:cs="宋体"/>
                <w:color w:val="auto"/>
                <w:kern w:val="0"/>
                <w:szCs w:val="21"/>
                <w:highlight w:val="none"/>
                <w:u w:val="single"/>
                <w:lang w:eastAsia="zh-CN" w:bidi="ar"/>
              </w:rPr>
              <w:t>新民</w:t>
            </w:r>
            <w:r>
              <w:rPr>
                <w:rFonts w:hint="eastAsia" w:ascii="宋体" w:hAnsi="宋体" w:cs="宋体"/>
                <w:color w:val="auto"/>
                <w:kern w:val="0"/>
                <w:szCs w:val="21"/>
                <w:highlight w:val="none"/>
                <w:lang w:bidi="ar"/>
              </w:rPr>
              <w:t>社区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年</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月环卫作业项目考核评分结果汇总及扣分扣费情况表</w:t>
            </w:r>
          </w:p>
        </w:tc>
      </w:tr>
      <w:tr>
        <w:tblPrEx>
          <w:tblCellMar>
            <w:top w:w="0" w:type="dxa"/>
            <w:left w:w="108" w:type="dxa"/>
            <w:bottom w:w="0" w:type="dxa"/>
            <w:right w:w="108" w:type="dxa"/>
          </w:tblCellMar>
        </w:tblPrEx>
        <w:trPr>
          <w:trHeight w:val="375" w:hRule="atLeast"/>
        </w:trPr>
        <w:tc>
          <w:tcPr>
            <w:tcW w:w="8554" w:type="dxa"/>
            <w:gridSpan w:val="13"/>
            <w:tcBorders>
              <w:top w:val="nil"/>
              <w:left w:val="nil"/>
              <w:bottom w:val="single" w:color="000000" w:sz="4" w:space="0"/>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单位（盖章）                                            日期:      年     月   日</w:t>
            </w:r>
          </w:p>
        </w:tc>
      </w:tr>
      <w:tr>
        <w:tblPrEx>
          <w:tblCellMar>
            <w:top w:w="0" w:type="dxa"/>
            <w:left w:w="108" w:type="dxa"/>
            <w:bottom w:w="0" w:type="dxa"/>
            <w:right w:w="108" w:type="dxa"/>
          </w:tblCellMar>
        </w:tblPrEx>
        <w:trPr>
          <w:trHeight w:val="495" w:hRule="atLeast"/>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社区名称</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承包公司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名称</w:t>
            </w:r>
          </w:p>
        </w:tc>
        <w:tc>
          <w:tcPr>
            <w:tcW w:w="52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环卫作业项目总分100分</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总扣分（分）</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总扣减费用（元）</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月支付费用（元）</w:t>
            </w:r>
          </w:p>
        </w:tc>
      </w:tr>
      <w:tr>
        <w:tblPrEx>
          <w:tblCellMar>
            <w:top w:w="0" w:type="dxa"/>
            <w:left w:w="108" w:type="dxa"/>
            <w:bottom w:w="0" w:type="dxa"/>
            <w:right w:w="108" w:type="dxa"/>
          </w:tblCellMar>
        </w:tblPrEx>
        <w:trPr>
          <w:trHeight w:val="57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日检（50分）</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半月检（20分）</w:t>
            </w:r>
          </w:p>
        </w:tc>
        <w:tc>
          <w:tcPr>
            <w:tcW w:w="1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月检（30分）</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各项合计得分</w:t>
            </w:r>
          </w:p>
        </w:tc>
        <w:tc>
          <w:tcPr>
            <w:tcW w:w="5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承包公司得分</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72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当月日检平均分</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管理架构、制度、人员配备等两次平均得分（10分）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车辆配备两次平均得分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（10分）</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月考核现场评分（20分）</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投诉处理（5分）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明查暗访（5分）</w:t>
            </w: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8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542"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56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08"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7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91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6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2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56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08"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7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91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6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2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56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08"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7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91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6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2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1831" w:type="dxa"/>
            <w:gridSpan w:val="3"/>
            <w:tcBorders>
              <w:top w:val="nil"/>
              <w:left w:val="nil"/>
              <w:bottom w:val="nil"/>
              <w:right w:val="nil"/>
            </w:tcBorders>
            <w:shd w:val="clear" w:color="auto" w:fill="auto"/>
            <w:noWrap/>
            <w:vAlign w:val="center"/>
          </w:tcPr>
          <w:p>
            <w:pPr>
              <w:rPr>
                <w:rFonts w:ascii="宋体" w:hAnsi="宋体" w:cs="宋体"/>
                <w:color w:val="auto"/>
                <w:szCs w:val="21"/>
                <w:highlight w:val="none"/>
              </w:rPr>
            </w:pPr>
            <w:r>
              <w:rPr>
                <w:rFonts w:hint="eastAsia" w:ascii="宋体" w:hAnsi="宋体" w:cs="宋体"/>
                <w:color w:val="auto"/>
                <w:kern w:val="0"/>
                <w:szCs w:val="21"/>
                <w:highlight w:val="none"/>
                <w:lang w:bidi="ar"/>
              </w:rPr>
              <w:t>统计人员签名：</w:t>
            </w:r>
          </w:p>
        </w:tc>
        <w:tc>
          <w:tcPr>
            <w:tcW w:w="87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91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6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2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56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08"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7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91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6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84" w:type="dxa"/>
            <w:gridSpan w:val="4"/>
            <w:tcBorders>
              <w:top w:val="nil"/>
              <w:left w:val="nil"/>
              <w:bottom w:val="nil"/>
              <w:right w:val="nil"/>
            </w:tcBorders>
            <w:shd w:val="clear" w:color="auto" w:fill="auto"/>
            <w:noWrap/>
            <w:vAlign w:val="center"/>
          </w:tcPr>
          <w:p>
            <w:pPr>
              <w:rPr>
                <w:rFonts w:ascii="宋体" w:hAnsi="宋体" w:cs="宋体"/>
                <w:color w:val="auto"/>
                <w:szCs w:val="21"/>
                <w:highlight w:val="none"/>
              </w:rPr>
            </w:pPr>
            <w:r>
              <w:rPr>
                <w:rFonts w:hint="eastAsia" w:ascii="宋体" w:hAnsi="宋体" w:cs="宋体"/>
                <w:color w:val="auto"/>
                <w:kern w:val="0"/>
                <w:szCs w:val="21"/>
                <w:highlight w:val="none"/>
                <w:lang w:bidi="ar"/>
              </w:rPr>
              <w:t>分管领导签名：</w:t>
            </w:r>
          </w:p>
        </w:tc>
        <w:tc>
          <w:tcPr>
            <w:tcW w:w="5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56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08"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7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91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6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2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56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08"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7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91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6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2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1831" w:type="dxa"/>
            <w:gridSpan w:val="3"/>
            <w:tcBorders>
              <w:top w:val="nil"/>
              <w:left w:val="nil"/>
              <w:bottom w:val="nil"/>
              <w:right w:val="nil"/>
            </w:tcBorders>
            <w:shd w:val="clear" w:color="auto" w:fill="auto"/>
            <w:noWrap/>
            <w:vAlign w:val="center"/>
          </w:tcPr>
          <w:p>
            <w:pPr>
              <w:rPr>
                <w:rFonts w:ascii="宋体" w:hAnsi="宋体" w:cs="宋体"/>
                <w:color w:val="auto"/>
                <w:szCs w:val="21"/>
                <w:highlight w:val="none"/>
              </w:rPr>
            </w:pPr>
            <w:r>
              <w:rPr>
                <w:rFonts w:hint="eastAsia" w:ascii="宋体" w:hAnsi="宋体" w:cs="宋体"/>
                <w:color w:val="auto"/>
                <w:kern w:val="0"/>
                <w:szCs w:val="21"/>
                <w:highlight w:val="none"/>
                <w:lang w:bidi="ar"/>
              </w:rPr>
              <w:t>复核人员签名：</w:t>
            </w:r>
          </w:p>
        </w:tc>
        <w:tc>
          <w:tcPr>
            <w:tcW w:w="87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91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6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2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56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08"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7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91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6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2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56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08"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7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91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6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2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56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08"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7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91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6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2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56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63"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708"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7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91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6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2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42"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5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05" w:hRule="atLeast"/>
        </w:trPr>
        <w:tc>
          <w:tcPr>
            <w:tcW w:w="1831" w:type="dxa"/>
            <w:gridSpan w:val="3"/>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部门负责人签名：</w:t>
            </w:r>
          </w:p>
        </w:tc>
        <w:tc>
          <w:tcPr>
            <w:tcW w:w="877"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915"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666"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84" w:type="dxa"/>
            <w:gridSpan w:val="4"/>
            <w:tcBorders>
              <w:top w:val="nil"/>
              <w:left w:val="nil"/>
              <w:bottom w:val="nil"/>
              <w:right w:val="nil"/>
            </w:tcBorders>
            <w:shd w:val="clear" w:color="auto" w:fill="auto"/>
            <w:noWrap/>
            <w:vAlign w:val="center"/>
          </w:tcPr>
          <w:p>
            <w:pPr>
              <w:rPr>
                <w:rFonts w:ascii="宋体" w:hAnsi="宋体" w:cs="宋体"/>
                <w:color w:val="auto"/>
                <w:szCs w:val="21"/>
                <w:highlight w:val="none"/>
              </w:rPr>
            </w:pPr>
            <w:r>
              <w:rPr>
                <w:rFonts w:hint="eastAsia" w:ascii="宋体" w:hAnsi="宋体" w:cs="宋体"/>
                <w:color w:val="auto"/>
                <w:kern w:val="0"/>
                <w:szCs w:val="21"/>
                <w:highlight w:val="none"/>
                <w:lang w:bidi="ar"/>
              </w:rPr>
              <w:t>社区负责人签名：</w:t>
            </w:r>
          </w:p>
        </w:tc>
        <w:tc>
          <w:tcPr>
            <w:tcW w:w="521"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830" w:type="dxa"/>
            <w:tcBorders>
              <w:top w:val="nil"/>
              <w:left w:val="nil"/>
              <w:bottom w:val="nil"/>
              <w:right w:val="nil"/>
            </w:tcBorders>
            <w:shd w:val="clear" w:color="auto" w:fill="auto"/>
            <w:noWrap/>
            <w:vAlign w:val="center"/>
          </w:tcPr>
          <w:p>
            <w:pPr>
              <w:rPr>
                <w:rFonts w:ascii="宋体" w:hAnsi="宋体" w:cs="宋体"/>
                <w:color w:val="auto"/>
                <w:szCs w:val="21"/>
                <w:highlight w:val="none"/>
              </w:rPr>
            </w:pPr>
          </w:p>
        </w:tc>
      </w:tr>
    </w:tbl>
    <w:p>
      <w:pPr>
        <w:pStyle w:val="2"/>
        <w:tabs>
          <w:tab w:val="left" w:pos="567"/>
        </w:tabs>
        <w:rPr>
          <w:color w:val="auto"/>
          <w:sz w:val="21"/>
          <w:szCs w:val="21"/>
          <w:highlight w:val="none"/>
        </w:rPr>
      </w:pPr>
    </w:p>
    <w:p>
      <w:pPr>
        <w:rPr>
          <w:rFonts w:ascii="宋体" w:hAnsi="宋体"/>
          <w:color w:val="auto"/>
          <w:sz w:val="24"/>
          <w:highlight w:val="none"/>
        </w:rPr>
      </w:pPr>
      <w:r>
        <w:rPr>
          <w:rFonts w:hint="eastAsia" w:ascii="宋体" w:hAnsi="宋体"/>
          <w:color w:val="auto"/>
          <w:sz w:val="24"/>
          <w:highlight w:val="none"/>
        </w:rPr>
        <w:t xml:space="preserve"> </w:t>
      </w:r>
    </w:p>
    <w:p>
      <w:pPr>
        <w:pStyle w:val="3"/>
        <w:pageBreakBefore/>
        <w:spacing w:line="360" w:lineRule="auto"/>
        <w:rPr>
          <w:rFonts w:hAnsi="宋体" w:cs="仿宋_GB2312"/>
          <w:color w:val="auto"/>
          <w:sz w:val="24"/>
          <w:highlight w:val="none"/>
        </w:rPr>
      </w:pPr>
      <w:r>
        <w:rPr>
          <w:rFonts w:hint="eastAsia" w:hAnsi="宋体" w:cs="仿宋_GB2312"/>
          <w:color w:val="auto"/>
          <w:sz w:val="24"/>
          <w:highlight w:val="none"/>
        </w:rPr>
        <w:t>附件：6、*年长安镇</w:t>
      </w:r>
      <w:r>
        <w:rPr>
          <w:rFonts w:hint="eastAsia" w:hAnsi="宋体" w:cs="仿宋_GB2312"/>
          <w:color w:val="auto"/>
          <w:sz w:val="24"/>
          <w:highlight w:val="none"/>
          <w:lang w:eastAsia="zh-CN"/>
        </w:rPr>
        <w:t>新民</w:t>
      </w:r>
      <w:r>
        <w:rPr>
          <w:rFonts w:hint="eastAsia" w:hAnsi="宋体" w:cs="仿宋_GB2312"/>
          <w:color w:val="auto"/>
          <w:sz w:val="24"/>
          <w:highlight w:val="none"/>
        </w:rPr>
        <w:t>社区环卫年终考核评分表</w:t>
      </w:r>
    </w:p>
    <w:tbl>
      <w:tblPr>
        <w:tblStyle w:val="18"/>
        <w:tblW w:w="5000" w:type="pct"/>
        <w:tblInd w:w="0" w:type="dxa"/>
        <w:tblLayout w:type="autofit"/>
        <w:tblCellMar>
          <w:top w:w="0" w:type="dxa"/>
          <w:left w:w="108" w:type="dxa"/>
          <w:bottom w:w="0" w:type="dxa"/>
          <w:right w:w="108" w:type="dxa"/>
        </w:tblCellMar>
      </w:tblPr>
      <w:tblGrid>
        <w:gridCol w:w="566"/>
        <w:gridCol w:w="694"/>
        <w:gridCol w:w="628"/>
        <w:gridCol w:w="625"/>
        <w:gridCol w:w="625"/>
        <w:gridCol w:w="625"/>
        <w:gridCol w:w="625"/>
        <w:gridCol w:w="625"/>
        <w:gridCol w:w="625"/>
        <w:gridCol w:w="633"/>
        <w:gridCol w:w="626"/>
        <w:gridCol w:w="626"/>
        <w:gridCol w:w="654"/>
        <w:gridCol w:w="345"/>
      </w:tblGrid>
      <w:tr>
        <w:tblPrEx>
          <w:tblCellMar>
            <w:top w:w="0" w:type="dxa"/>
            <w:left w:w="108" w:type="dxa"/>
            <w:bottom w:w="0" w:type="dxa"/>
            <w:right w:w="108" w:type="dxa"/>
          </w:tblCellMar>
        </w:tblPrEx>
        <w:trPr>
          <w:trHeight w:val="680" w:hRule="atLeast"/>
        </w:trPr>
        <w:tc>
          <w:tcPr>
            <w:tcW w:w="5000" w:type="pct"/>
            <w:gridSpan w:val="14"/>
            <w:tcBorders>
              <w:top w:val="nil"/>
              <w:left w:val="nil"/>
              <w:bottom w:val="nil"/>
              <w:right w:val="nil"/>
            </w:tcBorders>
            <w:shd w:val="clear" w:color="auto" w:fill="auto"/>
            <w:noWrap/>
            <w:vAlign w:val="center"/>
          </w:tcPr>
          <w:p>
            <w:pPr>
              <w:widowControl/>
              <w:jc w:val="center"/>
              <w:textAlignment w:val="center"/>
              <w:rPr>
                <w:rFonts w:ascii="宋体" w:hAnsi="宋体" w:cs="宋体"/>
                <w:color w:val="auto"/>
                <w:szCs w:val="21"/>
                <w:highlight w:val="none"/>
                <w:u w:val="single"/>
              </w:rPr>
            </w:pPr>
            <w:r>
              <w:rPr>
                <w:rFonts w:hint="eastAsia" w:ascii="宋体" w:hAnsi="宋体" w:cs="宋体"/>
                <w:color w:val="auto"/>
                <w:kern w:val="0"/>
                <w:szCs w:val="21"/>
                <w:highlight w:val="none"/>
                <w:u w:val="single"/>
                <w:lang w:bidi="ar"/>
              </w:rPr>
              <w:t xml:space="preserve">            年长安镇</w:t>
            </w:r>
            <w:r>
              <w:rPr>
                <w:rFonts w:hint="eastAsia" w:ascii="宋体" w:hAnsi="宋体" w:cs="宋体"/>
                <w:color w:val="auto"/>
                <w:kern w:val="0"/>
                <w:szCs w:val="21"/>
                <w:highlight w:val="none"/>
                <w:u w:val="single"/>
                <w:lang w:eastAsia="zh-CN" w:bidi="ar"/>
              </w:rPr>
              <w:t>新民</w:t>
            </w:r>
            <w:r>
              <w:rPr>
                <w:rFonts w:hint="eastAsia" w:ascii="宋体" w:hAnsi="宋体" w:cs="宋体"/>
                <w:color w:val="auto"/>
                <w:kern w:val="0"/>
                <w:szCs w:val="21"/>
                <w:highlight w:val="none"/>
                <w:u w:val="single"/>
                <w:lang w:bidi="ar"/>
              </w:rPr>
              <w:t>社区环卫年终考核评分表</w:t>
            </w:r>
          </w:p>
        </w:tc>
      </w:tr>
      <w:tr>
        <w:tblPrEx>
          <w:tblCellMar>
            <w:top w:w="0" w:type="dxa"/>
            <w:left w:w="108" w:type="dxa"/>
            <w:bottom w:w="0" w:type="dxa"/>
            <w:right w:w="108" w:type="dxa"/>
          </w:tblCellMar>
        </w:tblPrEx>
        <w:trPr>
          <w:trHeight w:val="285" w:hRule="atLeast"/>
        </w:trPr>
        <w:tc>
          <w:tcPr>
            <w:tcW w:w="740" w:type="pct"/>
            <w:gridSpan w:val="2"/>
            <w:tcBorders>
              <w:top w:val="nil"/>
              <w:left w:val="nil"/>
              <w:bottom w:val="nil"/>
              <w:right w:val="nil"/>
            </w:tcBorders>
            <w:shd w:val="clear" w:color="auto" w:fill="auto"/>
            <w:noWrap/>
            <w:vAlign w:val="center"/>
          </w:tcPr>
          <w:p>
            <w:pPr>
              <w:rPr>
                <w:rFonts w:ascii="宋体" w:hAnsi="宋体" w:cs="宋体"/>
                <w:color w:val="auto"/>
                <w:szCs w:val="21"/>
                <w:highlight w:val="none"/>
              </w:rPr>
            </w:pPr>
            <w:r>
              <w:rPr>
                <w:rFonts w:hint="eastAsia" w:ascii="宋体" w:hAnsi="宋体" w:cs="宋体"/>
                <w:color w:val="auto"/>
                <w:kern w:val="0"/>
                <w:szCs w:val="21"/>
                <w:highlight w:val="none"/>
                <w:lang w:bidi="ar"/>
              </w:rPr>
              <w:t>表6</w:t>
            </w: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jc w:val="cente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8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4796" w:type="pct"/>
            <w:gridSpan w:val="13"/>
            <w:tcBorders>
              <w:top w:val="nil"/>
              <w:left w:val="nil"/>
              <w:bottom w:val="single" w:color="000000" w:sz="4" w:space="0"/>
              <w:right w:val="nil"/>
            </w:tcBorders>
            <w:shd w:val="clear" w:color="auto" w:fill="auto"/>
            <w:noWrap/>
            <w:vAlign w:val="center"/>
          </w:tcPr>
          <w:p>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日期:    年   月    日</w:t>
            </w:r>
          </w:p>
        </w:tc>
        <w:tc>
          <w:tcPr>
            <w:tcW w:w="20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1455" w:hRule="atLeast"/>
        </w:trPr>
        <w:tc>
          <w:tcPr>
            <w:tcW w:w="327"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社区名称</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一月月检平均得分</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二月月检平均得分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三月月检平均得分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四月月检平均得分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五月月检平均得分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六月月检平均得分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七月月检平均得分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八月月检平均得分</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九月月检平均得分</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十月月检平均得分</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十一月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月检平均得分</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十二月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月检平均得分</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年终平均得分</w:t>
            </w:r>
          </w:p>
        </w:tc>
      </w:tr>
      <w:tr>
        <w:tblPrEx>
          <w:tblCellMar>
            <w:top w:w="0" w:type="dxa"/>
            <w:left w:w="108" w:type="dxa"/>
            <w:bottom w:w="0" w:type="dxa"/>
            <w:right w:w="108" w:type="dxa"/>
          </w:tblCellMar>
        </w:tblPrEx>
        <w:trPr>
          <w:trHeight w:val="99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10" w:hRule="atLeast"/>
        </w:trPr>
        <w:tc>
          <w:tcPr>
            <w:tcW w:w="4796" w:type="pct"/>
            <w:gridSpan w:val="13"/>
            <w:tcBorders>
              <w:top w:val="single" w:color="000000" w:sz="4" w:space="0"/>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注：每月填写分数是指参评人员在当月“月考核现场检查评表”打分的平均分数。总分100分。</w:t>
            </w:r>
          </w:p>
        </w:tc>
        <w:tc>
          <w:tcPr>
            <w:tcW w:w="20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32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1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jc w:val="cente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8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32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1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jc w:val="cente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8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70" w:hRule="atLeast"/>
        </w:trPr>
        <w:tc>
          <w:tcPr>
            <w:tcW w:w="32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1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jc w:val="cente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8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1108" w:type="pct"/>
            <w:gridSpan w:val="3"/>
            <w:tcBorders>
              <w:top w:val="nil"/>
              <w:left w:val="nil"/>
              <w:bottom w:val="nil"/>
              <w:right w:val="nil"/>
            </w:tcBorders>
            <w:shd w:val="clear" w:color="auto" w:fill="auto"/>
            <w:noWrap/>
            <w:vAlign w:val="center"/>
          </w:tcPr>
          <w:p>
            <w:pPr>
              <w:rPr>
                <w:rFonts w:ascii="宋体" w:hAnsi="宋体" w:cs="宋体"/>
                <w:color w:val="auto"/>
                <w:szCs w:val="21"/>
                <w:highlight w:val="none"/>
              </w:rPr>
            </w:pPr>
            <w:r>
              <w:rPr>
                <w:rFonts w:hint="eastAsia" w:ascii="宋体" w:hAnsi="宋体" w:cs="宋体"/>
                <w:color w:val="auto"/>
                <w:kern w:val="0"/>
                <w:szCs w:val="21"/>
                <w:highlight w:val="none"/>
                <w:lang w:bidi="ar"/>
              </w:rPr>
              <w:t>统计人员签名：</w:t>
            </w: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jc w:val="cente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104" w:type="pct"/>
            <w:gridSpan w:val="3"/>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部门负责人签名：</w:t>
            </w: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8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32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1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jc w:val="cente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8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32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1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jc w:val="cente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8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32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41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jc w:val="cente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71"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8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5" w:hRule="atLeast"/>
        </w:trPr>
        <w:tc>
          <w:tcPr>
            <w:tcW w:w="1108" w:type="pct"/>
            <w:gridSpan w:val="3"/>
            <w:tcBorders>
              <w:top w:val="nil"/>
              <w:left w:val="nil"/>
              <w:bottom w:val="nil"/>
              <w:right w:val="nil"/>
            </w:tcBorders>
            <w:shd w:val="clear" w:color="auto" w:fill="auto"/>
            <w:noWrap/>
            <w:vAlign w:val="center"/>
          </w:tcPr>
          <w:p>
            <w:pPr>
              <w:rPr>
                <w:rFonts w:ascii="宋体" w:hAnsi="宋体" w:cs="宋体"/>
                <w:color w:val="auto"/>
                <w:szCs w:val="21"/>
                <w:highlight w:val="none"/>
              </w:rPr>
            </w:pPr>
            <w:r>
              <w:rPr>
                <w:rFonts w:hint="eastAsia" w:ascii="宋体" w:hAnsi="宋体" w:cs="宋体"/>
                <w:color w:val="auto"/>
                <w:kern w:val="0"/>
                <w:szCs w:val="21"/>
                <w:highlight w:val="none"/>
                <w:lang w:bidi="ar"/>
              </w:rPr>
              <w:t>复核人员签名：</w:t>
            </w: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jc w:val="center"/>
              <w:rPr>
                <w:rFonts w:ascii="宋体" w:hAnsi="宋体" w:cs="宋体"/>
                <w:color w:val="auto"/>
                <w:szCs w:val="21"/>
                <w:highlight w:val="none"/>
              </w:rPr>
            </w:pPr>
          </w:p>
        </w:tc>
        <w:tc>
          <w:tcPr>
            <w:tcW w:w="366"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1104" w:type="pct"/>
            <w:gridSpan w:val="3"/>
            <w:tcBorders>
              <w:top w:val="nil"/>
              <w:left w:val="nil"/>
              <w:bottom w:val="nil"/>
              <w:right w:val="nil"/>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分管领导签名：</w:t>
            </w: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67"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38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c>
          <w:tcPr>
            <w:tcW w:w="203" w:type="pct"/>
            <w:tcBorders>
              <w:top w:val="nil"/>
              <w:left w:val="nil"/>
              <w:bottom w:val="nil"/>
              <w:right w:val="nil"/>
            </w:tcBorders>
            <w:shd w:val="clear" w:color="auto" w:fill="auto"/>
            <w:noWrap/>
            <w:vAlign w:val="center"/>
          </w:tcPr>
          <w:p>
            <w:pPr>
              <w:rPr>
                <w:rFonts w:ascii="宋体" w:hAnsi="宋体" w:cs="宋体"/>
                <w:color w:val="auto"/>
                <w:szCs w:val="21"/>
                <w:highlight w:val="none"/>
              </w:rPr>
            </w:pPr>
          </w:p>
        </w:tc>
      </w:tr>
    </w:tbl>
    <w:p>
      <w:pPr>
        <w:pStyle w:val="2"/>
        <w:rPr>
          <w:color w:val="auto"/>
          <w:highlight w:val="none"/>
        </w:rPr>
      </w:pPr>
    </w:p>
    <w:p>
      <w:pPr>
        <w:pStyle w:val="26"/>
        <w:spacing w:line="360" w:lineRule="auto"/>
        <w:ind w:firstLine="422" w:firstLineChars="200"/>
        <w:rPr>
          <w:rFonts w:ascii="宋体" w:eastAsia="宋体" w:cs="宋体"/>
          <w:b/>
          <w:bCs/>
          <w:color w:val="auto"/>
          <w:sz w:val="21"/>
          <w:highlight w:val="none"/>
        </w:rPr>
      </w:pPr>
      <w:r>
        <w:rPr>
          <w:rFonts w:hint="eastAsia" w:ascii="宋体" w:eastAsia="宋体" w:cs="宋体"/>
          <w:b/>
          <w:bCs/>
          <w:color w:val="auto"/>
          <w:sz w:val="21"/>
          <w:highlight w:val="none"/>
        </w:rPr>
        <w:br w:type="page"/>
      </w:r>
    </w:p>
    <w:p>
      <w:pPr>
        <w:pStyle w:val="3"/>
        <w:rPr>
          <w:color w:val="auto"/>
          <w:highlight w:val="none"/>
        </w:rPr>
      </w:pPr>
      <w:bookmarkStart w:id="151" w:name="_Toc17794"/>
      <w:r>
        <w:rPr>
          <w:rFonts w:hint="eastAsia"/>
          <w:color w:val="auto"/>
          <w:highlight w:val="none"/>
        </w:rPr>
        <w:t>第六篇 投标文件格式</w:t>
      </w:r>
      <w:bookmarkEnd w:id="151"/>
    </w:p>
    <w:p>
      <w:pPr>
        <w:rPr>
          <w:b/>
          <w:bCs/>
          <w:color w:val="auto"/>
          <w:highlight w:val="none"/>
        </w:rPr>
      </w:pPr>
      <w:r>
        <w:rPr>
          <w:rFonts w:hint="eastAsia"/>
          <w:b/>
          <w:bCs/>
          <w:color w:val="auto"/>
          <w:highlight w:val="none"/>
        </w:rPr>
        <w:t>注意事项：</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5.具有履行合同所必需的设备和专业技术能力的声明。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6.投标人参加政府采购前三年内在经营活动中没有重大违法记录书面声明函。</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（1）查询渠道：通过“信用中国”网站（www.creditchina.gov.cn)和“中国政府采购网”（</w:t>
      </w:r>
      <w:r>
        <w:rPr>
          <w:rFonts w:hint="eastAsia"/>
          <w:color w:val="auto"/>
          <w:highlight w:val="none"/>
        </w:rPr>
        <w:fldChar w:fldCharType="begin"/>
      </w:r>
      <w:r>
        <w:rPr>
          <w:color w:val="auto"/>
          <w:highlight w:val="none"/>
          <w:lang w:val="en-US"/>
        </w:rPr>
        <w:instrText xml:space="preserve"> HYPERLINK "http://www.ccgp.gov.cn/" \h </w:instrText>
      </w:r>
      <w:r>
        <w:rPr>
          <w:rFonts w:hint="eastAsia"/>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（3）查询记录：对列入失信被执行人、税收违法黑名单、政府采购严重违法失信行为记录名单、信用报告进行查询；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税收违法黑名单、政府采购严重违法失信行为记录名单的投标人作无效投标处理。</w:t>
      </w:r>
    </w:p>
    <w:p>
      <w:pPr>
        <w:pStyle w:val="2"/>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pPr>
        <w:jc w:val="center"/>
        <w:outlineLvl w:val="1"/>
        <w:rPr>
          <w:b/>
          <w:bCs/>
          <w:color w:val="auto"/>
          <w:highlight w:val="none"/>
        </w:rPr>
      </w:pPr>
      <w:bookmarkStart w:id="152" w:name="_Toc32213"/>
      <w:r>
        <w:rPr>
          <w:rFonts w:hint="eastAsia"/>
          <w:b/>
          <w:bCs/>
          <w:color w:val="auto"/>
          <w:highlight w:val="none"/>
        </w:rPr>
        <w:t>（封面格式仅供参考）</w:t>
      </w:r>
      <w:bookmarkEnd w:id="152"/>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53" w:name="_Toc14748"/>
      <w:r>
        <w:rPr>
          <w:rFonts w:ascii="宋体" w:hAnsi="宋体" w:cs="宋体"/>
          <w:b/>
          <w:color w:val="auto"/>
          <w:spacing w:val="10"/>
          <w:kern w:val="0"/>
          <w:sz w:val="38"/>
          <w:szCs w:val="38"/>
          <w:highlight w:val="none"/>
          <w:lang w:val="zh-CN" w:bidi="zh-CN"/>
        </w:rPr>
        <w:t>投标文件封面</w:t>
      </w:r>
      <w:bookmarkEnd w:id="153"/>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54"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54"/>
    </w:p>
    <w:p>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312" w:beforeLines="100" w:after="312"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b/>
          <w:color w:val="auto"/>
          <w:sz w:val="24"/>
          <w:highlight w:val="none"/>
        </w:rPr>
        <w:t>投标文件目录</w:t>
      </w:r>
    </w:p>
    <w:p>
      <w:pPr>
        <w:pStyle w:val="2"/>
        <w:spacing w:before="8"/>
        <w:rPr>
          <w:b/>
          <w:color w:val="auto"/>
          <w:sz w:val="12"/>
          <w:highlight w:val="none"/>
        </w:rPr>
      </w:pPr>
    </w:p>
    <w:p>
      <w:pPr>
        <w:spacing w:line="360" w:lineRule="auto"/>
        <w:rPr>
          <w:color w:val="auto"/>
          <w:highlight w:val="none"/>
        </w:rPr>
      </w:pPr>
      <w:r>
        <w:rPr>
          <w:color w:val="auto"/>
          <w:highlight w:val="none"/>
        </w:rPr>
        <w:t>一、投标函</w:t>
      </w:r>
    </w:p>
    <w:p>
      <w:pPr>
        <w:spacing w:line="360" w:lineRule="auto"/>
        <w:rPr>
          <w:color w:val="auto"/>
          <w:highlight w:val="none"/>
        </w:rPr>
      </w:pPr>
      <w:r>
        <w:rPr>
          <w:color w:val="auto"/>
          <w:highlight w:val="none"/>
        </w:rPr>
        <w:t>二、开标一览表</w:t>
      </w:r>
    </w:p>
    <w:p>
      <w:pPr>
        <w:spacing w:line="360" w:lineRule="auto"/>
        <w:rPr>
          <w:color w:val="auto"/>
          <w:highlight w:val="none"/>
        </w:rPr>
      </w:pPr>
      <w:r>
        <w:rPr>
          <w:color w:val="auto"/>
          <w:highlight w:val="none"/>
        </w:rPr>
        <w:t>三、分项报价表</w:t>
      </w:r>
    </w:p>
    <w:p>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spacing w:line="360" w:lineRule="auto"/>
        <w:rPr>
          <w:color w:val="auto"/>
          <w:highlight w:val="none"/>
        </w:rPr>
      </w:pPr>
      <w:r>
        <w:rPr>
          <w:color w:val="auto"/>
          <w:highlight w:val="none"/>
        </w:rPr>
        <w:t>五、</w:t>
      </w:r>
      <w:r>
        <w:rPr>
          <w:rFonts w:hint="eastAsia"/>
          <w:color w:val="auto"/>
          <w:highlight w:val="none"/>
        </w:rPr>
        <w:t>法定代表人授权书</w:t>
      </w:r>
    </w:p>
    <w:p>
      <w:pPr>
        <w:spacing w:line="360" w:lineRule="auto"/>
        <w:rPr>
          <w:color w:val="auto"/>
          <w:highlight w:val="none"/>
        </w:rPr>
      </w:pPr>
      <w:r>
        <w:rPr>
          <w:color w:val="auto"/>
          <w:highlight w:val="none"/>
        </w:rPr>
        <w:t>六、</w:t>
      </w:r>
      <w:r>
        <w:rPr>
          <w:rFonts w:hint="eastAsia"/>
          <w:color w:val="auto"/>
          <w:highlight w:val="none"/>
        </w:rPr>
        <w:t>投标保证金</w:t>
      </w:r>
    </w:p>
    <w:p>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pPr>
        <w:spacing w:line="360" w:lineRule="auto"/>
        <w:rPr>
          <w:color w:val="auto"/>
          <w:highlight w:val="none"/>
        </w:rPr>
      </w:pPr>
      <w:r>
        <w:rPr>
          <w:color w:val="auto"/>
          <w:highlight w:val="none"/>
        </w:rPr>
        <w:t>十、</w:t>
      </w:r>
      <w:r>
        <w:rPr>
          <w:rFonts w:hint="eastAsia"/>
          <w:color w:val="auto"/>
          <w:highlight w:val="none"/>
        </w:rPr>
        <w:t>投标人业绩情况表</w:t>
      </w:r>
    </w:p>
    <w:p>
      <w:pPr>
        <w:spacing w:line="360" w:lineRule="auto"/>
        <w:rPr>
          <w:color w:val="auto"/>
          <w:highlight w:val="none"/>
        </w:rPr>
      </w:pPr>
      <w:r>
        <w:rPr>
          <w:color w:val="auto"/>
          <w:highlight w:val="none"/>
        </w:rPr>
        <w:t>十一、</w:t>
      </w:r>
      <w:r>
        <w:rPr>
          <w:rFonts w:hint="eastAsia"/>
          <w:color w:val="auto"/>
          <w:highlight w:val="none"/>
        </w:rPr>
        <w:t>技术要求响应表</w:t>
      </w:r>
    </w:p>
    <w:p>
      <w:pPr>
        <w:spacing w:line="360" w:lineRule="auto"/>
        <w:rPr>
          <w:color w:val="auto"/>
          <w:highlight w:val="none"/>
        </w:rPr>
      </w:pPr>
      <w:r>
        <w:rPr>
          <w:color w:val="auto"/>
          <w:highlight w:val="none"/>
        </w:rPr>
        <w:t>十二、</w:t>
      </w:r>
      <w:r>
        <w:rPr>
          <w:rFonts w:hint="eastAsia"/>
          <w:color w:val="auto"/>
          <w:highlight w:val="none"/>
        </w:rPr>
        <w:t>商务要求响应表</w:t>
      </w:r>
    </w:p>
    <w:p>
      <w:pPr>
        <w:spacing w:line="360" w:lineRule="auto"/>
        <w:rPr>
          <w:color w:val="auto"/>
          <w:highlight w:val="none"/>
        </w:rPr>
      </w:pPr>
      <w:r>
        <w:rPr>
          <w:color w:val="auto"/>
          <w:highlight w:val="none"/>
        </w:rPr>
        <w:t>十三、</w:t>
      </w:r>
      <w:r>
        <w:rPr>
          <w:rFonts w:hint="eastAsia"/>
          <w:color w:val="auto"/>
          <w:highlight w:val="none"/>
        </w:rPr>
        <w:t>履约进度计划表</w:t>
      </w:r>
    </w:p>
    <w:p>
      <w:pPr>
        <w:spacing w:line="360" w:lineRule="auto"/>
        <w:rPr>
          <w:color w:val="auto"/>
          <w:highlight w:val="none"/>
        </w:rPr>
      </w:pPr>
      <w:r>
        <w:rPr>
          <w:color w:val="auto"/>
          <w:highlight w:val="none"/>
        </w:rPr>
        <w:t>十四、</w:t>
      </w:r>
      <w:r>
        <w:rPr>
          <w:rFonts w:hint="eastAsia"/>
          <w:color w:val="auto"/>
          <w:highlight w:val="none"/>
        </w:rPr>
        <w:t>各类证明材料</w:t>
      </w:r>
    </w:p>
    <w:p>
      <w:pPr>
        <w:spacing w:line="360" w:lineRule="auto"/>
        <w:rPr>
          <w:color w:val="auto"/>
          <w:highlight w:val="none"/>
        </w:rPr>
      </w:pPr>
      <w:r>
        <w:rPr>
          <w:color w:val="auto"/>
          <w:highlight w:val="none"/>
        </w:rPr>
        <w:t>十五、</w:t>
      </w:r>
      <w:r>
        <w:rPr>
          <w:rFonts w:hint="eastAsia"/>
          <w:color w:val="auto"/>
          <w:highlight w:val="none"/>
        </w:rPr>
        <w:t>采购代理服务费支付承诺书</w:t>
      </w:r>
    </w:p>
    <w:p>
      <w:pPr>
        <w:spacing w:line="360" w:lineRule="auto"/>
        <w:rPr>
          <w:color w:val="auto"/>
          <w:highlight w:val="none"/>
        </w:rPr>
      </w:pPr>
      <w:r>
        <w:rPr>
          <w:color w:val="auto"/>
          <w:highlight w:val="none"/>
        </w:rPr>
        <w:t>十六、</w:t>
      </w:r>
      <w:r>
        <w:rPr>
          <w:rFonts w:hint="eastAsia"/>
          <w:color w:val="auto"/>
          <w:highlight w:val="none"/>
        </w:rPr>
        <w:t>需要招标人提供的附加条件</w:t>
      </w:r>
    </w:p>
    <w:p>
      <w:pPr>
        <w:rPr>
          <w:b/>
          <w:bCs/>
          <w:color w:val="auto"/>
          <w:sz w:val="24"/>
          <w:szCs w:val="32"/>
          <w:highlight w:val="none"/>
        </w:rPr>
      </w:pPr>
      <w:r>
        <w:rPr>
          <w:b/>
          <w:bCs/>
          <w:color w:val="auto"/>
          <w:sz w:val="24"/>
          <w:szCs w:val="32"/>
          <w:highlight w:val="none"/>
        </w:rPr>
        <w:br w:type="page"/>
      </w:r>
    </w:p>
    <w:p>
      <w:pPr>
        <w:rPr>
          <w:b/>
          <w:bCs/>
          <w:color w:val="auto"/>
          <w:sz w:val="24"/>
          <w:szCs w:val="32"/>
          <w:highlight w:val="none"/>
        </w:rPr>
      </w:pPr>
      <w:r>
        <w:rPr>
          <w:b/>
          <w:bCs/>
          <w:color w:val="auto"/>
          <w:sz w:val="24"/>
          <w:szCs w:val="32"/>
          <w:highlight w:val="none"/>
        </w:rPr>
        <w:t>格式一：</w:t>
      </w:r>
    </w:p>
    <w:p>
      <w:pPr>
        <w:pStyle w:val="2"/>
        <w:jc w:val="center"/>
        <w:rPr>
          <w:b/>
          <w:color w:val="auto"/>
          <w:sz w:val="12"/>
          <w:highlight w:val="none"/>
        </w:rPr>
      </w:pPr>
      <w:r>
        <w:rPr>
          <w:b/>
          <w:color w:val="auto"/>
          <w:highlight w:val="none"/>
        </w:rPr>
        <w:t>投标函</w:t>
      </w:r>
    </w:p>
    <w:p>
      <w:pPr>
        <w:pStyle w:val="2"/>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（十三）我方具备《中华人民共和国政府采购法》第二十二条规定的条件，承诺如下：</w:t>
      </w:r>
    </w:p>
    <w:p>
      <w:pPr>
        <w:pStyle w:val="23"/>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pPr>
        <w:pStyle w:val="23"/>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pPr>
        <w:pStyle w:val="2"/>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6766"/>
        </w:tabs>
        <w:autoSpaceDE w:val="0"/>
        <w:autoSpaceDN w:val="0"/>
        <w:spacing w:before="0" w:line="360" w:lineRule="auto"/>
        <w:ind w:left="0" w:firstLine="420" w:firstLineChars="200"/>
        <w:jc w:val="right"/>
        <w:rPr>
          <w:color w:val="auto"/>
          <w:sz w:val="21"/>
          <w:szCs w:val="21"/>
          <w:highlight w:val="none"/>
        </w:rPr>
      </w:pPr>
    </w:p>
    <w:p>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b/>
          <w:bCs/>
          <w:color w:val="auto"/>
          <w:sz w:val="24"/>
          <w:szCs w:val="32"/>
          <w:highlight w:val="none"/>
        </w:rPr>
      </w:pPr>
      <w:r>
        <w:rPr>
          <w:rFonts w:hint="eastAsia"/>
          <w:b/>
          <w:bCs/>
          <w:color w:val="auto"/>
          <w:sz w:val="24"/>
          <w:szCs w:val="32"/>
          <w:highlight w:val="none"/>
        </w:rPr>
        <w:t>格式二：</w:t>
      </w:r>
    </w:p>
    <w:p>
      <w:pPr>
        <w:pStyle w:val="2"/>
        <w:rPr>
          <w:color w:val="auto"/>
          <w:highlight w:val="none"/>
          <w:lang w:val="en-US"/>
        </w:rPr>
      </w:pPr>
    </w:p>
    <w:p>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2328"/>
        <w:gridCol w:w="2841"/>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985" w:type="pct"/>
            <w:vAlign w:val="center"/>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宋体" w:hAnsi="宋体"/>
                <w:b/>
                <w:bCs/>
                <w:color w:val="auto"/>
                <w:szCs w:val="21"/>
                <w:highlight w:val="none"/>
              </w:rPr>
            </w:pPr>
            <w:r>
              <w:rPr>
                <w:rFonts w:hint="eastAsia" w:ascii="宋体" w:hAnsi="宋体"/>
                <w:b/>
                <w:bCs/>
                <w:color w:val="auto"/>
                <w:szCs w:val="21"/>
                <w:highlight w:val="none"/>
              </w:rPr>
              <w:t>项目名称</w:t>
            </w:r>
          </w:p>
        </w:tc>
        <w:tc>
          <w:tcPr>
            <w:tcW w:w="1366" w:type="pct"/>
            <w:vAlign w:val="center"/>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宋体" w:hAnsi="宋体"/>
                <w:b/>
                <w:bCs/>
                <w:color w:val="auto"/>
                <w:szCs w:val="21"/>
                <w:highlight w:val="none"/>
              </w:rPr>
            </w:pPr>
            <w:r>
              <w:rPr>
                <w:rFonts w:hint="eastAsia" w:ascii="宋体" w:hAnsi="宋体"/>
                <w:b/>
                <w:bCs/>
                <w:color w:val="auto"/>
                <w:szCs w:val="21"/>
                <w:highlight w:val="none"/>
              </w:rPr>
              <w:t>投标总价（元）</w:t>
            </w:r>
          </w:p>
        </w:tc>
        <w:tc>
          <w:tcPr>
            <w:tcW w:w="1667" w:type="pct"/>
            <w:vAlign w:val="center"/>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宋体" w:hAnsi="宋体"/>
                <w:b/>
                <w:bCs/>
                <w:color w:val="auto"/>
                <w:szCs w:val="21"/>
                <w:highlight w:val="none"/>
              </w:rPr>
            </w:pPr>
            <w:r>
              <w:rPr>
                <w:rFonts w:hint="eastAsia" w:ascii="宋体" w:hAnsi="宋体"/>
                <w:b/>
                <w:bCs/>
                <w:color w:val="auto"/>
                <w:szCs w:val="21"/>
                <w:highlight w:val="none"/>
              </w:rPr>
              <w:t>综合单价（元/平方米/年）</w:t>
            </w:r>
          </w:p>
        </w:tc>
        <w:tc>
          <w:tcPr>
            <w:tcW w:w="980" w:type="pct"/>
            <w:vAlign w:val="center"/>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宋体" w:hAnsi="宋体"/>
                <w:b/>
                <w:bCs/>
                <w:color w:val="auto"/>
                <w:szCs w:val="21"/>
                <w:highlight w:val="none"/>
              </w:rPr>
            </w:pPr>
            <w:r>
              <w:rPr>
                <w:rFonts w:hint="eastAsia" w:ascii="宋体" w:hAnsi="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85" w:type="pct"/>
            <w:vMerge w:val="restart"/>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宋体" w:hAnsi="宋体"/>
                <w:color w:val="auto"/>
                <w:szCs w:val="21"/>
                <w:highlight w:val="none"/>
              </w:rPr>
            </w:pPr>
          </w:p>
        </w:tc>
        <w:tc>
          <w:tcPr>
            <w:tcW w:w="1366" w:type="pct"/>
            <w:vAlign w:val="center"/>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jc w:val="both"/>
              <w:rPr>
                <w:rFonts w:ascii="宋体" w:hAnsi="宋体"/>
                <w:color w:val="auto"/>
                <w:szCs w:val="21"/>
                <w:highlight w:val="none"/>
              </w:rPr>
            </w:pPr>
            <w:r>
              <w:rPr>
                <w:rFonts w:hint="eastAsia" w:ascii="宋体" w:hAnsi="宋体"/>
                <w:color w:val="auto"/>
                <w:szCs w:val="21"/>
                <w:highlight w:val="none"/>
              </w:rPr>
              <w:t>小写：</w:t>
            </w:r>
          </w:p>
        </w:tc>
        <w:tc>
          <w:tcPr>
            <w:tcW w:w="1667" w:type="pct"/>
            <w:vAlign w:val="center"/>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jc w:val="both"/>
              <w:rPr>
                <w:rFonts w:ascii="宋体" w:hAnsi="宋体"/>
                <w:color w:val="auto"/>
                <w:szCs w:val="21"/>
                <w:highlight w:val="none"/>
              </w:rPr>
            </w:pPr>
            <w:r>
              <w:rPr>
                <w:rFonts w:hint="eastAsia" w:ascii="宋体" w:hAnsi="宋体"/>
                <w:color w:val="auto"/>
                <w:szCs w:val="21"/>
                <w:highlight w:val="none"/>
              </w:rPr>
              <w:t>小写：</w:t>
            </w:r>
          </w:p>
        </w:tc>
        <w:tc>
          <w:tcPr>
            <w:tcW w:w="980" w:type="pct"/>
            <w:vMerge w:val="restart"/>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85" w:type="pct"/>
            <w:vMerge w:val="continue"/>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both"/>
              <w:rPr>
                <w:color w:val="auto"/>
                <w:highlight w:val="none"/>
              </w:rPr>
            </w:pPr>
          </w:p>
        </w:tc>
        <w:tc>
          <w:tcPr>
            <w:tcW w:w="1366" w:type="pct"/>
            <w:vAlign w:val="center"/>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jc w:val="both"/>
              <w:rPr>
                <w:rFonts w:ascii="宋体" w:hAnsi="宋体"/>
                <w:color w:val="auto"/>
                <w:szCs w:val="21"/>
                <w:highlight w:val="none"/>
              </w:rPr>
            </w:pPr>
            <w:r>
              <w:rPr>
                <w:rFonts w:hint="eastAsia" w:ascii="宋体" w:hAnsi="宋体"/>
                <w:color w:val="auto"/>
                <w:szCs w:val="21"/>
                <w:highlight w:val="none"/>
              </w:rPr>
              <w:t>大写：</w:t>
            </w:r>
          </w:p>
        </w:tc>
        <w:tc>
          <w:tcPr>
            <w:tcW w:w="1667" w:type="pct"/>
            <w:vAlign w:val="center"/>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jc w:val="both"/>
              <w:rPr>
                <w:rFonts w:ascii="宋体" w:hAnsi="宋体"/>
                <w:color w:val="auto"/>
                <w:szCs w:val="21"/>
                <w:highlight w:val="none"/>
              </w:rPr>
            </w:pPr>
            <w:r>
              <w:rPr>
                <w:rFonts w:hint="eastAsia" w:ascii="宋体" w:hAnsi="宋体"/>
                <w:color w:val="auto"/>
                <w:szCs w:val="21"/>
                <w:highlight w:val="none"/>
              </w:rPr>
              <w:t>大写：</w:t>
            </w:r>
          </w:p>
        </w:tc>
        <w:tc>
          <w:tcPr>
            <w:tcW w:w="980" w:type="pct"/>
            <w:vMerge w:val="continue"/>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both"/>
              <w:rPr>
                <w:rFonts w:ascii="宋体" w:hAnsi="宋体"/>
                <w:color w:val="auto"/>
                <w:szCs w:val="21"/>
                <w:highlight w:val="none"/>
              </w:rPr>
            </w:pPr>
          </w:p>
        </w:tc>
      </w:tr>
    </w:tbl>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spacing w:line="360" w:lineRule="auto"/>
        <w:ind w:firstLine="359" w:firstLineChars="171"/>
        <w:rPr>
          <w:rFonts w:ascii="宋体" w:hAnsi="宋体"/>
          <w:color w:val="auto"/>
          <w:szCs w:val="21"/>
          <w:highlight w:val="none"/>
        </w:rPr>
      </w:pPr>
    </w:p>
    <w:p>
      <w:pPr>
        <w:spacing w:before="312"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pPr>
        <w:pStyle w:val="23"/>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1、投标总价栏须用大写金额和小写金额两种方式表示的投标总价，报价保留小数点后两位。投标总价大小写不一致，以大写为准。投标总价必须准确唯一且应包含招标文件要求的所有费用。</w:t>
      </w:r>
    </w:p>
    <w:p>
      <w:pPr>
        <w:pStyle w:val="23"/>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2、未按招标文件要求报价、填写开标一览表是导致投标人废标的常见问题，请投标人仔细填写，认真核对。</w:t>
      </w:r>
    </w:p>
    <w:p>
      <w:pPr>
        <w:rPr>
          <w:rFonts w:ascii="宋体" w:hAnsi="宋体" w:cs="宋体"/>
          <w:color w:val="auto"/>
          <w:szCs w:val="21"/>
          <w:highlight w:val="none"/>
        </w:rPr>
      </w:pPr>
      <w:r>
        <w:rPr>
          <w:rFonts w:hint="eastAsia" w:ascii="宋体" w:hAnsi="宋体" w:cs="宋体"/>
          <w:color w:val="auto"/>
          <w:szCs w:val="21"/>
          <w:highlight w:val="none"/>
        </w:rPr>
        <w:br w:type="page"/>
      </w:r>
    </w:p>
    <w:p>
      <w:pPr>
        <w:rPr>
          <w:b/>
          <w:bCs/>
          <w:color w:val="auto"/>
          <w:sz w:val="24"/>
          <w:szCs w:val="32"/>
          <w:highlight w:val="none"/>
        </w:rPr>
      </w:pPr>
      <w:r>
        <w:rPr>
          <w:rFonts w:hint="eastAsia"/>
          <w:b/>
          <w:bCs/>
          <w:color w:val="auto"/>
          <w:sz w:val="24"/>
          <w:szCs w:val="32"/>
          <w:highlight w:val="none"/>
        </w:rPr>
        <w:t>格式三：</w:t>
      </w:r>
    </w:p>
    <w:p>
      <w:pPr>
        <w:jc w:val="center"/>
        <w:rPr>
          <w:b/>
          <w:bCs/>
          <w:color w:val="auto"/>
          <w:sz w:val="24"/>
          <w:szCs w:val="32"/>
          <w:highlight w:val="none"/>
        </w:rPr>
      </w:pPr>
      <w:r>
        <w:rPr>
          <w:rFonts w:hint="eastAsia"/>
          <w:b/>
          <w:bCs/>
          <w:color w:val="auto"/>
          <w:sz w:val="24"/>
          <w:szCs w:val="32"/>
          <w:highlight w:val="none"/>
        </w:rPr>
        <w:t>分项报价表</w:t>
      </w:r>
    </w:p>
    <w:p>
      <w:pPr>
        <w:pStyle w:val="11"/>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p>
        </w:tc>
      </w:tr>
    </w:tbl>
    <w:p>
      <w:pPr>
        <w:spacing w:line="360" w:lineRule="auto"/>
        <w:jc w:val="center"/>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2"/>
        <w:rPr>
          <w:b/>
          <w:bCs/>
          <w:color w:val="auto"/>
          <w:highlight w:val="none"/>
          <w:lang w:val="en-US"/>
        </w:rPr>
      </w:pPr>
      <w:r>
        <w:rPr>
          <w:rFonts w:hint="eastAsia"/>
          <w:b/>
          <w:bCs/>
          <w:color w:val="auto"/>
          <w:highlight w:val="none"/>
          <w:lang w:val="en-US"/>
        </w:rPr>
        <w:t>格式四：</w:t>
      </w:r>
    </w:p>
    <w:p>
      <w:pPr>
        <w:pStyle w:val="4"/>
        <w:spacing w:line="360" w:lineRule="auto"/>
        <w:rPr>
          <w:color w:val="auto"/>
          <w:sz w:val="24"/>
          <w:highlight w:val="none"/>
        </w:rPr>
      </w:pPr>
      <w:bookmarkStart w:id="155" w:name="_Toc23039"/>
      <w:r>
        <w:rPr>
          <w:color w:val="auto"/>
          <w:sz w:val="24"/>
          <w:highlight w:val="none"/>
        </w:rPr>
        <w:t>法定代表人证明书</w:t>
      </w:r>
      <w:bookmarkEnd w:id="155"/>
    </w:p>
    <w:p>
      <w:pPr>
        <w:pStyle w:val="2"/>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pPr>
        <w:pStyle w:val="2"/>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3693"/>
        </w:tabs>
        <w:spacing w:line="242" w:lineRule="exact"/>
        <w:ind w:right="104"/>
        <w:jc w:val="right"/>
        <w:rPr>
          <w:color w:val="auto"/>
          <w:sz w:val="21"/>
          <w:szCs w:val="21"/>
          <w:highlight w:val="none"/>
        </w:rPr>
      </w:pPr>
    </w:p>
    <w:p>
      <w:pPr>
        <w:pStyle w:val="2"/>
        <w:tabs>
          <w:tab w:val="left" w:pos="3693"/>
        </w:tabs>
        <w:spacing w:line="242" w:lineRule="exact"/>
        <w:ind w:right="104"/>
        <w:jc w:val="right"/>
        <w:rPr>
          <w:color w:val="auto"/>
          <w:sz w:val="21"/>
          <w:szCs w:val="21"/>
          <w:highlight w:val="none"/>
        </w:rPr>
      </w:pPr>
    </w:p>
    <w:p>
      <w:pPr>
        <w:pStyle w:val="2"/>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2"/>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2"/>
        <w:rPr>
          <w:color w:val="auto"/>
          <w:highlight w:val="none"/>
          <w:lang w:val="en-US"/>
        </w:rPr>
      </w:pPr>
    </w:p>
    <w:p>
      <w:pPr>
        <w:rPr>
          <w:color w:val="auto"/>
          <w:highlight w:val="none"/>
        </w:rPr>
      </w:pPr>
    </w:p>
    <w:p>
      <w:pPr>
        <w:pStyle w:val="2"/>
        <w:rPr>
          <w:color w:val="auto"/>
          <w:highlight w:val="none"/>
          <w:lang w:val="en-US"/>
        </w:rPr>
      </w:pPr>
    </w:p>
    <w:p>
      <w:pPr>
        <w:spacing w:before="156" w:beforeLines="50" w:after="156"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8"/>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6"/>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6"/>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rPr>
          <w:color w:val="auto"/>
          <w:highlight w:val="none"/>
        </w:rPr>
      </w:pPr>
      <w:r>
        <w:rPr>
          <w:rFonts w:hint="eastAsia"/>
          <w:color w:val="auto"/>
          <w:highlight w:val="none"/>
        </w:rPr>
        <w:br w:type="page"/>
      </w:r>
    </w:p>
    <w:p>
      <w:pPr>
        <w:pStyle w:val="2"/>
        <w:rPr>
          <w:b/>
          <w:bCs/>
          <w:color w:val="auto"/>
          <w:highlight w:val="none"/>
          <w:lang w:val="en-US"/>
        </w:rPr>
      </w:pPr>
      <w:r>
        <w:rPr>
          <w:rFonts w:hint="eastAsia"/>
          <w:b/>
          <w:bCs/>
          <w:color w:val="auto"/>
          <w:highlight w:val="none"/>
          <w:lang w:val="en-US"/>
        </w:rPr>
        <w:t>格式五：</w:t>
      </w:r>
    </w:p>
    <w:p>
      <w:pPr>
        <w:jc w:val="center"/>
        <w:rPr>
          <w:b/>
          <w:bCs/>
          <w:color w:val="auto"/>
          <w:sz w:val="24"/>
          <w:szCs w:val="32"/>
          <w:highlight w:val="none"/>
        </w:rPr>
      </w:pPr>
      <w:r>
        <w:rPr>
          <w:b/>
          <w:bCs/>
          <w:color w:val="auto"/>
          <w:sz w:val="24"/>
          <w:szCs w:val="32"/>
          <w:highlight w:val="none"/>
        </w:rPr>
        <w:t>法定代表人授权书</w:t>
      </w:r>
    </w:p>
    <w:p>
      <w:pPr>
        <w:pStyle w:val="2"/>
        <w:spacing w:before="0" w:line="360" w:lineRule="auto"/>
        <w:ind w:left="0"/>
        <w:rPr>
          <w:color w:val="auto"/>
          <w:sz w:val="21"/>
          <w:szCs w:val="21"/>
          <w:highlight w:val="none"/>
        </w:rPr>
      </w:pPr>
      <w:r>
        <w:rPr>
          <w:rFonts w:hint="eastAsia"/>
          <w:color w:val="auto"/>
          <w:sz w:val="21"/>
          <w:szCs w:val="21"/>
          <w:highlight w:val="none"/>
        </w:rPr>
        <w:t>致：国顺招标有限公司</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pPr>
        <w:pStyle w:val="2"/>
        <w:tabs>
          <w:tab w:val="left" w:pos="10713"/>
        </w:tabs>
        <w:spacing w:before="0" w:line="360" w:lineRule="auto"/>
        <w:ind w:left="0"/>
        <w:jc w:val="right"/>
        <w:rPr>
          <w:color w:val="auto"/>
          <w:sz w:val="21"/>
          <w:szCs w:val="21"/>
          <w:highlight w:val="none"/>
        </w:rPr>
      </w:pPr>
    </w:p>
    <w:p>
      <w:pPr>
        <w:pStyle w:val="2"/>
        <w:tabs>
          <w:tab w:val="left" w:pos="10713"/>
        </w:tabs>
        <w:spacing w:before="0" w:line="360" w:lineRule="auto"/>
        <w:ind w:left="0"/>
        <w:jc w:val="right"/>
        <w:rPr>
          <w:color w:val="auto"/>
          <w:sz w:val="21"/>
          <w:szCs w:val="21"/>
          <w:highlight w:val="none"/>
        </w:rPr>
      </w:pP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pPr>
        <w:pStyle w:val="2"/>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2"/>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pPr>
        <w:pStyle w:val="2"/>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pPr>
        <w:pStyle w:val="2"/>
        <w:tabs>
          <w:tab w:val="left" w:pos="2349"/>
        </w:tabs>
        <w:spacing w:before="0" w:line="480" w:lineRule="auto"/>
        <w:ind w:left="0"/>
        <w:rPr>
          <w:color w:val="auto"/>
          <w:sz w:val="21"/>
          <w:szCs w:val="21"/>
          <w:highlight w:val="none"/>
          <w:lang w:val="en-US"/>
        </w:rPr>
      </w:pPr>
    </w:p>
    <w:p>
      <w:pPr>
        <w:spacing w:after="156"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8"/>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6"/>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6"/>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pStyle w:val="2"/>
        <w:tabs>
          <w:tab w:val="left" w:pos="2349"/>
        </w:tabs>
        <w:spacing w:before="0" w:line="480" w:lineRule="auto"/>
        <w:ind w:left="0"/>
        <w:rPr>
          <w:color w:val="auto"/>
          <w:sz w:val="20"/>
          <w:szCs w:val="20"/>
          <w:highlight w:val="none"/>
          <w:lang w:val="en-US"/>
        </w:rPr>
      </w:pPr>
    </w:p>
    <w:p>
      <w:pPr>
        <w:rPr>
          <w:b/>
          <w:bCs/>
          <w:color w:val="auto"/>
          <w:sz w:val="24"/>
          <w:highlight w:val="none"/>
        </w:rPr>
      </w:pPr>
      <w:r>
        <w:rPr>
          <w:rFonts w:hint="eastAsia"/>
          <w:b/>
          <w:bCs/>
          <w:color w:val="auto"/>
          <w:sz w:val="24"/>
          <w:highlight w:val="none"/>
        </w:rPr>
        <w:br w:type="page"/>
      </w:r>
    </w:p>
    <w:p>
      <w:pPr>
        <w:rPr>
          <w:b/>
          <w:bCs/>
          <w:color w:val="auto"/>
          <w:sz w:val="24"/>
          <w:highlight w:val="none"/>
        </w:rPr>
      </w:pPr>
      <w:r>
        <w:rPr>
          <w:rFonts w:hint="eastAsia"/>
          <w:b/>
          <w:bCs/>
          <w:color w:val="auto"/>
          <w:sz w:val="24"/>
          <w:highlight w:val="none"/>
        </w:rPr>
        <w:t>格式六：</w:t>
      </w:r>
    </w:p>
    <w:p>
      <w:pPr>
        <w:rPr>
          <w:b/>
          <w:bCs/>
          <w:color w:val="auto"/>
          <w:sz w:val="24"/>
          <w:highlight w:val="none"/>
        </w:rPr>
      </w:pPr>
      <w:r>
        <w:rPr>
          <w:color w:val="auto"/>
          <w:sz w:val="20"/>
          <w:szCs w:val="20"/>
          <w:highlight w:val="none"/>
        </w:rPr>
        <w:t>（以下格式文件由</w:t>
      </w:r>
      <w:r>
        <w:rPr>
          <w:rFonts w:hint="eastAsia"/>
          <w:color w:val="auto"/>
          <w:sz w:val="20"/>
          <w:szCs w:val="20"/>
          <w:highlight w:val="none"/>
        </w:rPr>
        <w:t>投标人</w:t>
      </w:r>
      <w:r>
        <w:rPr>
          <w:color w:val="auto"/>
          <w:sz w:val="20"/>
          <w:szCs w:val="20"/>
          <w:highlight w:val="none"/>
        </w:rPr>
        <w:t>根据需要选用）</w:t>
      </w:r>
    </w:p>
    <w:p>
      <w:pPr>
        <w:jc w:val="center"/>
        <w:rPr>
          <w:b/>
          <w:bCs/>
          <w:color w:val="auto"/>
          <w:sz w:val="24"/>
          <w:highlight w:val="none"/>
        </w:rPr>
      </w:pPr>
      <w:r>
        <w:rPr>
          <w:rFonts w:hint="eastAsia"/>
          <w:b/>
          <w:bCs/>
          <w:color w:val="auto"/>
          <w:sz w:val="24"/>
          <w:highlight w:val="none"/>
        </w:rPr>
        <w:t>投标保证金</w:t>
      </w:r>
    </w:p>
    <w:p>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）的招标文件要求，于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本单位投标保证金的汇款情况：（详见附件－投标保证金汇款凭证）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（必须是投标时使用的账户名）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（必须是投标时使用的账号）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18"/>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pPr>
        <w:rPr>
          <w:color w:val="auto"/>
          <w:highlight w:val="none"/>
        </w:rPr>
      </w:pPr>
      <w:r>
        <w:rPr>
          <w:rFonts w:hint="eastAsia"/>
          <w:color w:val="auto"/>
          <w:highlight w:val="none"/>
        </w:rPr>
        <w:br w:type="page"/>
      </w:r>
    </w:p>
    <w:p>
      <w:pPr>
        <w:rPr>
          <w:b/>
          <w:bCs/>
          <w:color w:val="auto"/>
          <w:sz w:val="24"/>
          <w:szCs w:val="32"/>
          <w:highlight w:val="none"/>
        </w:rPr>
      </w:pPr>
      <w:r>
        <w:rPr>
          <w:rFonts w:hint="eastAsia"/>
          <w:b/>
          <w:bCs/>
          <w:color w:val="auto"/>
          <w:sz w:val="24"/>
          <w:szCs w:val="32"/>
          <w:highlight w:val="none"/>
        </w:rPr>
        <w:t>格式七：</w:t>
      </w:r>
    </w:p>
    <w:p>
      <w:pPr>
        <w:pStyle w:val="2"/>
        <w:jc w:val="center"/>
        <w:rPr>
          <w:b/>
          <w:bCs/>
          <w:color w:val="auto"/>
          <w:highlight w:val="none"/>
          <w:lang w:val="en-US"/>
        </w:rPr>
      </w:pPr>
      <w:r>
        <w:rPr>
          <w:b/>
          <w:bCs/>
          <w:color w:val="auto"/>
          <w:highlight w:val="none"/>
          <w:lang w:val="en-US"/>
        </w:rPr>
        <w:t>提供具有独立承担民事责任的能力的证明材料</w:t>
      </w:r>
    </w:p>
    <w:p>
      <w:pPr>
        <w:ind w:firstLine="420" w:firstLineChars="200"/>
        <w:rPr>
          <w:color w:val="auto"/>
          <w:highlight w:val="none"/>
        </w:rPr>
      </w:pPr>
    </w:p>
    <w:p>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pPr>
        <w:rPr>
          <w:b/>
          <w:bCs/>
          <w:color w:val="auto"/>
          <w:highlight w:val="none"/>
        </w:rPr>
      </w:pPr>
      <w:r>
        <w:rPr>
          <w:b/>
          <w:bCs/>
          <w:color w:val="auto"/>
          <w:highlight w:val="none"/>
        </w:rPr>
        <w:br w:type="page"/>
      </w:r>
    </w:p>
    <w:p>
      <w:pPr>
        <w:rPr>
          <w:b/>
          <w:bCs/>
          <w:color w:val="auto"/>
          <w:sz w:val="24"/>
          <w:szCs w:val="32"/>
          <w:highlight w:val="none"/>
        </w:rPr>
      </w:pPr>
      <w:r>
        <w:rPr>
          <w:rFonts w:hint="eastAsia"/>
          <w:b/>
          <w:bCs/>
          <w:color w:val="auto"/>
          <w:sz w:val="24"/>
          <w:szCs w:val="32"/>
          <w:highlight w:val="none"/>
        </w:rPr>
        <w:t>格式八：</w:t>
      </w:r>
    </w:p>
    <w:p>
      <w:pPr>
        <w:pStyle w:val="2"/>
        <w:jc w:val="center"/>
        <w:rPr>
          <w:b/>
          <w:color w:val="auto"/>
          <w:highlight w:val="none"/>
        </w:rPr>
      </w:pPr>
      <w:r>
        <w:rPr>
          <w:b/>
          <w:color w:val="auto"/>
          <w:highlight w:val="none"/>
        </w:rPr>
        <w:t>资格性审查要求的其他资质证明文件</w:t>
      </w:r>
    </w:p>
    <w:p>
      <w:pPr>
        <w:widowControl/>
        <w:spacing w:line="360" w:lineRule="auto"/>
        <w:rPr>
          <w:rFonts w:ascii="宋体" w:hAnsi="宋体"/>
          <w:color w:val="auto"/>
          <w:szCs w:val="21"/>
          <w:highlight w:val="none"/>
        </w:rPr>
      </w:pPr>
    </w:p>
    <w:p>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截止日前6个月内任意1个月依法缴纳税收和社会保障资金的相关材料。如依法免税或不需要缴纳社会保障资金的，提供相应证明材料。（提供相关证明资料或参考投标文件格式“资格条件声明函”作相关承诺）</w:t>
      </w:r>
    </w:p>
    <w:p>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2021年度或2022年度财务状况报告或基本开户行出具的资信证明）。（提供相关证明资料或参考投标文件格式“资格条件声明函”作相关承诺）</w:t>
      </w:r>
    </w:p>
    <w:p>
      <w:pPr>
        <w:widowControl/>
        <w:spacing w:line="360" w:lineRule="auto"/>
        <w:rPr>
          <w:rFonts w:ascii="宋体" w:hAnsi="宋体"/>
          <w:color w:val="auto"/>
          <w:szCs w:val="21"/>
          <w:highlight w:val="none"/>
        </w:rPr>
      </w:pPr>
      <w:r>
        <w:rPr>
          <w:rFonts w:hint="eastAsia" w:ascii="宋体" w:hAnsi="宋体"/>
          <w:color w:val="auto"/>
          <w:szCs w:val="21"/>
          <w:highlight w:val="none"/>
        </w:rPr>
        <w:t>3、履行合同所必需的设备和专业技术能力：填报设备及专业技术能力情况，格式自拟。（提供相关证明资料或参考投标文件格式“资格条件声明函”作相关承诺）</w:t>
      </w:r>
    </w:p>
    <w:p>
      <w:pPr>
        <w:rPr>
          <w:color w:val="auto"/>
          <w:sz w:val="20"/>
          <w:highlight w:val="none"/>
        </w:rPr>
      </w:pPr>
      <w:r>
        <w:rPr>
          <w:rFonts w:hint="eastAsia"/>
          <w:color w:val="auto"/>
          <w:sz w:val="20"/>
          <w:highlight w:val="none"/>
        </w:rPr>
        <w:br w:type="page"/>
      </w:r>
    </w:p>
    <w:p>
      <w:pPr>
        <w:pStyle w:val="2"/>
        <w:jc w:val="center"/>
        <w:rPr>
          <w:b/>
          <w:color w:val="auto"/>
          <w:highlight w:val="none"/>
        </w:rPr>
      </w:pPr>
      <w:r>
        <w:rPr>
          <w:rFonts w:hint="eastAsia"/>
          <w:b/>
          <w:color w:val="auto"/>
          <w:highlight w:val="none"/>
        </w:rPr>
        <w:t>资格条件声明函</w:t>
      </w:r>
    </w:p>
    <w:p>
      <w:pPr>
        <w:rPr>
          <w:rFonts w:ascii="仿宋_GB2312" w:hAnsi="仿宋_GB2312" w:eastAsia="仿宋_GB2312" w:cs="仿宋_GB2312"/>
          <w:color w:val="auto"/>
          <w:sz w:val="32"/>
          <w:szCs w:val="32"/>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愿响应关于</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的投标邀请并参与本项目投标，符合《中华人民共和国政府采购法》第二十二条第一款第（二）项、第（三）项、第（四）项、第（五）项规定条件，具体包括：</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2.具有履行合同所必需的设备和专业技术能力；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3.具有依法缴纳税收和社会保障资金的良好记录；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4.参加政府采购活动前三年内，在经营活动中没有重大违法记录。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供应商名称（公章）</w:t>
      </w:r>
    </w:p>
    <w:p>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日期：</w:t>
      </w:r>
    </w:p>
    <w:p>
      <w:pPr>
        <w:rPr>
          <w:rFonts w:ascii="宋体" w:hAnsi="宋体" w:cs="宋体"/>
          <w:b/>
          <w:bCs/>
          <w:color w:val="auto"/>
          <w:szCs w:val="21"/>
          <w:highlight w:val="none"/>
        </w:rPr>
      </w:pPr>
      <w:r>
        <w:rPr>
          <w:rFonts w:hint="eastAsia" w:ascii="宋体" w:hAnsi="宋体" w:cs="宋体"/>
          <w:b/>
          <w:bCs/>
          <w:color w:val="auto"/>
          <w:szCs w:val="21"/>
          <w:highlight w:val="none"/>
        </w:rPr>
        <w:br w:type="page"/>
      </w:r>
    </w:p>
    <w:p>
      <w:pPr>
        <w:pStyle w:val="2"/>
        <w:rPr>
          <w:color w:val="auto"/>
          <w:highlight w:val="none"/>
        </w:rPr>
      </w:pPr>
      <w:r>
        <w:rPr>
          <w:rFonts w:hint="eastAsia"/>
          <w:b/>
          <w:bCs/>
          <w:color w:val="auto"/>
          <w:highlight w:val="none"/>
        </w:rPr>
        <w:t>格式九：</w:t>
      </w:r>
    </w:p>
    <w:p>
      <w:pPr>
        <w:rPr>
          <w:color w:val="auto"/>
          <w:highlight w:val="none"/>
        </w:rPr>
      </w:pPr>
    </w:p>
    <w:p>
      <w:pPr>
        <w:jc w:val="center"/>
        <w:rPr>
          <w:b/>
          <w:bCs/>
          <w:color w:val="auto"/>
          <w:sz w:val="24"/>
          <w:szCs w:val="32"/>
          <w:highlight w:val="none"/>
        </w:rPr>
      </w:pPr>
      <w:r>
        <w:rPr>
          <w:rFonts w:hint="eastAsia"/>
          <w:b/>
          <w:bCs/>
          <w:color w:val="auto"/>
          <w:sz w:val="24"/>
          <w:szCs w:val="32"/>
          <w:highlight w:val="none"/>
        </w:rPr>
        <w:t>在经营活动中没有重大违法记录的书面声明</w:t>
      </w:r>
    </w:p>
    <w:p>
      <w:pPr>
        <w:rPr>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r>
        <w:rPr>
          <w:color w:val="auto"/>
          <w:highlight w:val="none"/>
        </w:rPr>
        <w:br w:type="page"/>
      </w:r>
    </w:p>
    <w:p>
      <w:pPr>
        <w:rPr>
          <w:b/>
          <w:bCs/>
          <w:color w:val="auto"/>
          <w:sz w:val="24"/>
          <w:szCs w:val="32"/>
          <w:highlight w:val="none"/>
        </w:rPr>
      </w:pPr>
      <w:r>
        <w:rPr>
          <w:rFonts w:hint="eastAsia"/>
          <w:b/>
          <w:bCs/>
          <w:color w:val="auto"/>
          <w:sz w:val="24"/>
          <w:szCs w:val="32"/>
          <w:highlight w:val="none"/>
        </w:rPr>
        <w:t>格式十：</w:t>
      </w:r>
    </w:p>
    <w:p>
      <w:pPr>
        <w:pStyle w:val="2"/>
        <w:jc w:val="center"/>
        <w:rPr>
          <w:b/>
          <w:bCs/>
          <w:color w:val="auto"/>
          <w:highlight w:val="none"/>
          <w:lang w:val="en-US"/>
        </w:rPr>
      </w:pPr>
      <w:r>
        <w:rPr>
          <w:b/>
          <w:bCs/>
          <w:color w:val="auto"/>
          <w:highlight w:val="none"/>
          <w:lang w:val="en-US"/>
        </w:rPr>
        <w:t>投标人业绩情况表</w:t>
      </w:r>
    </w:p>
    <w:p>
      <w:pPr>
        <w:pStyle w:val="2"/>
        <w:spacing w:before="2" w:after="1"/>
        <w:rPr>
          <w:b/>
          <w:color w:val="auto"/>
          <w:sz w:val="17"/>
          <w:highlight w:val="none"/>
        </w:rPr>
      </w:pPr>
    </w:p>
    <w:tbl>
      <w:tblPr>
        <w:tblStyle w:val="18"/>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5"/>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pPr>
              <w:pStyle w:val="25"/>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pPr>
              <w:pStyle w:val="25"/>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pPr>
              <w:pStyle w:val="25"/>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pPr>
              <w:pStyle w:val="25"/>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pPr>
              <w:pStyle w:val="25"/>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5"/>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pPr>
              <w:pStyle w:val="25"/>
              <w:spacing w:line="360" w:lineRule="auto"/>
              <w:rPr>
                <w:rFonts w:ascii="宋体" w:hAnsi="宋体" w:cs="宋体"/>
                <w:color w:val="auto"/>
                <w:szCs w:val="21"/>
                <w:highlight w:val="none"/>
              </w:rPr>
            </w:pPr>
          </w:p>
        </w:tc>
        <w:tc>
          <w:tcPr>
            <w:tcW w:w="1553" w:type="pct"/>
            <w:shd w:val="clear" w:color="auto" w:fill="FFFFFF" w:themeFill="background1"/>
          </w:tcPr>
          <w:p>
            <w:pPr>
              <w:pStyle w:val="25"/>
              <w:spacing w:line="360" w:lineRule="auto"/>
              <w:rPr>
                <w:rFonts w:ascii="宋体" w:hAnsi="宋体" w:cs="宋体"/>
                <w:color w:val="auto"/>
                <w:szCs w:val="21"/>
                <w:highlight w:val="none"/>
              </w:rPr>
            </w:pPr>
          </w:p>
        </w:tc>
        <w:tc>
          <w:tcPr>
            <w:tcW w:w="779" w:type="pct"/>
            <w:shd w:val="clear" w:color="auto" w:fill="FFFFFF" w:themeFill="background1"/>
          </w:tcPr>
          <w:p>
            <w:pPr>
              <w:pStyle w:val="25"/>
              <w:spacing w:line="360" w:lineRule="auto"/>
              <w:rPr>
                <w:rFonts w:ascii="宋体" w:hAnsi="宋体" w:cs="宋体"/>
                <w:color w:val="auto"/>
                <w:szCs w:val="21"/>
                <w:highlight w:val="none"/>
              </w:rPr>
            </w:pPr>
          </w:p>
        </w:tc>
        <w:tc>
          <w:tcPr>
            <w:tcW w:w="1001" w:type="pct"/>
            <w:shd w:val="clear" w:color="auto" w:fill="FFFFFF" w:themeFill="background1"/>
          </w:tcPr>
          <w:p>
            <w:pPr>
              <w:pStyle w:val="25"/>
              <w:spacing w:line="360" w:lineRule="auto"/>
              <w:rPr>
                <w:rFonts w:ascii="宋体" w:hAnsi="宋体" w:cs="宋体"/>
                <w:color w:val="auto"/>
                <w:szCs w:val="21"/>
                <w:highlight w:val="none"/>
              </w:rPr>
            </w:pPr>
          </w:p>
        </w:tc>
        <w:tc>
          <w:tcPr>
            <w:tcW w:w="785" w:type="pct"/>
            <w:shd w:val="clear" w:color="auto" w:fill="FFFFFF" w:themeFill="background1"/>
          </w:tcPr>
          <w:p>
            <w:pPr>
              <w:pStyle w:val="25"/>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5"/>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pPr>
              <w:pStyle w:val="25"/>
              <w:spacing w:line="360" w:lineRule="auto"/>
              <w:rPr>
                <w:rFonts w:ascii="宋体" w:hAnsi="宋体" w:cs="宋体"/>
                <w:color w:val="auto"/>
                <w:szCs w:val="21"/>
                <w:highlight w:val="none"/>
              </w:rPr>
            </w:pPr>
          </w:p>
        </w:tc>
        <w:tc>
          <w:tcPr>
            <w:tcW w:w="1553" w:type="pct"/>
            <w:shd w:val="clear" w:color="auto" w:fill="FFFFFF" w:themeFill="background1"/>
          </w:tcPr>
          <w:p>
            <w:pPr>
              <w:pStyle w:val="25"/>
              <w:spacing w:line="360" w:lineRule="auto"/>
              <w:rPr>
                <w:rFonts w:ascii="宋体" w:hAnsi="宋体" w:cs="宋体"/>
                <w:color w:val="auto"/>
                <w:szCs w:val="21"/>
                <w:highlight w:val="none"/>
              </w:rPr>
            </w:pPr>
          </w:p>
        </w:tc>
        <w:tc>
          <w:tcPr>
            <w:tcW w:w="779" w:type="pct"/>
            <w:shd w:val="clear" w:color="auto" w:fill="FFFFFF" w:themeFill="background1"/>
          </w:tcPr>
          <w:p>
            <w:pPr>
              <w:pStyle w:val="25"/>
              <w:spacing w:line="360" w:lineRule="auto"/>
              <w:rPr>
                <w:rFonts w:ascii="宋体" w:hAnsi="宋体" w:cs="宋体"/>
                <w:color w:val="auto"/>
                <w:szCs w:val="21"/>
                <w:highlight w:val="none"/>
              </w:rPr>
            </w:pPr>
          </w:p>
        </w:tc>
        <w:tc>
          <w:tcPr>
            <w:tcW w:w="1001" w:type="pct"/>
            <w:shd w:val="clear" w:color="auto" w:fill="FFFFFF" w:themeFill="background1"/>
          </w:tcPr>
          <w:p>
            <w:pPr>
              <w:pStyle w:val="25"/>
              <w:spacing w:line="360" w:lineRule="auto"/>
              <w:rPr>
                <w:rFonts w:ascii="宋体" w:hAnsi="宋体" w:cs="宋体"/>
                <w:color w:val="auto"/>
                <w:szCs w:val="21"/>
                <w:highlight w:val="none"/>
              </w:rPr>
            </w:pPr>
          </w:p>
        </w:tc>
        <w:tc>
          <w:tcPr>
            <w:tcW w:w="785" w:type="pct"/>
            <w:shd w:val="clear" w:color="auto" w:fill="FFFFFF" w:themeFill="background1"/>
          </w:tcPr>
          <w:p>
            <w:pPr>
              <w:pStyle w:val="25"/>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5"/>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pPr>
              <w:pStyle w:val="25"/>
              <w:spacing w:line="360" w:lineRule="auto"/>
              <w:rPr>
                <w:rFonts w:ascii="宋体" w:hAnsi="宋体" w:cs="宋体"/>
                <w:color w:val="auto"/>
                <w:szCs w:val="21"/>
                <w:highlight w:val="none"/>
              </w:rPr>
            </w:pPr>
          </w:p>
        </w:tc>
        <w:tc>
          <w:tcPr>
            <w:tcW w:w="1553" w:type="pct"/>
            <w:shd w:val="clear" w:color="auto" w:fill="FFFFFF" w:themeFill="background1"/>
          </w:tcPr>
          <w:p>
            <w:pPr>
              <w:pStyle w:val="25"/>
              <w:spacing w:line="360" w:lineRule="auto"/>
              <w:rPr>
                <w:rFonts w:ascii="宋体" w:hAnsi="宋体" w:cs="宋体"/>
                <w:color w:val="auto"/>
                <w:szCs w:val="21"/>
                <w:highlight w:val="none"/>
              </w:rPr>
            </w:pPr>
          </w:p>
        </w:tc>
        <w:tc>
          <w:tcPr>
            <w:tcW w:w="779" w:type="pct"/>
            <w:shd w:val="clear" w:color="auto" w:fill="FFFFFF" w:themeFill="background1"/>
          </w:tcPr>
          <w:p>
            <w:pPr>
              <w:pStyle w:val="25"/>
              <w:spacing w:line="360" w:lineRule="auto"/>
              <w:rPr>
                <w:rFonts w:ascii="宋体" w:hAnsi="宋体" w:cs="宋体"/>
                <w:color w:val="auto"/>
                <w:szCs w:val="21"/>
                <w:highlight w:val="none"/>
              </w:rPr>
            </w:pPr>
          </w:p>
        </w:tc>
        <w:tc>
          <w:tcPr>
            <w:tcW w:w="1001" w:type="pct"/>
            <w:shd w:val="clear" w:color="auto" w:fill="FFFFFF" w:themeFill="background1"/>
          </w:tcPr>
          <w:p>
            <w:pPr>
              <w:pStyle w:val="25"/>
              <w:spacing w:line="360" w:lineRule="auto"/>
              <w:rPr>
                <w:rFonts w:ascii="宋体" w:hAnsi="宋体" w:cs="宋体"/>
                <w:color w:val="auto"/>
                <w:szCs w:val="21"/>
                <w:highlight w:val="none"/>
              </w:rPr>
            </w:pPr>
          </w:p>
        </w:tc>
        <w:tc>
          <w:tcPr>
            <w:tcW w:w="785" w:type="pct"/>
            <w:shd w:val="clear" w:color="auto" w:fill="FFFFFF" w:themeFill="background1"/>
          </w:tcPr>
          <w:p>
            <w:pPr>
              <w:pStyle w:val="25"/>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5"/>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pPr>
              <w:pStyle w:val="25"/>
              <w:spacing w:line="360" w:lineRule="auto"/>
              <w:rPr>
                <w:rFonts w:ascii="宋体" w:hAnsi="宋体" w:cs="宋体"/>
                <w:color w:val="auto"/>
                <w:szCs w:val="21"/>
                <w:highlight w:val="none"/>
              </w:rPr>
            </w:pPr>
          </w:p>
        </w:tc>
        <w:tc>
          <w:tcPr>
            <w:tcW w:w="1553" w:type="pct"/>
          </w:tcPr>
          <w:p>
            <w:pPr>
              <w:pStyle w:val="25"/>
              <w:spacing w:line="360" w:lineRule="auto"/>
              <w:rPr>
                <w:rFonts w:ascii="宋体" w:hAnsi="宋体" w:cs="宋体"/>
                <w:color w:val="auto"/>
                <w:szCs w:val="21"/>
                <w:highlight w:val="none"/>
              </w:rPr>
            </w:pPr>
          </w:p>
        </w:tc>
        <w:tc>
          <w:tcPr>
            <w:tcW w:w="779" w:type="pct"/>
          </w:tcPr>
          <w:p>
            <w:pPr>
              <w:pStyle w:val="25"/>
              <w:spacing w:line="360" w:lineRule="auto"/>
              <w:rPr>
                <w:rFonts w:ascii="宋体" w:hAnsi="宋体" w:cs="宋体"/>
                <w:color w:val="auto"/>
                <w:szCs w:val="21"/>
                <w:highlight w:val="none"/>
              </w:rPr>
            </w:pPr>
          </w:p>
        </w:tc>
        <w:tc>
          <w:tcPr>
            <w:tcW w:w="1001" w:type="pct"/>
          </w:tcPr>
          <w:p>
            <w:pPr>
              <w:pStyle w:val="25"/>
              <w:spacing w:line="360" w:lineRule="auto"/>
              <w:rPr>
                <w:rFonts w:ascii="宋体" w:hAnsi="宋体" w:cs="宋体"/>
                <w:color w:val="auto"/>
                <w:szCs w:val="21"/>
                <w:highlight w:val="none"/>
              </w:rPr>
            </w:pPr>
          </w:p>
        </w:tc>
        <w:tc>
          <w:tcPr>
            <w:tcW w:w="785" w:type="pct"/>
          </w:tcPr>
          <w:p>
            <w:pPr>
              <w:pStyle w:val="25"/>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5"/>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pPr>
              <w:pStyle w:val="25"/>
              <w:spacing w:line="360" w:lineRule="auto"/>
              <w:rPr>
                <w:rFonts w:ascii="宋体" w:hAnsi="宋体" w:cs="宋体"/>
                <w:color w:val="auto"/>
                <w:szCs w:val="21"/>
                <w:highlight w:val="none"/>
              </w:rPr>
            </w:pPr>
          </w:p>
        </w:tc>
        <w:tc>
          <w:tcPr>
            <w:tcW w:w="1553" w:type="pct"/>
          </w:tcPr>
          <w:p>
            <w:pPr>
              <w:pStyle w:val="25"/>
              <w:spacing w:line="360" w:lineRule="auto"/>
              <w:rPr>
                <w:rFonts w:ascii="宋体" w:hAnsi="宋体" w:cs="宋体"/>
                <w:color w:val="auto"/>
                <w:szCs w:val="21"/>
                <w:highlight w:val="none"/>
              </w:rPr>
            </w:pPr>
          </w:p>
        </w:tc>
        <w:tc>
          <w:tcPr>
            <w:tcW w:w="779" w:type="pct"/>
          </w:tcPr>
          <w:p>
            <w:pPr>
              <w:pStyle w:val="25"/>
              <w:spacing w:line="360" w:lineRule="auto"/>
              <w:rPr>
                <w:rFonts w:ascii="宋体" w:hAnsi="宋体" w:cs="宋体"/>
                <w:color w:val="auto"/>
                <w:szCs w:val="21"/>
                <w:highlight w:val="none"/>
              </w:rPr>
            </w:pPr>
          </w:p>
        </w:tc>
        <w:tc>
          <w:tcPr>
            <w:tcW w:w="1001" w:type="pct"/>
          </w:tcPr>
          <w:p>
            <w:pPr>
              <w:pStyle w:val="25"/>
              <w:spacing w:line="360" w:lineRule="auto"/>
              <w:rPr>
                <w:rFonts w:ascii="宋体" w:hAnsi="宋体" w:cs="宋体"/>
                <w:color w:val="auto"/>
                <w:szCs w:val="21"/>
                <w:highlight w:val="none"/>
              </w:rPr>
            </w:pPr>
          </w:p>
        </w:tc>
        <w:tc>
          <w:tcPr>
            <w:tcW w:w="785" w:type="pct"/>
          </w:tcPr>
          <w:p>
            <w:pPr>
              <w:pStyle w:val="25"/>
              <w:spacing w:line="360" w:lineRule="auto"/>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rPr>
          <w:b/>
          <w:bCs/>
          <w:color w:val="auto"/>
          <w:highlight w:val="none"/>
          <w:lang w:val="en-US"/>
        </w:rPr>
      </w:pPr>
      <w:r>
        <w:rPr>
          <w:rFonts w:hint="eastAsia"/>
          <w:b/>
          <w:bCs/>
          <w:color w:val="auto"/>
          <w:highlight w:val="none"/>
          <w:lang w:val="en-US"/>
        </w:rPr>
        <w:t>格式十一：</w:t>
      </w:r>
    </w:p>
    <w:p>
      <w:pPr>
        <w:jc w:val="center"/>
        <w:rPr>
          <w:b/>
          <w:bCs/>
          <w:color w:val="auto"/>
          <w:sz w:val="24"/>
          <w:szCs w:val="32"/>
          <w:highlight w:val="none"/>
        </w:rPr>
      </w:pPr>
      <w:r>
        <w:rPr>
          <w:b/>
          <w:bCs/>
          <w:color w:val="auto"/>
          <w:sz w:val="24"/>
          <w:szCs w:val="32"/>
          <w:highlight w:val="none"/>
        </w:rPr>
        <w:t>技术要求响应表</w:t>
      </w:r>
    </w:p>
    <w:p>
      <w:pPr>
        <w:pStyle w:val="2"/>
        <w:rPr>
          <w:color w:val="auto"/>
          <w:highlight w:val="none"/>
          <w:lang w:val="en-US"/>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bl>
    <w:p>
      <w:pPr>
        <w:pStyle w:val="2"/>
        <w:rPr>
          <w:color w:val="auto"/>
          <w:highlight w:val="none"/>
          <w:lang w:val="en-US"/>
        </w:rPr>
      </w:pPr>
    </w:p>
    <w:p>
      <w:pPr>
        <w:rPr>
          <w:color w:val="auto"/>
          <w:highlight w:val="none"/>
        </w:rPr>
      </w:pP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pPr>
        <w:pStyle w:val="23"/>
        <w:tabs>
          <w:tab w:val="left" w:pos="731"/>
        </w:tabs>
        <w:autoSpaceDE w:val="0"/>
        <w:autoSpaceDN w:val="0"/>
        <w:spacing w:line="360" w:lineRule="auto"/>
        <w:ind w:firstLine="423"/>
        <w:rPr>
          <w:rFonts w:ascii="宋体" w:hAnsi="宋体" w:cs="宋体"/>
          <w:color w:val="auto"/>
          <w:w w:val="101"/>
          <w:szCs w:val="21"/>
          <w:highlight w:val="none"/>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格式十二：</w:t>
      </w:r>
    </w:p>
    <w:p>
      <w:pPr>
        <w:pStyle w:val="2"/>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bl>
    <w:p>
      <w:pPr>
        <w:pStyle w:val="2"/>
        <w:rPr>
          <w:color w:val="auto"/>
          <w:sz w:val="21"/>
          <w:szCs w:val="21"/>
          <w:highlight w:val="none"/>
          <w:lang w:val="en-US"/>
        </w:rPr>
      </w:pPr>
    </w:p>
    <w:p>
      <w:pPr>
        <w:rPr>
          <w:color w:val="auto"/>
          <w:szCs w:val="21"/>
          <w:highlight w:val="none"/>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pPr>
        <w:pStyle w:val="2"/>
        <w:autoSpaceDE w:val="0"/>
        <w:autoSpaceDN w:val="0"/>
        <w:spacing w:before="0" w:line="360" w:lineRule="auto"/>
        <w:ind w:left="0" w:firstLine="420" w:firstLineChars="200"/>
        <w:rPr>
          <w:color w:val="auto"/>
          <w:sz w:val="21"/>
          <w:szCs w:val="21"/>
          <w:highlight w:val="none"/>
          <w:lang w:val="en-US"/>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格式十三：</w:t>
      </w:r>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pStyle w:val="2"/>
        <w:spacing w:before="8"/>
        <w:rPr>
          <w:color w:val="auto"/>
          <w:sz w:val="13"/>
          <w:highlight w:val="none"/>
        </w:rPr>
      </w:pPr>
    </w:p>
    <w:p>
      <w:pPr>
        <w:pStyle w:val="4"/>
        <w:rPr>
          <w:color w:val="auto"/>
          <w:highlight w:val="none"/>
        </w:rPr>
      </w:pPr>
      <w:bookmarkStart w:id="156" w:name="_Toc20098"/>
      <w:r>
        <w:rPr>
          <w:color w:val="auto"/>
          <w:highlight w:val="none"/>
        </w:rPr>
        <w:t>履约进度计划表</w:t>
      </w:r>
      <w:bookmarkEnd w:id="156"/>
    </w:p>
    <w:p>
      <w:pPr>
        <w:pStyle w:val="2"/>
        <w:spacing w:before="2" w:after="1"/>
        <w:rPr>
          <w:b/>
          <w:color w:val="auto"/>
          <w:sz w:val="17"/>
          <w:highlight w:val="none"/>
        </w:rPr>
      </w:pPr>
    </w:p>
    <w:tbl>
      <w:tblPr>
        <w:tblStyle w:val="18"/>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5"/>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pPr>
              <w:pStyle w:val="25"/>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pPr>
              <w:pStyle w:val="25"/>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pPr>
              <w:pStyle w:val="25"/>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5"/>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pPr>
              <w:pStyle w:val="25"/>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5"/>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pPr>
              <w:pStyle w:val="25"/>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5"/>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pPr>
              <w:pStyle w:val="25"/>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5"/>
              <w:spacing w:line="360" w:lineRule="auto"/>
              <w:rPr>
                <w:rFonts w:ascii="宋体" w:hAnsi="宋体" w:cs="宋体"/>
                <w:color w:val="auto"/>
                <w:szCs w:val="21"/>
                <w:highlight w:val="none"/>
              </w:rPr>
            </w:pPr>
          </w:p>
        </w:tc>
        <w:tc>
          <w:tcPr>
            <w:tcW w:w="1354" w:type="pct"/>
            <w:shd w:val="clear" w:color="auto" w:fill="FFFFFF" w:themeFill="background1"/>
          </w:tcPr>
          <w:p>
            <w:pPr>
              <w:pStyle w:val="25"/>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5"/>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pPr>
              <w:pStyle w:val="25"/>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5"/>
              <w:spacing w:line="360" w:lineRule="auto"/>
              <w:rPr>
                <w:rFonts w:ascii="宋体" w:hAnsi="宋体" w:cs="宋体"/>
                <w:color w:val="auto"/>
                <w:szCs w:val="21"/>
                <w:highlight w:val="none"/>
              </w:rPr>
            </w:pPr>
          </w:p>
        </w:tc>
        <w:tc>
          <w:tcPr>
            <w:tcW w:w="1354" w:type="pct"/>
            <w:shd w:val="clear" w:color="auto" w:fill="FFFFFF" w:themeFill="background1"/>
          </w:tcPr>
          <w:p>
            <w:pPr>
              <w:pStyle w:val="25"/>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5"/>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pPr>
              <w:pStyle w:val="25"/>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5"/>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pPr>
              <w:pStyle w:val="25"/>
              <w:spacing w:line="360" w:lineRule="auto"/>
              <w:rPr>
                <w:rFonts w:ascii="宋体" w:hAnsi="宋体" w:cs="宋体"/>
                <w:color w:val="auto"/>
                <w:szCs w:val="21"/>
                <w:highlight w:val="none"/>
              </w:rPr>
            </w:pPr>
          </w:p>
        </w:tc>
      </w:tr>
    </w:tbl>
    <w:p>
      <w:pPr>
        <w:rPr>
          <w:color w:val="auto"/>
          <w:highlight w:val="none"/>
        </w:rPr>
      </w:pPr>
      <w:r>
        <w:rPr>
          <w:rFonts w:hint="eastAsia"/>
          <w:color w:val="auto"/>
          <w:highlight w:val="none"/>
        </w:rPr>
        <w:br w:type="page"/>
      </w:r>
    </w:p>
    <w:p>
      <w:pPr>
        <w:outlineLvl w:val="1"/>
        <w:rPr>
          <w:b/>
          <w:bCs/>
          <w:color w:val="auto"/>
          <w:sz w:val="24"/>
          <w:szCs w:val="32"/>
          <w:highlight w:val="none"/>
        </w:rPr>
      </w:pPr>
      <w:bookmarkStart w:id="157" w:name="_Toc2912"/>
      <w:r>
        <w:rPr>
          <w:rFonts w:hint="eastAsia"/>
          <w:b/>
          <w:bCs/>
          <w:color w:val="auto"/>
          <w:sz w:val="24"/>
          <w:szCs w:val="32"/>
          <w:highlight w:val="none"/>
        </w:rPr>
        <w:t>格式十四：</w:t>
      </w:r>
      <w:bookmarkEnd w:id="157"/>
    </w:p>
    <w:p>
      <w:pPr>
        <w:pStyle w:val="2"/>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rPr>
          <w:color w:val="auto"/>
          <w:sz w:val="20"/>
          <w:szCs w:val="20"/>
          <w:highlight w:val="none"/>
        </w:rPr>
      </w:pPr>
    </w:p>
    <w:p>
      <w:pPr>
        <w:pStyle w:val="2"/>
        <w:jc w:val="center"/>
        <w:rPr>
          <w:b/>
          <w:bCs/>
          <w:color w:val="auto"/>
          <w:highlight w:val="none"/>
        </w:rPr>
      </w:pPr>
      <w:r>
        <w:rPr>
          <w:b/>
          <w:bCs/>
          <w:color w:val="auto"/>
          <w:highlight w:val="none"/>
        </w:rPr>
        <w:t>各类证明材料</w:t>
      </w:r>
    </w:p>
    <w:p>
      <w:pPr>
        <w:pStyle w:val="23"/>
        <w:tabs>
          <w:tab w:val="left" w:pos="673"/>
        </w:tabs>
        <w:spacing w:line="360" w:lineRule="auto"/>
        <w:ind w:firstLine="0" w:firstLineChars="0"/>
        <w:outlineLvl w:val="1"/>
        <w:rPr>
          <w:rFonts w:ascii="宋体" w:hAnsi="宋体" w:cs="宋体"/>
          <w:color w:val="auto"/>
          <w:szCs w:val="21"/>
          <w:highlight w:val="none"/>
        </w:rPr>
      </w:pPr>
      <w:bookmarkStart w:id="158" w:name="_Toc14919"/>
      <w:r>
        <w:rPr>
          <w:rFonts w:hint="eastAsia" w:ascii="宋体" w:hAnsi="宋体" w:cs="宋体"/>
          <w:color w:val="auto"/>
          <w:szCs w:val="21"/>
          <w:highlight w:val="none"/>
        </w:rPr>
        <w:t>1、招标文件要求提供的其他资料。</w:t>
      </w:r>
      <w:bookmarkEnd w:id="158"/>
    </w:p>
    <w:p>
      <w:pPr>
        <w:pStyle w:val="23"/>
        <w:tabs>
          <w:tab w:val="left" w:pos="673"/>
        </w:tabs>
        <w:spacing w:line="360" w:lineRule="auto"/>
        <w:ind w:firstLine="0" w:firstLineChars="0"/>
        <w:outlineLvl w:val="1"/>
        <w:rPr>
          <w:rFonts w:ascii="宋体" w:hAnsi="宋体" w:cs="宋体"/>
          <w:color w:val="auto"/>
          <w:szCs w:val="21"/>
          <w:highlight w:val="none"/>
        </w:rPr>
      </w:pPr>
      <w:bookmarkStart w:id="159" w:name="_Toc7938"/>
      <w:r>
        <w:rPr>
          <w:rFonts w:hint="eastAsia" w:ascii="宋体" w:hAnsi="宋体" w:cs="宋体"/>
          <w:color w:val="auto"/>
          <w:szCs w:val="21"/>
          <w:highlight w:val="none"/>
        </w:rPr>
        <w:t>2、投标人认为需提供的其他资料。</w:t>
      </w:r>
      <w:bookmarkEnd w:id="159"/>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3"/>
        <w:tabs>
          <w:tab w:val="left" w:pos="673"/>
        </w:tabs>
        <w:spacing w:line="360" w:lineRule="auto"/>
        <w:ind w:firstLine="0" w:firstLineChars="0"/>
        <w:outlineLvl w:val="1"/>
        <w:rPr>
          <w:rFonts w:ascii="宋体" w:hAnsi="宋体" w:cs="宋体"/>
          <w:b/>
          <w:bCs/>
          <w:color w:val="auto"/>
          <w:sz w:val="24"/>
          <w:highlight w:val="none"/>
        </w:rPr>
      </w:pPr>
      <w:bookmarkStart w:id="160" w:name="_Toc30382"/>
      <w:r>
        <w:rPr>
          <w:rFonts w:hint="eastAsia" w:ascii="宋体" w:hAnsi="宋体" w:cs="宋体"/>
          <w:b/>
          <w:bCs/>
          <w:color w:val="auto"/>
          <w:sz w:val="24"/>
          <w:highlight w:val="none"/>
        </w:rPr>
        <w:t>格式十五：</w:t>
      </w:r>
      <w:bookmarkEnd w:id="160"/>
    </w:p>
    <w:p>
      <w:pPr>
        <w:pStyle w:val="23"/>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pPr>
        <w:rPr>
          <w:color w:val="auto"/>
          <w:highlight w:val="none"/>
        </w:rPr>
      </w:pP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pPr>
        <w:pStyle w:val="23"/>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pPr>
        <w:pStyle w:val="23"/>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color w:val="auto"/>
          <w:highlight w:val="none"/>
        </w:rPr>
      </w:pPr>
    </w:p>
    <w:p>
      <w:pPr>
        <w:spacing w:line="480" w:lineRule="auto"/>
        <w:ind w:firstLine="420" w:firstLineChars="200"/>
        <w:rPr>
          <w:color w:val="auto"/>
          <w:highlight w:val="none"/>
        </w:rPr>
      </w:pPr>
      <w:r>
        <w:rPr>
          <w:rFonts w:hint="eastAsia"/>
          <w:color w:val="auto"/>
          <w:highlight w:val="none"/>
        </w:rPr>
        <w:t>投标人法定名称（公章）：</w:t>
      </w:r>
    </w:p>
    <w:p>
      <w:pPr>
        <w:spacing w:line="480" w:lineRule="auto"/>
        <w:ind w:firstLine="420" w:firstLineChars="200"/>
        <w:rPr>
          <w:color w:val="auto"/>
          <w:highlight w:val="none"/>
        </w:rPr>
      </w:pPr>
      <w:r>
        <w:rPr>
          <w:rFonts w:hint="eastAsia"/>
          <w:color w:val="auto"/>
          <w:highlight w:val="none"/>
        </w:rPr>
        <w:t>投标人法定地址：</w:t>
      </w:r>
    </w:p>
    <w:p>
      <w:pPr>
        <w:spacing w:line="480" w:lineRule="auto"/>
        <w:ind w:firstLine="420" w:firstLineChars="200"/>
        <w:rPr>
          <w:color w:val="auto"/>
          <w:highlight w:val="none"/>
        </w:rPr>
      </w:pPr>
      <w:r>
        <w:rPr>
          <w:rFonts w:hint="eastAsia"/>
          <w:color w:val="auto"/>
          <w:highlight w:val="none"/>
        </w:rPr>
        <w:t>投标人授权代表（签字或盖章）：</w:t>
      </w:r>
    </w:p>
    <w:p>
      <w:pPr>
        <w:spacing w:line="480" w:lineRule="auto"/>
        <w:ind w:firstLine="420" w:firstLineChars="200"/>
        <w:rPr>
          <w:color w:val="auto"/>
          <w:highlight w:val="none"/>
        </w:rPr>
      </w:pPr>
      <w:r>
        <w:rPr>
          <w:rFonts w:hint="eastAsia"/>
          <w:color w:val="auto"/>
          <w:highlight w:val="none"/>
        </w:rPr>
        <w:t>电 话：</w:t>
      </w:r>
    </w:p>
    <w:p>
      <w:pPr>
        <w:spacing w:line="480" w:lineRule="auto"/>
        <w:ind w:firstLine="420" w:firstLineChars="200"/>
        <w:rPr>
          <w:color w:val="auto"/>
          <w:highlight w:val="none"/>
        </w:rPr>
      </w:pPr>
      <w:r>
        <w:rPr>
          <w:rFonts w:hint="eastAsia"/>
          <w:color w:val="auto"/>
          <w:highlight w:val="none"/>
        </w:rPr>
        <w:t>传 真：</w:t>
      </w:r>
    </w:p>
    <w:p>
      <w:pPr>
        <w:pStyle w:val="23"/>
        <w:tabs>
          <w:tab w:val="left" w:pos="673"/>
        </w:tabs>
        <w:spacing w:line="480" w:lineRule="auto"/>
        <w:rPr>
          <w:color w:val="auto"/>
          <w:highlight w:val="none"/>
        </w:rPr>
      </w:pPr>
      <w:r>
        <w:rPr>
          <w:rFonts w:hint="eastAsia"/>
          <w:color w:val="auto"/>
          <w:highlight w:val="none"/>
        </w:rPr>
        <w:t>承诺日期：</w:t>
      </w:r>
    </w:p>
    <w:p>
      <w:pPr>
        <w:rPr>
          <w:color w:val="auto"/>
          <w:highlight w:val="none"/>
        </w:rPr>
      </w:pPr>
      <w:r>
        <w:rPr>
          <w:rFonts w:hint="eastAsia"/>
          <w:color w:val="auto"/>
          <w:highlight w:val="none"/>
        </w:rPr>
        <w:br w:type="page"/>
      </w:r>
    </w:p>
    <w:p>
      <w:pPr>
        <w:pStyle w:val="23"/>
        <w:tabs>
          <w:tab w:val="left" w:pos="673"/>
        </w:tabs>
        <w:spacing w:line="360" w:lineRule="auto"/>
        <w:ind w:firstLine="0" w:firstLineChars="0"/>
        <w:outlineLvl w:val="1"/>
        <w:rPr>
          <w:rFonts w:ascii="宋体" w:hAnsi="宋体" w:cs="宋体"/>
          <w:b/>
          <w:bCs/>
          <w:color w:val="auto"/>
          <w:sz w:val="24"/>
          <w:highlight w:val="none"/>
        </w:rPr>
      </w:pPr>
      <w:bookmarkStart w:id="161" w:name="_Toc3970"/>
      <w:r>
        <w:rPr>
          <w:rFonts w:hint="eastAsia" w:ascii="宋体" w:hAnsi="宋体" w:cs="宋体"/>
          <w:b/>
          <w:bCs/>
          <w:color w:val="auto"/>
          <w:sz w:val="24"/>
          <w:highlight w:val="none"/>
        </w:rPr>
        <w:t>格式十五：</w:t>
      </w:r>
      <w:bookmarkEnd w:id="161"/>
    </w:p>
    <w:p>
      <w:pPr>
        <w:pStyle w:val="2"/>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pPr>
        <w:pStyle w:val="2"/>
        <w:spacing w:before="8"/>
        <w:rPr>
          <w:color w:val="auto"/>
          <w:sz w:val="21"/>
          <w:szCs w:val="21"/>
          <w:highlight w:val="none"/>
        </w:rPr>
      </w:pPr>
    </w:p>
    <w:p>
      <w:pPr>
        <w:jc w:val="center"/>
        <w:outlineLvl w:val="1"/>
        <w:rPr>
          <w:rFonts w:ascii="宋体" w:hAnsi="宋体" w:cs="宋体"/>
          <w:b/>
          <w:bCs/>
          <w:color w:val="auto"/>
          <w:szCs w:val="21"/>
          <w:highlight w:val="none"/>
        </w:rPr>
      </w:pPr>
      <w:bookmarkStart w:id="162" w:name="_Toc4401"/>
      <w:r>
        <w:rPr>
          <w:rFonts w:hint="eastAsia" w:ascii="宋体" w:hAnsi="宋体" w:cs="宋体"/>
          <w:b/>
          <w:bCs/>
          <w:color w:val="auto"/>
          <w:szCs w:val="21"/>
          <w:highlight w:val="none"/>
        </w:rPr>
        <w:t>需要招标人提供的附加条件</w:t>
      </w:r>
      <w:bookmarkEnd w:id="162"/>
    </w:p>
    <w:p>
      <w:pPr>
        <w:pStyle w:val="2"/>
        <w:autoSpaceDE w:val="0"/>
        <w:autoSpaceDN w:val="0"/>
        <w:spacing w:before="0" w:line="360" w:lineRule="auto"/>
        <w:ind w:left="0"/>
        <w:rPr>
          <w:b/>
          <w:color w:val="auto"/>
          <w:sz w:val="21"/>
          <w:szCs w:val="21"/>
          <w:highlight w:val="none"/>
        </w:rPr>
      </w:pPr>
    </w:p>
    <w:tbl>
      <w:tblPr>
        <w:tblStyle w:val="18"/>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5"/>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pPr>
              <w:pStyle w:val="25"/>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5"/>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pPr>
              <w:pStyle w:val="25"/>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5"/>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pPr>
              <w:pStyle w:val="25"/>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5"/>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pPr>
              <w:pStyle w:val="25"/>
              <w:spacing w:line="360" w:lineRule="auto"/>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pPr>
        <w:rPr>
          <w:color w:val="auto"/>
          <w:sz w:val="20"/>
          <w:szCs w:val="20"/>
          <w:highlight w:val="none"/>
        </w:rPr>
      </w:pPr>
      <w:r>
        <w:rPr>
          <w:color w:val="auto"/>
          <w:sz w:val="20"/>
          <w:szCs w:val="20"/>
          <w:highlight w:val="none"/>
        </w:rPr>
        <w:br w:type="page"/>
      </w:r>
    </w:p>
    <w:p>
      <w:pPr>
        <w:pStyle w:val="2"/>
        <w:outlineLvl w:val="1"/>
        <w:rPr>
          <w:b/>
          <w:bCs/>
          <w:color w:val="auto"/>
          <w:highlight w:val="none"/>
          <w:lang w:val="en-US"/>
        </w:rPr>
      </w:pPr>
      <w:bookmarkStart w:id="163" w:name="_Toc25747"/>
      <w:r>
        <w:rPr>
          <w:rFonts w:hint="eastAsia"/>
          <w:b/>
          <w:bCs/>
          <w:color w:val="auto"/>
          <w:highlight w:val="none"/>
          <w:lang w:val="en-US"/>
        </w:rPr>
        <w:t>格式十六：</w:t>
      </w:r>
      <w:bookmarkEnd w:id="163"/>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pPr>
        <w:pStyle w:val="2"/>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Cs w:val="21"/>
          <w:highlight w:val="none"/>
        </w:rPr>
      </w:pPr>
      <w:r>
        <w:rPr>
          <w:color w:val="auto"/>
          <w:szCs w:val="21"/>
          <w:highlight w:val="none"/>
        </w:rPr>
        <w:br w:type="page"/>
      </w:r>
    </w:p>
    <w:p>
      <w:pPr>
        <w:pStyle w:val="3"/>
        <w:rPr>
          <w:color w:val="auto"/>
          <w:highlight w:val="none"/>
        </w:rPr>
      </w:pPr>
      <w:bookmarkStart w:id="164" w:name="_Toc27211"/>
      <w:r>
        <w:rPr>
          <w:rFonts w:hint="eastAsia"/>
          <w:color w:val="auto"/>
          <w:highlight w:val="none"/>
        </w:rPr>
        <w:t>第七篇 开标文件格式</w:t>
      </w:r>
      <w:bookmarkEnd w:id="164"/>
    </w:p>
    <w:p>
      <w:pPr>
        <w:jc w:val="center"/>
        <w:outlineLvl w:val="1"/>
        <w:rPr>
          <w:b/>
          <w:bCs/>
          <w:color w:val="auto"/>
          <w:highlight w:val="none"/>
        </w:rPr>
      </w:pPr>
      <w:bookmarkStart w:id="165" w:name="_Toc32249"/>
      <w:r>
        <w:rPr>
          <w:rFonts w:hint="eastAsia"/>
          <w:b/>
          <w:bCs/>
          <w:color w:val="auto"/>
          <w:highlight w:val="none"/>
        </w:rPr>
        <w:t>（封面格式仅供参考）</w:t>
      </w:r>
      <w:bookmarkEnd w:id="165"/>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66"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166"/>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67"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167"/>
    </w:p>
    <w:p>
      <w:pPr>
        <w:autoSpaceDE w:val="0"/>
        <w:autoSpaceDN w:val="0"/>
        <w:spacing w:line="479" w:lineRule="exact"/>
        <w:jc w:val="center"/>
        <w:rPr>
          <w:rFonts w:ascii="宋体" w:hAnsi="宋体" w:cs="宋体"/>
          <w:b/>
          <w:bCs/>
          <w:color w:val="auto"/>
          <w:sz w:val="24"/>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2"/>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pPr>
        <w:pStyle w:val="2"/>
        <w:spacing w:before="0" w:line="360" w:lineRule="auto"/>
        <w:ind w:left="0"/>
        <w:outlineLvl w:val="1"/>
        <w:rPr>
          <w:b/>
          <w:bCs/>
          <w:color w:val="auto"/>
          <w:sz w:val="21"/>
          <w:szCs w:val="21"/>
          <w:highlight w:val="none"/>
          <w:lang w:val="en-US"/>
        </w:rPr>
      </w:pPr>
      <w:bookmarkStart w:id="168" w:name="_Toc32100"/>
      <w:r>
        <w:rPr>
          <w:rFonts w:hint="eastAsia"/>
          <w:b/>
          <w:bCs/>
          <w:color w:val="auto"/>
          <w:sz w:val="21"/>
          <w:szCs w:val="21"/>
          <w:highlight w:val="none"/>
          <w:lang w:val="en-US"/>
        </w:rPr>
        <w:t>1、开标一览表</w:t>
      </w:r>
      <w:bookmarkEnd w:id="168"/>
    </w:p>
    <w:p>
      <w:pPr>
        <w:spacing w:line="360" w:lineRule="auto"/>
        <w:outlineLvl w:val="1"/>
        <w:rPr>
          <w:rFonts w:ascii="宋体" w:hAnsi="宋体" w:cs="宋体"/>
          <w:b/>
          <w:bCs/>
          <w:color w:val="auto"/>
          <w:szCs w:val="21"/>
          <w:highlight w:val="none"/>
        </w:rPr>
      </w:pPr>
      <w:bookmarkStart w:id="169" w:name="_Toc8054"/>
      <w:r>
        <w:rPr>
          <w:rFonts w:hint="eastAsia" w:ascii="宋体" w:hAnsi="宋体" w:cs="宋体"/>
          <w:b/>
          <w:bCs/>
          <w:color w:val="auto"/>
          <w:szCs w:val="21"/>
          <w:highlight w:val="none"/>
        </w:rPr>
        <w:t>2、分项报价表</w:t>
      </w:r>
      <w:bookmarkEnd w:id="169"/>
    </w:p>
    <w:p>
      <w:pPr>
        <w:pStyle w:val="2"/>
        <w:spacing w:before="0" w:line="360" w:lineRule="auto"/>
        <w:ind w:left="0"/>
        <w:outlineLvl w:val="1"/>
        <w:rPr>
          <w:b/>
          <w:bCs/>
          <w:color w:val="auto"/>
          <w:sz w:val="21"/>
          <w:szCs w:val="21"/>
          <w:highlight w:val="none"/>
          <w:lang w:val="en-US"/>
        </w:rPr>
      </w:pPr>
      <w:bookmarkStart w:id="170" w:name="_Toc5011"/>
      <w:r>
        <w:rPr>
          <w:rFonts w:hint="eastAsia"/>
          <w:b/>
          <w:bCs/>
          <w:color w:val="auto"/>
          <w:sz w:val="21"/>
          <w:szCs w:val="21"/>
          <w:highlight w:val="none"/>
          <w:lang w:val="en-US"/>
        </w:rPr>
        <w:t>3、法定代表人证明书</w:t>
      </w:r>
      <w:bookmarkEnd w:id="170"/>
    </w:p>
    <w:p>
      <w:pPr>
        <w:pStyle w:val="2"/>
        <w:spacing w:before="0" w:line="360" w:lineRule="auto"/>
        <w:ind w:left="0"/>
        <w:outlineLvl w:val="1"/>
        <w:rPr>
          <w:b/>
          <w:bCs/>
          <w:color w:val="auto"/>
          <w:sz w:val="21"/>
          <w:szCs w:val="21"/>
          <w:highlight w:val="none"/>
          <w:lang w:val="en-US"/>
        </w:rPr>
      </w:pPr>
      <w:bookmarkStart w:id="171" w:name="_Toc27439"/>
      <w:r>
        <w:rPr>
          <w:rFonts w:hint="eastAsia"/>
          <w:b/>
          <w:bCs/>
          <w:color w:val="auto"/>
          <w:sz w:val="21"/>
          <w:szCs w:val="21"/>
          <w:highlight w:val="none"/>
          <w:lang w:val="en-US"/>
        </w:rPr>
        <w:t>4、法定代表人授权书</w:t>
      </w:r>
      <w:bookmarkEnd w:id="171"/>
    </w:p>
    <w:p>
      <w:pPr>
        <w:spacing w:line="360" w:lineRule="auto"/>
        <w:outlineLvl w:val="1"/>
        <w:rPr>
          <w:rFonts w:ascii="宋体" w:hAnsi="宋体" w:cs="宋体"/>
          <w:b/>
          <w:bCs/>
          <w:color w:val="auto"/>
          <w:szCs w:val="21"/>
          <w:highlight w:val="none"/>
        </w:rPr>
      </w:pPr>
      <w:bookmarkStart w:id="172" w:name="_Toc16304"/>
      <w:r>
        <w:rPr>
          <w:rFonts w:hint="eastAsia" w:ascii="宋体" w:hAnsi="宋体" w:cs="宋体"/>
          <w:b/>
          <w:bCs/>
          <w:color w:val="auto"/>
          <w:szCs w:val="21"/>
          <w:highlight w:val="none"/>
        </w:rPr>
        <w:t>5、投标保证金</w:t>
      </w:r>
      <w:bookmarkEnd w:id="172"/>
    </w:p>
    <w:p>
      <w:pPr>
        <w:rPr>
          <w:color w:val="auto"/>
          <w:highlight w:val="none"/>
        </w:rPr>
      </w:pPr>
    </w:p>
    <w:p>
      <w:pPr>
        <w:pStyle w:val="2"/>
        <w:rPr>
          <w:color w:val="auto"/>
          <w:highlight w:val="none"/>
          <w:lang w:val="en-US"/>
        </w:rPr>
      </w:pPr>
    </w:p>
    <w:p>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3"/>
        <w:rPr>
          <w:color w:val="auto"/>
          <w:highlight w:val="none"/>
        </w:rPr>
      </w:pPr>
      <w:bookmarkStart w:id="173" w:name="_Toc2722"/>
      <w:r>
        <w:rPr>
          <w:rFonts w:hint="eastAsia"/>
          <w:color w:val="auto"/>
          <w:highlight w:val="none"/>
        </w:rPr>
        <w:t>第八篇 其它文件格式（如有需要）</w:t>
      </w:r>
      <w:bookmarkEnd w:id="173"/>
    </w:p>
    <w:p>
      <w:pPr>
        <w:rPr>
          <w:b/>
          <w:bCs/>
          <w:color w:val="auto"/>
          <w:highlight w:val="none"/>
        </w:rPr>
      </w:pPr>
      <w:r>
        <w:rPr>
          <w:rFonts w:hint="eastAsia"/>
          <w:b/>
          <w:bCs/>
          <w:color w:val="auto"/>
          <w:highlight w:val="none"/>
        </w:rPr>
        <w:t>格式一：</w:t>
      </w:r>
    </w:p>
    <w:p>
      <w:pPr>
        <w:jc w:val="center"/>
        <w:rPr>
          <w:b/>
          <w:bCs/>
          <w:color w:val="auto"/>
          <w:highlight w:val="none"/>
        </w:rPr>
      </w:pPr>
      <w:r>
        <w:rPr>
          <w:b/>
          <w:bCs/>
          <w:color w:val="auto"/>
          <w:highlight w:val="none"/>
        </w:rPr>
        <w:t>询问函、质疑函格式</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pPr>
        <w:jc w:val="center"/>
        <w:rPr>
          <w:b/>
          <w:bCs/>
          <w:color w:val="auto"/>
          <w:highlight w:val="none"/>
        </w:rPr>
      </w:pPr>
      <w:r>
        <w:rPr>
          <w:b/>
          <w:bCs/>
          <w:color w:val="auto"/>
          <w:highlight w:val="none"/>
        </w:rPr>
        <w:t>询问函</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pPr>
        <w:pStyle w:val="2"/>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3"/>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pPr>
        <w:pStyle w:val="23"/>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pPr>
        <w:pStyle w:val="2"/>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pPr>
        <w:pStyle w:val="2"/>
        <w:tabs>
          <w:tab w:val="left" w:pos="10713"/>
        </w:tabs>
        <w:autoSpaceDE w:val="0"/>
        <w:autoSpaceDN w:val="0"/>
        <w:spacing w:before="0" w:line="360" w:lineRule="auto"/>
        <w:ind w:left="0" w:firstLine="420" w:firstLineChars="200"/>
        <w:rPr>
          <w:color w:val="auto"/>
          <w:sz w:val="21"/>
          <w:szCs w:val="21"/>
          <w:highlight w:val="none"/>
        </w:rPr>
      </w:pP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pPr>
        <w:pStyle w:val="2"/>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pPr>
        <w:rPr>
          <w:color w:val="auto"/>
          <w:szCs w:val="21"/>
          <w:highlight w:val="none"/>
        </w:rPr>
      </w:pPr>
      <w:r>
        <w:rPr>
          <w:color w:val="auto"/>
          <w:szCs w:val="21"/>
          <w:highlight w:val="none"/>
        </w:rPr>
        <w:br w:type="page"/>
      </w:r>
    </w:p>
    <w:p>
      <w:pPr>
        <w:jc w:val="center"/>
        <w:rPr>
          <w:b/>
          <w:bCs/>
          <w:color w:val="auto"/>
          <w:highlight w:val="none"/>
        </w:rPr>
      </w:pPr>
      <w:r>
        <w:rPr>
          <w:b/>
          <w:bCs/>
          <w:color w:val="auto"/>
          <w:highlight w:val="none"/>
        </w:rPr>
        <w:t>质疑函</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pPr>
        <w:pStyle w:val="2"/>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pPr>
        <w:pStyle w:val="2"/>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pPr>
        <w:pStyle w:val="2"/>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2"/>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pPr>
        <w:pStyle w:val="2"/>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pPr>
        <w:pStyle w:val="2"/>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pPr>
        <w:pStyle w:val="2"/>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2"/>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2"/>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2"/>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pPr>
        <w:pStyle w:val="2"/>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pPr>
        <w:pStyle w:val="2"/>
        <w:tabs>
          <w:tab w:val="left" w:pos="3165"/>
          <w:tab w:val="left" w:pos="5818"/>
        </w:tabs>
        <w:autoSpaceDE w:val="0"/>
        <w:autoSpaceDN w:val="0"/>
        <w:spacing w:line="360" w:lineRule="auto"/>
        <w:ind w:left="0" w:firstLine="420" w:firstLineChars="200"/>
        <w:rPr>
          <w:color w:val="auto"/>
          <w:sz w:val="21"/>
          <w:szCs w:val="21"/>
          <w:highlight w:val="none"/>
        </w:rPr>
      </w:pPr>
    </w:p>
    <w:p>
      <w:pPr>
        <w:pStyle w:val="2"/>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rFonts w:hint="eastAsia"/>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2"/>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pPr>
        <w:pStyle w:val="2"/>
        <w:autoSpaceDE w:val="0"/>
        <w:autoSpaceDN w:val="0"/>
        <w:spacing w:line="360" w:lineRule="auto"/>
        <w:ind w:left="0" w:firstLine="420" w:firstLineChars="200"/>
        <w:rPr>
          <w:color w:val="auto"/>
          <w:sz w:val="21"/>
          <w:szCs w:val="21"/>
          <w:highlight w:val="none"/>
        </w:rPr>
      </w:pP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pPr>
        <w:pStyle w:val="23"/>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pPr>
        <w:pStyle w:val="23"/>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pPr>
        <w:pStyle w:val="23"/>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pPr>
        <w:pStyle w:val="23"/>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pPr>
        <w:pStyle w:val="23"/>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pPr>
        <w:pStyle w:val="23"/>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Cs w:val="21"/>
          <w:highlight w:val="none"/>
        </w:rPr>
      </w:pPr>
      <w:r>
        <w:rPr>
          <w:color w:val="auto"/>
          <w:szCs w:val="21"/>
          <w:highlight w:val="none"/>
        </w:rPr>
        <w:br w:type="page"/>
      </w:r>
    </w:p>
    <w:p>
      <w:pPr>
        <w:pStyle w:val="2"/>
        <w:rPr>
          <w:b/>
          <w:bCs/>
          <w:color w:val="auto"/>
          <w:highlight w:val="none"/>
        </w:rPr>
      </w:pPr>
      <w:r>
        <w:rPr>
          <w:rFonts w:hint="eastAsia"/>
          <w:b/>
          <w:bCs/>
          <w:color w:val="auto"/>
          <w:highlight w:val="none"/>
        </w:rPr>
        <w:t>格式二：</w:t>
      </w:r>
    </w:p>
    <w:p>
      <w:pPr>
        <w:jc w:val="center"/>
        <w:rPr>
          <w:b/>
          <w:bCs/>
          <w:color w:val="auto"/>
          <w:highlight w:val="none"/>
        </w:rPr>
      </w:pPr>
      <w:r>
        <w:rPr>
          <w:rFonts w:hint="eastAsia"/>
          <w:b/>
          <w:bCs/>
          <w:color w:val="auto"/>
          <w:highlight w:val="none"/>
        </w:rPr>
        <w:t>投标担保函</w:t>
      </w:r>
    </w:p>
    <w:p>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2"/>
        <w:rPr>
          <w:b/>
          <w:bCs/>
          <w:color w:val="auto"/>
          <w:highlight w:val="none"/>
        </w:rPr>
      </w:pPr>
      <w:r>
        <w:rPr>
          <w:rFonts w:hint="eastAsia"/>
          <w:b/>
          <w:bCs/>
          <w:color w:val="auto"/>
          <w:highlight w:val="none"/>
        </w:rPr>
        <w:t>格式三：</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pPr>
        <w:spacing w:line="360" w:lineRule="auto"/>
        <w:ind w:firstLine="3512" w:firstLineChars="1666"/>
        <w:rPr>
          <w:rFonts w:ascii="宋体" w:hAnsi="宋体" w:cs="宋体"/>
          <w:b/>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______________________（招标人)：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（1）未按主合同约定的质量、数量和期限供应货物／提供服务／完成工程的；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（2)_______________________________________________________________。</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rPr>
          <w:b/>
          <w:bCs/>
          <w:color w:val="auto"/>
          <w:highlight w:val="none"/>
        </w:rPr>
      </w:pPr>
      <w:r>
        <w:rPr>
          <w:rFonts w:hint="eastAsia"/>
          <w:b/>
          <w:bCs/>
          <w:color w:val="auto"/>
          <w:highlight w:val="none"/>
        </w:rPr>
        <w:t>格式四：</w:t>
      </w:r>
    </w:p>
    <w:p>
      <w:pPr>
        <w:jc w:val="center"/>
        <w:rPr>
          <w:b/>
          <w:bCs/>
          <w:color w:val="auto"/>
          <w:highlight w:val="none"/>
        </w:rPr>
      </w:pPr>
      <w:r>
        <w:rPr>
          <w:rFonts w:hint="eastAsia"/>
          <w:b/>
          <w:bCs/>
          <w:color w:val="auto"/>
          <w:highlight w:val="none"/>
        </w:rPr>
        <w:t>联合体共同投标协议书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pPr>
        <w:spacing w:line="360" w:lineRule="auto"/>
        <w:rPr>
          <w:rFonts w:ascii="宋体" w:hAnsi="宋体" w:cs="宋体"/>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B0604020202020204"/>
    <w:charset w:val="86"/>
    <w:family w:val="modern"/>
    <w:pitch w:val="default"/>
    <w:sig w:usb0="00000000" w:usb1="00000000" w:usb2="00000000" w:usb3="00000000" w:csb0="00040000" w:csb1="00000000"/>
  </w:font>
  <w:font w:name="Times">
    <w:altName w:val="Times New Roman"/>
    <w:panose1 w:val="00000000000000000000"/>
    <w:charset w:val="00"/>
    <w:family w:val="auto"/>
    <w:pitch w:val="default"/>
    <w:sig w:usb0="00000000" w:usb1="00000000" w:usb2="00000000" w:usb3="00000000" w:csb0="00000007" w:csb1="00000000"/>
  </w:font>
  <w:font w:name="微软雅黑">
    <w:panose1 w:val="020B0503020204020204"/>
    <w:charset w:val="86"/>
    <w:family w:val="swiss"/>
    <w:pitch w:val="default"/>
    <w:sig w:usb0="80000287" w:usb1="2ACF3C50" w:usb2="00000016" w:usb3="00000000" w:csb0="0004001F" w:csb1="00000000"/>
  </w:font>
  <w:font w:name="华康简标题宋">
    <w:altName w:val="微软雅黑"/>
    <w:panose1 w:val="020B0604020202020204"/>
    <w:charset w:val="00"/>
    <w:family w:val="auto"/>
    <w:pitch w:val="default"/>
    <w:sig w:usb0="00000000" w:usb1="00000000" w:usb2="00000000" w:usb3="00000000" w:csb0="00000000" w:csb1="00000000"/>
  </w:font>
  <w:font w:name="思源黑体 CN Heavy">
    <w:altName w:val="黑体"/>
    <w:panose1 w:val="020B0604020202020204"/>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uppressAutoHyphens/>
      <w:snapToGrid w:val="0"/>
      <w:rPr>
        <w:rFonts w:ascii="Times New Roman" w:hAnsi="Times New Roman" w:cs="Times New Roman"/>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center"/>
    </w:pPr>
    <w:r>
      <w:t>东莞市长安镇</w:t>
    </w:r>
    <w:r>
      <w:rPr>
        <w:rFonts w:hint="eastAsia"/>
        <w:lang w:eastAsia="zh-CN"/>
      </w:rPr>
      <w:t>新民</w:t>
    </w:r>
    <w:r>
      <w:t>社区环卫保洁服务项目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2D7C7"/>
    <w:multiLevelType w:val="singleLevel"/>
    <w:tmpl w:val="90A2D7C7"/>
    <w:lvl w:ilvl="0" w:tentative="0">
      <w:start w:val="1"/>
      <w:numFmt w:val="decimal"/>
      <w:suff w:val="nothing"/>
      <w:lvlText w:val="%1、"/>
      <w:lvlJc w:val="left"/>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E55BFF18"/>
    <w:multiLevelType w:val="singleLevel"/>
    <w:tmpl w:val="E55BFF18"/>
    <w:lvl w:ilvl="0" w:tentative="0">
      <w:start w:val="1"/>
      <w:numFmt w:val="decimal"/>
      <w:suff w:val="nothing"/>
      <w:lvlText w:val="（%1）"/>
      <w:lvlJc w:val="left"/>
    </w:lvl>
  </w:abstractNum>
  <w:abstractNum w:abstractNumId="3">
    <w:nsid w:val="F3851CDE"/>
    <w:multiLevelType w:val="singleLevel"/>
    <w:tmpl w:val="F3851CDE"/>
    <w:lvl w:ilvl="0" w:tentative="0">
      <w:start w:val="2"/>
      <w:numFmt w:val="chineseCounting"/>
      <w:suff w:val="nothing"/>
      <w:lvlText w:val="%1、"/>
      <w:lvlJc w:val="left"/>
      <w:rPr>
        <w:rFonts w:hint="eastAsia"/>
      </w:rPr>
    </w:lvl>
  </w:abstractNum>
  <w:abstractNum w:abstractNumId="4">
    <w:nsid w:val="F73DC5D7"/>
    <w:multiLevelType w:val="singleLevel"/>
    <w:tmpl w:val="F73DC5D7"/>
    <w:lvl w:ilvl="0" w:tentative="0">
      <w:start w:val="1"/>
      <w:numFmt w:val="decimal"/>
      <w:suff w:val="nothing"/>
      <w:lvlText w:val="（%1）"/>
      <w:lvlJc w:val="left"/>
      <w:pPr>
        <w:ind w:left="660"/>
      </w:pPr>
    </w:lvl>
  </w:abstractNum>
  <w:abstractNum w:abstractNumId="5">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206CABF7"/>
    <w:multiLevelType w:val="singleLevel"/>
    <w:tmpl w:val="206CABF7"/>
    <w:lvl w:ilvl="0" w:tentative="0">
      <w:start w:val="1"/>
      <w:numFmt w:val="decimal"/>
      <w:suff w:val="nothing"/>
      <w:lvlText w:val="（%1）"/>
      <w:lvlJc w:val="left"/>
    </w:lvl>
  </w:abstractNum>
  <w:abstractNum w:abstractNumId="7">
    <w:nsid w:val="32E25990"/>
    <w:multiLevelType w:val="singleLevel"/>
    <w:tmpl w:val="32E25990"/>
    <w:lvl w:ilvl="0" w:tentative="0">
      <w:start w:val="1"/>
      <w:numFmt w:val="decimal"/>
      <w:suff w:val="nothing"/>
      <w:lvlText w:val="%1、"/>
      <w:lvlJc w:val="left"/>
    </w:lvl>
  </w:abstractNum>
  <w:abstractNum w:abstractNumId="8">
    <w:nsid w:val="3F88662E"/>
    <w:multiLevelType w:val="singleLevel"/>
    <w:tmpl w:val="3F88662E"/>
    <w:lvl w:ilvl="0" w:tentative="0">
      <w:start w:val="1"/>
      <w:numFmt w:val="decimal"/>
      <w:suff w:val="space"/>
      <w:lvlText w:val="%1)"/>
      <w:lvlJc w:val="left"/>
    </w:lvl>
  </w:abstractNum>
  <w:abstractNum w:abstractNumId="9">
    <w:nsid w:val="571F971C"/>
    <w:multiLevelType w:val="singleLevel"/>
    <w:tmpl w:val="571F971C"/>
    <w:lvl w:ilvl="0" w:tentative="0">
      <w:start w:val="1"/>
      <w:numFmt w:val="decimal"/>
      <w:lvlText w:val="%1."/>
      <w:lvlJc w:val="left"/>
      <w:pPr>
        <w:tabs>
          <w:tab w:val="left" w:pos="312"/>
        </w:tabs>
      </w:pPr>
    </w:lvl>
  </w:abstractNum>
  <w:num w:numId="1">
    <w:abstractNumId w:val="1"/>
  </w:num>
  <w:num w:numId="2">
    <w:abstractNumId w:val="7"/>
  </w:num>
  <w:num w:numId="3">
    <w:abstractNumId w:val="0"/>
  </w:num>
  <w:num w:numId="4">
    <w:abstractNumId w:val="2"/>
  </w:num>
  <w:num w:numId="5">
    <w:abstractNumId w:val="3"/>
  </w:num>
  <w:num w:numId="6">
    <w:abstractNumId w:val="5"/>
  </w:num>
  <w:num w:numId="7">
    <w:abstractNumId w:val="8"/>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00239C0"/>
    <w:rsid w:val="00026E7A"/>
    <w:rsid w:val="00036EFF"/>
    <w:rsid w:val="000B36B1"/>
    <w:rsid w:val="00104657"/>
    <w:rsid w:val="00137708"/>
    <w:rsid w:val="00184D64"/>
    <w:rsid w:val="001B4CC4"/>
    <w:rsid w:val="001C28A0"/>
    <w:rsid w:val="001D0F5C"/>
    <w:rsid w:val="001F123B"/>
    <w:rsid w:val="00240B9E"/>
    <w:rsid w:val="00322F58"/>
    <w:rsid w:val="00346D05"/>
    <w:rsid w:val="003E406F"/>
    <w:rsid w:val="00402A62"/>
    <w:rsid w:val="004165F2"/>
    <w:rsid w:val="00420292"/>
    <w:rsid w:val="004B4352"/>
    <w:rsid w:val="004F3033"/>
    <w:rsid w:val="005A4311"/>
    <w:rsid w:val="005B47E0"/>
    <w:rsid w:val="0073568B"/>
    <w:rsid w:val="00747096"/>
    <w:rsid w:val="00750EC0"/>
    <w:rsid w:val="007F63F9"/>
    <w:rsid w:val="00847F36"/>
    <w:rsid w:val="008755AA"/>
    <w:rsid w:val="0089082B"/>
    <w:rsid w:val="00890EDC"/>
    <w:rsid w:val="008C2A4C"/>
    <w:rsid w:val="00991890"/>
    <w:rsid w:val="00A24392"/>
    <w:rsid w:val="00A7029B"/>
    <w:rsid w:val="00AE7502"/>
    <w:rsid w:val="00AF3740"/>
    <w:rsid w:val="00B73293"/>
    <w:rsid w:val="00C21B40"/>
    <w:rsid w:val="00D77B21"/>
    <w:rsid w:val="00E63C0E"/>
    <w:rsid w:val="00EF08EE"/>
    <w:rsid w:val="00F84A2D"/>
    <w:rsid w:val="01455ABA"/>
    <w:rsid w:val="017754C9"/>
    <w:rsid w:val="018450AB"/>
    <w:rsid w:val="03DB3CD5"/>
    <w:rsid w:val="03FE10F9"/>
    <w:rsid w:val="0428632B"/>
    <w:rsid w:val="057C5CF6"/>
    <w:rsid w:val="05871995"/>
    <w:rsid w:val="05BE394B"/>
    <w:rsid w:val="06A340F5"/>
    <w:rsid w:val="07342FC6"/>
    <w:rsid w:val="07361687"/>
    <w:rsid w:val="08F278CA"/>
    <w:rsid w:val="0A69609B"/>
    <w:rsid w:val="0AAB1D08"/>
    <w:rsid w:val="0B5B7E94"/>
    <w:rsid w:val="0B696582"/>
    <w:rsid w:val="0C502C33"/>
    <w:rsid w:val="0CD41D0B"/>
    <w:rsid w:val="0E824294"/>
    <w:rsid w:val="0F1622A5"/>
    <w:rsid w:val="121918AE"/>
    <w:rsid w:val="126E350F"/>
    <w:rsid w:val="131D46FB"/>
    <w:rsid w:val="14150B14"/>
    <w:rsid w:val="15380D0C"/>
    <w:rsid w:val="161909DD"/>
    <w:rsid w:val="16373A24"/>
    <w:rsid w:val="180141BB"/>
    <w:rsid w:val="18062A99"/>
    <w:rsid w:val="1B33302E"/>
    <w:rsid w:val="1BBB674D"/>
    <w:rsid w:val="1BC548EF"/>
    <w:rsid w:val="1BE705BF"/>
    <w:rsid w:val="1C8C2165"/>
    <w:rsid w:val="1DB725C0"/>
    <w:rsid w:val="1E440D57"/>
    <w:rsid w:val="1F442B72"/>
    <w:rsid w:val="20332F5E"/>
    <w:rsid w:val="209314D4"/>
    <w:rsid w:val="20FA1CCE"/>
    <w:rsid w:val="23477A98"/>
    <w:rsid w:val="244868B3"/>
    <w:rsid w:val="265E5011"/>
    <w:rsid w:val="269A0871"/>
    <w:rsid w:val="28416767"/>
    <w:rsid w:val="28B925A1"/>
    <w:rsid w:val="2A213986"/>
    <w:rsid w:val="2A89565E"/>
    <w:rsid w:val="2AF14A37"/>
    <w:rsid w:val="2B775BA3"/>
    <w:rsid w:val="2D3A4F1C"/>
    <w:rsid w:val="2DE33D62"/>
    <w:rsid w:val="2E462ABD"/>
    <w:rsid w:val="2F4F681A"/>
    <w:rsid w:val="2FE55D43"/>
    <w:rsid w:val="30C474C2"/>
    <w:rsid w:val="3158095E"/>
    <w:rsid w:val="31ED0D4A"/>
    <w:rsid w:val="32243FC1"/>
    <w:rsid w:val="34BE4BEB"/>
    <w:rsid w:val="35C1129C"/>
    <w:rsid w:val="36322B3B"/>
    <w:rsid w:val="36F40CDF"/>
    <w:rsid w:val="372D3A3D"/>
    <w:rsid w:val="373F6180"/>
    <w:rsid w:val="37423885"/>
    <w:rsid w:val="37A82279"/>
    <w:rsid w:val="37AE1B8B"/>
    <w:rsid w:val="38D064F5"/>
    <w:rsid w:val="38F27424"/>
    <w:rsid w:val="3B2A432E"/>
    <w:rsid w:val="3C8E00EA"/>
    <w:rsid w:val="3E0202C6"/>
    <w:rsid w:val="3F0F49D3"/>
    <w:rsid w:val="416077C3"/>
    <w:rsid w:val="42A03617"/>
    <w:rsid w:val="43143B39"/>
    <w:rsid w:val="438833C2"/>
    <w:rsid w:val="45BA44CC"/>
    <w:rsid w:val="468A6BFD"/>
    <w:rsid w:val="47190606"/>
    <w:rsid w:val="47735BD0"/>
    <w:rsid w:val="47BB609D"/>
    <w:rsid w:val="47CA196A"/>
    <w:rsid w:val="47F5521B"/>
    <w:rsid w:val="481D3236"/>
    <w:rsid w:val="48BA007A"/>
    <w:rsid w:val="498145E0"/>
    <w:rsid w:val="498B40A3"/>
    <w:rsid w:val="499333FE"/>
    <w:rsid w:val="4AA503AB"/>
    <w:rsid w:val="4AD15E30"/>
    <w:rsid w:val="4B0E19F6"/>
    <w:rsid w:val="4B783BB4"/>
    <w:rsid w:val="4BE07E65"/>
    <w:rsid w:val="4C573AD4"/>
    <w:rsid w:val="4D144D35"/>
    <w:rsid w:val="4D7635CF"/>
    <w:rsid w:val="4DAA2866"/>
    <w:rsid w:val="4F2676D5"/>
    <w:rsid w:val="4FA6125F"/>
    <w:rsid w:val="505E70EA"/>
    <w:rsid w:val="5112378D"/>
    <w:rsid w:val="525B07C5"/>
    <w:rsid w:val="52E14EC4"/>
    <w:rsid w:val="53F51E89"/>
    <w:rsid w:val="57EE60DD"/>
    <w:rsid w:val="598B6AF7"/>
    <w:rsid w:val="5A1A1C34"/>
    <w:rsid w:val="5A4E0010"/>
    <w:rsid w:val="5B812734"/>
    <w:rsid w:val="5BE04967"/>
    <w:rsid w:val="5C015C21"/>
    <w:rsid w:val="5D744988"/>
    <w:rsid w:val="5E720F58"/>
    <w:rsid w:val="60CD00F4"/>
    <w:rsid w:val="622349C8"/>
    <w:rsid w:val="630030FE"/>
    <w:rsid w:val="64344366"/>
    <w:rsid w:val="64D3048A"/>
    <w:rsid w:val="6516700E"/>
    <w:rsid w:val="65851F87"/>
    <w:rsid w:val="66CA48D2"/>
    <w:rsid w:val="68226450"/>
    <w:rsid w:val="687065DC"/>
    <w:rsid w:val="698B5557"/>
    <w:rsid w:val="69FB3BA8"/>
    <w:rsid w:val="6B3F4116"/>
    <w:rsid w:val="6C1535F7"/>
    <w:rsid w:val="6D2952CE"/>
    <w:rsid w:val="6E003853"/>
    <w:rsid w:val="6ECE5FF3"/>
    <w:rsid w:val="6ED74C74"/>
    <w:rsid w:val="6F1E75D5"/>
    <w:rsid w:val="6F566CB3"/>
    <w:rsid w:val="6FE10E88"/>
    <w:rsid w:val="70323266"/>
    <w:rsid w:val="7152191D"/>
    <w:rsid w:val="717F42C4"/>
    <w:rsid w:val="72377DC9"/>
    <w:rsid w:val="73240EA1"/>
    <w:rsid w:val="74036204"/>
    <w:rsid w:val="7479143D"/>
    <w:rsid w:val="74951BFB"/>
    <w:rsid w:val="74F71418"/>
    <w:rsid w:val="764531F8"/>
    <w:rsid w:val="76821F0E"/>
    <w:rsid w:val="7B017C91"/>
    <w:rsid w:val="7EA32264"/>
    <w:rsid w:val="7F2D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4"/>
    <w:qFormat/>
    <w:uiPriority w:val="0"/>
    <w:pPr>
      <w:keepNext/>
      <w:keepLines/>
      <w:spacing w:line="576" w:lineRule="auto"/>
      <w:jc w:val="center"/>
      <w:outlineLvl w:val="0"/>
    </w:pPr>
    <w:rPr>
      <w:b/>
      <w:kern w:val="44"/>
      <w:sz w:val="30"/>
    </w:rPr>
  </w:style>
  <w:style w:type="paragraph" w:styleId="4">
    <w:name w:val="heading 2"/>
    <w:basedOn w:val="1"/>
    <w:next w:val="1"/>
    <w:unhideWhenUsed/>
    <w:qFormat/>
    <w:uiPriority w:val="0"/>
    <w:pPr>
      <w:keepNext/>
      <w:keepLines/>
      <w:spacing w:line="413" w:lineRule="auto"/>
      <w:jc w:val="center"/>
      <w:outlineLvl w:val="1"/>
    </w:pPr>
    <w:rPr>
      <w:rFonts w:ascii="Arial" w:hAnsi="Arial"/>
      <w:b/>
      <w:sz w:val="28"/>
    </w:rPr>
  </w:style>
  <w:style w:type="paragraph" w:styleId="5">
    <w:name w:val="heading 3"/>
    <w:basedOn w:val="1"/>
    <w:next w:val="1"/>
    <w:unhideWhenUsed/>
    <w:qFormat/>
    <w:uiPriority w:val="0"/>
    <w:pPr>
      <w:keepNext/>
      <w:keepLines/>
      <w:spacing w:line="360" w:lineRule="auto"/>
      <w:outlineLvl w:val="2"/>
    </w:pPr>
    <w:rPr>
      <w:b/>
    </w:rPr>
  </w:style>
  <w:style w:type="paragraph" w:styleId="6">
    <w:name w:val="heading 4"/>
    <w:basedOn w:val="1"/>
    <w:next w:val="1"/>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61"/>
      <w:ind w:left="120"/>
    </w:pPr>
    <w:rPr>
      <w:rFonts w:ascii="宋体" w:hAnsi="宋体" w:cs="宋体"/>
      <w:sz w:val="24"/>
      <w:lang w:val="zh-CN" w:bidi="zh-CN"/>
    </w:rPr>
  </w:style>
  <w:style w:type="paragraph" w:styleId="7">
    <w:name w:val="Normal Indent"/>
    <w:basedOn w:val="1"/>
    <w:semiHidden/>
    <w:unhideWhenUsed/>
    <w:qFormat/>
    <w:uiPriority w:val="99"/>
    <w:pPr>
      <w:ind w:firstLine="420" w:firstLineChars="200"/>
    </w:pPr>
  </w:style>
  <w:style w:type="paragraph" w:styleId="8">
    <w:name w:val="annotation text"/>
    <w:basedOn w:val="1"/>
    <w:link w:val="54"/>
    <w:qFormat/>
    <w:uiPriority w:val="0"/>
  </w:style>
  <w:style w:type="paragraph" w:styleId="9">
    <w:name w:val="Body Text Indent"/>
    <w:basedOn w:val="1"/>
    <w:next w:val="10"/>
    <w:qFormat/>
    <w:uiPriority w:val="0"/>
    <w:pPr>
      <w:spacing w:after="120"/>
      <w:ind w:left="420" w:leftChars="200"/>
    </w:pPr>
  </w:style>
  <w:style w:type="paragraph" w:styleId="10">
    <w:name w:val="envelope return"/>
    <w:basedOn w:val="1"/>
    <w:unhideWhenUsed/>
    <w:qFormat/>
    <w:uiPriority w:val="99"/>
    <w:rPr>
      <w:rFonts w:hint="eastAsia" w:ascii="Arial" w:hAnsi="Arial"/>
    </w:rPr>
  </w:style>
  <w:style w:type="paragraph" w:styleId="11">
    <w:name w:val="Plain Text"/>
    <w:basedOn w:val="1"/>
    <w:qFormat/>
    <w:uiPriority w:val="0"/>
    <w:rPr>
      <w:rFonts w:ascii="宋体" w:hAnsi="Courier New" w:eastAsiaTheme="minorEastAsia"/>
      <w:szCs w:val="22"/>
    </w:rPr>
  </w:style>
  <w:style w:type="paragraph" w:styleId="12">
    <w:name w:val="Balloon Text"/>
    <w:basedOn w:val="1"/>
    <w:link w:val="31"/>
    <w:qFormat/>
    <w:uiPriority w:val="0"/>
    <w:rPr>
      <w:sz w:val="18"/>
      <w:szCs w:val="18"/>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Normal (Web)"/>
    <w:basedOn w:val="1"/>
    <w:qFormat/>
    <w:uiPriority w:val="0"/>
    <w:rPr>
      <w:rFonts w:ascii="Times New Roman" w:hAnsi="Times New Roman" w:cs="Times New Roman"/>
      <w:sz w:val="24"/>
    </w:rPr>
  </w:style>
  <w:style w:type="paragraph" w:styleId="16">
    <w:name w:val="annotation subject"/>
    <w:basedOn w:val="8"/>
    <w:next w:val="8"/>
    <w:link w:val="55"/>
    <w:qFormat/>
    <w:uiPriority w:val="0"/>
    <w:rPr>
      <w:b/>
      <w:bCs/>
    </w:rPr>
  </w:style>
  <w:style w:type="paragraph" w:styleId="17">
    <w:name w:val="Body Text First Indent 2"/>
    <w:basedOn w:val="9"/>
    <w:qFormat/>
    <w:uiPriority w:val="0"/>
    <w:pPr>
      <w:spacing w:line="360" w:lineRule="auto"/>
      <w:ind w:firstLine="420" w:firstLineChars="200"/>
    </w:pPr>
    <w:rPr>
      <w:bCs/>
      <w:szCs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autoRedefine/>
    <w:qFormat/>
    <w:uiPriority w:val="99"/>
    <w:rPr>
      <w:color w:val="0000FF"/>
      <w:u w:val="single"/>
    </w:rPr>
  </w:style>
  <w:style w:type="character" w:styleId="22">
    <w:name w:val="annotation reference"/>
    <w:basedOn w:val="20"/>
    <w:qFormat/>
    <w:uiPriority w:val="0"/>
    <w:rPr>
      <w:sz w:val="21"/>
      <w:szCs w:val="21"/>
    </w:rPr>
  </w:style>
  <w:style w:type="paragraph" w:styleId="23">
    <w:name w:val="List Paragraph"/>
    <w:basedOn w:val="1"/>
    <w:autoRedefine/>
    <w:qFormat/>
    <w:uiPriority w:val="34"/>
    <w:pPr>
      <w:ind w:firstLine="420" w:firstLineChars="200"/>
    </w:pPr>
  </w:style>
  <w:style w:type="character" w:customStyle="1" w:styleId="24">
    <w:name w:val="标题 1 字符"/>
    <w:link w:val="3"/>
    <w:autoRedefine/>
    <w:qFormat/>
    <w:uiPriority w:val="0"/>
    <w:rPr>
      <w:b/>
      <w:kern w:val="44"/>
      <w:sz w:val="30"/>
    </w:rPr>
  </w:style>
  <w:style w:type="paragraph" w:customStyle="1" w:styleId="25">
    <w:name w:val="Table Paragraph"/>
    <w:basedOn w:val="1"/>
    <w:autoRedefine/>
    <w:qFormat/>
    <w:uiPriority w:val="1"/>
  </w:style>
  <w:style w:type="paragraph" w:customStyle="1" w:styleId="26">
    <w:name w:val="正文缩进2格"/>
    <w:basedOn w:val="1"/>
    <w:autoRedefine/>
    <w:qFormat/>
    <w:uiPriority w:val="0"/>
    <w:pPr>
      <w:spacing w:line="600" w:lineRule="exact"/>
      <w:ind w:firstLine="639" w:firstLineChars="206"/>
      <w:jc w:val="both"/>
    </w:pPr>
    <w:rPr>
      <w:rFonts w:ascii="仿宋_GB2312" w:hAnsi="宋体" w:eastAsia="仿宋_GB2312"/>
      <w:sz w:val="31"/>
    </w:rPr>
  </w:style>
  <w:style w:type="paragraph" w:customStyle="1" w:styleId="27">
    <w:name w:val="WPSOffice手动目录 1"/>
    <w:qFormat/>
    <w:uiPriority w:val="0"/>
    <w:rPr>
      <w:rFonts w:asciiTheme="minorHAnsi" w:hAnsiTheme="minorHAnsi" w:eastAsiaTheme="minorEastAsia" w:cstheme="minorBidi"/>
      <w:lang w:val="en-US" w:eastAsia="zh-CN" w:bidi="ar-SA"/>
    </w:rPr>
  </w:style>
  <w:style w:type="paragraph" w:customStyle="1" w:styleId="28">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29">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customStyle="1" w:styleId="30">
    <w:name w:val="列出段落1"/>
    <w:basedOn w:val="1"/>
    <w:autoRedefine/>
    <w:qFormat/>
    <w:uiPriority w:val="0"/>
    <w:pPr>
      <w:ind w:firstLine="420" w:firstLineChars="200"/>
    </w:pPr>
    <w:rPr>
      <w:rFonts w:ascii="Calibri" w:hAnsi="Calibri"/>
      <w:kern w:val="0"/>
      <w:sz w:val="20"/>
      <w:szCs w:val="20"/>
    </w:rPr>
  </w:style>
  <w:style w:type="character" w:customStyle="1" w:styleId="31">
    <w:name w:val="批注框文本 字符"/>
    <w:basedOn w:val="20"/>
    <w:link w:val="12"/>
    <w:qFormat/>
    <w:uiPriority w:val="0"/>
    <w:rPr>
      <w:rFonts w:asciiTheme="minorHAnsi" w:hAnsiTheme="minorHAnsi" w:cstheme="minorBidi"/>
      <w:kern w:val="2"/>
      <w:sz w:val="18"/>
      <w:szCs w:val="18"/>
    </w:rPr>
  </w:style>
  <w:style w:type="paragraph" w:customStyle="1" w:styleId="32">
    <w:name w:val="Other|1"/>
    <w:basedOn w:val="1"/>
    <w:qFormat/>
    <w:uiPriority w:val="0"/>
    <w:pPr>
      <w:jc w:val="center"/>
    </w:pPr>
    <w:rPr>
      <w:rFonts w:ascii="宋体" w:hAnsi="宋体" w:cs="宋体"/>
      <w:sz w:val="14"/>
      <w:szCs w:val="14"/>
      <w:lang w:val="zh-TW" w:eastAsia="zh-TW" w:bidi="zh-TW"/>
    </w:rPr>
  </w:style>
  <w:style w:type="paragraph" w:customStyle="1" w:styleId="33">
    <w:name w:val="Char"/>
    <w:qFormat/>
    <w:uiPriority w:val="0"/>
    <w:pPr>
      <w:adjustRightInd w:val="0"/>
      <w:snapToGrid w:val="0"/>
      <w:spacing w:after="160" w:line="240" w:lineRule="exact"/>
      <w:ind w:left="-62" w:right="36" w:rightChars="15"/>
    </w:pPr>
    <w:rPr>
      <w:rFonts w:ascii="Arial" w:hAnsi="Arial" w:eastAsia="Times New Roman" w:cs="Times New Roman"/>
      <w:lang w:val="en-US" w:eastAsia="en-US" w:bidi="ar-SA"/>
    </w:rPr>
  </w:style>
  <w:style w:type="paragraph" w:customStyle="1" w:styleId="34">
    <w:name w:val="List Paragraph1"/>
    <w:basedOn w:val="1"/>
    <w:autoRedefine/>
    <w:qFormat/>
    <w:uiPriority w:val="0"/>
    <w:pPr>
      <w:ind w:firstLine="420" w:firstLineChars="200"/>
      <w:jc w:val="both"/>
    </w:pPr>
    <w:rPr>
      <w:rFonts w:ascii="Calibri" w:hAnsi="Calibri"/>
    </w:rPr>
  </w:style>
  <w:style w:type="paragraph" w:customStyle="1" w:styleId="35">
    <w:name w:val="表格文字"/>
    <w:basedOn w:val="1"/>
    <w:qFormat/>
    <w:uiPriority w:val="0"/>
    <w:pPr>
      <w:spacing w:before="25" w:after="25" w:line="300" w:lineRule="auto"/>
    </w:pPr>
    <w:rPr>
      <w:rFonts w:ascii="Times" w:hAnsi="Times"/>
      <w:spacing w:val="10"/>
      <w:kern w:val="0"/>
      <w:sz w:val="24"/>
    </w:rPr>
  </w:style>
  <w:style w:type="paragraph" w:customStyle="1" w:styleId="36">
    <w:name w:val="Table Text"/>
    <w:basedOn w:val="1"/>
    <w:semiHidden/>
    <w:qFormat/>
    <w:uiPriority w:val="0"/>
    <w:rPr>
      <w:rFonts w:ascii="宋体" w:hAnsi="宋体" w:cs="宋体"/>
      <w:sz w:val="24"/>
      <w:lang w:eastAsia="en-US"/>
    </w:rPr>
  </w:style>
  <w:style w:type="table" w:customStyle="1" w:styleId="37">
    <w:name w:val="Table Normal"/>
    <w:semiHidden/>
    <w:unhideWhenUsed/>
    <w:qFormat/>
    <w:uiPriority w:val="0"/>
    <w:tblPr>
      <w:tblCellMar>
        <w:top w:w="0" w:type="dxa"/>
        <w:left w:w="0" w:type="dxa"/>
        <w:bottom w:w="0" w:type="dxa"/>
        <w:right w:w="0" w:type="dxa"/>
      </w:tblCellMar>
    </w:tblPr>
  </w:style>
  <w:style w:type="character" w:customStyle="1" w:styleId="38">
    <w:name w:val="font41"/>
    <w:basedOn w:val="20"/>
    <w:qFormat/>
    <w:uiPriority w:val="0"/>
    <w:rPr>
      <w:rFonts w:hint="eastAsia" w:ascii="宋体" w:hAnsi="宋体" w:eastAsia="宋体" w:cs="宋体"/>
      <w:b/>
      <w:bCs/>
      <w:color w:val="000000"/>
      <w:sz w:val="20"/>
      <w:szCs w:val="20"/>
      <w:u w:val="none"/>
    </w:rPr>
  </w:style>
  <w:style w:type="character" w:customStyle="1" w:styleId="39">
    <w:name w:val="font21"/>
    <w:basedOn w:val="20"/>
    <w:qFormat/>
    <w:uiPriority w:val="0"/>
    <w:rPr>
      <w:rFonts w:hint="default" w:ascii="Times New Roman" w:hAnsi="Times New Roman" w:cs="Times New Roman"/>
      <w:b/>
      <w:bCs/>
      <w:color w:val="000000"/>
      <w:sz w:val="20"/>
      <w:szCs w:val="20"/>
      <w:u w:val="none"/>
    </w:rPr>
  </w:style>
  <w:style w:type="character" w:customStyle="1" w:styleId="40">
    <w:name w:val="font51"/>
    <w:basedOn w:val="20"/>
    <w:autoRedefine/>
    <w:qFormat/>
    <w:uiPriority w:val="0"/>
    <w:rPr>
      <w:rFonts w:hint="default" w:ascii="Times New Roman" w:hAnsi="Times New Roman" w:cs="Times New Roman"/>
      <w:b/>
      <w:bCs/>
      <w:color w:val="000000"/>
      <w:sz w:val="20"/>
      <w:szCs w:val="20"/>
      <w:u w:val="none"/>
      <w:vertAlign w:val="superscript"/>
    </w:rPr>
  </w:style>
  <w:style w:type="character" w:customStyle="1" w:styleId="41">
    <w:name w:val="font61"/>
    <w:basedOn w:val="20"/>
    <w:qFormat/>
    <w:uiPriority w:val="0"/>
    <w:rPr>
      <w:rFonts w:hint="eastAsia" w:ascii="宋体" w:hAnsi="宋体" w:eastAsia="宋体" w:cs="宋体"/>
      <w:color w:val="000000"/>
      <w:sz w:val="20"/>
      <w:szCs w:val="20"/>
      <w:u w:val="none"/>
    </w:rPr>
  </w:style>
  <w:style w:type="character" w:customStyle="1" w:styleId="42">
    <w:name w:val="font31"/>
    <w:basedOn w:val="20"/>
    <w:autoRedefine/>
    <w:qFormat/>
    <w:uiPriority w:val="0"/>
    <w:rPr>
      <w:rFonts w:hint="default" w:ascii="Times New Roman" w:hAnsi="Times New Roman" w:cs="Times New Roman"/>
      <w:color w:val="000000"/>
      <w:sz w:val="20"/>
      <w:szCs w:val="20"/>
      <w:u w:val="none"/>
    </w:rPr>
  </w:style>
  <w:style w:type="character" w:customStyle="1" w:styleId="43">
    <w:name w:val="font71"/>
    <w:autoRedefine/>
    <w:qFormat/>
    <w:uiPriority w:val="0"/>
    <w:rPr>
      <w:rFonts w:hint="eastAsia" w:ascii="微软雅黑" w:hAnsi="微软雅黑" w:eastAsia="微软雅黑" w:cs="微软雅黑"/>
      <w:color w:val="000000"/>
      <w:sz w:val="22"/>
      <w:szCs w:val="22"/>
      <w:u w:val="none"/>
    </w:rPr>
  </w:style>
  <w:style w:type="character" w:customStyle="1" w:styleId="44">
    <w:name w:val="font81"/>
    <w:qFormat/>
    <w:uiPriority w:val="0"/>
    <w:rPr>
      <w:rFonts w:hint="eastAsia" w:ascii="微软雅黑" w:hAnsi="微软雅黑" w:eastAsia="微软雅黑" w:cs="微软雅黑"/>
      <w:b/>
      <w:bCs/>
      <w:color w:val="000000"/>
      <w:sz w:val="22"/>
      <w:szCs w:val="22"/>
      <w:u w:val="none"/>
    </w:rPr>
  </w:style>
  <w:style w:type="character" w:customStyle="1" w:styleId="45">
    <w:name w:val="font11"/>
    <w:qFormat/>
    <w:uiPriority w:val="0"/>
    <w:rPr>
      <w:rFonts w:hint="eastAsia" w:ascii="微软雅黑" w:hAnsi="微软雅黑" w:eastAsia="微软雅黑" w:cs="微软雅黑"/>
      <w:color w:val="000000"/>
      <w:sz w:val="22"/>
      <w:szCs w:val="22"/>
      <w:u w:val="none"/>
    </w:rPr>
  </w:style>
  <w:style w:type="character" w:customStyle="1" w:styleId="46">
    <w:name w:val="font101"/>
    <w:basedOn w:val="20"/>
    <w:qFormat/>
    <w:uiPriority w:val="0"/>
    <w:rPr>
      <w:rFonts w:hint="eastAsia" w:ascii="宋体" w:hAnsi="宋体" w:eastAsia="宋体" w:cs="宋体"/>
      <w:color w:val="FF0000"/>
      <w:sz w:val="24"/>
      <w:szCs w:val="24"/>
      <w:u w:val="none"/>
    </w:rPr>
  </w:style>
  <w:style w:type="character" w:customStyle="1" w:styleId="47">
    <w:name w:val="font91"/>
    <w:basedOn w:val="20"/>
    <w:autoRedefine/>
    <w:qFormat/>
    <w:uiPriority w:val="0"/>
    <w:rPr>
      <w:rFonts w:hint="eastAsia" w:ascii="宋体" w:hAnsi="宋体" w:eastAsia="宋体" w:cs="宋体"/>
      <w:b/>
      <w:bCs/>
      <w:color w:val="000000"/>
      <w:sz w:val="24"/>
      <w:szCs w:val="24"/>
      <w:u w:val="none"/>
    </w:rPr>
  </w:style>
  <w:style w:type="character" w:customStyle="1" w:styleId="48">
    <w:name w:val="font112"/>
    <w:basedOn w:val="20"/>
    <w:qFormat/>
    <w:uiPriority w:val="0"/>
    <w:rPr>
      <w:rFonts w:hint="eastAsia" w:ascii="宋体" w:hAnsi="宋体" w:eastAsia="宋体" w:cs="宋体"/>
      <w:color w:val="000000"/>
      <w:sz w:val="24"/>
      <w:szCs w:val="24"/>
      <w:u w:val="none"/>
      <w:vertAlign w:val="subscript"/>
    </w:rPr>
  </w:style>
  <w:style w:type="character" w:customStyle="1" w:styleId="49">
    <w:name w:val="font01"/>
    <w:basedOn w:val="20"/>
    <w:uiPriority w:val="0"/>
    <w:rPr>
      <w:rFonts w:hint="eastAsia" w:ascii="宋体" w:hAnsi="宋体" w:eastAsia="宋体" w:cs="宋体"/>
      <w:color w:val="000000"/>
      <w:sz w:val="24"/>
      <w:szCs w:val="24"/>
      <w:u w:val="none"/>
    </w:rPr>
  </w:style>
  <w:style w:type="character" w:customStyle="1" w:styleId="50">
    <w:name w:val="font181"/>
    <w:basedOn w:val="20"/>
    <w:qFormat/>
    <w:uiPriority w:val="0"/>
    <w:rPr>
      <w:rFonts w:hint="default" w:ascii="华康简标题宋" w:hAnsi="华康简标题宋" w:eastAsia="华康简标题宋" w:cs="华康简标题宋"/>
      <w:b/>
      <w:bCs/>
      <w:color w:val="000000"/>
      <w:sz w:val="32"/>
      <w:szCs w:val="32"/>
      <w:u w:val="single"/>
    </w:rPr>
  </w:style>
  <w:style w:type="character" w:customStyle="1" w:styleId="51">
    <w:name w:val="font151"/>
    <w:basedOn w:val="20"/>
    <w:qFormat/>
    <w:uiPriority w:val="0"/>
    <w:rPr>
      <w:rFonts w:hint="default" w:ascii="仿宋_GB2312" w:eastAsia="仿宋_GB2312" w:cs="仿宋_GB2312"/>
      <w:color w:val="000000"/>
      <w:sz w:val="16"/>
      <w:szCs w:val="16"/>
      <w:u w:val="none"/>
    </w:rPr>
  </w:style>
  <w:style w:type="character" w:customStyle="1" w:styleId="52">
    <w:name w:val="font131"/>
    <w:basedOn w:val="20"/>
    <w:qFormat/>
    <w:uiPriority w:val="0"/>
    <w:rPr>
      <w:rFonts w:hint="default" w:ascii="仿宋_GB2312" w:eastAsia="仿宋_GB2312" w:cs="仿宋_GB2312"/>
      <w:b/>
      <w:bCs/>
      <w:color w:val="000000"/>
      <w:sz w:val="16"/>
      <w:szCs w:val="16"/>
      <w:u w:val="none"/>
    </w:rPr>
  </w:style>
  <w:style w:type="character" w:customStyle="1" w:styleId="53">
    <w:name w:val="font161"/>
    <w:basedOn w:val="20"/>
    <w:qFormat/>
    <w:uiPriority w:val="0"/>
    <w:rPr>
      <w:rFonts w:hint="eastAsia" w:ascii="黑体" w:hAnsi="宋体" w:eastAsia="黑体" w:cs="黑体"/>
      <w:color w:val="000000"/>
      <w:sz w:val="20"/>
      <w:szCs w:val="20"/>
      <w:u w:val="none"/>
    </w:rPr>
  </w:style>
  <w:style w:type="character" w:customStyle="1" w:styleId="54">
    <w:name w:val="批注文字 字符"/>
    <w:basedOn w:val="20"/>
    <w:link w:val="8"/>
    <w:uiPriority w:val="0"/>
    <w:rPr>
      <w:rFonts w:asciiTheme="minorHAnsi" w:hAnsiTheme="minorHAnsi" w:cstheme="minorBidi"/>
      <w:kern w:val="2"/>
      <w:sz w:val="21"/>
      <w:szCs w:val="24"/>
    </w:rPr>
  </w:style>
  <w:style w:type="character" w:customStyle="1" w:styleId="55">
    <w:name w:val="批注主题 字符"/>
    <w:basedOn w:val="54"/>
    <w:link w:val="16"/>
    <w:qFormat/>
    <w:uiPriority w:val="0"/>
    <w:rPr>
      <w:rFonts w:asciiTheme="minorHAnsi" w:hAnsiTheme="minorHAnsi"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226</Pages>
  <Words>24789</Words>
  <Characters>141303</Characters>
  <Lines>1177</Lines>
  <Paragraphs>331</Paragraphs>
  <TotalTime>4</TotalTime>
  <ScaleCrop>false</ScaleCrop>
  <LinksUpToDate>false</LinksUpToDate>
  <CharactersWithSpaces>165761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cp:lastModifiedBy>
  <cp:lastPrinted>2023-12-22T09:20:00Z</cp:lastPrinted>
  <dcterms:modified xsi:type="dcterms:W3CDTF">2023-12-29T03:06:36Z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FEAC0CDF93084E95A13D7957CA8D1CB2_13</vt:lpwstr>
  </property>
</Properties>
</file>