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东莞市长安镇新民社区绿化养护服务项目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GSDG2024-002C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东莞市长安镇新民社区居民委员会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1</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18</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东莞市长安镇新民社区绿化养护服务项目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35393790"/>
      <w:bookmarkStart w:id="5" w:name="_Toc28359079"/>
      <w:bookmarkStart w:id="6" w:name="_Toc35393621"/>
      <w:bookmarkStart w:id="7" w:name="_Toc28359002"/>
      <w:bookmarkStart w:id="8" w:name="_Toc216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GSDG2024-002C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东莞市长安镇新民社区绿化养护服务项目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¥2</w:t>
      </w:r>
      <w:r>
        <w:rPr>
          <w:rFonts w:hint="eastAsia" w:ascii="宋体" w:hAnsi="宋体" w:cs="宋体"/>
          <w:b/>
          <w:bCs/>
          <w:color w:val="auto"/>
          <w:szCs w:val="21"/>
          <w:highlight w:val="none"/>
          <w:u w:val="single"/>
          <w:lang w:val="en-US" w:eastAsia="zh-CN"/>
        </w:rPr>
        <w:t>,</w:t>
      </w:r>
      <w:r>
        <w:rPr>
          <w:rFonts w:hint="eastAsia" w:ascii="宋体" w:hAnsi="宋体" w:cs="宋体"/>
          <w:b/>
          <w:bCs/>
          <w:color w:val="auto"/>
          <w:szCs w:val="21"/>
          <w:highlight w:val="none"/>
          <w:u w:val="single"/>
        </w:rPr>
        <w:t>988</w:t>
      </w:r>
      <w:r>
        <w:rPr>
          <w:rFonts w:hint="eastAsia" w:ascii="宋体" w:hAnsi="宋体" w:cs="宋体"/>
          <w:b/>
          <w:bCs/>
          <w:color w:val="auto"/>
          <w:szCs w:val="21"/>
          <w:highlight w:val="none"/>
          <w:u w:val="single"/>
          <w:lang w:val="en-US" w:eastAsia="zh-CN"/>
        </w:rPr>
        <w:t>,</w:t>
      </w:r>
      <w:r>
        <w:rPr>
          <w:rFonts w:hint="eastAsia" w:ascii="宋体" w:hAnsi="宋体" w:cs="宋体"/>
          <w:b/>
          <w:bCs/>
          <w:color w:val="auto"/>
          <w:szCs w:val="21"/>
          <w:highlight w:val="none"/>
          <w:u w:val="single"/>
        </w:rPr>
        <w:t>000</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97"/>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1697"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6000"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17"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1697" w:type="dxa"/>
            <w:vAlign w:val="center"/>
          </w:tcPr>
          <w:p>
            <w:pPr>
              <w:spacing w:line="360" w:lineRule="auto"/>
              <w:jc w:val="center"/>
              <w:rPr>
                <w:rFonts w:hAnsi="宋体"/>
                <w:color w:val="auto"/>
                <w:szCs w:val="21"/>
                <w:highlight w:val="none"/>
              </w:rPr>
            </w:pPr>
            <w:r>
              <w:rPr>
                <w:rFonts w:hint="eastAsia" w:hAnsi="宋体"/>
                <w:color w:val="auto"/>
                <w:szCs w:val="21"/>
                <w:highlight w:val="none"/>
                <w:lang w:eastAsia="zh-CN"/>
              </w:rPr>
              <w:t>东</w:t>
            </w:r>
            <w:r>
              <w:rPr>
                <w:rFonts w:hint="eastAsia" w:ascii="宋体" w:hAnsi="宋体" w:cs="宋体"/>
                <w:color w:val="auto"/>
                <w:szCs w:val="21"/>
                <w:highlight w:val="none"/>
                <w:lang w:eastAsia="zh-CN"/>
              </w:rPr>
              <w:t>东莞市长安镇新民社区绿化养护服务</w:t>
            </w:r>
            <w:r>
              <w:rPr>
                <w:rFonts w:hint="eastAsia" w:hAnsi="宋体"/>
                <w:color w:val="auto"/>
                <w:szCs w:val="21"/>
                <w:highlight w:val="none"/>
              </w:rPr>
              <w:t>采购一项</w:t>
            </w:r>
          </w:p>
        </w:tc>
        <w:tc>
          <w:tcPr>
            <w:tcW w:w="6000" w:type="dxa"/>
            <w:vAlign w:val="center"/>
          </w:tcPr>
          <w:p>
            <w:pPr>
              <w:spacing w:line="360" w:lineRule="auto"/>
              <w:jc w:val="left"/>
              <w:rPr>
                <w:rFonts w:hint="eastAsia" w:hAnsi="宋体" w:eastAsia="宋体"/>
                <w:color w:val="auto"/>
                <w:szCs w:val="21"/>
                <w:highlight w:val="none"/>
                <w:lang w:eastAsia="zh-CN"/>
              </w:rPr>
            </w:pPr>
            <w:r>
              <w:rPr>
                <w:rFonts w:hint="eastAsia" w:hAnsi="宋体"/>
                <w:color w:val="auto"/>
                <w:szCs w:val="21"/>
                <w:highlight w:val="none"/>
              </w:rPr>
              <w:t>服务期为3年。</w:t>
            </w:r>
            <w:r>
              <w:rPr>
                <w:rFonts w:hint="eastAsia" w:hAnsi="宋体"/>
                <w:color w:val="auto"/>
                <w:szCs w:val="21"/>
                <w:highlight w:val="none"/>
                <w:lang w:eastAsia="zh-CN"/>
              </w:rPr>
              <w:t>（采用一年一签模式，即只有每年考核达标，才能自动续约下一年合同。如考核未达标的承包单位将自动淘汰出局，由采购单位重新组织项目招标。合同期满前50日内，采购人根据考核办法评定是否达标，具体为：该年度没有出现连续两个月综合考核得分80以下或同一年度内累计三个月综合考核得分80以下，视为达标。）</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35393791"/>
      <w:bookmarkStart w:id="11" w:name="_Toc28359003"/>
      <w:bookmarkStart w:id="12" w:name="_Toc35393622"/>
      <w:bookmarkStart w:id="13" w:name="_Toc25198"/>
      <w:bookmarkStart w:id="14" w:name="_Toc28359080"/>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623"/>
      <w:bookmarkStart w:id="20" w:name="_Toc17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624"/>
      <w:bookmarkStart w:id="25" w:name="_Toc28585"/>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月</w:t>
      </w:r>
      <w:bookmarkStart w:id="179" w:name="_GoBack"/>
      <w:bookmarkEnd w:id="179"/>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bCs/>
          <w:color w:val="auto"/>
          <w:szCs w:val="21"/>
          <w:highlight w:val="none"/>
        </w:rPr>
        <w:t>东莞市长安镇体育路18号智慧大厦四楼一单元401室</w:t>
      </w:r>
      <w:r>
        <w:rPr>
          <w:rFonts w:hint="eastAsia" w:ascii="宋体" w:hAnsi="宋体" w:eastAsia="宋体" w:cs="宋体"/>
          <w:i w:val="0"/>
          <w:iCs w:val="0"/>
          <w:caps w:val="0"/>
          <w:color w:val="auto"/>
          <w:spacing w:val="0"/>
          <w:sz w:val="21"/>
          <w:szCs w:val="21"/>
          <w:highlight w:val="none"/>
        </w:rPr>
        <w:t>。</w:t>
      </w:r>
    </w:p>
    <w:p>
      <w:pPr>
        <w:pStyle w:val="4"/>
        <w:spacing w:line="360" w:lineRule="auto"/>
        <w:jc w:val="left"/>
        <w:rPr>
          <w:rFonts w:ascii="宋体" w:hAnsi="宋体" w:cs="宋体"/>
          <w:bCs/>
          <w:color w:val="auto"/>
          <w:sz w:val="21"/>
          <w:szCs w:val="21"/>
          <w:highlight w:val="none"/>
        </w:rPr>
      </w:pPr>
      <w:bookmarkStart w:id="27" w:name="_Toc35393794"/>
      <w:bookmarkStart w:id="28" w:name="_Toc25695"/>
      <w:bookmarkStart w:id="29" w:name="_Toc35393625"/>
      <w:bookmarkStart w:id="30" w:name="_Toc28359007"/>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795"/>
      <w:bookmarkStart w:id="33" w:name="_Toc35393626"/>
      <w:bookmarkStart w:id="34" w:name="_Toc1519"/>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35393796"/>
      <w:bookmarkStart w:id="37" w:name="_Toc28359008"/>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ascii="宋体" w:hAnsi="宋体" w:cs="宋体"/>
          <w:color w:val="auto"/>
          <w:szCs w:val="21"/>
          <w:highlight w:val="none"/>
        </w:rPr>
      </w:pPr>
      <w:bookmarkStart w:id="41" w:name="_Toc28359086"/>
      <w:bookmarkStart w:id="42" w:name="_Toc4580"/>
      <w:bookmarkStart w:id="43" w:name="_Toc28359009"/>
      <w:r>
        <w:rPr>
          <w:rFonts w:hint="eastAsia" w:ascii="宋体" w:hAnsi="宋体" w:cs="宋体"/>
          <w:color w:val="auto"/>
          <w:szCs w:val="21"/>
          <w:highlight w:val="none"/>
        </w:rPr>
        <w:t>名  称：</w:t>
      </w:r>
      <w:r>
        <w:rPr>
          <w:rFonts w:ascii="宋体" w:hAnsi="宋体" w:cs="宋体"/>
          <w:color w:val="auto"/>
          <w:szCs w:val="21"/>
          <w:highlight w:val="none"/>
        </w:rPr>
        <w:t>东莞市长安镇</w:t>
      </w:r>
      <w:r>
        <w:rPr>
          <w:rFonts w:hint="eastAsia" w:ascii="宋体" w:hAnsi="宋体" w:cs="宋体"/>
          <w:color w:val="auto"/>
          <w:szCs w:val="21"/>
          <w:highlight w:val="none"/>
          <w:lang w:eastAsia="zh-CN"/>
        </w:rPr>
        <w:t>新民</w:t>
      </w:r>
      <w:r>
        <w:rPr>
          <w:rFonts w:ascii="宋体" w:hAnsi="宋体" w:cs="宋体"/>
          <w:color w:val="auto"/>
          <w:szCs w:val="21"/>
          <w:highlight w:val="none"/>
        </w:rPr>
        <w:t>社区居民委员会</w:t>
      </w:r>
      <w:r>
        <w:rPr>
          <w:rFonts w:hint="eastAsia" w:ascii="宋体" w:hAnsi="宋体" w:cs="宋体"/>
          <w:color w:val="auto"/>
          <w:szCs w:val="21"/>
          <w:highlight w:val="none"/>
        </w:rPr>
        <w:t xml:space="preserve">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w:t>
      </w:r>
      <w:r>
        <w:rPr>
          <w:rFonts w:ascii="宋体" w:hAnsi="宋体" w:cs="宋体"/>
          <w:color w:val="auto"/>
          <w:szCs w:val="21"/>
          <w:highlight w:val="none"/>
        </w:rPr>
        <w:t>长安镇</w:t>
      </w:r>
      <w:r>
        <w:rPr>
          <w:rFonts w:hint="eastAsia" w:ascii="宋体" w:hAnsi="宋体" w:cs="宋体"/>
          <w:color w:val="auto"/>
          <w:szCs w:val="21"/>
          <w:highlight w:val="none"/>
          <w:lang w:eastAsia="zh-CN"/>
        </w:rPr>
        <w:t>新民</w:t>
      </w:r>
      <w:r>
        <w:rPr>
          <w:rFonts w:ascii="宋体" w:hAnsi="宋体" w:cs="宋体"/>
          <w:color w:val="auto"/>
          <w:szCs w:val="21"/>
          <w:highlight w:val="none"/>
        </w:rPr>
        <w:t>社区</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陈</w:t>
      </w:r>
      <w:r>
        <w:rPr>
          <w:rFonts w:hint="eastAsia" w:ascii="宋体" w:hAnsi="宋体" w:cs="宋体"/>
          <w:color w:val="auto"/>
          <w:szCs w:val="21"/>
          <w:highlight w:val="none"/>
        </w:rPr>
        <w:t>先生</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0769-81553838</w:t>
      </w:r>
    </w:p>
    <w:p>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652"/>
      <w:bookmarkStart w:id="49" w:name="_Toc497983494"/>
      <w:bookmarkStart w:id="50" w:name="_Toc396137231"/>
      <w:bookmarkStart w:id="51" w:name="_Toc413402429"/>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298847174"/>
      <w:bookmarkStart w:id="58" w:name="_Toc303084246"/>
      <w:bookmarkStart w:id="59" w:name="_Toc1530"/>
      <w:bookmarkStart w:id="60" w:name="_Toc382049092"/>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3" w:name="_Toc16909"/>
      <w:bookmarkStart w:id="64" w:name="_Toc32610"/>
      <w:r>
        <w:rPr>
          <w:rFonts w:hint="eastAsia"/>
          <w:color w:val="auto"/>
          <w:highlight w:val="none"/>
        </w:rPr>
        <w:t>4.投标费用</w:t>
      </w:r>
      <w:bookmarkEnd w:id="63"/>
      <w:bookmarkEnd w:id="6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5" w:name="_Toc13316"/>
      <w:bookmarkStart w:id="66" w:name="_Toc24409"/>
      <w:r>
        <w:rPr>
          <w:rFonts w:hint="eastAsia"/>
          <w:color w:val="auto"/>
          <w:highlight w:val="none"/>
        </w:rPr>
        <w:t>5.知识产权</w:t>
      </w:r>
      <w:bookmarkEnd w:id="65"/>
      <w:bookmarkEnd w:id="6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9" w:name="_Toc27528"/>
      <w:bookmarkStart w:id="70" w:name="_Toc24312"/>
      <w:r>
        <w:rPr>
          <w:rFonts w:hint="eastAsia"/>
          <w:color w:val="auto"/>
          <w:highlight w:val="none"/>
        </w:rPr>
        <w:t>7.关于分支机构投标</w:t>
      </w:r>
      <w:bookmarkEnd w:id="69"/>
      <w:bookmarkEnd w:id="70"/>
    </w:p>
    <w:p>
      <w:pPr>
        <w:pStyle w:val="20"/>
        <w:numPr>
          <w:ilvl w:val="0"/>
          <w:numId w:val="6"/>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5"/>
        <w:rPr>
          <w:color w:val="auto"/>
          <w:highlight w:val="none"/>
        </w:rPr>
      </w:pPr>
      <w:bookmarkStart w:id="72" w:name="_Toc13645"/>
      <w:bookmarkStart w:id="73" w:name="_Toc15490"/>
      <w:r>
        <w:rPr>
          <w:rFonts w:hint="eastAsia"/>
          <w:color w:val="auto"/>
          <w:highlight w:val="none"/>
        </w:rPr>
        <w:t>8.招标文件的组成</w:t>
      </w:r>
      <w:bookmarkEnd w:id="72"/>
      <w:bookmarkEnd w:id="73"/>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4" w:name="_Toc7789"/>
      <w:bookmarkStart w:id="75" w:name="_Toc644"/>
      <w:r>
        <w:rPr>
          <w:rFonts w:hint="eastAsia"/>
          <w:color w:val="auto"/>
          <w:highlight w:val="none"/>
        </w:rPr>
        <w:t>9.招标文件的澄清或修改</w:t>
      </w:r>
      <w:bookmarkEnd w:id="74"/>
      <w:bookmarkEnd w:id="7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8" w:name="_Toc382049103"/>
      <w:bookmarkStart w:id="79" w:name="_Toc8246"/>
      <w:bookmarkStart w:id="80" w:name="_Toc303084256"/>
      <w:bookmarkStart w:id="81" w:name="_Toc29420"/>
      <w:bookmarkStart w:id="82" w:name="_Toc307934854"/>
      <w:bookmarkStart w:id="83" w:name="_Toc28866"/>
      <w:r>
        <w:rPr>
          <w:rFonts w:hint="eastAsia"/>
          <w:color w:val="auto"/>
          <w:highlight w:val="none"/>
        </w:rPr>
        <w:t>11.投标文件的组成</w:t>
      </w:r>
      <w:bookmarkEnd w:id="78"/>
      <w:bookmarkEnd w:id="79"/>
      <w:bookmarkEnd w:id="80"/>
      <w:bookmarkEnd w:id="81"/>
      <w:bookmarkEnd w:id="82"/>
      <w:bookmarkEnd w:id="8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4" w:name="_Toc5980"/>
      <w:bookmarkStart w:id="85" w:name="_Toc11356"/>
      <w:r>
        <w:rPr>
          <w:rFonts w:hint="eastAsia"/>
          <w:color w:val="auto"/>
          <w:highlight w:val="none"/>
        </w:rPr>
        <w:t>12.投标文件编制</w:t>
      </w:r>
      <w:bookmarkEnd w:id="84"/>
      <w:bookmarkEnd w:id="85"/>
    </w:p>
    <w:p>
      <w:pPr>
        <w:pStyle w:val="20"/>
        <w:numPr>
          <w:ilvl w:val="0"/>
          <w:numId w:val="6"/>
        </w:numPr>
        <w:spacing w:line="400" w:lineRule="exact"/>
        <w:ind w:firstLineChars="0"/>
        <w:jc w:val="both"/>
        <w:rPr>
          <w:rFonts w:ascii="宋体" w:hAnsi="宋体" w:cs="宋体"/>
          <w:vanish/>
          <w:color w:val="auto"/>
          <w:szCs w:val="21"/>
          <w:highlight w:val="none"/>
        </w:rPr>
      </w:pPr>
      <w:bookmarkStart w:id="86"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7" w:name="_Toc1355"/>
      <w:bookmarkStart w:id="88" w:name="_Toc28034"/>
      <w:r>
        <w:rPr>
          <w:rFonts w:hint="eastAsia"/>
          <w:color w:val="auto"/>
          <w:highlight w:val="none"/>
        </w:rPr>
        <w:t>13.投标报价说明</w:t>
      </w:r>
      <w:bookmarkEnd w:id="87"/>
      <w:bookmarkEnd w:id="8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89" w:name="_Toc6729"/>
      <w:bookmarkStart w:id="90" w:name="_Toc34"/>
      <w:r>
        <w:rPr>
          <w:rFonts w:hint="eastAsia"/>
          <w:color w:val="auto"/>
          <w:highlight w:val="none"/>
        </w:rPr>
        <w:t>14.投标人所提供的服务或货物的证明文件</w:t>
      </w:r>
      <w:bookmarkEnd w:id="89"/>
      <w:bookmarkEnd w:id="9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1" w:name="_Hlt107925638"/>
      <w:bookmarkEnd w:id="91"/>
      <w:bookmarkStart w:id="92" w:name="_Hlt10792566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3" w:name="_Toc29725"/>
      <w:bookmarkStart w:id="94" w:name="_Toc10940"/>
      <w:r>
        <w:rPr>
          <w:rFonts w:hint="eastAsia"/>
          <w:color w:val="auto"/>
          <w:highlight w:val="none"/>
        </w:rPr>
        <w:t>15.★投标有效期</w:t>
      </w:r>
      <w:bookmarkEnd w:id="93"/>
      <w:bookmarkEnd w:id="9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5" w:name="_Toc5483"/>
      <w:bookmarkStart w:id="96" w:name="_Toc15529"/>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7"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8" w:name="_Toc303084264"/>
      <w:bookmarkStart w:id="99" w:name="_Toc16724"/>
      <w:bookmarkStart w:id="100" w:name="_Toc24997"/>
      <w:bookmarkStart w:id="101" w:name="_Toc16286"/>
      <w:bookmarkStart w:id="102" w:name="_Toc382049111"/>
      <w:r>
        <w:rPr>
          <w:rFonts w:hint="eastAsia"/>
          <w:color w:val="auto"/>
          <w:highlight w:val="none"/>
        </w:rPr>
        <w:t>17.投标文件的装订，签署，密封和标记</w:t>
      </w:r>
      <w:bookmarkEnd w:id="98"/>
      <w:bookmarkEnd w:id="99"/>
      <w:bookmarkEnd w:id="100"/>
      <w:bookmarkEnd w:id="101"/>
      <w:bookmarkEnd w:id="10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3" w:name="_Toc30088"/>
      <w:bookmarkStart w:id="104" w:name="_Toc17636"/>
      <w:r>
        <w:rPr>
          <w:rFonts w:hint="eastAsia"/>
          <w:color w:val="auto"/>
          <w:highlight w:val="none"/>
        </w:rPr>
        <w:t>18.迟交的投标文件</w:t>
      </w:r>
      <w:bookmarkEnd w:id="103"/>
      <w:bookmarkEnd w:id="10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5" w:name="_Toc24269"/>
      <w:bookmarkStart w:id="106" w:name="_Toc15912"/>
      <w:r>
        <w:rPr>
          <w:rFonts w:hint="eastAsia"/>
          <w:color w:val="auto"/>
          <w:highlight w:val="none"/>
        </w:rPr>
        <w:t>19.投标样品、投标演示（如有要求）</w:t>
      </w:r>
      <w:bookmarkEnd w:id="105"/>
      <w:bookmarkEnd w:id="10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7" w:name="_Toc28098"/>
      <w:bookmarkStart w:id="108" w:name="_Toc303084265"/>
      <w:bookmarkStart w:id="109" w:name="_Toc22355"/>
      <w:bookmarkStart w:id="110" w:name="_Toc9777"/>
      <w:bookmarkStart w:id="111" w:name="_Toc382049112"/>
      <w:r>
        <w:rPr>
          <w:rFonts w:hint="eastAsia"/>
          <w:color w:val="auto"/>
          <w:highlight w:val="none"/>
        </w:rPr>
        <w:t>20.投标截止期</w:t>
      </w:r>
      <w:bookmarkEnd w:id="107"/>
      <w:bookmarkEnd w:id="108"/>
      <w:bookmarkEnd w:id="109"/>
      <w:bookmarkEnd w:id="110"/>
      <w:bookmarkEnd w:id="11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2" w:name="_Toc4270"/>
      <w:bookmarkStart w:id="113" w:name="_Toc22260"/>
      <w:r>
        <w:rPr>
          <w:rFonts w:hint="eastAsia"/>
          <w:color w:val="auto"/>
          <w:highlight w:val="none"/>
        </w:rPr>
        <w:t>21.投标文件的补充、修改与撤回</w:t>
      </w:r>
      <w:bookmarkEnd w:id="112"/>
      <w:bookmarkEnd w:id="11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5" w:name="_Toc23244"/>
      <w:bookmarkStart w:id="116" w:name="_Toc318"/>
      <w:r>
        <w:rPr>
          <w:rFonts w:hint="eastAsia"/>
          <w:color w:val="auto"/>
          <w:highlight w:val="none"/>
        </w:rPr>
        <w:t>23.评标委员会及评标方法</w:t>
      </w:r>
      <w:bookmarkEnd w:id="115"/>
      <w:bookmarkEnd w:id="11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7" w:name="_Toc15635"/>
      <w:bookmarkStart w:id="118" w:name="_Toc21911"/>
      <w:r>
        <w:rPr>
          <w:rFonts w:hint="eastAsia"/>
          <w:color w:val="auto"/>
          <w:highlight w:val="none"/>
        </w:rPr>
        <w:t>24.评审原则及评标过程的保密</w:t>
      </w:r>
      <w:bookmarkEnd w:id="117"/>
      <w:bookmarkEnd w:id="11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19" w:name="_Toc10950"/>
      <w:bookmarkStart w:id="120" w:name="_Toc12318"/>
      <w:r>
        <w:rPr>
          <w:rFonts w:hint="eastAsia"/>
          <w:color w:val="auto"/>
          <w:highlight w:val="none"/>
        </w:rPr>
        <w:t>25.投标文件的初审</w:t>
      </w:r>
      <w:bookmarkEnd w:id="119"/>
      <w:bookmarkEnd w:id="120"/>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1" w:name="_Toc24775"/>
      <w:bookmarkStart w:id="122" w:name="_Toc19657"/>
      <w:r>
        <w:rPr>
          <w:rFonts w:hint="eastAsia"/>
          <w:color w:val="auto"/>
          <w:highlight w:val="none"/>
        </w:rPr>
        <w:t>26.商务、技术、价格评审</w:t>
      </w:r>
      <w:bookmarkEnd w:id="121"/>
      <w:bookmarkEnd w:id="122"/>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3" w:name="_Toc316375620"/>
      <w:bookmarkStart w:id="124" w:name="_Toc5898"/>
      <w:bookmarkStart w:id="125" w:name="_Toc382049120"/>
      <w:bookmarkStart w:id="126" w:name="_Toc19304"/>
      <w:bookmarkStart w:id="127" w:name="_Toc20328"/>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8" w:name="_Toc1994"/>
      <w:bookmarkStart w:id="129" w:name="_Toc508284011"/>
      <w:bookmarkStart w:id="130" w:name="_Toc4954"/>
      <w:r>
        <w:rPr>
          <w:rFonts w:hint="eastAsia"/>
          <w:color w:val="auto"/>
          <w:highlight w:val="none"/>
        </w:rPr>
        <w:t>28.合同授予标准</w:t>
      </w:r>
      <w:bookmarkEnd w:id="128"/>
      <w:bookmarkEnd w:id="129"/>
      <w:bookmarkEnd w:id="130"/>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1" w:name="_Toc14141"/>
      <w:bookmarkStart w:id="132" w:name="_Toc22043"/>
      <w:bookmarkStart w:id="133" w:name="_Toc508284013"/>
      <w:r>
        <w:rPr>
          <w:rFonts w:hint="eastAsia"/>
          <w:color w:val="auto"/>
          <w:highlight w:val="none"/>
        </w:rPr>
        <w:t>30.发布采购结果</w:t>
      </w:r>
      <w:bookmarkEnd w:id="131"/>
      <w:bookmarkEnd w:id="132"/>
      <w:bookmarkEnd w:id="13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4" w:name="_Toc11977"/>
      <w:bookmarkStart w:id="135" w:name="_Toc8411"/>
      <w:r>
        <w:rPr>
          <w:rFonts w:hint="eastAsia"/>
          <w:color w:val="auto"/>
          <w:highlight w:val="none"/>
        </w:rPr>
        <w:t>30.合同的签订与履行</w:t>
      </w:r>
      <w:bookmarkEnd w:id="134"/>
      <w:bookmarkEnd w:id="135"/>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6" w:name="_Toc19434"/>
      <w:bookmarkStart w:id="137" w:name="_Toc23400"/>
      <w:r>
        <w:rPr>
          <w:rFonts w:hint="eastAsia"/>
          <w:color w:val="auto"/>
          <w:highlight w:val="none"/>
        </w:rPr>
        <w:t>31.招标文件的解释权</w:t>
      </w:r>
      <w:bookmarkEnd w:id="136"/>
      <w:bookmarkEnd w:id="137"/>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5"/>
        <w:tblW w:w="507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80"/>
        <w:gridCol w:w="6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olor w:val="auto"/>
                <w:szCs w:val="21"/>
                <w:highlight w:val="none"/>
                <w:lang w:val="en-US" w:eastAsia="zh-CN"/>
              </w:rPr>
              <w:t>服务期</w:t>
            </w:r>
          </w:p>
        </w:tc>
        <w:tc>
          <w:tcPr>
            <w:tcW w:w="4004" w:type="pct"/>
            <w:vAlign w:val="center"/>
          </w:tcPr>
          <w:p>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服务期为3年。（采用一年一签模式，即只有每年考核达标，才能自动续约下一年合同。如考核未达标的承包单位将自动淘汰出局，由采购单位重新组织项目招标。合同期满前50日内，采购人根据考核办法评定是否达标，具体为：该年度没有出现连续两个月综合考核得分80以下或同一年度内累计三个月综合考核得分80以下，视为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400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1、</w:t>
            </w:r>
            <w:r>
              <w:rPr>
                <w:rFonts w:hint="eastAsia" w:ascii="宋体" w:hAnsi="宋体" w:cs="宋体"/>
                <w:color w:val="auto"/>
                <w:szCs w:val="21"/>
                <w:highlight w:val="none"/>
                <w:lang w:val="en-US" w:bidi="zh-CN"/>
              </w:rPr>
              <w:t>采购人在</w:t>
            </w:r>
            <w:r>
              <w:rPr>
                <w:rFonts w:hint="default" w:ascii="宋体" w:hAnsi="宋体" w:cs="宋体"/>
                <w:color w:val="auto"/>
                <w:szCs w:val="21"/>
                <w:highlight w:val="none"/>
                <w:lang w:val="en-US" w:bidi="zh-CN"/>
              </w:rPr>
              <w:t>合同生效后从第二个月起每月20日前向</w:t>
            </w:r>
            <w:r>
              <w:rPr>
                <w:rFonts w:hint="eastAsia" w:ascii="宋体" w:hAnsi="宋体" w:cs="宋体"/>
                <w:color w:val="auto"/>
                <w:szCs w:val="21"/>
                <w:highlight w:val="none"/>
                <w:lang w:val="en-US" w:bidi="zh-CN"/>
              </w:rPr>
              <w:t>中标人</w:t>
            </w:r>
            <w:r>
              <w:rPr>
                <w:rFonts w:hint="default" w:ascii="宋体" w:hAnsi="宋体" w:cs="宋体"/>
                <w:color w:val="auto"/>
                <w:szCs w:val="21"/>
                <w:highlight w:val="none"/>
                <w:lang w:val="en-US" w:bidi="zh-CN"/>
              </w:rPr>
              <w:t>支付上月的养护费</w:t>
            </w:r>
            <w:r>
              <w:rPr>
                <w:rFonts w:hint="eastAsia" w:ascii="宋体" w:hAnsi="宋体" w:cs="宋体"/>
                <w:color w:val="auto"/>
                <w:szCs w:val="21"/>
                <w:highlight w:val="none"/>
                <w:lang w:val="en-US" w:bidi="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2、付款时</w:t>
            </w:r>
            <w:r>
              <w:rPr>
                <w:rFonts w:hint="eastAsia" w:ascii="宋体" w:hAnsi="宋体" w:cs="宋体"/>
                <w:color w:val="auto"/>
                <w:szCs w:val="21"/>
                <w:highlight w:val="none"/>
                <w:lang w:val="en-US" w:bidi="zh-CN"/>
              </w:rPr>
              <w:t>中标人</w:t>
            </w:r>
            <w:r>
              <w:rPr>
                <w:rFonts w:hint="default" w:ascii="宋体" w:hAnsi="宋体" w:cs="宋体"/>
                <w:color w:val="auto"/>
                <w:szCs w:val="21"/>
                <w:highlight w:val="none"/>
                <w:lang w:val="en-US" w:bidi="zh-CN"/>
              </w:rPr>
              <w:t>应出具与实际应付款数额相符的发票，如</w:t>
            </w:r>
            <w:r>
              <w:rPr>
                <w:rFonts w:hint="eastAsia" w:ascii="宋体" w:hAnsi="宋体" w:cs="宋体"/>
                <w:color w:val="auto"/>
                <w:szCs w:val="21"/>
                <w:highlight w:val="none"/>
                <w:lang w:val="en-US" w:bidi="zh-CN"/>
              </w:rPr>
              <w:t>中标人</w:t>
            </w:r>
            <w:r>
              <w:rPr>
                <w:rFonts w:hint="default" w:ascii="宋体" w:hAnsi="宋体" w:cs="宋体"/>
                <w:color w:val="auto"/>
                <w:szCs w:val="21"/>
                <w:highlight w:val="none"/>
                <w:lang w:val="en-US" w:bidi="zh-CN"/>
              </w:rPr>
              <w:t>迟延提交发票或者提交的发票不符合要求的，</w:t>
            </w:r>
            <w:r>
              <w:rPr>
                <w:rFonts w:hint="eastAsia" w:ascii="宋体" w:hAnsi="宋体" w:cs="宋体"/>
                <w:color w:val="auto"/>
                <w:szCs w:val="21"/>
                <w:highlight w:val="none"/>
                <w:lang w:val="en-US" w:bidi="zh-CN"/>
              </w:rPr>
              <w:t>采购人</w:t>
            </w:r>
            <w:r>
              <w:rPr>
                <w:rFonts w:hint="default" w:ascii="宋体" w:hAnsi="宋体" w:cs="宋体"/>
                <w:color w:val="auto"/>
                <w:szCs w:val="21"/>
                <w:highlight w:val="none"/>
                <w:lang w:val="en-US" w:bidi="zh-CN"/>
              </w:rPr>
              <w:t>顺延付款不视为违约，由此造成的损失由</w:t>
            </w:r>
            <w:r>
              <w:rPr>
                <w:rFonts w:hint="eastAsia" w:ascii="宋体" w:hAnsi="宋体" w:cs="宋体"/>
                <w:color w:val="auto"/>
                <w:szCs w:val="21"/>
                <w:highlight w:val="none"/>
                <w:lang w:val="en-US" w:bidi="zh-CN"/>
              </w:rPr>
              <w:t>中标人</w:t>
            </w:r>
            <w:r>
              <w:rPr>
                <w:rFonts w:hint="default" w:ascii="宋体" w:hAnsi="宋体" w:cs="宋体"/>
                <w:color w:val="auto"/>
                <w:szCs w:val="21"/>
                <w:highlight w:val="none"/>
                <w:lang w:val="en-US" w:bidi="zh-CN"/>
              </w:rPr>
              <w:t>自行承担。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rPr>
              <w:t>采购人指定地点。（如有变化另行确定）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Cs w:val="21"/>
                <w:highlight w:val="none"/>
                <w:lang w:val="zh-CN" w:eastAsia="zh-CN" w:bidi="zh-CN"/>
              </w:rPr>
            </w:pPr>
            <w:r>
              <w:rPr>
                <w:rFonts w:hint="eastAsia" w:ascii="宋体" w:hAnsi="宋体" w:cs="宋体"/>
                <w:color w:val="auto"/>
                <w:szCs w:val="21"/>
                <w:highlight w:val="none"/>
                <w:lang w:val="en-US" w:eastAsia="zh-CN" w:bidi="zh-CN"/>
              </w:rPr>
              <w:t>报价包含</w:t>
            </w:r>
            <w:r>
              <w:rPr>
                <w:rFonts w:hint="eastAsia" w:ascii="宋体" w:hAnsi="宋体" w:eastAsia="宋体" w:cs="宋体"/>
                <w:color w:val="auto"/>
                <w:szCs w:val="21"/>
                <w:highlight w:val="none"/>
                <w:lang w:val="zh-CN" w:eastAsia="zh-CN" w:bidi="zh-CN"/>
              </w:rPr>
              <w:t>办公、绿化养护作业所产生的一切费用(包括地租、水电费)。在合同期内，</w:t>
            </w:r>
            <w:r>
              <w:rPr>
                <w:rFonts w:hint="eastAsia" w:ascii="宋体" w:hAnsi="宋体" w:cs="宋体"/>
                <w:color w:val="auto"/>
                <w:szCs w:val="21"/>
                <w:highlight w:val="none"/>
                <w:lang w:val="en-US" w:eastAsia="zh-CN" w:bidi="zh-CN"/>
              </w:rPr>
              <w:t>中标人</w:t>
            </w:r>
            <w:r>
              <w:rPr>
                <w:rFonts w:hint="eastAsia" w:ascii="宋体" w:hAnsi="宋体" w:eastAsia="宋体" w:cs="宋体"/>
                <w:color w:val="auto"/>
                <w:szCs w:val="21"/>
                <w:highlight w:val="none"/>
                <w:lang w:val="zh-CN" w:eastAsia="zh-CN" w:bidi="zh-CN"/>
              </w:rPr>
              <w:t>不得以任何理由增加承包款。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1、服务期内，如</w:t>
            </w:r>
            <w:r>
              <w:rPr>
                <w:rFonts w:hint="eastAsia" w:ascii="宋体" w:hAnsi="宋体" w:eastAsia="宋体" w:cs="宋体"/>
                <w:color w:val="auto"/>
                <w:sz w:val="21"/>
                <w:szCs w:val="21"/>
                <w:highlight w:val="none"/>
                <w:lang w:val="en-US"/>
              </w:rPr>
              <w:t>社区</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val="en-US"/>
              </w:rPr>
              <w:t>新增的绿化养护作业</w:t>
            </w:r>
            <w:r>
              <w:rPr>
                <w:rFonts w:hint="eastAsia" w:ascii="宋体" w:hAnsi="宋体" w:eastAsia="宋体" w:cs="宋体"/>
                <w:color w:val="auto"/>
                <w:sz w:val="21"/>
                <w:szCs w:val="21"/>
                <w:highlight w:val="none"/>
                <w:lang w:val="en-US" w:eastAsia="zh-CN"/>
              </w:rPr>
              <w:t>，中标人应积极配合完成，采购人不再</w:t>
            </w:r>
            <w:r>
              <w:rPr>
                <w:rFonts w:hint="eastAsia" w:ascii="宋体" w:hAnsi="宋体" w:cs="宋体"/>
                <w:color w:val="auto"/>
                <w:sz w:val="21"/>
                <w:szCs w:val="21"/>
                <w:highlight w:val="none"/>
                <w:lang w:val="en-US" w:eastAsia="zh-CN"/>
              </w:rPr>
              <w:t>另外</w:t>
            </w:r>
            <w:r>
              <w:rPr>
                <w:rFonts w:hint="eastAsia" w:ascii="宋体" w:hAnsi="宋体" w:eastAsia="宋体" w:cs="宋体"/>
                <w:color w:val="auto"/>
                <w:sz w:val="21"/>
                <w:szCs w:val="21"/>
                <w:highlight w:val="none"/>
                <w:lang w:val="en-US" w:eastAsia="zh-CN"/>
              </w:rPr>
              <w:t>支付费用。</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eastAsia="宋体"/>
                <w:color w:val="auto"/>
                <w:szCs w:val="21"/>
                <w:highlight w:val="none"/>
                <w:lang w:val="en-US" w:eastAsia="zh-CN"/>
              </w:rPr>
              <w:t>2、投标人</w:t>
            </w:r>
            <w:r>
              <w:rPr>
                <w:rFonts w:hint="eastAsia" w:ascii="宋体" w:hAnsi="宋体" w:eastAsia="宋体"/>
                <w:color w:val="auto"/>
                <w:szCs w:val="21"/>
                <w:highlight w:val="none"/>
              </w:rPr>
              <w:t>应充分结合本</w:t>
            </w:r>
            <w:r>
              <w:rPr>
                <w:rFonts w:hint="eastAsia" w:ascii="宋体" w:hAnsi="宋体" w:eastAsia="宋体"/>
                <w:color w:val="auto"/>
                <w:szCs w:val="21"/>
                <w:highlight w:val="none"/>
                <w:lang w:val="en-US" w:eastAsia="zh-CN"/>
              </w:rPr>
              <w:t>招标</w:t>
            </w:r>
            <w:r>
              <w:rPr>
                <w:rFonts w:hint="eastAsia" w:ascii="宋体" w:hAnsi="宋体" w:eastAsia="宋体"/>
                <w:color w:val="auto"/>
                <w:szCs w:val="21"/>
                <w:highlight w:val="none"/>
              </w:rPr>
              <w:t>文件上下文了解项目</w:t>
            </w:r>
            <w:r>
              <w:rPr>
                <w:rFonts w:hint="eastAsia" w:ascii="宋体" w:hAnsi="宋体" w:eastAsia="宋体"/>
                <w:color w:val="auto"/>
                <w:szCs w:val="21"/>
                <w:highlight w:val="none"/>
                <w:lang w:val="en-US" w:eastAsia="zh-CN"/>
              </w:rPr>
              <w:t>采购</w:t>
            </w:r>
            <w:r>
              <w:rPr>
                <w:rFonts w:hint="eastAsia" w:ascii="宋体" w:hAnsi="宋体" w:eastAsia="宋体"/>
                <w:color w:val="auto"/>
                <w:szCs w:val="21"/>
                <w:highlight w:val="none"/>
              </w:rPr>
              <w:t>需求、</w:t>
            </w:r>
            <w:r>
              <w:rPr>
                <w:rFonts w:hint="eastAsia" w:ascii="宋体" w:hAnsi="宋体" w:eastAsia="宋体"/>
                <w:color w:val="auto"/>
                <w:szCs w:val="21"/>
                <w:highlight w:val="none"/>
                <w:lang w:val="en-US" w:eastAsia="zh-CN"/>
              </w:rPr>
              <w:t>招标</w:t>
            </w:r>
            <w:r>
              <w:rPr>
                <w:rFonts w:hint="eastAsia" w:ascii="宋体" w:hAnsi="宋体" w:eastAsia="宋体"/>
                <w:color w:val="auto"/>
                <w:szCs w:val="21"/>
                <w:highlight w:val="none"/>
              </w:rPr>
              <w:t>文件未尽事宜，将在合同签订或项目执行过程中双方协商确定，</w:t>
            </w:r>
            <w:r>
              <w:rPr>
                <w:rFonts w:hint="eastAsia" w:ascii="宋体" w:hAnsi="宋体" w:eastAsia="宋体"/>
                <w:color w:val="auto"/>
                <w:szCs w:val="21"/>
                <w:highlight w:val="none"/>
                <w:lang w:val="en-US" w:eastAsia="zh-CN"/>
              </w:rPr>
              <w:t>投标人</w:t>
            </w:r>
            <w:r>
              <w:rPr>
                <w:rFonts w:hint="eastAsia" w:ascii="宋体" w:hAnsi="宋体" w:eastAsia="宋体"/>
                <w:color w:val="auto"/>
                <w:szCs w:val="21"/>
                <w:highlight w:val="none"/>
              </w:rPr>
              <w:t>须无条件满足采购单位的合理要求。</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w:t>
      </w:r>
      <w:r>
        <w:rPr>
          <w:rFonts w:hint="eastAsia" w:cs="宋体"/>
          <w:b/>
          <w:bCs/>
          <w:color w:val="auto"/>
          <w:sz w:val="21"/>
          <w:szCs w:val="21"/>
          <w:highlight w:val="none"/>
          <w:lang w:val="en-US" w:eastAsia="zh-CN"/>
        </w:rPr>
        <w:t>范围</w:t>
      </w:r>
    </w:p>
    <w:p>
      <w:pPr>
        <w:pStyle w:val="2"/>
        <w:keepNext w:val="0"/>
        <w:keepLines w:val="0"/>
        <w:pageBreakBefore w:val="0"/>
        <w:widowControl w:val="0"/>
        <w:kinsoku/>
        <w:wordWrap/>
        <w:overflowPunct/>
        <w:topLinePunct w:val="0"/>
        <w:autoSpaceDE/>
        <w:autoSpaceDN/>
        <w:bidi w:val="0"/>
        <w:adjustRightInd/>
        <w:snapToGrid/>
        <w:spacing w:before="0"/>
        <w:ind w:lef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东莞市长安镇新民社区辖区内的所有道路、街道、工业区、商业区、居民区小巷、社区居委会大院内等公共区域和社区在合同期内新增的绿化养护作业，以及新民社区居民委员会大院的保洁和绿化工作。</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b/>
          <w:color w:val="auto"/>
          <w:sz w:val="21"/>
          <w:szCs w:val="21"/>
          <w:highlight w:val="none"/>
          <w:lang w:val="en-US" w:eastAsia="zh-CN"/>
        </w:rPr>
      </w:pPr>
      <w:r>
        <w:rPr>
          <w:color w:val="auto"/>
          <w:highlight w:val="none"/>
        </w:rPr>
        <w:drawing>
          <wp:inline distT="0" distB="0" distL="114300" distR="114300">
            <wp:extent cx="5363210" cy="4177665"/>
            <wp:effectExtent l="0" t="0" r="889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363210" cy="4177665"/>
                    </a:xfrm>
                    <a:prstGeom prst="rect">
                      <a:avLst/>
                    </a:prstGeom>
                    <a:noFill/>
                    <a:ln>
                      <a:noFill/>
                    </a:ln>
                  </pic:spPr>
                </pic:pic>
              </a:graphicData>
            </a:graphic>
          </wp:inline>
        </w:drawing>
      </w:r>
    </w:p>
    <w:p>
      <w:pPr>
        <w:autoSpaceDE w:val="0"/>
        <w:autoSpaceDN w:val="0"/>
        <w:spacing w:line="360" w:lineRule="auto"/>
        <w:ind w:left="632" w:right="565" w:rightChars="269" w:hanging="632" w:hangingChars="300"/>
        <w:rPr>
          <w:rFonts w:hint="eastAsia" w:ascii="宋体" w:hAnsi="宋体" w:eastAsia="宋体" w:cs="宋体"/>
          <w:b/>
          <w:bCs/>
          <w:color w:val="auto"/>
          <w:kern w:val="0"/>
          <w:sz w:val="21"/>
          <w:szCs w:val="21"/>
          <w:highlight w:val="none"/>
          <w:lang w:val="en-US" w:bidi="zh-CN"/>
        </w:rPr>
      </w:pPr>
    </w:p>
    <w:p>
      <w:pP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、绿化养护要求</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绿化养护质量标准按东莞市绿化养护二级标准及有关文件进行管理。主要为：按照 DB44/T 268—2005 的规定对绿地进行养护,制订较完善的养护技术方案,建有工种齐全和相对稳定的养护队伍,养护基本到位、得当,基本达到黄土不露天,绿地总体景观较好。</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1</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园林植物</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①草坪植物叶片大小、色泽正常,基本无枯黄叶;其它植物新梢枝叶萌发正常,叶片大小和色泽正常,基本无枯枝败叶。新建植草坪的绿色期和覆盖率在一年内、其它新种植物的生长状况在两年内达到二级养护标准。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②乔木树冠基本完整,生长与开花结果正常;主侧枝分布基本合理,分枝点高度与树种特性 基本相适应,分枝不影响游览及观景。基本无死株、缺株。行道树的体量、高度基本保持一致,下缘线和分枝点高度的控制基本符合 DB44/T 268—2005 的规定,倾斜率小于 5%。乔木树杆无铁钉、木板等附着物。同时，确保树木无遮挡交通设施情况。</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③花灌木生长正常,株型完整,开花正常,花后修剪合理、及时。木本地被植物生长正常,覆盖率达到 97%以上,基本无杂草,无死株、缺株。</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④花坛、花带及绿篱轮廓基本清晰,线条基本整齐,无残缺,基本无杂草,修剪及时。</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⑤造型植物修剪合理,线条基本齐整、圆滑。规则式种植的造型植物,形状或体量基本保持一致;自然式种植的,形状和体量大小符合设计和景观的要求。</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⑥藤本植物生长正常,开花适时,牵引合理,覆盖率不低于 85%。藤本植物尚未到达棚顶或篱顶时,应设立支撑物并作牵引,以利其攀缠。当以建筑物墙(柱)体为攀缠对象时,应经常进行绑扎、整理。藤本植物的修剪应以促进分枝为主,加快覆盖和攀缠的速度;同时,剪除徒长枝和下垂枝。多年生的藤本植物应定期翻蔓,清除枯枝,疏删老弱藤蔓。生长在沿街棚(篱)架或立交桥上的藤本權木,其下垂藤蔓必须及时修剪,以免影响行车安全。其滴灌设施必须经常检修,以免浇灌时沾污行人及车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⑦草本花卉正常,株型完整,开花适时,开花时覆盖率达到 90%以上,基本无杂草;花后需修剪的,得到合理修剪。</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⑧草坪绿色期不少于 250 天,覆盖率不小于 90%,杂草的覆盖率不超过 3%,无积水,修剪合理。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⑨水生植物生长旺盛,开花适时,生长范围符合景观要求。绿篱生长旺盛,无死株,无明显断垄,无高草杂草,无明显病虫害发生。补植、改植于 5 天内完成。草坪补植或改植后一个月内覆盖率达到 95%以上,其它植物补植或改植的成活率达到 98%以上,补植乔木必须做好支撑。同时树木支撑根据树木生长情况适时进行“松绑”处理。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⑩病虫害控制及时、有效,被害植株不超过 5%,被害叶片不超过植株叶片总量的 3%。有害植物的危害得到及时治理,鼠害基本得到控制。同时注意防治红火蚁,选择使用高效、低毒、低残留、高质量的饵剂和粉剂为主,依据相关使用说明规范用药。根据当地气候条件,每年开展 2 次全面防控和两次补防。在春季婚飞前或婚飞高峰期进行第一次防控,2~3 周后调查评估防效并补防一次;在夏季、秋季气候条件适宜时进行第二次防控,2~3 周后再次调查评估防效,必要时补防。</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3</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园建设施</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①花架、亭、廊等园林建筑应保持外观整洁和室内外墙面清洁,应及时清除其屋顶积落的枝叶、垃圾和自生的植物,保持整洁。</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②对钢结构设施,应及时保养,按照 GB50212-2014 的要求涂刷油漆,防止表面生锈;有木质构件的,应防止白蚁等蛀虫的危害。</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③</w:t>
      </w:r>
      <w:r>
        <w:rPr>
          <w:rFonts w:hint="eastAsia" w:ascii="宋体" w:hAnsi="宋体" w:eastAsia="宋体"/>
          <w:b w:val="0"/>
          <w:bCs w:val="0"/>
          <w:color w:val="auto"/>
          <w:sz w:val="21"/>
          <w:szCs w:val="21"/>
          <w:highlight w:val="none"/>
        </w:rPr>
        <w:t>园林小品应保持外形美观。如饰面层剥离、实体破损应在 10 天内修复。存在安全隐患时,应先对现场进行围闭,并设置警示标志。</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④</w:t>
      </w:r>
      <w:r>
        <w:rPr>
          <w:rFonts w:hint="eastAsia" w:ascii="宋体" w:hAnsi="宋体" w:eastAsia="宋体"/>
          <w:b w:val="0"/>
          <w:bCs w:val="0"/>
          <w:color w:val="auto"/>
          <w:sz w:val="21"/>
          <w:szCs w:val="21"/>
          <w:highlight w:val="none"/>
        </w:rPr>
        <w:t>照明设施、灯饰、果皮箱、导游牌、饮水与通讯设施等应保持整洁,定期翻新.铁质围栏、护树架、门窗、灯杆等应定期进行翻新、油漆,施工应符合 GB50212-2014 的规定,保持整洁。</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⑤园林水体应保持清洁,水质良好,水量适度。人工水池的池壁应保持干净美观。园林水体周边应设置警示标志等安全措施,预防溺水事件。</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⑥珍稀水生动物栖息场所水体的水质应不低于 GB 3838—2002 地表水II类水质标准;城市绿地内的游泳池、戏水池内的水质应不低于 GHZB 1-1999 标准;喷泉、跌水、溪流及水池内的水质应不低于 GHZB 1-1999 标准;人工或自然水体内的水质应不低于 GHZB 1-1999 标准。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⑦</w:t>
      </w:r>
      <w:r>
        <w:rPr>
          <w:rFonts w:hint="eastAsia" w:ascii="宋体" w:hAnsi="宋体" w:eastAsia="宋体"/>
          <w:b w:val="0"/>
          <w:bCs w:val="0"/>
          <w:color w:val="auto"/>
          <w:sz w:val="21"/>
          <w:szCs w:val="21"/>
          <w:highlight w:val="none"/>
        </w:rPr>
        <w:t>游乐设施的安全标准应符合 GB8408-2018《大型游乐设施安全规范》 的规定。</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4</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施肥</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提倡应用平衡施肥技术,肥料的种类及数量应根据植物种类(品种)、生长发育阶段及观赏特性不同而确定。生长期应施氮肥为主的完全肥,发育期应增施磷、钾肥。每次施肥量应考虑施肥方法。施肥应以有机肥料为主,无机肥料为辅;不应长期在同一地块施用同一种化学肥料,以免破坏土壤的理化性状。</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②施肥要求:乔灌木每年不少于 2 次,2—3 月和 9—10 月重点进行施肥,复合肥和基肥结合,每次 2—3 千克/株,对角埋施,新种、补种、生长势弱树木可适时适量多施;观花灌木每年不少于 3次,每次 0.5 千克/株;草本花卉每年不少于 4 次,成片花卉每月撒施复合肥 1 次,每次 0.15 千克/平方米,每年根据其长势和覆盖率情况适当施基肥 1—2 次,每次 0.5 千克/平方米;绿篱每年撒施复合肥不少于 2 次,每次 0.15 千克/平方米,每年根据其长势和覆盖率情况适当施基肥 1—2 次,每次0.5 千克/平方米;草地、地被每年不少于 2 次,每次施尿素 0.1 千克/平方米。</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③施肥应避免在雨天进行。其中,根外追肥宜在清晨或傍晚进行,浓度一般不宜大于 1.5‰。除根外追肥外,肥料不得触及目的植物的叶片。</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5</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淋水要求</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①旱季一般乔木 3—5 天淋水 1 次,新补植乔木,淋好定根水后,1 周内每天淋水 1 次;单丛灌木、成片花卉、绿篱一般 2—3 天淋水 1 次,补植后一周内每天淋水 1 次,施肥和补植需加强淋水;草地、地被一般每天淋水 1 次。雨季根据天气情况适当调节。</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②浇灌的实施应科学、合理、宜采用喷灌或滴灌等节水方式。对于花坛及道路分车带内植物,在干旱季节,可进行叶面喷水。在花芽分化时应适当控制浇灌量,以免园林植物徒长。</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③日浇灌的时间应根据季节与气温决定,并注意控制水温与表土温差不宜太大,以免造成根系伤害。夏秋高温季节,浇灌应避开中午烈日,宜在 10 时之前或 16 时之后进行;冬季及早春,宜在10 时至 16 时之间进行。用机械进行浇水时,不宜在交通繁忙时段进行。喷灌时应确保喷水的有效范围与园林植物的种植范围一致。</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⑹ 苗木修剪</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①自然形乔木每年不少于 1 次,造型乔木每年不少于 4 次。主要修剪内膛枝、徒长枝、病虫枝、交叉枝、下垂枝、扭伤枝及枯枝烂头等。庭荫树的分枝点应随着树木生长逐步提高,树冠与树干高度的比例应在 7:3 至 6:4 之间。行道树在同一路段的分枝点高低、树高、冠幅大小应基本一致。</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②自然形灌木每年不少于 1 次,造型灌木每年不少于 6 次。灌木修剪应促进枝繁叶茂、分布均匀。花灌木修剪要有利于短枝和花芽的形成,遵循“自下而上、先内后外、去弱留强、去老留新”的原则进行修剪。</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③绿篱、模纹花坛修剪:绿篱、模纹花坛修剪每年不少于 6 次。</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④草坪修剪:结缕草属和狗牙根属草坪草每年不少于 6 次,假俭草属、地毯草属、钝叶草属草坪草不少于 3 次。结缕草属草修剪留茬高度 1. 3—5. 0cm,地毯草属草修剪留茬高度 2. 5—5. 0cm,假俭草属草修剪留茬高度 2. 5—5. 0cm,钝叶草属草修剪留茬高度 3.8—7. 6cm,普通狗牙根修剪留茬高度 1. 3—3.8cm,杂种狗牙根修剪留茬高度 0. 6—2. 5cm。</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⑤休眠期修剪以整形为主,可稍重剪,生长期修剪以调整树势为主,宜轻剪。修剪要避开树</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木伤流盛期。绿化修剪后的枯枝干叶等,在修剪当天及时清理运走,并及时清除灌木丛上的修剪枝,苗木落叶当天及时清扫保洁。</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7</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节假日</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全民植树活动或突击性的植树绿化任务,能按时、按标准、按要求完成所分配的工作。每逢节假日,如春节、元旦、五一、国庆节等或某些特别日子,能按上级要求完成特别安排的工作。</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8</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三防</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防止意外及修复工作包括防台风、防汛、防寒等以及防止其它因素对绿地造成的损坏等,并定期巡视挡土墙及边坡,防止滑坡。由于不可抗力(如台风、暴雨等自然灾害)造成的绿化景观损害,养护单位应在 12 小时内或有关部门根据实际情况设定的时间内及时完成现场清理工作,并应以合同附件的形式向有关部门提交可行的解决方案;未能按要求及时完成清理工作的,当月考核评分档次为差;在有关部门根据实际情况设定的时间内,受损害部分的绿化景观(不包括环境卫生)将不列入考核评分范围内。</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9</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安全作业</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①园林机械的操作人员,应在上岗前接受必要的岗前培训。凡需持证上岗的,必须取得相应的上岗证,并应严格按照操作规程作业。园林机械作业前,应对施工现场进行围合及标示。</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②</w:t>
      </w:r>
      <w:r>
        <w:rPr>
          <w:rFonts w:hint="eastAsia" w:ascii="宋体" w:hAnsi="宋体" w:eastAsia="宋体"/>
          <w:b w:val="0"/>
          <w:bCs w:val="0"/>
          <w:color w:val="auto"/>
          <w:sz w:val="21"/>
          <w:szCs w:val="21"/>
          <w:highlight w:val="none"/>
        </w:rPr>
        <w:t>城市主、次干道(设计车速 60 公里/小时)距离作业点正、反方向分别不少于 80m 的地方设置反光警示牌及其他警示标志。快速路(设计车速 80 公里/小时)距离作业点正、反方向分别不少于 150m 的地方设置反光警示牌及其他警示标志。高速公路(设计车速 100 公里/小时以上)距离作业点正、反方向分别不少于 300m 的地方设置反光警示牌及其他警示标志。</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③</w:t>
      </w:r>
      <w:r>
        <w:rPr>
          <w:rFonts w:hint="eastAsia" w:ascii="宋体" w:hAnsi="宋体" w:eastAsia="宋体"/>
          <w:b w:val="0"/>
          <w:bCs w:val="0"/>
          <w:color w:val="auto"/>
          <w:sz w:val="21"/>
          <w:szCs w:val="21"/>
          <w:highlight w:val="none"/>
        </w:rPr>
        <w:t>截除较大的树枝、藤蔓或砍伐清除枯死的树体时,应预先制定施工方案和应急预案,采取必要的安全措施。砍伐或清除枯死树体,应严格依次按照先锯除侧枝和主枝,再分段锯除主干、后挖除树兜和回填种植土的操作程序作业。(砍伐城市树木必须经城市人民政府城市绿化行政主管部门批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④</w:t>
      </w:r>
      <w:r>
        <w:rPr>
          <w:rFonts w:hint="eastAsia" w:ascii="宋体" w:hAnsi="宋体" w:eastAsia="宋体"/>
          <w:b w:val="0"/>
          <w:bCs w:val="0"/>
          <w:color w:val="auto"/>
          <w:sz w:val="21"/>
          <w:szCs w:val="21"/>
          <w:highlight w:val="none"/>
        </w:rPr>
        <w:t>规范开展高空作业工作,高空作业要使用升降车,不得站在车辆车厢、驾驶舱顶部或攀爬树木进行修剪,各单位要严格执行“双报备”、高处作业做到“五个必须”(必须培训持证上岗、必须实行作业审批、必须做好个人防护、必须落实工程措施、必须安排专人监护)。道路树木修剪作业时要做好安全防护措施,占道作业时要做好警示标志及雪糕筒的摆放。</w:t>
      </w:r>
    </w:p>
    <w:p>
      <w:pPr>
        <w:outlineLvl w:val="9"/>
        <w:rPr>
          <w:rFonts w:hint="eastAsia" w:ascii="宋体" w:hAnsi="宋体" w:eastAsia="宋体" w:cs="宋体"/>
          <w:b/>
          <w:color w:val="auto"/>
          <w:sz w:val="21"/>
          <w:szCs w:val="21"/>
          <w:highlight w:val="none"/>
          <w:lang w:eastAsia="zh-CN"/>
        </w:rPr>
      </w:pPr>
    </w:p>
    <w:p>
      <w:pP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三、监督检查</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招标人有权定时不定时对中标人的日常养护工作，包括淋水、施肥、除杂草、树木修剪、防治病虫害等养护工作进行检查。现场检查发现存在的问题，予以整改通知。若中标人未能按时按质按量完成整改，招标人可视情况直接在当月养护费中扣减相应金额作为赔偿金。</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2、接到整改通知，中标人须及时到现场处理；如中标人管理人员认为情况不实，有异议的，应即时要求招标人管理人员赶赴现场协调处理。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b w:val="0"/>
          <w:bCs w:val="0"/>
          <w:color w:val="auto"/>
          <w:sz w:val="21"/>
          <w:szCs w:val="21"/>
          <w:highlight w:val="none"/>
        </w:rPr>
        <w:t>3、本</w:t>
      </w:r>
      <w:r>
        <w:rPr>
          <w:rFonts w:hint="eastAsia" w:ascii="宋体" w:hAnsi="宋体" w:eastAsia="宋体"/>
          <w:b w:val="0"/>
          <w:bCs w:val="0"/>
          <w:color w:val="auto"/>
          <w:sz w:val="21"/>
          <w:szCs w:val="21"/>
          <w:highlight w:val="none"/>
          <w:lang w:val="en-US" w:eastAsia="zh-CN"/>
        </w:rPr>
        <w:t>项目</w:t>
      </w:r>
      <w:r>
        <w:rPr>
          <w:rFonts w:hint="eastAsia" w:ascii="宋体" w:hAnsi="宋体" w:eastAsia="宋体"/>
          <w:b w:val="0"/>
          <w:bCs w:val="0"/>
          <w:color w:val="auto"/>
          <w:sz w:val="21"/>
          <w:szCs w:val="21"/>
          <w:highlight w:val="none"/>
        </w:rPr>
        <w:t>合同签署后起，中标人对</w:t>
      </w:r>
      <w:r>
        <w:rPr>
          <w:rFonts w:hint="eastAsia" w:ascii="宋体" w:hAnsi="宋体" w:eastAsia="宋体"/>
          <w:b w:val="0"/>
          <w:bCs w:val="0"/>
          <w:color w:val="auto"/>
          <w:sz w:val="21"/>
          <w:szCs w:val="21"/>
          <w:highlight w:val="none"/>
          <w:lang w:val="en-US" w:eastAsia="zh-CN"/>
        </w:rPr>
        <w:t>服务范围</w:t>
      </w:r>
      <w:r>
        <w:rPr>
          <w:rFonts w:hint="eastAsia" w:ascii="宋体" w:hAnsi="宋体" w:eastAsia="宋体"/>
          <w:b w:val="0"/>
          <w:bCs w:val="0"/>
          <w:color w:val="auto"/>
          <w:sz w:val="21"/>
          <w:szCs w:val="21"/>
          <w:highlight w:val="none"/>
        </w:rPr>
        <w:t>内绿化有看护和管理责任，若发现苗木有数量、规格、质量、品种等存在不符的现象，有损招标人形象和利益的，中标人要负责将苗木恢复原状，并经招标人审核通过。若中标人拒绝恢复苗木或恢复效果未达到招标人要求的，可视为根本违约。</w:t>
      </w:r>
    </w:p>
    <w:p>
      <w:pPr>
        <w:bidi w:val="0"/>
        <w:rPr>
          <w:rFonts w:hint="eastAsia"/>
          <w:color w:val="auto"/>
          <w:highlight w:val="none"/>
          <w:lang w:eastAsia="zh-CN"/>
        </w:rPr>
      </w:pPr>
    </w:p>
    <w:p>
      <w:pPr>
        <w:outlineLvl w:val="0"/>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四、人员和设备要求</w:t>
      </w:r>
    </w:p>
    <w:p>
      <w:pPr>
        <w:spacing w:after="0" w:line="360" w:lineRule="auto"/>
        <w:ind w:firstLine="420" w:firstLineChars="200"/>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1、绿化养护工人8人，安全管理人员不少于1人，技术人员不少于1人，项目负责人1人，专职资料员1人。</w:t>
      </w:r>
    </w:p>
    <w:p>
      <w:pPr>
        <w:spacing w:after="0" w:line="360" w:lineRule="auto"/>
        <w:ind w:firstLine="420" w:firstLineChars="200"/>
        <w:rPr>
          <w:rFonts w:hint="default"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2、配备8吨或以上绿化用洒水车1辆，半挂牵引车1辆（载重量6吨或以上，行车过程须做好密闭措施）、巡查车1台（管理专用车，需纯电动）、升降工作车1台、大型电动三轮车2辆、园林绿化物料专用粉碎机2台、剪草机 3台、绿篱机1台、绿篱剪2把，高枝剪1把、油锯 4把、高压手推式打药机1台，鼓励采用纯电动小型作业机械。</w:t>
      </w:r>
    </w:p>
    <w:p>
      <w:pPr>
        <w:outlineLvl w:val="0"/>
        <w:rPr>
          <w:rFonts w:hint="eastAsia" w:ascii="宋体" w:hAnsi="宋体" w:cs="宋体"/>
          <w:b/>
          <w:color w:val="auto"/>
          <w:sz w:val="21"/>
          <w:szCs w:val="21"/>
          <w:highlight w:val="none"/>
          <w:lang w:val="en-US" w:eastAsia="zh-CN"/>
        </w:rPr>
      </w:pPr>
    </w:p>
    <w:p>
      <w:pPr>
        <w:outlineLvl w:val="0"/>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其他要求</w:t>
      </w:r>
    </w:p>
    <w:p>
      <w:pPr>
        <w:widowControl/>
        <w:numPr>
          <w:ilvl w:val="0"/>
          <w:numId w:val="0"/>
        </w:numPr>
        <w:wordWrap w:val="0"/>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1、绿化养护中标单位要制定完善的养护技术方案，建有工种齐全和固定的养护队伍，绿化养护技术措施完善，管理到位、得当，植物修剪科学合理，绿地总体景观好。</w:t>
      </w:r>
    </w:p>
    <w:p>
      <w:pPr>
        <w:widowControl/>
        <w:numPr>
          <w:ilvl w:val="0"/>
          <w:numId w:val="0"/>
        </w:numPr>
        <w:wordWrap w:val="0"/>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2、机械的操作人员，必须在上岗前接受必要的岗前培训。高空作业（如修剪高枝）时，必须注意作业人员的安全，所有人员必须佩戴安全帽，并且必须划出有效安全施工范围。</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3、如中标人在承包期内其工作人员发生各种事故，包括治安、交通、消防、劳资纠纷等事件，所造成一切后果及损失由中标人负责承担。</w:t>
      </w:r>
    </w:p>
    <w:p>
      <w:pPr>
        <w:bidi w:val="0"/>
        <w:rPr>
          <w:rFonts w:hint="eastAsia"/>
          <w:color w:val="auto"/>
          <w:highlight w:val="none"/>
          <w:lang w:val="en-US" w:eastAsia="zh-CN"/>
        </w:rPr>
      </w:pPr>
    </w:p>
    <w:p>
      <w:pPr>
        <w:outlineLvl w:val="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、考核</w:t>
      </w:r>
    </w:p>
    <w:p>
      <w:pPr>
        <w:bidi w:val="0"/>
        <w:rPr>
          <w:rFonts w:hint="eastAsia"/>
          <w:color w:val="auto"/>
          <w:highlight w:val="none"/>
          <w:lang w:val="en-US" w:eastAsia="zh-CN"/>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3450"/>
        <w:gridCol w:w="3129"/>
        <w:gridCol w:w="45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0" w:type="auto"/>
            <w:gridSpan w:val="5"/>
            <w:tcBorders>
              <w:top w:val="nil"/>
              <w:left w:val="nil"/>
              <w:bottom w:val="nil"/>
              <w:right w:val="nil"/>
            </w:tcBorders>
            <w:shd w:val="clear" w:color="auto" w:fill="auto"/>
            <w:vAlign w:val="top"/>
          </w:tcPr>
          <w:p>
            <w:pPr>
              <w:jc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snapToGrid w:val="0"/>
                <w:color w:val="auto"/>
                <w:sz w:val="21"/>
                <w:szCs w:val="21"/>
                <w:highlight w:val="none"/>
                <w:lang w:val="en-US" w:eastAsia="zh-CN" w:bidi="ar"/>
              </w:rPr>
              <w:t>绿化养护考核评分表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检查时间：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养护管理要求</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扣分标准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组织领导与安全生产（20分）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当管理者提出合理整改要求时，在限期内按《整改通知书》进行整改</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不配合管理、不按《整改通知书》限期内整改的，每项扣2分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每逢节假日，如春节、元旦、五一、国庆节等或某些特别日子，能按上级要求完成特别安排的工作</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在节假日或特别日子未按要求完成任务的，每次扣1分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及时收集、整理有关绿地养护的相关资料，建立养护档案，并按要求报送给有关部门</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未收集、整理有关绿地养护的相关资料，未建立养护档案，以上情况出现每次扣1分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未按要求报送给有关部门，以上情况出现每次扣1分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对不可抗力（如台风、暴雨等自然灾害）造成的绿化景观损害，根据业主设定的时间与要求，及时完成现场清理，保持绿地整洁，道路畅通</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未能按要求及时完成清理工作的，每次扣1分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按照合同要求配备人员，着装统一，按规定穿戴具有反光标志的背心，城市主、次干道（设计车速60公里/小时）距离作业点正、反方向分别不少于80m的地方设置反光警示牌及其他警示标志。快速路（设计车速80公里/小时）距离作业点正、反方向分别不少于150m的地方设置反光警示牌及其他警示标志。高速公路（设计车速100公里/小时以上）距离作业点正、反方向分别不少于300m的地方设置反光警示牌及其他警示标志。</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未按照合同要求配备人员，统一着装，穿戴具有反光标志的背心，未按要求设置反光警示牌及其他警示标志，以上情况出现每处扣2分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作业时及往返途中没有佩戴工牌，没有摆放</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好交通工具的，作业车辆未安置交通安全标</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志，每次扣1分。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道路树木修剪作业时要做好安全防护措施，占道作业时要做好警示标志及雪糕桶的摆放，园林机械作业前，应对施工现场围合及标示</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道路树木修剪作业时未做好安全防护措施，占道作业时未设置警示标志及雪糕桶或园林机械作业前，未对施工现场围合及标示每次扣3分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截除较大的树枝、藤蔓或砍伐清除枯死的树体时，应预先制定施工方案和应急预案，采取必要的安全措施。砍伐或清除枯死树体，应严格依次按照先锯除侧枝和主枝，再分段锯除主干、后挖除树兜和回填种植土的操作程序作业</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截除较大的树枝、藤蔓或砍伐清除枯死的树体时，未预先制定施工方案和应急预案，采取必要的安全措施，每次扣1分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砍伐或清除枯死树体，未依次按照先锯除侧</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枝和主枝，再分段锯除主干、后挖除树兜和</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回填种植土的操作程序作业，每次扣1分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规范开展高空作业工作，高空作业要使用升降车，不得站在车辆车厢、驾驶舱顶部或攀爬树木进行修剪，各单位要严格执行“双报备”、高处作业做到“五个必须”（必须培训持证上岗、必须实行作业审批、必须做好个人防护、必须落实工程措施、必须安排专人监护）</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高空作业未使用升降车，站在车辆车厢、驾驶舱顶部或攀爬树木进行修剪，每次扣1分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未严格按照高处作业“五个必须”、“双报备”每次扣3分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每月召开安全生产及文明施工会议，并做好文字及相片记录</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每月未召开安全生产及文明施工会议或未做好好文字及相片记录，每次扣1分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043"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乔木、花灌木、行道树及其它树木（25分）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乔木树冠基本完整，基本无死株、缺株。人行道树的体量、高度基本保持一致，乔木树杆无铁钉、木板等附着物。</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死株、缺株应≤2.5%,每超出1%扣1分、有铁钉、木板等附着物每处扣1分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花灌木生长正常，开花正常，木本地被植物生长正常，覆盖率达到97%以上，基本无杂草，无死株、缺株。</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花灌木、木本地被植物覆盖率低于97%，以上情况出现每少1%扣1分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花灌木、木本地被植物存在杂草、死株、缺株≥2.5%，以上情况出现每多1%扣1分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绿篱生长旺盛，无死株，无明显断垄，无高草杂草，无明显病虫害发生。</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绿篱存在死株、明显断垄，每处扣1分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发生病虫害，每处扣1分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藤本植物生长正常，视攀缘植物生长习性，覆盖率不低于85%。</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藤本植物覆盖率低于85%，以上情况出现每低10%扣1分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补植、改植于5天内完成草坪补植或改植后一个月内覆盖率达到95%以上其他植物补植或改植的成活率达到98%以上</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未能在5天内及时补植的，每处扣1分，对已要求补植但仍不按要求补植的，扣2分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草坪补植或改植后一个月内覆盖率达到95%</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以上，每少1%扣1分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043" w:type="dxa"/>
            <w:vMerge w:val="continue"/>
            <w:tcBorders>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3450" w:type="dxa"/>
            <w:vMerge w:val="continue"/>
            <w:tcBorders>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其他植物补植或改植的成活率达到98%以上，</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每少1%扣1分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花卉、地被、草坪（25分）</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花卉生长正常，株型完整，开花适时，开花时覆盖率达到90%以上，基本无杂草</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花卉开花时覆盖率低于90%，以上情况出现每低1%扣1分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花卉存在杂草应低于3%，每高出1%扣1分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草坪及地被植物整齐，草坪的绿色期不少于250天</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覆盖率90%以上杂草的覆盖率不超过3%无积水草坪植物生长旺盛、无裸露地面，无成片枯黄，枯黄</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率控制在2%以内</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草坪及地被植物参差不齐，草坪的绿色期少于250天，以上情况出现每少3天扣1分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覆盖率低于90%，每低1%扣1分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每平方米杂草超过15株，每超过1株扣0.5分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存在积水，每处扣1分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草坪地面裸露，成片枯黄，枯黄率高于2%，每高1%扣1分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花坛、花带、花台植物基本无杂草</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花坛、花带、花台植物存在杂草应低于3%，每高1%扣1分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修剪、淋水及施肥（20分）</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2"/>
                <w:rFonts w:hint="eastAsia" w:ascii="宋体" w:hAnsi="宋体" w:eastAsia="宋体" w:cs="宋体"/>
                <w:snapToGrid w:val="0"/>
                <w:color w:val="auto"/>
                <w:sz w:val="21"/>
                <w:szCs w:val="21"/>
                <w:highlight w:val="none"/>
                <w:lang w:val="en-US" w:eastAsia="zh-CN" w:bidi="ar"/>
              </w:rPr>
            </w:pPr>
            <w:r>
              <w:rPr>
                <w:rStyle w:val="32"/>
                <w:rFonts w:hint="eastAsia" w:ascii="宋体" w:hAnsi="宋体" w:eastAsia="宋体" w:cs="宋体"/>
                <w:snapToGrid w:val="0"/>
                <w:color w:val="auto"/>
                <w:sz w:val="21"/>
                <w:szCs w:val="21"/>
                <w:highlight w:val="none"/>
                <w:lang w:val="en-US" w:eastAsia="zh-CN" w:bidi="ar"/>
              </w:rPr>
              <w:t>乔灌木修剪：自然形乔木每年不少于1次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造型乔木每年不少于4次</w:t>
            </w:r>
            <w:r>
              <w:rPr>
                <w:rStyle w:val="38"/>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自然形灌木每年不少于1次</w:t>
            </w:r>
            <w:r>
              <w:rPr>
                <w:rStyle w:val="38"/>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造型灌木每年不少于6次</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自然形乔木修剪次数低于每年规定修剪次数，每少一次扣1分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造型乔木修剪次数低于每年规定修剪次数，每少一次扣1分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自然形灌木修剪次数低于每年规定修剪次数，每少一次扣1分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造型灌木修剪次数低于每年规定修剪次数，每少一次扣1分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绿篱、模纹花坛修剪：绿篱、模纹花坛修剪每年不少于6次</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绿篱、模纹花坛修剪次数低于每年规定修剪次数，每少一次扣1分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草坪修剪留茬高度1.3—5.0cm</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修剪高度不在留茬高度范围内，每次扣1分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地表无自然沉降、隆起等现象，绿地内应保持清洁，做到无垃圾杂物，无石砾砖块，无成片干枯枝叶，无粪便污物，无悬挂物，无蚊蝇滋生</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绿地内存在垃圾杂物、自然沉降、隆起、石砾砖块，成片干枯枝叶，粪便污物，悬挂物，每处扣1分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乔灌木施肥每年不少于2次，2—3月和9—10月重点进行施肥，复合肥和基肥结合观花灌木每年不少于3次草本花卉每年不少于4次，成片花卉每月撒施复合肥1次，每年根据其长势和覆盖率情况适当施基肥1—2次</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绿篱每年撒施复合肥不少于2次，每年根据其长势和覆盖率情况适当施基肥1—2次草地、地被每年不少于2次</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乔灌木施肥次数低于规定次数要求，每次扣1分，不按要求施肥，造成生长衰退，每次扣1分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观花灌木施肥次数低于规定次数要求，每次扣1分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草本花卉、成片花卉施肥次数低于规定次数要求，每次扣1分，不按要求施肥，造成生长衰退，每次扣1分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绿篱施肥次数低于规定次数要求，每次扣1分，不按要求施肥，造成生长衰退，每次扣1分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草地、地被施肥次数低于规定次数要求，每</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及时淋水，旱季一般乔木3—5天淋水1次</w:t>
            </w:r>
            <w:r>
              <w:rPr>
                <w:rStyle w:val="38"/>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单丛灌木、成片花卉、绿篱一般2—3天淋水1次</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草地、地被一般每天淋水1次</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雨季根据天气情况适当调节</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旱季乔木淋水次数低于规定次数，每次扣1分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单丛灌木、成片花卉、绿篱淋水次数低于规</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定次数，每次扣1分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草地、地被淋水次数低于规定次数，每次扣1分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病虫害防治及用药安全</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（10分）</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病虫害控制及时、有效，被害植株不超过5%</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被害叶片不超过叶片总量的3%</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有害植物的危害得到有效治理，鼠害基本得到控制</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注意防治红火蚁</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被害植株超过5%，每多1%扣1分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被害叶片超过叶片总量的3%，每多1%扣1分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有害植物的危害未得到有效治理，存在鼠害，出现以上情况每处扣1分，未防治红火蚁，</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用药符合规定，选用高效、低毒、无污染，配比正确，操作安全，不发生药害事故</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发生药害事故，危害树木明显影响景观的，每处扣2分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合计实得分（）＝总分(100)-合计检查扣分()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社区检查人员签名:</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社区负责人签名(盖章):</w:t>
            </w:r>
          </w:p>
          <w:p>
            <w:pPr>
              <w:spacing w:after="0"/>
              <w:jc w:val="left"/>
              <w:rPr>
                <w:rFonts w:hint="eastAsia" w:ascii="宋体" w:hAnsi="宋体" w:cs="宋体"/>
                <w:color w:val="auto"/>
                <w:kern w:val="0"/>
                <w:szCs w:val="21"/>
                <w:highlight w:val="none"/>
                <w:lang w:bidi="ar"/>
              </w:rPr>
            </w:pPr>
          </w:p>
          <w:p>
            <w:pPr>
              <w:spacing w:after="0"/>
              <w:jc w:val="left"/>
              <w:rPr>
                <w:rFonts w:hint="eastAsia" w:ascii="宋体" w:hAnsi="宋体" w:cs="宋体"/>
                <w:color w:val="auto"/>
                <w:kern w:val="0"/>
                <w:szCs w:val="21"/>
                <w:highlight w:val="none"/>
                <w:lang w:bidi="ar"/>
              </w:rPr>
            </w:pPr>
          </w:p>
          <w:p>
            <w:pPr>
              <w:keepNext w:val="0"/>
              <w:keepLines w:val="0"/>
              <w:widowControl/>
              <w:suppressLineNumbers w:val="0"/>
              <w:jc w:val="left"/>
              <w:textAlignment w:val="center"/>
              <w:rPr>
                <w:rStyle w:val="32"/>
                <w:rFonts w:hint="eastAsia" w:ascii="宋体" w:hAnsi="宋体" w:eastAsia="宋体" w:cs="宋体"/>
                <w:snapToGrid w:val="0"/>
                <w:color w:val="auto"/>
                <w:sz w:val="21"/>
                <w:szCs w:val="21"/>
                <w:highlight w:val="none"/>
                <w:lang w:val="en-US" w:eastAsia="zh-CN" w:bidi="ar"/>
              </w:rPr>
            </w:pPr>
            <w:r>
              <w:rPr>
                <w:rFonts w:hint="eastAsia" w:ascii="宋体" w:hAnsi="宋体" w:cs="宋体"/>
                <w:color w:val="auto"/>
                <w:kern w:val="0"/>
                <w:szCs w:val="21"/>
                <w:highlight w:val="none"/>
                <w:lang w:val="en-US" w:eastAsia="zh-CN" w:bidi="ar"/>
              </w:rPr>
              <w:t>中标单位</w:t>
            </w:r>
            <w:r>
              <w:rPr>
                <w:rFonts w:hint="eastAsia" w:ascii="宋体" w:hAnsi="宋体" w:cs="宋体"/>
                <w:color w:val="auto"/>
                <w:kern w:val="0"/>
                <w:szCs w:val="21"/>
                <w:highlight w:val="none"/>
                <w:lang w:bidi="ar"/>
              </w:rPr>
              <w:t>陪检人员签名:</w:t>
            </w:r>
            <w:r>
              <w:rPr>
                <w:rFonts w:hint="eastAsia" w:ascii="宋体" w:hAnsi="宋体" w:cs="宋体"/>
                <w:color w:val="auto"/>
                <w:kern w:val="0"/>
                <w:szCs w:val="21"/>
                <w:highlight w:val="none"/>
                <w:lang w:val="en-US" w:eastAsia="zh-CN" w:bidi="ar"/>
              </w:rPr>
              <w:t xml:space="preserve">               中标单位</w:t>
            </w:r>
            <w:r>
              <w:rPr>
                <w:rFonts w:hint="eastAsia" w:ascii="宋体" w:hAnsi="宋体" w:cs="宋体"/>
                <w:color w:val="auto"/>
                <w:kern w:val="0"/>
                <w:szCs w:val="21"/>
                <w:highlight w:val="none"/>
                <w:lang w:bidi="ar"/>
              </w:rPr>
              <w:t>负责人签名(盖章):</w:t>
            </w:r>
          </w:p>
        </w:tc>
      </w:tr>
    </w:tbl>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p>
    <w:p>
      <w:pPr>
        <w:rPr>
          <w:rFonts w:hint="eastAsia" w:ascii="宋体" w:hAnsi="宋体" w:cs="宋体"/>
          <w:b/>
          <w:bCs/>
          <w:color w:val="auto"/>
          <w:kern w:val="0"/>
          <w:szCs w:val="21"/>
          <w:highlight w:val="none"/>
          <w:lang w:val="zh-CN" w:bidi="zh-CN"/>
        </w:rPr>
      </w:pPr>
    </w:p>
    <w:p>
      <w:pPr>
        <w:pStyle w:val="2"/>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1"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相关业绩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420" w:firstLineChars="200"/>
              <w:rPr>
                <w:rFonts w:hint="eastAsia" w:ascii="宋体" w:eastAsia="宋体" w:cs="宋体"/>
                <w:bCs/>
                <w:color w:val="auto"/>
                <w:sz w:val="21"/>
                <w:szCs w:val="21"/>
                <w:highlight w:val="none"/>
                <w:lang w:val="zh-CN" w:eastAsia="zh-CN"/>
              </w:rPr>
            </w:pPr>
            <w:r>
              <w:rPr>
                <w:rFonts w:hint="eastAsia" w:ascii="宋体" w:eastAsia="宋体" w:cs="宋体"/>
                <w:bCs/>
                <w:color w:val="auto"/>
                <w:sz w:val="21"/>
                <w:szCs w:val="21"/>
                <w:highlight w:val="none"/>
                <w:lang w:val="en-US" w:eastAsia="zh-CN"/>
              </w:rPr>
              <w:t>投标人</w:t>
            </w:r>
            <w:r>
              <w:rPr>
                <w:rFonts w:hint="eastAsia" w:ascii="宋体" w:eastAsia="宋体" w:cs="宋体"/>
                <w:bCs/>
                <w:color w:val="auto"/>
                <w:sz w:val="21"/>
                <w:szCs w:val="21"/>
                <w:highlight w:val="none"/>
                <w:lang w:val="zh-CN" w:eastAsia="zh-CN"/>
              </w:rPr>
              <w:t>具有</w:t>
            </w:r>
            <w:r>
              <w:rPr>
                <w:rFonts w:hint="eastAsia" w:ascii="宋体" w:eastAsia="宋体" w:cs="宋体"/>
                <w:bCs/>
                <w:color w:val="auto"/>
                <w:sz w:val="21"/>
                <w:szCs w:val="21"/>
                <w:highlight w:val="none"/>
                <w:lang w:val="en-US" w:eastAsia="zh-CN"/>
              </w:rPr>
              <w:t>绿化养护类项目</w:t>
            </w:r>
            <w:r>
              <w:rPr>
                <w:rFonts w:hint="eastAsia" w:ascii="宋体" w:eastAsia="宋体" w:cs="宋体"/>
                <w:bCs/>
                <w:color w:val="auto"/>
                <w:sz w:val="21"/>
                <w:szCs w:val="21"/>
                <w:highlight w:val="none"/>
                <w:lang w:val="zh-CN" w:eastAsia="zh-CN"/>
              </w:rPr>
              <w:t>业绩的，每个得</w:t>
            </w: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eastAsia="zh-CN"/>
              </w:rPr>
              <w:t>分，最高</w:t>
            </w:r>
            <w:r>
              <w:rPr>
                <w:rFonts w:hint="eastAsia" w:ascii="宋体" w:eastAsia="宋体" w:cs="宋体"/>
                <w:bCs/>
                <w:color w:val="auto"/>
                <w:sz w:val="21"/>
                <w:szCs w:val="21"/>
                <w:highlight w:val="none"/>
                <w:lang w:val="en-US" w:eastAsia="zh-CN"/>
              </w:rPr>
              <w:t>10</w:t>
            </w:r>
            <w:r>
              <w:rPr>
                <w:rFonts w:hint="eastAsia" w:ascii="宋体" w:eastAsia="宋体" w:cs="宋体"/>
                <w:bCs/>
                <w:color w:val="auto"/>
                <w:sz w:val="21"/>
                <w:szCs w:val="21"/>
                <w:highlight w:val="none"/>
                <w:lang w:val="zh-CN" w:eastAsia="zh-CN"/>
              </w:rPr>
              <w:t>分。</w:t>
            </w:r>
          </w:p>
          <w:p>
            <w:pPr>
              <w:pStyle w:val="23"/>
              <w:spacing w:before="108" w:beforeLines="30" w:after="108" w:afterLines="30" w:line="240" w:lineRule="auto"/>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eastAsia="宋体" w:cs="宋体"/>
                <w:bCs/>
                <w:color w:val="auto"/>
                <w:sz w:val="21"/>
                <w:szCs w:val="21"/>
                <w:highlight w:val="none"/>
                <w:lang w:val="zh-CN" w:eastAsia="zh-CN"/>
              </w:rPr>
              <w:t>注：需提供合同复印件并加盖</w:t>
            </w:r>
            <w:r>
              <w:rPr>
                <w:rFonts w:hint="eastAsia" w:ascii="宋体" w:eastAsia="宋体" w:cs="宋体"/>
                <w:bCs/>
                <w:color w:val="auto"/>
                <w:sz w:val="21"/>
                <w:szCs w:val="21"/>
                <w:highlight w:val="none"/>
                <w:lang w:val="en-US" w:eastAsia="zh-CN"/>
              </w:rPr>
              <w:t>投标人</w:t>
            </w:r>
            <w:r>
              <w:rPr>
                <w:rFonts w:hint="eastAsia" w:ascii="宋体" w:eastAsia="宋体" w:cs="宋体"/>
                <w:bCs/>
                <w:color w:val="auto"/>
                <w:sz w:val="21"/>
                <w:szCs w:val="21"/>
                <w:highlight w:val="none"/>
                <w:lang w:val="zh-CN"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服务响应时间</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before="108" w:beforeLines="30" w:after="108" w:afterLines="3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提供的服务响应时间承诺进行评分。</w:t>
            </w:r>
          </w:p>
          <w:p>
            <w:pPr>
              <w:adjustRightInd/>
              <w:snapToGrid/>
              <w:spacing w:before="108" w:beforeLines="30" w:after="108" w:afterLines="3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承诺在接到采购人通知后2小时内到现场，得5分；</w:t>
            </w:r>
          </w:p>
          <w:p>
            <w:pPr>
              <w:adjustRightInd/>
              <w:snapToGrid/>
              <w:spacing w:before="108" w:beforeLines="30" w:after="108" w:afterLines="3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承诺在接到采购人通知后4小时内到现场，得3分；</w:t>
            </w:r>
          </w:p>
          <w:p>
            <w:pPr>
              <w:adjustRightInd/>
              <w:snapToGrid/>
              <w:spacing w:before="108" w:beforeLines="30" w:after="108" w:afterLines="3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承诺在接到采购人通知后超过4小时到现场，得1分；</w:t>
            </w:r>
          </w:p>
          <w:p>
            <w:pPr>
              <w:pStyle w:val="23"/>
              <w:spacing w:before="108" w:beforeLines="30" w:after="108" w:afterLines="30" w:line="240" w:lineRule="auto"/>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eastAsia="宋体" w:cs="宋体"/>
                <w:bCs/>
                <w:color w:val="auto"/>
                <w:sz w:val="21"/>
                <w:szCs w:val="21"/>
                <w:highlight w:val="none"/>
                <w:lang w:val="en-US" w:eastAsia="zh-CN"/>
              </w:rPr>
              <w:t>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总体服务方案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rPr>
              <w:t>20分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项目总体服务方案包括但不限于：①、绿化养护服务方案；②、服务标准、服务承诺；③、质量保证措施；④、重点难点分析及应对措施进行综合评价：</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方案完整、科学、合理、可行性强，得20分；</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方案比较完整，合理性、可行性较强，得15分；</w:t>
            </w:r>
          </w:p>
          <w:p>
            <w:pPr>
              <w:autoSpaceDE w:val="0"/>
              <w:autoSpaceDN w:val="0"/>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方案一般，科学合理性一般，可行性一般，得10分。</w:t>
            </w:r>
          </w:p>
          <w:p>
            <w:pPr>
              <w:autoSpaceDE w:val="0"/>
              <w:autoSpaceDN w:val="0"/>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方案较差，科学合理性较差，可行性较差，得5分。</w:t>
            </w:r>
          </w:p>
          <w:p>
            <w:pPr>
              <w:autoSpaceDE w:val="0"/>
              <w:autoSpaceDN w:val="0"/>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设备配置方案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拟投入本项目设备设施配备方案及其合理性、先进性、科学性等进行评价：</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针对本项目提供的机械设备充足齐全，配置方案非常合理，设备先进、科学的，得10分；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针对本项目提供的机械设备基本齐全，配置方案较合理，设备先进性、科学性较强的，得6分；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针对本项目提供的机械设备较齐全，配置方案不合理，设备先进性、科学性一般的，得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针对本项目提供的机械设备不齐全，配置方案较差的，设备落后，得1分。</w:t>
            </w:r>
          </w:p>
          <w:p>
            <w:pPr>
              <w:tabs>
                <w:tab w:val="left" w:pos="360"/>
              </w:tabs>
              <w:adjustRightInd/>
              <w:snapToGrid/>
              <w:spacing w:after="0"/>
              <w:ind w:firstLine="373" w:firstLineChars="178"/>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人员配置方案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snapToGrid/>
              <w:spacing w:after="0"/>
              <w:ind w:firstLine="371" w:firstLineChars="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项目管理架构、岗位设置、职责分工、管理技术人员的经验、专业水平，对人员配置方案的完整性、合理性、可行性进行综合评价：</w:t>
            </w:r>
          </w:p>
          <w:p>
            <w:pPr>
              <w:tabs>
                <w:tab w:val="left" w:pos="360"/>
              </w:tabs>
              <w:adjustRightInd/>
              <w:snapToGrid/>
              <w:spacing w:after="0"/>
              <w:ind w:firstLine="371" w:firstLineChars="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方案完整，科学合理，可行性强，得10分；</w:t>
            </w:r>
          </w:p>
          <w:p>
            <w:pPr>
              <w:tabs>
                <w:tab w:val="left" w:pos="360"/>
              </w:tabs>
              <w:adjustRightInd/>
              <w:snapToGrid/>
              <w:spacing w:after="0"/>
              <w:ind w:firstLine="371" w:firstLineChars="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方案比较完整，合理性、可行性较强，得6分；</w:t>
            </w:r>
          </w:p>
          <w:p>
            <w:pPr>
              <w:tabs>
                <w:tab w:val="left" w:pos="360"/>
              </w:tabs>
              <w:adjustRightInd/>
              <w:snapToGrid/>
              <w:spacing w:after="0"/>
              <w:ind w:firstLine="371" w:firstLineChars="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方案一般，科学合理性一般，可行性一般，得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37"/>
              <w:tabs>
                <w:tab w:val="left" w:pos="360"/>
              </w:tabs>
              <w:spacing w:line="240" w:lineRule="auto"/>
              <w:ind w:firstLine="371" w:firstLineChars="177"/>
              <w:rPr>
                <w:rFonts w:ascii="宋体" w:hAnsi="宋体" w:cs="宋体"/>
                <w:color w:val="auto"/>
                <w:sz w:val="21"/>
                <w:szCs w:val="21"/>
                <w:highlight w:val="none"/>
              </w:rPr>
            </w:pPr>
            <w:r>
              <w:rPr>
                <w:rFonts w:hint="eastAsia" w:ascii="宋体" w:hAnsi="宋体" w:cs="宋体"/>
                <w:color w:val="auto"/>
                <w:sz w:val="21"/>
                <w:szCs w:val="21"/>
                <w:highlight w:val="none"/>
              </w:rPr>
              <w:t>方案基本完整，合理性、可行性较差，得1分。</w:t>
            </w:r>
          </w:p>
          <w:p>
            <w:pPr>
              <w:pStyle w:val="37"/>
              <w:tabs>
                <w:tab w:val="left" w:pos="360"/>
              </w:tabs>
              <w:spacing w:line="240" w:lineRule="auto"/>
              <w:ind w:firstLine="371" w:firstLineChars="177"/>
              <w:rPr>
                <w:rFonts w:hint="eastAsia" w:ascii="宋体" w:hAnsi="宋体" w:eastAsia="宋体" w:cs="宋体"/>
                <w:bCs/>
                <w:color w:val="auto"/>
                <w:sz w:val="21"/>
                <w:szCs w:val="21"/>
                <w:highlight w:val="none"/>
                <w:lang w:val="zh-CN"/>
              </w:rPr>
            </w:pPr>
            <w:r>
              <w:rPr>
                <w:rFonts w:hint="eastAsia" w:ascii="宋体" w:hAnsi="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应急处理方案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针对台风、暴雨等天气影响，重大接待任务，重大节假日或活动等特殊情况制定应急处置方案，包括传达机制、人员和设备调配、责任分工等进行综合评比：</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应急处置方案科学具体，得10分；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应急处置方案基本可行，得6分；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应急处置方案可行性较低，得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应急处置方案不具有可行性，得1分；</w:t>
            </w:r>
          </w:p>
          <w:p>
            <w:pPr>
              <w:tabs>
                <w:tab w:val="left" w:pos="360"/>
              </w:tabs>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400" w:lineRule="exact"/>
              <w:ind w:firstLine="0" w:firstLineChars="0"/>
              <w:jc w:val="center"/>
              <w:rPr>
                <w:rFonts w:hint="eastAsia" w:ascii="宋体" w:hAnsi="宋体" w:eastAsia="宋体" w:cs="宋体"/>
                <w:color w:val="auto"/>
                <w:sz w:val="21"/>
                <w:szCs w:val="21"/>
                <w:highlight w:val="none"/>
              </w:rPr>
            </w:pPr>
            <w:r>
              <w:rPr>
                <w:rFonts w:hint="eastAsia" w:ascii="宋体" w:eastAsia="宋体" w:cs="宋体"/>
                <w:color w:val="auto"/>
                <w:kern w:val="0"/>
                <w:sz w:val="21"/>
                <w:szCs w:val="21"/>
                <w:highlight w:val="none"/>
              </w:rPr>
              <w:t>管理制度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400" w:lineRule="exact"/>
              <w:ind w:firstLine="0" w:firstLineChars="0"/>
              <w:jc w:val="center"/>
              <w:rPr>
                <w:rFonts w:hint="eastAsia" w:ascii="宋体" w:hAnsi="宋体" w:cs="宋体"/>
                <w:color w:val="auto"/>
                <w:sz w:val="21"/>
                <w:szCs w:val="21"/>
                <w:highlight w:val="none"/>
                <w:lang w:val="en-US" w:eastAsia="zh-CN"/>
              </w:rPr>
            </w:pPr>
            <w:r>
              <w:rPr>
                <w:rFonts w:hint="eastAsia" w:ascii="宋体" w:eastAsia="宋体" w:cs="宋体"/>
                <w:color w:val="auto"/>
                <w:kern w:val="0"/>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根据</w:t>
            </w:r>
            <w:r>
              <w:rPr>
                <w:rFonts w:hint="eastAsia" w:ascii="宋体" w:eastAsia="宋体" w:cs="宋体"/>
                <w:color w:val="auto"/>
                <w:sz w:val="21"/>
                <w:szCs w:val="21"/>
                <w:highlight w:val="none"/>
                <w:lang w:eastAsia="zh-CN"/>
              </w:rPr>
              <w:t>投标人</w:t>
            </w:r>
            <w:r>
              <w:rPr>
                <w:rFonts w:hint="eastAsia" w:ascii="宋体" w:eastAsia="宋体" w:cs="宋体"/>
                <w:color w:val="auto"/>
                <w:sz w:val="21"/>
                <w:szCs w:val="21"/>
                <w:highlight w:val="none"/>
              </w:rPr>
              <w:t>提供的管理制度（公司管理制度、档案管理制度、人事管理制度、财务管理制度、服务管理制度）进行综合评比：</w:t>
            </w:r>
          </w:p>
          <w:p>
            <w:pPr>
              <w:pStyle w:val="23"/>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管理制度详细完整，针对性强，可行性高的，得10分；</w:t>
            </w:r>
          </w:p>
          <w:p>
            <w:pPr>
              <w:pStyle w:val="23"/>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管理制度较完整，针对性良好，可行性良好的，得6分；</w:t>
            </w:r>
          </w:p>
          <w:p>
            <w:pPr>
              <w:pStyle w:val="23"/>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管理制度一般，针对性一般，可行性一般的，得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分；</w:t>
            </w:r>
          </w:p>
          <w:p>
            <w:pPr>
              <w:pStyle w:val="23"/>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管理制度较差，针对性较差，可行性较差的，得1分；</w:t>
            </w:r>
          </w:p>
          <w:p>
            <w:pPr>
              <w:pStyle w:val="23"/>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自律承诺方案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具有特色的个性化的服务承诺书，能够承诺保证有足够的人力、设备等资源保证按时按质按量完成种服务工作，并制定管理质量控制措施，作出违约责任等承诺，对服务实施方案的落实负责：</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方案完善、服务承诺具体、质量控制措施强的，得5分；</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服务承诺具体、质量控制措施一般的，得3分；</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服务承诺不具体、质量控制措施一般的，得1分；</w:t>
            </w:r>
          </w:p>
          <w:p>
            <w:pPr>
              <w:pStyle w:val="23"/>
              <w:spacing w:line="240" w:lineRule="auto"/>
              <w:ind w:firstLine="373" w:firstLineChars="178"/>
              <w:rPr>
                <w:rFonts w:hint="eastAsia" w:ascii="宋体" w:hAnsi="宋体" w:eastAsia="宋体" w:cs="宋体"/>
                <w:bCs/>
                <w:color w:val="auto"/>
                <w:sz w:val="21"/>
                <w:szCs w:val="21"/>
                <w:highlight w:val="none"/>
              </w:rPr>
            </w:pPr>
            <w:r>
              <w:rPr>
                <w:rFonts w:hint="eastAsia" w:asci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en-US" w:eastAsia="zh-CN"/>
              </w:rPr>
              <w:t>招标</w:t>
            </w:r>
            <w:r>
              <w:rPr>
                <w:rFonts w:hint="eastAsia" w:ascii="宋体" w:hAnsi="宋体" w:cs="宋体"/>
                <w:color w:val="auto"/>
                <w:kern w:val="2"/>
                <w:sz w:val="21"/>
                <w:szCs w:val="21"/>
                <w:highlight w:val="none"/>
                <w:lang w:val="zh-CN"/>
              </w:rPr>
              <w:t>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投标人</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报价)×价格权值</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东莞市长安镇新民社区绿化养护服务项目 </w:t>
      </w:r>
      <w:r>
        <w:rPr>
          <w:rFonts w:hint="eastAsia"/>
          <w:color w:val="auto"/>
          <w:highlight w:val="none"/>
        </w:rPr>
        <w:t>项目的采购结果，按照《中华人民共和国民法典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pPr>
        <w:spacing w:line="360" w:lineRule="auto"/>
        <w:outlineLvl w:val="1"/>
        <w:rPr>
          <w:b/>
          <w:bCs/>
          <w:color w:val="auto"/>
          <w:highlight w:val="none"/>
        </w:rPr>
      </w:pPr>
      <w:bookmarkStart w:id="144" w:name="_Toc864"/>
      <w:r>
        <w:rPr>
          <w:rFonts w:hint="eastAsia"/>
          <w:b/>
          <w:bCs/>
          <w:color w:val="auto"/>
          <w:highlight w:val="none"/>
        </w:rPr>
        <w:t>一、合同金额</w:t>
      </w:r>
      <w:bookmarkEnd w:id="144"/>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r>
        <w:rPr>
          <w:rFonts w:hint="eastAsia" w:ascii="宋体" w:hAnsi="宋体" w:cs="宋体"/>
          <w:color w:val="auto"/>
          <w:szCs w:val="21"/>
          <w:highlight w:val="none"/>
          <w:lang w:val="en-US" w:eastAsia="zh-CN" w:bidi="zh-CN"/>
        </w:rPr>
        <w:t>合同金额包含</w:t>
      </w:r>
      <w:r>
        <w:rPr>
          <w:rFonts w:hint="eastAsia" w:ascii="宋体" w:hAnsi="宋体" w:eastAsia="宋体" w:cs="宋体"/>
          <w:color w:val="auto"/>
          <w:szCs w:val="21"/>
          <w:highlight w:val="none"/>
          <w:lang w:val="zh-CN" w:eastAsia="zh-CN" w:bidi="zh-CN"/>
        </w:rPr>
        <w:t>办公、绿化养护作业所产生的一切费用(包括地租、水电费)。在合同期内，</w:t>
      </w:r>
      <w:r>
        <w:rPr>
          <w:rFonts w:hint="eastAsia" w:ascii="宋体" w:hAnsi="宋体" w:cs="宋体"/>
          <w:color w:val="auto"/>
          <w:szCs w:val="21"/>
          <w:highlight w:val="none"/>
          <w:lang w:val="en-US" w:eastAsia="zh-CN" w:bidi="zh-CN"/>
        </w:rPr>
        <w:t>乙方</w:t>
      </w:r>
      <w:r>
        <w:rPr>
          <w:rFonts w:hint="eastAsia" w:ascii="宋体" w:hAnsi="宋体" w:eastAsia="宋体" w:cs="宋体"/>
          <w:color w:val="auto"/>
          <w:szCs w:val="21"/>
          <w:highlight w:val="none"/>
          <w:lang w:val="zh-CN" w:eastAsia="zh-CN" w:bidi="zh-CN"/>
        </w:rPr>
        <w:t>不得以任何理由增加承包款。</w:t>
      </w:r>
      <w:r>
        <w:rPr>
          <w:rFonts w:hint="eastAsia" w:ascii="宋体" w:hAnsi="宋体" w:eastAsia="宋体"/>
          <w:color w:val="auto"/>
          <w:szCs w:val="21"/>
          <w:highlight w:val="none"/>
          <w:lang w:val="en-US" w:eastAsia="zh-CN"/>
        </w:rPr>
        <w:t>服务期内，如</w:t>
      </w:r>
      <w:r>
        <w:rPr>
          <w:rFonts w:hint="eastAsia" w:ascii="宋体" w:hAnsi="宋体" w:eastAsia="宋体" w:cs="宋体"/>
          <w:color w:val="auto"/>
          <w:sz w:val="21"/>
          <w:szCs w:val="21"/>
          <w:highlight w:val="none"/>
          <w:lang w:val="en-US"/>
        </w:rPr>
        <w:t>社区</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val="en-US"/>
        </w:rPr>
        <w:t>新增的绿化养护作业</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应积极配合完成，</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不再</w:t>
      </w:r>
      <w:r>
        <w:rPr>
          <w:rFonts w:hint="eastAsia" w:ascii="宋体" w:hAnsi="宋体" w:cs="宋体"/>
          <w:color w:val="auto"/>
          <w:sz w:val="21"/>
          <w:szCs w:val="21"/>
          <w:highlight w:val="none"/>
          <w:lang w:val="en-US" w:eastAsia="zh-CN"/>
        </w:rPr>
        <w:t>另外</w:t>
      </w:r>
      <w:r>
        <w:rPr>
          <w:rFonts w:hint="eastAsia" w:ascii="宋体" w:hAnsi="宋体" w:eastAsia="宋体" w:cs="宋体"/>
          <w:color w:val="auto"/>
          <w:sz w:val="21"/>
          <w:szCs w:val="21"/>
          <w:highlight w:val="none"/>
          <w:lang w:val="en-US" w:eastAsia="zh-CN"/>
        </w:rPr>
        <w:t>支付费用。</w:t>
      </w:r>
    </w:p>
    <w:p>
      <w:pPr>
        <w:spacing w:line="360" w:lineRule="auto"/>
        <w:outlineLvl w:val="1"/>
        <w:rPr>
          <w:b/>
          <w:bCs/>
          <w:color w:val="auto"/>
          <w:highlight w:val="none"/>
        </w:rPr>
      </w:pPr>
      <w:bookmarkStart w:id="145" w:name="_Toc32599"/>
      <w:r>
        <w:rPr>
          <w:rFonts w:hint="eastAsia"/>
          <w:b/>
          <w:bCs/>
          <w:color w:val="auto"/>
          <w:highlight w:val="none"/>
        </w:rPr>
        <w:t>二、服务范围</w:t>
      </w:r>
      <w:bookmarkEnd w:id="145"/>
    </w:p>
    <w:p>
      <w:pPr>
        <w:spacing w:line="360" w:lineRule="auto"/>
        <w:ind w:firstLine="42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项目范围</w:t>
      </w:r>
    </w:p>
    <w:p>
      <w:pPr>
        <w:pStyle w:val="2"/>
        <w:keepNext w:val="0"/>
        <w:keepLines w:val="0"/>
        <w:pageBreakBefore w:val="0"/>
        <w:widowControl w:val="0"/>
        <w:kinsoku/>
        <w:wordWrap/>
        <w:overflowPunct/>
        <w:topLinePunct w:val="0"/>
        <w:autoSpaceDE/>
        <w:autoSpaceDN/>
        <w:bidi w:val="0"/>
        <w:adjustRightInd/>
        <w:snapToGrid/>
        <w:spacing w:before="0"/>
        <w:ind w:lef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东莞市长安镇新民社区辖区内的所有道路、街道、工业区、商业区、居民区小巷、社区居委会大院内等公共区域和社区在合同期内新增的绿化养护作业，以及新民社区居民委员会大院的保洁和绿化工作。</w:t>
      </w:r>
    </w:p>
    <w:p>
      <w:pPr>
        <w:spacing w:line="360" w:lineRule="auto"/>
        <w:ind w:firstLine="420" w:firstLineChars="200"/>
        <w:rPr>
          <w:rFonts w:hint="eastAsia"/>
          <w:color w:val="auto"/>
          <w:highlight w:val="none"/>
        </w:rPr>
      </w:pPr>
      <w:r>
        <w:rPr>
          <w:color w:val="auto"/>
          <w:highlight w:val="none"/>
        </w:rPr>
        <w:drawing>
          <wp:inline distT="0" distB="0" distL="114300" distR="114300">
            <wp:extent cx="4157345" cy="3238500"/>
            <wp:effectExtent l="0" t="0" r="146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4157345" cy="3238500"/>
                    </a:xfrm>
                    <a:prstGeom prst="rect">
                      <a:avLst/>
                    </a:prstGeom>
                    <a:noFill/>
                    <a:ln>
                      <a:noFill/>
                    </a:ln>
                  </pic:spPr>
                </pic:pic>
              </a:graphicData>
            </a:graphic>
          </wp:inline>
        </w:drawing>
      </w:r>
      <w:r>
        <w:rPr>
          <w:rFonts w:hint="eastAsia"/>
          <w:color w:val="auto"/>
          <w:highlight w:val="none"/>
        </w:rPr>
        <w:t xml:space="preserve"> </w:t>
      </w:r>
    </w:p>
    <w:p>
      <w:pPr>
        <w:spacing w:line="360" w:lineRule="auto"/>
        <w:ind w:firstLine="420" w:firstLineChars="200"/>
        <w:rPr>
          <w:rFonts w:hint="eastAsia"/>
          <w:color w:val="auto"/>
          <w:highlight w:val="none"/>
          <w:lang w:val="en-US" w:eastAsia="zh-CN"/>
        </w:rPr>
      </w:pPr>
      <w:r>
        <w:rPr>
          <w:rFonts w:hint="eastAsia"/>
          <w:color w:val="auto"/>
          <w:highlight w:val="none"/>
        </w:rPr>
        <w:t xml:space="preserve">  </w:t>
      </w: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绿化养护要求</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绿化养护质量标准按东莞市绿化养护二级标准及有关文件进行管理。主要为：按照 DB44/T 268—2005 的规定对绿地进行养护,制订较完善的养护技术方案,建有工种齐全和相对稳定的养护队伍,养护基本到位、得当,基本达到黄土不露天,绿地总体景观较好。</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1</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园林植物</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①草坪植物叶片大小、色泽正常,基本无枯黄叶;其它植物新梢枝叶萌发正常,叶片大小和色泽正常,基本无枯枝败叶。新建植草坪的绿色期和覆盖率在一年内、其它新种植物的生长状况在两年内达到二级养护标准。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②乔木树冠基本完整,生长与开花结果正常;主侧枝分布基本合理,分枝点高度与树种特性 基本相适应,分枝不影响游览及观景。基本无死株、缺株。行道树的体量、高度基本保持一致,下缘线和分枝点高度的控制基本符合 DB44/T 268—2005 的规定,倾斜率小于 5%。乔木树杆无铁钉、木板等附着物。同时，确保树木无遮挡交通设施情况。</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③花灌木生长正常,株型完整,开花正常,花后修剪合理、及时。木本地被植物生长正常,覆盖率达到 97%以上,基本无杂草,无死株、缺株。</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④花坛、花带及绿篱轮廓基本清晰,线条基本整齐,无残缺,基本无杂草,修剪及时。</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⑤造型植物修剪合理,线条基本齐整、圆滑。规则式种植的造型植物,形状或体量基本保持一致;自然式种植的,形状和体量大小符合设计和景观的要求。</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⑥藤本植物生长正常,开花适时,牵引合理,覆盖率不低于 85%。藤本植物尚未到达棚顶或篱顶时,应设立支撑物并作牵引,以利其攀缠。当以建筑物墙(柱)体为攀缠对象时,应经常进行绑扎、整理。藤本植物的修剪应以促进分枝为主,加快覆盖和攀缠的速度;同时,剪除徒长枝和下垂枝。多年生的藤本植物应定期翻蔓,清除枯枝,疏删老弱藤蔓。生长在沿街棚(篱)架或立交桥上的藤本權木,其下垂藤蔓必须及时修剪,以免影响行车安全。其滴灌设施必须经常检修,以免浇灌时沾污行人及车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⑦草本花卉正常,株型完整,开花适时,开花时覆盖率达到 90%以上,基本无杂草;花后需修剪的,得到合理修剪。</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⑧草坪绿色期不少于 250 天,覆盖率不小于 90%,杂草的覆盖率不超过 3%,无积水,修剪合理。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⑨水生植物生长旺盛,开花适时,生长范围符合景观要求。绿篱生长旺盛,无死株,无明显断垄,无高草杂草,无明显病虫害发生。补植、改植于 5 天内完成。草坪补植或改植后一个月内覆盖率达到 95%以上,其它植物补植或改植的成活率达到 98%以上,补植乔木必须做好支撑。同时树木支撑根据树木生长情况适时进行“松绑”处理。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⑩病虫害控制及时、有效,被害植株不超过 5%,被害叶片不超过植株叶片总量的 3%。有害植物的危害得到及时治理,鼠害基本得到控制。同时注意防治红火蚁,选择使用高效、低毒、低残留、高质量的饵剂和粉剂为主,依据相关使用说明规范用药。根据当地气候条件,每年开展 2 次全面防控和两次补防。在春季婚飞前或婚飞高峰期进行第一次防控,2~3 周后调查评估防效并补防一次;在夏季、秋季气候条件适宜时进行第二次防控,2~3 周后再次调查评估防效,必要时补防。</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3</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园建设施</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①花架、亭、廊等园林建筑应保持外观整洁和室内外墙面清洁,应及时清除其屋顶积落的枝叶、垃圾和自生的植物,保持整洁。</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②对钢结构设施,应及时保养,按照 GB50212-2014 的要求涂刷油漆,防止表面生锈;有木质构件的,应防止白蚁等蛀虫的危害。</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③</w:t>
      </w:r>
      <w:r>
        <w:rPr>
          <w:rFonts w:hint="eastAsia" w:ascii="宋体" w:hAnsi="宋体" w:eastAsia="宋体"/>
          <w:b w:val="0"/>
          <w:bCs w:val="0"/>
          <w:color w:val="auto"/>
          <w:sz w:val="21"/>
          <w:szCs w:val="21"/>
          <w:highlight w:val="none"/>
        </w:rPr>
        <w:t>园林小品应保持外形美观。如饰面层剥离、实体破损应在 10 天内修复。存在安全隐患时,应先对现场进行围闭,并设置警示标志。</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④</w:t>
      </w:r>
      <w:r>
        <w:rPr>
          <w:rFonts w:hint="eastAsia" w:ascii="宋体" w:hAnsi="宋体" w:eastAsia="宋体"/>
          <w:b w:val="0"/>
          <w:bCs w:val="0"/>
          <w:color w:val="auto"/>
          <w:sz w:val="21"/>
          <w:szCs w:val="21"/>
          <w:highlight w:val="none"/>
        </w:rPr>
        <w:t>照明设施、灯饰、果皮箱、导游牌、饮水与通讯设施等应保持整洁,定期翻新.铁质围栏、护树架、门窗、灯杆等应定期进行翻新、油漆,施工应符合 GB50212-2014 的规定,保持整洁。</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⑤园林水体应保持清洁,水质良好,水量适度。人工水池的池壁应保持干净美观。园林水体周边应设置警示标志等安全措施,预防溺水事件。</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⑥珍稀水生动物栖息场所水体的水质应不低于 GB 3838—2002 地表水II类水质标准;城市绿地内的游泳池、戏水池内的水质应不低于 GHZB 1-1999 标准;喷泉、跌水、溪流及水池内的水质应不低于 GHZB 1-1999 标准;人工或自然水体内的水质应不低于 GHZB 1-1999 标准。</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⑦</w:t>
      </w:r>
      <w:r>
        <w:rPr>
          <w:rFonts w:hint="eastAsia" w:ascii="宋体" w:hAnsi="宋体" w:eastAsia="宋体"/>
          <w:b w:val="0"/>
          <w:bCs w:val="0"/>
          <w:color w:val="auto"/>
          <w:sz w:val="21"/>
          <w:szCs w:val="21"/>
          <w:highlight w:val="none"/>
        </w:rPr>
        <w:t>游乐设施的安全标准应符合 GB8408-2018《大型游乐设施安全规范》 的规定。</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4</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施肥</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提倡应用平衡施肥技术,肥料的种类及数量应根据植物种类(品种)、生长发育阶段及观赏特性不同而确定。生长期应施氮肥为主的完全肥,发育期应增施磷、钾肥。每次施肥量应考虑施肥方法。施肥应以有机肥料为主,无机肥料为辅;不应长期在同一地块施用同一种化学肥料,以免破坏土壤的理化性状。</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②施肥要求:乔灌木每年不少于 2 次,2—3 月和 9—10 月重点进行施肥,复合肥和基肥结合,每次 2—3 千克/株,对角埋施,新种、补种、生长势弱树木可适时适量多施;观花灌木每年不少于 3次,每次 0.5 千克/株;草本花卉每年不少于 4 次,成片花卉每月撒施复合肥 1 次,每次 0.15 千克/平方米,每年根据其长势和覆盖率情况适当施基肥 1—2 次,每次 0.5 千克/平方米;绿篱每年撒施复合肥不少于 2 次,每次 0.15 千克/平方米,每年根据其长势和覆盖率情况适当施基肥 1—2 次,每次0.5 千克/平方米;草地、地被每年不少于 2 次,每次施尿素 0.1 千克/平方米。</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③施肥应避免在雨天进行。其中,根外追肥宜在清晨或傍晚进行,浓度一般不宜大于 1.5‰。除根外追肥外,肥料不得触及目的植物的叶片。</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5</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淋水要求</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①旱季一般乔木 3—5 天淋水 1 次,新补植乔木,淋好定根水后,1 周内每天淋水 1 次;单丛灌木、成片花卉、绿篱一般 2—3 天淋水 1 次,补植后一周内每天淋水 1 次,施肥和补植需加强淋水;草地、地被一般每天淋水 1 次。雨季根据天气情况适当调节。</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②浇灌的实施应科学、合理、宜采用喷灌或滴灌等节水方式。对于花坛及道路分车带内植物,在干旱季节,可进行叶面喷水。在花芽分化时应适当控制浇灌量,以免园林植物徒长。</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③日浇灌的时间应根据季节与气温决定,并注意控制水温与表土温差不宜太大,以免造成根系伤害。夏秋高温季节,浇灌应避开中午烈日,宜在 10 时之前或 16 时之后进行;冬季及早春,宜在10 时至 16 时之间进行。用机械进行浇水时,不宜在交通繁忙时段进行。喷灌时应确保喷水的有效范围与园林植物的种植范围一致。</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⑹ 苗木修剪</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①自然形乔木每年不少于 1 次,造型乔木每年不少于 4 次。主要修剪内膛枝、徒长枝、病虫枝、交叉枝、下垂枝、扭伤枝及枯枝烂头等。庭荫树的分枝点应随着树木生长逐步提高,树冠与树干高度的比例应在 7:3 至 6:4 之间。行道树在同一路段的分枝点高低、树高、冠幅大小应基本一致。</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②自然形灌木每年不少于 1 次,造型灌木每年不少于 6 次。灌木修剪应促进枝繁叶茂、分布均匀。花灌木修剪要有利于短枝和花芽的形成,遵循“自下而上、先内后外、去弱留强、去老留新”的原则进行修剪。</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③绿篱、模纹花坛修剪:绿篱、模纹花坛修剪每年不少于 6 次。</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④草坪修剪:结缕草属和狗牙根属草坪草每年不少于 6 次,假俭草属、地毯草属、钝叶草属草坪草不少于 3 次。结缕草属草修剪留茬高度 1. 3—5. 0cm,地毯草属草修剪留茬高度 2. 5—5. 0cm,假俭草属草修剪留茬高度 2. 5—5. 0cm,钝叶草属草修剪留茬高度 3.8—7. 6cm,普通狗牙根修剪留茬高度 1. 3—3.8cm,杂种狗牙根修剪留茬高度 0. 6—2. 5cm。</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⑤休眠期修剪以整形为主,可稍重剪,生长期修剪以调整树势为主,宜轻剪。修剪要避开树</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木伤流盛期。绿化修剪后的枯枝干叶等,在修剪当天及时清理运走,并及时清除灌木丛上的修剪枝,苗木落叶当天及时清扫保洁。</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7</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节假日</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全民植树活动或突击性的植树绿化任务,能按时、按标准、按要求完成所分配的工作。每逢节假日,如春节、元旦、五一、国庆节等或某些特别日子,能按上级要求完成特别安排的工作。</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8</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三防</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防止意外及修复工作包括防台风、防汛、防寒等以及防止其它因素对绿地造成的损坏等,并定期巡视挡土墙及边坡,防止滑坡。由于不可抗力(如台风、暴雨等自然灾害)造成的绿化景观损害,养护单位应在 12 小时内或有关部门根据实际情况设定的时间内及时完成现场清理工作,并应以合同附件的形式向有关部门提交可行的解决方案;未能按要求及时完成清理工作的,当月考核评分档次为差;在有关部门根据实际情况设定的时间内,受损害部分的绿化景观(不包括环境卫生)将不列入考核评分范围内。</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9</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rPr>
        <w:t>安全作业</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①园林机械的操作人员,应在上岗前接受必要的岗前培训。凡需持证上岗的,必须取得相应的上岗证,并应严格按照操作规程作业。园林机械作业前,应对施工现场进行围合及标示。</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②</w:t>
      </w:r>
      <w:r>
        <w:rPr>
          <w:rFonts w:hint="eastAsia" w:ascii="宋体" w:hAnsi="宋体" w:eastAsia="宋体"/>
          <w:b w:val="0"/>
          <w:bCs w:val="0"/>
          <w:color w:val="auto"/>
          <w:sz w:val="21"/>
          <w:szCs w:val="21"/>
          <w:highlight w:val="none"/>
        </w:rPr>
        <w:t>城市主、次干道(设计车速 60 公里/小时)距离作业点正、反方向分别不少于 80m 的地方设置反光警示牌及其他警示标志。快速路(设计车速 80 公里/小时)距离作业点正、反方向分别不少于 150m 的地方设置反光警示牌及其他警示标志。高速公路(设计车速 100 公里/小时以上)距离作业点正、反方向分别不少于 300m 的地方设置反光警示牌及其他警示标志。</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b w:val="0"/>
          <w:bCs w:val="0"/>
          <w:color w:val="auto"/>
          <w:sz w:val="21"/>
          <w:szCs w:val="21"/>
          <w:highlight w:val="none"/>
          <w:lang w:val="en-US" w:eastAsia="zh-CN"/>
        </w:rPr>
        <w:t>③</w:t>
      </w:r>
      <w:r>
        <w:rPr>
          <w:rFonts w:hint="eastAsia" w:ascii="宋体" w:hAnsi="宋体" w:eastAsia="宋体"/>
          <w:b w:val="0"/>
          <w:bCs w:val="0"/>
          <w:color w:val="auto"/>
          <w:sz w:val="21"/>
          <w:szCs w:val="21"/>
          <w:highlight w:val="none"/>
        </w:rPr>
        <w:t>截除较大的树枝、藤蔓或砍伐清除枯死的树体时,应预先制定施工方案和应急预案,采取必要的安全措施。砍伐或清除枯死树体,应严格依次按照先锯除侧枝和主枝,再分段锯除主干、后挖除树兜和回填种植土的操作程序作业。(砍伐城市树木必须经城市人民政府城市绿化行政主管部门批准。)</w:t>
      </w:r>
    </w:p>
    <w:p>
      <w:pPr>
        <w:spacing w:line="360" w:lineRule="auto"/>
        <w:ind w:firstLine="420" w:firstLineChars="200"/>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④</w:t>
      </w:r>
      <w:r>
        <w:rPr>
          <w:rFonts w:hint="eastAsia" w:ascii="宋体" w:hAnsi="宋体" w:eastAsia="宋体"/>
          <w:b w:val="0"/>
          <w:bCs w:val="0"/>
          <w:color w:val="auto"/>
          <w:sz w:val="21"/>
          <w:szCs w:val="21"/>
          <w:highlight w:val="none"/>
        </w:rPr>
        <w:t>规范开展高空作业工作,高空作业要使用升降车,不得站在车辆车厢、驾驶舱顶部或攀爬树木进行修剪,各单位要严格执行“双报备”、高处作业做到“五个必须”(必须培训持证上岗、必须实行作业审批、必须做好个人防护、必须落实工程措施、必须安排专人监护)。道路树木修剪作业时要做好安全防护措施,占道作业时要做好警示标志及雪糕筒的摆放。</w:t>
      </w:r>
    </w:p>
    <w:p>
      <w:pPr>
        <w:spacing w:line="360" w:lineRule="auto"/>
        <w:ind w:firstLine="420" w:firstLineChars="200"/>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（三）监督检查</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color w:val="auto"/>
          <w:highlight w:val="none"/>
        </w:rPr>
        <w:t xml:space="preserve">   </w:t>
      </w:r>
      <w:r>
        <w:rPr>
          <w:rFonts w:hint="eastAsia" w:ascii="宋体" w:hAnsi="宋体" w:eastAsia="宋体"/>
          <w:b w:val="0"/>
          <w:bCs w:val="0"/>
          <w:color w:val="auto"/>
          <w:sz w:val="21"/>
          <w:szCs w:val="21"/>
          <w:highlight w:val="none"/>
        </w:rPr>
        <w:t>1、</w:t>
      </w:r>
      <w:r>
        <w:rPr>
          <w:rFonts w:hint="eastAsia" w:ascii="宋体" w:hAnsi="宋体"/>
          <w:b w:val="0"/>
          <w:bCs w:val="0"/>
          <w:color w:val="auto"/>
          <w:sz w:val="21"/>
          <w:szCs w:val="21"/>
          <w:highlight w:val="none"/>
          <w:lang w:eastAsia="zh-CN"/>
        </w:rPr>
        <w:t>甲方</w:t>
      </w:r>
      <w:r>
        <w:rPr>
          <w:rFonts w:hint="eastAsia" w:ascii="宋体" w:hAnsi="宋体" w:eastAsia="宋体"/>
          <w:b w:val="0"/>
          <w:bCs w:val="0"/>
          <w:color w:val="auto"/>
          <w:sz w:val="21"/>
          <w:szCs w:val="21"/>
          <w:highlight w:val="none"/>
        </w:rPr>
        <w:t>有权定时不定时对</w:t>
      </w:r>
      <w:r>
        <w:rPr>
          <w:rFonts w:hint="eastAsia" w:ascii="宋体" w:hAnsi="宋体"/>
          <w:b w:val="0"/>
          <w:bCs w:val="0"/>
          <w:color w:val="auto"/>
          <w:sz w:val="21"/>
          <w:szCs w:val="21"/>
          <w:highlight w:val="none"/>
          <w:lang w:eastAsia="zh-CN"/>
        </w:rPr>
        <w:t>乙方</w:t>
      </w:r>
      <w:r>
        <w:rPr>
          <w:rFonts w:hint="eastAsia" w:ascii="宋体" w:hAnsi="宋体" w:eastAsia="宋体"/>
          <w:b w:val="0"/>
          <w:bCs w:val="0"/>
          <w:color w:val="auto"/>
          <w:sz w:val="21"/>
          <w:szCs w:val="21"/>
          <w:highlight w:val="none"/>
        </w:rPr>
        <w:t>的日常养护工作，包括淋水、施肥、除杂草、树木修剪、防治病虫害等养护工作进行检查。现场检查发现存在的问题，予以整改通知。若</w:t>
      </w:r>
      <w:r>
        <w:rPr>
          <w:rFonts w:hint="eastAsia" w:ascii="宋体" w:hAnsi="宋体"/>
          <w:b w:val="0"/>
          <w:bCs w:val="0"/>
          <w:color w:val="auto"/>
          <w:sz w:val="21"/>
          <w:szCs w:val="21"/>
          <w:highlight w:val="none"/>
          <w:lang w:eastAsia="zh-CN"/>
        </w:rPr>
        <w:t>乙方</w:t>
      </w:r>
      <w:r>
        <w:rPr>
          <w:rFonts w:hint="eastAsia" w:ascii="宋体" w:hAnsi="宋体" w:eastAsia="宋体"/>
          <w:b w:val="0"/>
          <w:bCs w:val="0"/>
          <w:color w:val="auto"/>
          <w:sz w:val="21"/>
          <w:szCs w:val="21"/>
          <w:highlight w:val="none"/>
        </w:rPr>
        <w:t>未能按时按质按量完成整改，</w:t>
      </w:r>
      <w:r>
        <w:rPr>
          <w:rFonts w:hint="eastAsia" w:ascii="宋体" w:hAnsi="宋体"/>
          <w:b w:val="0"/>
          <w:bCs w:val="0"/>
          <w:color w:val="auto"/>
          <w:sz w:val="21"/>
          <w:szCs w:val="21"/>
          <w:highlight w:val="none"/>
          <w:lang w:eastAsia="zh-CN"/>
        </w:rPr>
        <w:t>甲方</w:t>
      </w:r>
      <w:r>
        <w:rPr>
          <w:rFonts w:hint="eastAsia" w:ascii="宋体" w:hAnsi="宋体" w:eastAsia="宋体"/>
          <w:b w:val="0"/>
          <w:bCs w:val="0"/>
          <w:color w:val="auto"/>
          <w:sz w:val="21"/>
          <w:szCs w:val="21"/>
          <w:highlight w:val="none"/>
        </w:rPr>
        <w:t>可视情况直接在当月养护费中扣减相应金额作为赔偿金。</w:t>
      </w:r>
    </w:p>
    <w:p>
      <w:pPr>
        <w:spacing w:after="0"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2、接到整改通知，</w:t>
      </w:r>
      <w:r>
        <w:rPr>
          <w:rFonts w:hint="eastAsia" w:ascii="宋体" w:hAnsi="宋体"/>
          <w:b w:val="0"/>
          <w:bCs w:val="0"/>
          <w:color w:val="auto"/>
          <w:sz w:val="21"/>
          <w:szCs w:val="21"/>
          <w:highlight w:val="none"/>
          <w:lang w:eastAsia="zh-CN"/>
        </w:rPr>
        <w:t>乙方</w:t>
      </w:r>
      <w:r>
        <w:rPr>
          <w:rFonts w:hint="eastAsia" w:ascii="宋体" w:hAnsi="宋体" w:eastAsia="宋体"/>
          <w:b w:val="0"/>
          <w:bCs w:val="0"/>
          <w:color w:val="auto"/>
          <w:sz w:val="21"/>
          <w:szCs w:val="21"/>
          <w:highlight w:val="none"/>
        </w:rPr>
        <w:t>须及时到现场处理；如</w:t>
      </w:r>
      <w:r>
        <w:rPr>
          <w:rFonts w:hint="eastAsia" w:ascii="宋体" w:hAnsi="宋体"/>
          <w:b w:val="0"/>
          <w:bCs w:val="0"/>
          <w:color w:val="auto"/>
          <w:sz w:val="21"/>
          <w:szCs w:val="21"/>
          <w:highlight w:val="none"/>
          <w:lang w:eastAsia="zh-CN"/>
        </w:rPr>
        <w:t>乙方</w:t>
      </w:r>
      <w:r>
        <w:rPr>
          <w:rFonts w:hint="eastAsia" w:ascii="宋体" w:hAnsi="宋体" w:eastAsia="宋体"/>
          <w:b w:val="0"/>
          <w:bCs w:val="0"/>
          <w:color w:val="auto"/>
          <w:sz w:val="21"/>
          <w:szCs w:val="21"/>
          <w:highlight w:val="none"/>
        </w:rPr>
        <w:t>管理人员认为情况不实，有异议的，应即时要求</w:t>
      </w:r>
      <w:r>
        <w:rPr>
          <w:rFonts w:hint="eastAsia" w:ascii="宋体" w:hAnsi="宋体"/>
          <w:b w:val="0"/>
          <w:bCs w:val="0"/>
          <w:color w:val="auto"/>
          <w:sz w:val="21"/>
          <w:szCs w:val="21"/>
          <w:highlight w:val="none"/>
          <w:lang w:eastAsia="zh-CN"/>
        </w:rPr>
        <w:t>甲方</w:t>
      </w:r>
      <w:r>
        <w:rPr>
          <w:rFonts w:hint="eastAsia" w:ascii="宋体" w:hAnsi="宋体" w:eastAsia="宋体"/>
          <w:b w:val="0"/>
          <w:bCs w:val="0"/>
          <w:color w:val="auto"/>
          <w:sz w:val="21"/>
          <w:szCs w:val="21"/>
          <w:highlight w:val="none"/>
        </w:rPr>
        <w:t>管理人员赶赴现场协调处理。</w:t>
      </w:r>
    </w:p>
    <w:p>
      <w:pPr>
        <w:spacing w:line="360" w:lineRule="auto"/>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3、本</w:t>
      </w:r>
      <w:r>
        <w:rPr>
          <w:rFonts w:hint="eastAsia" w:ascii="宋体" w:hAnsi="宋体" w:eastAsia="宋体"/>
          <w:b w:val="0"/>
          <w:bCs w:val="0"/>
          <w:color w:val="auto"/>
          <w:sz w:val="21"/>
          <w:szCs w:val="21"/>
          <w:highlight w:val="none"/>
          <w:lang w:val="en-US" w:eastAsia="zh-CN"/>
        </w:rPr>
        <w:t>项目</w:t>
      </w:r>
      <w:r>
        <w:rPr>
          <w:rFonts w:hint="eastAsia" w:ascii="宋体" w:hAnsi="宋体" w:eastAsia="宋体"/>
          <w:b w:val="0"/>
          <w:bCs w:val="0"/>
          <w:color w:val="auto"/>
          <w:sz w:val="21"/>
          <w:szCs w:val="21"/>
          <w:highlight w:val="none"/>
        </w:rPr>
        <w:t>合同签署后起，</w:t>
      </w:r>
      <w:r>
        <w:rPr>
          <w:rFonts w:hint="eastAsia" w:ascii="宋体" w:hAnsi="宋体"/>
          <w:b w:val="0"/>
          <w:bCs w:val="0"/>
          <w:color w:val="auto"/>
          <w:sz w:val="21"/>
          <w:szCs w:val="21"/>
          <w:highlight w:val="none"/>
          <w:lang w:eastAsia="zh-CN"/>
        </w:rPr>
        <w:t>乙方</w:t>
      </w:r>
      <w:r>
        <w:rPr>
          <w:rFonts w:hint="eastAsia" w:ascii="宋体" w:hAnsi="宋体" w:eastAsia="宋体"/>
          <w:b w:val="0"/>
          <w:bCs w:val="0"/>
          <w:color w:val="auto"/>
          <w:sz w:val="21"/>
          <w:szCs w:val="21"/>
          <w:highlight w:val="none"/>
        </w:rPr>
        <w:t>对</w:t>
      </w:r>
      <w:r>
        <w:rPr>
          <w:rFonts w:hint="eastAsia" w:ascii="宋体" w:hAnsi="宋体" w:eastAsia="宋体"/>
          <w:b w:val="0"/>
          <w:bCs w:val="0"/>
          <w:color w:val="auto"/>
          <w:sz w:val="21"/>
          <w:szCs w:val="21"/>
          <w:highlight w:val="none"/>
          <w:lang w:val="en-US" w:eastAsia="zh-CN"/>
        </w:rPr>
        <w:t>服务范围</w:t>
      </w:r>
      <w:r>
        <w:rPr>
          <w:rFonts w:hint="eastAsia" w:ascii="宋体" w:hAnsi="宋体" w:eastAsia="宋体"/>
          <w:b w:val="0"/>
          <w:bCs w:val="0"/>
          <w:color w:val="auto"/>
          <w:sz w:val="21"/>
          <w:szCs w:val="21"/>
          <w:highlight w:val="none"/>
        </w:rPr>
        <w:t>内绿化有看护和管理责任，若发现苗木有数量、规格、质量、品种等存在不符的现象，有损</w:t>
      </w:r>
      <w:r>
        <w:rPr>
          <w:rFonts w:hint="eastAsia" w:ascii="宋体" w:hAnsi="宋体"/>
          <w:b w:val="0"/>
          <w:bCs w:val="0"/>
          <w:color w:val="auto"/>
          <w:sz w:val="21"/>
          <w:szCs w:val="21"/>
          <w:highlight w:val="none"/>
          <w:lang w:eastAsia="zh-CN"/>
        </w:rPr>
        <w:t>甲方</w:t>
      </w:r>
      <w:r>
        <w:rPr>
          <w:rFonts w:hint="eastAsia" w:ascii="宋体" w:hAnsi="宋体" w:eastAsia="宋体"/>
          <w:b w:val="0"/>
          <w:bCs w:val="0"/>
          <w:color w:val="auto"/>
          <w:sz w:val="21"/>
          <w:szCs w:val="21"/>
          <w:highlight w:val="none"/>
        </w:rPr>
        <w:t>形象和利益的，</w:t>
      </w:r>
      <w:r>
        <w:rPr>
          <w:rFonts w:hint="eastAsia" w:ascii="宋体" w:hAnsi="宋体"/>
          <w:b w:val="0"/>
          <w:bCs w:val="0"/>
          <w:color w:val="auto"/>
          <w:sz w:val="21"/>
          <w:szCs w:val="21"/>
          <w:highlight w:val="none"/>
          <w:lang w:eastAsia="zh-CN"/>
        </w:rPr>
        <w:t>乙方</w:t>
      </w:r>
      <w:r>
        <w:rPr>
          <w:rFonts w:hint="eastAsia" w:ascii="宋体" w:hAnsi="宋体" w:eastAsia="宋体"/>
          <w:b w:val="0"/>
          <w:bCs w:val="0"/>
          <w:color w:val="auto"/>
          <w:sz w:val="21"/>
          <w:szCs w:val="21"/>
          <w:highlight w:val="none"/>
        </w:rPr>
        <w:t>要负责将苗木恢复原状，并经</w:t>
      </w:r>
      <w:r>
        <w:rPr>
          <w:rFonts w:hint="eastAsia" w:ascii="宋体" w:hAnsi="宋体"/>
          <w:b w:val="0"/>
          <w:bCs w:val="0"/>
          <w:color w:val="auto"/>
          <w:sz w:val="21"/>
          <w:szCs w:val="21"/>
          <w:highlight w:val="none"/>
          <w:lang w:eastAsia="zh-CN"/>
        </w:rPr>
        <w:t>甲方</w:t>
      </w:r>
      <w:r>
        <w:rPr>
          <w:rFonts w:hint="eastAsia" w:ascii="宋体" w:hAnsi="宋体" w:eastAsia="宋体"/>
          <w:b w:val="0"/>
          <w:bCs w:val="0"/>
          <w:color w:val="auto"/>
          <w:sz w:val="21"/>
          <w:szCs w:val="21"/>
          <w:highlight w:val="none"/>
        </w:rPr>
        <w:t>审核通过。若</w:t>
      </w:r>
      <w:r>
        <w:rPr>
          <w:rFonts w:hint="eastAsia" w:ascii="宋体" w:hAnsi="宋体"/>
          <w:b w:val="0"/>
          <w:bCs w:val="0"/>
          <w:color w:val="auto"/>
          <w:sz w:val="21"/>
          <w:szCs w:val="21"/>
          <w:highlight w:val="none"/>
          <w:lang w:eastAsia="zh-CN"/>
        </w:rPr>
        <w:t>乙方</w:t>
      </w:r>
      <w:r>
        <w:rPr>
          <w:rFonts w:hint="eastAsia" w:ascii="宋体" w:hAnsi="宋体" w:eastAsia="宋体"/>
          <w:b w:val="0"/>
          <w:bCs w:val="0"/>
          <w:color w:val="auto"/>
          <w:sz w:val="21"/>
          <w:szCs w:val="21"/>
          <w:highlight w:val="none"/>
        </w:rPr>
        <w:t>拒绝恢复苗木或恢复效果未达到</w:t>
      </w:r>
      <w:r>
        <w:rPr>
          <w:rFonts w:hint="eastAsia" w:ascii="宋体" w:hAnsi="宋体"/>
          <w:b w:val="0"/>
          <w:bCs w:val="0"/>
          <w:color w:val="auto"/>
          <w:sz w:val="21"/>
          <w:szCs w:val="21"/>
          <w:highlight w:val="none"/>
          <w:lang w:eastAsia="zh-CN"/>
        </w:rPr>
        <w:t>甲方</w:t>
      </w:r>
      <w:r>
        <w:rPr>
          <w:rFonts w:hint="eastAsia" w:ascii="宋体" w:hAnsi="宋体" w:eastAsia="宋体"/>
          <w:b w:val="0"/>
          <w:bCs w:val="0"/>
          <w:color w:val="auto"/>
          <w:sz w:val="21"/>
          <w:szCs w:val="21"/>
          <w:highlight w:val="none"/>
        </w:rPr>
        <w:t>要求的，可视为根本违约。</w:t>
      </w:r>
    </w:p>
    <w:p>
      <w:pPr>
        <w:outlineLvl w:val="0"/>
        <w:rPr>
          <w:rFonts w:hint="default" w:ascii="宋体" w:hAnsi="宋体" w:cs="宋体"/>
          <w:b/>
          <w:color w:val="auto"/>
          <w:sz w:val="21"/>
          <w:szCs w:val="21"/>
          <w:highlight w:val="none"/>
          <w:lang w:val="en-US" w:eastAsia="zh-CN"/>
        </w:rPr>
      </w:pPr>
      <w:r>
        <w:rPr>
          <w:rFonts w:hint="eastAsia" w:ascii="宋体" w:hAnsi="宋体" w:eastAsia="宋体"/>
          <w:b w:val="0"/>
          <w:bCs w:val="0"/>
          <w:color w:val="auto"/>
          <w:sz w:val="21"/>
          <w:szCs w:val="21"/>
          <w:highlight w:val="none"/>
          <w:lang w:eastAsia="zh-CN"/>
        </w:rPr>
        <w:t>（</w:t>
      </w:r>
      <w:r>
        <w:rPr>
          <w:rFonts w:hint="eastAsia" w:ascii="宋体" w:hAnsi="宋体" w:eastAsia="宋体"/>
          <w:b w:val="0"/>
          <w:bCs w:val="0"/>
          <w:color w:val="auto"/>
          <w:sz w:val="21"/>
          <w:szCs w:val="21"/>
          <w:highlight w:val="none"/>
          <w:lang w:val="en-US" w:eastAsia="zh-CN"/>
        </w:rPr>
        <w:t>四</w:t>
      </w:r>
      <w:r>
        <w:rPr>
          <w:rFonts w:hint="eastAsia" w:ascii="宋体" w:hAnsi="宋体" w:eastAsia="宋体"/>
          <w:b w:val="0"/>
          <w:bCs w:val="0"/>
          <w:color w:val="auto"/>
          <w:sz w:val="21"/>
          <w:szCs w:val="21"/>
          <w:highlight w:val="none"/>
          <w:lang w:eastAsia="zh-CN"/>
        </w:rPr>
        <w:t>）</w:t>
      </w:r>
      <w:r>
        <w:rPr>
          <w:rFonts w:hint="eastAsia" w:ascii="宋体" w:hAnsi="宋体" w:cs="宋体"/>
          <w:b w:val="0"/>
          <w:bCs/>
          <w:color w:val="auto"/>
          <w:sz w:val="21"/>
          <w:szCs w:val="21"/>
          <w:highlight w:val="none"/>
          <w:lang w:val="en-US" w:eastAsia="zh-CN"/>
        </w:rPr>
        <w:t>人员和设备要求</w:t>
      </w:r>
    </w:p>
    <w:p>
      <w:pPr>
        <w:spacing w:after="0" w:line="360" w:lineRule="auto"/>
        <w:ind w:firstLine="420" w:firstLineChars="200"/>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1、绿化养护工人8人，安全管理人员不少于1人，技术人员不少于1人，项目负责人1人，专职资料员1人。</w:t>
      </w:r>
    </w:p>
    <w:p>
      <w:pPr>
        <w:spacing w:line="360" w:lineRule="auto"/>
        <w:ind w:firstLine="420" w:firstLineChars="200"/>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val="en-US" w:eastAsia="zh-CN"/>
        </w:rPr>
        <w:t>2、配备8吨或以上绿化用洒水车1辆，半挂牵引车1辆（载重量6吨或以上，行车过程须做好密闭措施）、巡查车1台（管理专用车，需纯电动）、升降工作车1台、大型电动三轮车2辆、园林绿化物料专用粉碎机2台、剪草机 3台、绿篱机1台、绿篱剪2把，高枝剪1把、油锯 4把、高压手推式打药机1台，鼓励采用纯电动小型作业机械。</w:t>
      </w:r>
    </w:p>
    <w:p>
      <w:pPr>
        <w:spacing w:line="360" w:lineRule="auto"/>
        <w:ind w:firstLine="420" w:firstLineChars="200"/>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五</w:t>
      </w:r>
      <w:r>
        <w:rPr>
          <w:rFonts w:hint="eastAsia" w:ascii="宋体" w:hAnsi="宋体"/>
          <w:b w:val="0"/>
          <w:bCs w:val="0"/>
          <w:color w:val="auto"/>
          <w:sz w:val="21"/>
          <w:szCs w:val="21"/>
          <w:highlight w:val="none"/>
          <w:lang w:eastAsia="zh-CN"/>
        </w:rPr>
        <w:t>）</w:t>
      </w:r>
      <w:r>
        <w:rPr>
          <w:rFonts w:hint="eastAsia" w:ascii="宋体" w:hAnsi="宋体" w:eastAsia="宋体"/>
          <w:b w:val="0"/>
          <w:bCs w:val="0"/>
          <w:color w:val="auto"/>
          <w:sz w:val="21"/>
          <w:szCs w:val="21"/>
          <w:highlight w:val="none"/>
          <w:lang w:val="en-US" w:eastAsia="zh-CN"/>
        </w:rPr>
        <w:t>其他要求</w:t>
      </w:r>
    </w:p>
    <w:p>
      <w:pPr>
        <w:widowControl/>
        <w:numPr>
          <w:ilvl w:val="0"/>
          <w:numId w:val="0"/>
        </w:numPr>
        <w:wordWrap w:val="0"/>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color w:val="auto"/>
          <w:highlight w:val="none"/>
        </w:rPr>
        <w:t xml:space="preserve"> </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要制定完善的养护技术方案，建有工种齐全和固定的养护队伍，绿化养护技术措施完善，管理到位、得当，植物修剪科学合理，绿地总体景观好。</w:t>
      </w:r>
    </w:p>
    <w:p>
      <w:pPr>
        <w:widowControl/>
        <w:numPr>
          <w:ilvl w:val="0"/>
          <w:numId w:val="0"/>
        </w:numPr>
        <w:wordWrap w:val="0"/>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2、机械的操作人员，必须在上岗前接受必要的岗前培训。高空作业（如修剪高枝）时，必须注意作业人员的安全，所有人员必须佩戴安全帽，并且必须划出有效安全施工范围。</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在承包期内其工作人员发生各种事故，包括治安、交通、消防、劳资纠纷等事件，所造成一切后果及损失由</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负责承担。</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）考核</w:t>
      </w:r>
    </w:p>
    <w:p>
      <w:pPr>
        <w:spacing w:line="360" w:lineRule="auto"/>
        <w:ind w:firstLine="420" w:firstLineChars="200"/>
        <w:rPr>
          <w:color w:val="auto"/>
          <w:highlight w:val="none"/>
        </w:rPr>
      </w:pPr>
      <w:r>
        <w:rPr>
          <w:rFonts w:hint="eastAsia" w:ascii="宋体" w:hAnsi="宋体" w:eastAsia="宋体" w:cs="宋体"/>
          <w:color w:val="auto"/>
          <w:sz w:val="21"/>
          <w:szCs w:val="21"/>
          <w:highlight w:val="none"/>
          <w:lang w:val="en-US" w:eastAsia="zh-CN"/>
        </w:rPr>
        <w:t>详见：附件1</w:t>
      </w:r>
      <w:r>
        <w:rPr>
          <w:rFonts w:hint="eastAsia"/>
          <w:color w:val="auto"/>
          <w:highlight w:val="none"/>
        </w:rPr>
        <w:t xml:space="preserve">     </w:t>
      </w:r>
    </w:p>
    <w:p>
      <w:pPr>
        <w:spacing w:line="360" w:lineRule="auto"/>
        <w:outlineLvl w:val="1"/>
        <w:rPr>
          <w:b/>
          <w:bCs/>
          <w:color w:val="auto"/>
          <w:highlight w:val="none"/>
        </w:rPr>
      </w:pPr>
      <w:bookmarkStart w:id="146" w:name="_Toc28304"/>
      <w:r>
        <w:rPr>
          <w:rFonts w:hint="eastAsia"/>
          <w:b/>
          <w:bCs/>
          <w:color w:val="auto"/>
          <w:highlight w:val="none"/>
        </w:rPr>
        <w:t>三、甲方乙方的权利和义务</w:t>
      </w:r>
      <w:bookmarkEnd w:id="146"/>
    </w:p>
    <w:p>
      <w:pPr>
        <w:spacing w:line="360" w:lineRule="auto"/>
        <w:ind w:firstLine="420" w:firstLineChars="200"/>
        <w:rPr>
          <w:rFonts w:hint="eastAsia" w:ascii="宋体" w:hAnsi="宋体" w:eastAsia="宋体" w:cs="宋体"/>
          <w:color w:val="auto"/>
          <w:sz w:val="21"/>
          <w:szCs w:val="21"/>
          <w:highlight w:val="none"/>
          <w:lang w:val="en-US" w:eastAsia="zh-CN"/>
        </w:rPr>
      </w:pPr>
      <w:bookmarkStart w:id="147" w:name="_Toc31228"/>
      <w:r>
        <w:rPr>
          <w:rFonts w:hint="eastAsia" w:ascii="宋体" w:hAnsi="宋体" w:eastAsia="宋体" w:cs="宋体"/>
          <w:color w:val="auto"/>
          <w:sz w:val="21"/>
          <w:szCs w:val="21"/>
          <w:highlight w:val="none"/>
          <w:lang w:val="en-US" w:eastAsia="zh-CN"/>
        </w:rPr>
        <w:t>1、在承包期内，乙方必须根据承包作业要求，组织员工履行各项职责，随时接受甲方指导，并配合甲方完成突出性任务及迎检活动，按标准，按要求的完成任务。</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2、乙方严禁雇佣童工、残疾、60岁以上或携同小孩工作，为员工购买统一的工作服，并按规定为员工购买社保或工伤保险。</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3、乙方必须重视安全，确保不出安全责任事故，承包期内发生的一切安全责任事故及违法违规等均由乙方承担一切经济和法律的连带责任。</w:t>
      </w:r>
    </w:p>
    <w:p>
      <w:pPr>
        <w:spacing w:line="360" w:lineRule="auto"/>
        <w:outlineLvl w:val="1"/>
        <w:rPr>
          <w:b/>
          <w:bCs/>
          <w:color w:val="auto"/>
          <w:highlight w:val="none"/>
        </w:rPr>
      </w:pPr>
      <w:r>
        <w:rPr>
          <w:rFonts w:hint="eastAsia"/>
          <w:b/>
          <w:bCs/>
          <w:color w:val="auto"/>
          <w:highlight w:val="none"/>
        </w:rPr>
        <w:t>四、服务期间（项目完成期限）</w:t>
      </w:r>
      <w:bookmarkEnd w:id="147"/>
    </w:p>
    <w:p>
      <w:pPr>
        <w:spacing w:line="360" w:lineRule="auto"/>
        <w:ind w:firstLine="420" w:firstLineChars="200"/>
        <w:rPr>
          <w:color w:val="auto"/>
          <w:highlight w:val="none"/>
        </w:rPr>
      </w:pPr>
      <w:r>
        <w:rPr>
          <w:rFonts w:hint="eastAsia"/>
          <w:color w:val="auto"/>
          <w:highlight w:val="none"/>
        </w:rPr>
        <w:t>1.服务期</w:t>
      </w:r>
      <w:r>
        <w:rPr>
          <w:rFonts w:hint="eastAsia"/>
          <w:color w:val="auto"/>
          <w:highlight w:val="none"/>
          <w:lang w:val="en-US" w:eastAsia="zh-CN"/>
        </w:rPr>
        <w:t>为3年，</w:t>
      </w:r>
      <w:r>
        <w:rPr>
          <w:rFonts w:hint="eastAsia"/>
          <w:color w:val="auto"/>
          <w:highlight w:val="none"/>
        </w:rPr>
        <w:t xml:space="preserve">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采用一年一签模式，即只有每年考核达标，才能自动续约下一年合同。如考核未达标的承包单位将自动淘汰出局，由采购单位重新组织项目招标。合同期满前50日内，甲方根据考核办法评定是否达标，具体为：该年度没有出现连续两个月综合考核得分80以下或同一年度内累计三个月综合考核得分80以下，视为达标。）</w:t>
      </w:r>
    </w:p>
    <w:p>
      <w:pPr>
        <w:spacing w:line="360" w:lineRule="auto"/>
        <w:outlineLvl w:val="1"/>
        <w:rPr>
          <w:b/>
          <w:bCs/>
          <w:color w:val="auto"/>
          <w:highlight w:val="none"/>
        </w:rPr>
      </w:pPr>
      <w:bookmarkStart w:id="148" w:name="_Toc1315"/>
      <w:r>
        <w:rPr>
          <w:rFonts w:hint="eastAsia"/>
          <w:b/>
          <w:bCs/>
          <w:color w:val="auto"/>
          <w:highlight w:val="none"/>
        </w:rPr>
        <w:t>五、付款方式</w:t>
      </w:r>
      <w:bookmarkEnd w:id="148"/>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eastAsia" w:ascii="宋体" w:hAnsi="宋体" w:cs="宋体"/>
          <w:color w:val="auto"/>
          <w:szCs w:val="21"/>
          <w:highlight w:val="none"/>
          <w:lang w:val="en-US" w:bidi="zh-CN"/>
        </w:rPr>
        <w:t>1、每月承包款为人民币（大写）</w:t>
      </w:r>
      <w:r>
        <w:rPr>
          <w:rFonts w:hint="eastAsia" w:ascii="宋体" w:hAnsi="宋体" w:cs="宋体"/>
          <w:color w:val="auto"/>
          <w:szCs w:val="21"/>
          <w:highlight w:val="none"/>
          <w:u w:val="single"/>
          <w:lang w:val="en-US" w:bidi="zh-CN"/>
        </w:rPr>
        <w:t xml:space="preserve">            </w:t>
      </w:r>
      <w:r>
        <w:rPr>
          <w:rFonts w:hint="eastAsia" w:ascii="宋体" w:hAnsi="宋体" w:cs="宋体"/>
          <w:color w:val="auto"/>
          <w:szCs w:val="21"/>
          <w:highlight w:val="none"/>
          <w:lang w:val="en-US" w:bidi="zh-CN"/>
        </w:rPr>
        <w:t>元（¥</w:t>
      </w:r>
      <w:r>
        <w:rPr>
          <w:rFonts w:hint="eastAsia" w:ascii="宋体" w:hAnsi="宋体" w:cs="宋体"/>
          <w:color w:val="auto"/>
          <w:szCs w:val="21"/>
          <w:highlight w:val="none"/>
          <w:u w:val="single"/>
          <w:lang w:val="en-US" w:bidi="zh-CN"/>
        </w:rPr>
        <w:t xml:space="preserve">          </w:t>
      </w:r>
      <w:r>
        <w:rPr>
          <w:rFonts w:hint="eastAsia" w:ascii="宋体" w:hAnsi="宋体" w:cs="宋体"/>
          <w:color w:val="auto"/>
          <w:szCs w:val="21"/>
          <w:highlight w:val="none"/>
          <w:lang w:val="en-US" w:bidi="zh-CN"/>
        </w:rPr>
        <w:t>元/月，含税）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eastAsia" w:ascii="宋体" w:hAnsi="宋体" w:cs="宋体"/>
          <w:color w:val="auto"/>
          <w:szCs w:val="21"/>
          <w:highlight w:val="none"/>
          <w:lang w:val="en-US" w:bidi="zh-CN"/>
        </w:rPr>
        <w:t>2</w:t>
      </w:r>
      <w:r>
        <w:rPr>
          <w:rFonts w:hint="default" w:ascii="宋体" w:hAnsi="宋体" w:cs="宋体"/>
          <w:color w:val="auto"/>
          <w:szCs w:val="21"/>
          <w:highlight w:val="none"/>
          <w:lang w:val="en-US" w:bidi="zh-CN"/>
        </w:rPr>
        <w:t>、</w:t>
      </w:r>
      <w:r>
        <w:rPr>
          <w:rFonts w:hint="eastAsia" w:ascii="宋体" w:hAnsi="宋体" w:cs="宋体"/>
          <w:color w:val="auto"/>
          <w:szCs w:val="21"/>
          <w:highlight w:val="none"/>
          <w:lang w:val="en-US" w:bidi="zh-CN"/>
        </w:rPr>
        <w:t>甲方在</w:t>
      </w:r>
      <w:r>
        <w:rPr>
          <w:rFonts w:hint="default" w:ascii="宋体" w:hAnsi="宋体" w:cs="宋体"/>
          <w:color w:val="auto"/>
          <w:szCs w:val="21"/>
          <w:highlight w:val="none"/>
          <w:lang w:val="en-US" w:bidi="zh-CN"/>
        </w:rPr>
        <w:t>合同生效后从第二个月起每月20日前向</w:t>
      </w:r>
      <w:r>
        <w:rPr>
          <w:rFonts w:hint="eastAsia" w:ascii="宋体" w:hAnsi="宋体" w:cs="宋体"/>
          <w:color w:val="auto"/>
          <w:szCs w:val="21"/>
          <w:highlight w:val="none"/>
          <w:lang w:val="en-US" w:bidi="zh-CN"/>
        </w:rPr>
        <w:t>乙方</w:t>
      </w:r>
      <w:r>
        <w:rPr>
          <w:rFonts w:hint="default" w:ascii="宋体" w:hAnsi="宋体" w:cs="宋体"/>
          <w:color w:val="auto"/>
          <w:szCs w:val="21"/>
          <w:highlight w:val="none"/>
          <w:lang w:val="en-US" w:bidi="zh-CN"/>
        </w:rPr>
        <w:t>支付上月的养护费</w:t>
      </w:r>
      <w:r>
        <w:rPr>
          <w:rFonts w:hint="eastAsia" w:ascii="宋体" w:hAnsi="宋体" w:cs="宋体"/>
          <w:color w:val="auto"/>
          <w:szCs w:val="21"/>
          <w:highlight w:val="none"/>
          <w:lang w:val="en-US" w:bidi="zh-CN"/>
        </w:rPr>
        <w:t>。</w:t>
      </w:r>
    </w:p>
    <w:p>
      <w:pPr>
        <w:spacing w:line="360" w:lineRule="auto"/>
        <w:ind w:firstLine="420" w:firstLineChars="200"/>
        <w:rPr>
          <w:color w:val="auto"/>
          <w:highlight w:val="none"/>
        </w:rPr>
      </w:pPr>
      <w:r>
        <w:rPr>
          <w:rFonts w:hint="eastAsia" w:ascii="宋体" w:hAnsi="宋体" w:cs="宋体"/>
          <w:color w:val="auto"/>
          <w:szCs w:val="21"/>
          <w:highlight w:val="none"/>
          <w:lang w:val="en-US" w:bidi="zh-CN"/>
        </w:rPr>
        <w:t>3</w:t>
      </w:r>
      <w:r>
        <w:rPr>
          <w:rFonts w:hint="default" w:ascii="宋体" w:hAnsi="宋体" w:cs="宋体"/>
          <w:color w:val="auto"/>
          <w:szCs w:val="21"/>
          <w:highlight w:val="none"/>
          <w:lang w:val="en-US" w:bidi="zh-CN"/>
        </w:rPr>
        <w:t>、付款时</w:t>
      </w:r>
      <w:r>
        <w:rPr>
          <w:rFonts w:hint="eastAsia" w:ascii="宋体" w:hAnsi="宋体" w:cs="宋体"/>
          <w:color w:val="auto"/>
          <w:szCs w:val="21"/>
          <w:highlight w:val="none"/>
          <w:lang w:val="en-US" w:bidi="zh-CN"/>
        </w:rPr>
        <w:t>乙方</w:t>
      </w:r>
      <w:r>
        <w:rPr>
          <w:rFonts w:hint="default" w:ascii="宋体" w:hAnsi="宋体" w:cs="宋体"/>
          <w:color w:val="auto"/>
          <w:szCs w:val="21"/>
          <w:highlight w:val="none"/>
          <w:lang w:val="en-US" w:bidi="zh-CN"/>
        </w:rPr>
        <w:t>应出具与实际应付款数额相符的发票，如</w:t>
      </w:r>
      <w:r>
        <w:rPr>
          <w:rFonts w:hint="eastAsia" w:ascii="宋体" w:hAnsi="宋体" w:cs="宋体"/>
          <w:color w:val="auto"/>
          <w:szCs w:val="21"/>
          <w:highlight w:val="none"/>
          <w:lang w:val="en-US" w:bidi="zh-CN"/>
        </w:rPr>
        <w:t>乙方</w:t>
      </w:r>
      <w:r>
        <w:rPr>
          <w:rFonts w:hint="default" w:ascii="宋体" w:hAnsi="宋体" w:cs="宋体"/>
          <w:color w:val="auto"/>
          <w:szCs w:val="21"/>
          <w:highlight w:val="none"/>
          <w:lang w:val="en-US" w:bidi="zh-CN"/>
        </w:rPr>
        <w:t>迟延提交发票或者提交的发票不符合要求的，</w:t>
      </w:r>
      <w:r>
        <w:rPr>
          <w:rFonts w:hint="eastAsia" w:ascii="宋体" w:hAnsi="宋体" w:cs="宋体"/>
          <w:color w:val="auto"/>
          <w:szCs w:val="21"/>
          <w:highlight w:val="none"/>
          <w:lang w:val="en-US" w:bidi="zh-CN"/>
        </w:rPr>
        <w:t>甲方</w:t>
      </w:r>
      <w:r>
        <w:rPr>
          <w:rFonts w:hint="default" w:ascii="宋体" w:hAnsi="宋体" w:cs="宋体"/>
          <w:color w:val="auto"/>
          <w:szCs w:val="21"/>
          <w:highlight w:val="none"/>
          <w:lang w:val="en-US" w:bidi="zh-CN"/>
        </w:rPr>
        <w:t>顺延付款不视为违约，由此造成的损失由</w:t>
      </w:r>
      <w:r>
        <w:rPr>
          <w:rFonts w:hint="eastAsia" w:ascii="宋体" w:hAnsi="宋体" w:cs="宋体"/>
          <w:color w:val="auto"/>
          <w:szCs w:val="21"/>
          <w:highlight w:val="none"/>
          <w:lang w:val="en-US" w:bidi="zh-CN"/>
        </w:rPr>
        <w:t>乙方</w:t>
      </w:r>
      <w:r>
        <w:rPr>
          <w:rFonts w:hint="default" w:ascii="宋体" w:hAnsi="宋体" w:cs="宋体"/>
          <w:color w:val="auto"/>
          <w:szCs w:val="21"/>
          <w:highlight w:val="none"/>
          <w:lang w:val="en-US" w:bidi="zh-CN"/>
        </w:rPr>
        <w:t>自行承担。</w:t>
      </w:r>
    </w:p>
    <w:p>
      <w:pPr>
        <w:spacing w:line="360" w:lineRule="auto"/>
        <w:outlineLvl w:val="1"/>
        <w:rPr>
          <w:b/>
          <w:bCs/>
          <w:color w:val="auto"/>
          <w:highlight w:val="none"/>
        </w:rPr>
      </w:pPr>
      <w:bookmarkStart w:id="149" w:name="_Toc29016"/>
      <w:r>
        <w:rPr>
          <w:rFonts w:hint="eastAsia"/>
          <w:b/>
          <w:bCs/>
          <w:color w:val="auto"/>
          <w:highlight w:val="none"/>
        </w:rPr>
        <w:t>六</w:t>
      </w:r>
      <w:bookmarkEnd w:id="149"/>
      <w:bookmarkStart w:id="150" w:name="_Toc5642"/>
      <w:r>
        <w:rPr>
          <w:rFonts w:hint="eastAsia"/>
          <w:b/>
          <w:bCs/>
          <w:color w:val="auto"/>
          <w:highlight w:val="none"/>
        </w:rPr>
        <w:t>、违约责任与赔偿损失</w:t>
      </w:r>
      <w:bookmarkEnd w:id="150"/>
    </w:p>
    <w:p>
      <w:pPr>
        <w:spacing w:line="360" w:lineRule="auto"/>
        <w:ind w:firstLine="420" w:firstLineChars="200"/>
        <w:rPr>
          <w:rFonts w:hint="eastAsia"/>
          <w:color w:val="auto"/>
          <w:highlight w:val="none"/>
        </w:rPr>
      </w:pPr>
      <w:r>
        <w:rPr>
          <w:rFonts w:hint="eastAsia"/>
          <w:color w:val="auto"/>
          <w:highlight w:val="none"/>
        </w:rPr>
        <w:t>1、合同双方任何一方不履行合同条款或不按合同约定履行条款的其它情况，均属违约，由违约方承担违约责任，赔偿因其违约造成的损失，并支付合同价款总额5%的违约金。</w:t>
      </w:r>
    </w:p>
    <w:p>
      <w:pPr>
        <w:spacing w:line="360" w:lineRule="auto"/>
        <w:ind w:firstLine="420" w:firstLineChars="200"/>
        <w:rPr>
          <w:color w:val="auto"/>
          <w:highlight w:val="none"/>
        </w:rPr>
      </w:pPr>
      <w:r>
        <w:rPr>
          <w:rFonts w:hint="eastAsia"/>
          <w:color w:val="auto"/>
          <w:highlight w:val="none"/>
        </w:rPr>
        <w:t>2、由于乙方的原因，导致双方签订的合同终止，乙方因此而遭受的损失，将由乙方独立承担，甲方对此不负任何责任，也不作任何赔偿。</w:t>
      </w:r>
    </w:p>
    <w:p>
      <w:pPr>
        <w:spacing w:line="360" w:lineRule="auto"/>
        <w:outlineLvl w:val="1"/>
        <w:rPr>
          <w:b/>
          <w:bCs/>
          <w:color w:val="auto"/>
          <w:highlight w:val="none"/>
        </w:rPr>
      </w:pPr>
      <w:bookmarkStart w:id="151" w:name="_Toc30679"/>
      <w:r>
        <w:rPr>
          <w:rFonts w:hint="eastAsia"/>
          <w:b/>
          <w:bCs/>
          <w:color w:val="auto"/>
          <w:highlight w:val="none"/>
        </w:rPr>
        <w:t>九、争议的解决</w:t>
      </w:r>
      <w:bookmarkEnd w:id="151"/>
    </w:p>
    <w:p>
      <w:pPr>
        <w:spacing w:line="360" w:lineRule="auto"/>
        <w:ind w:firstLine="420" w:firstLineChars="200"/>
        <w:rPr>
          <w:rFonts w:hint="eastAsia"/>
          <w:color w:val="auto"/>
          <w:highlight w:val="none"/>
        </w:rPr>
      </w:pPr>
      <w:r>
        <w:rPr>
          <w:rFonts w:hint="eastAsia"/>
          <w:color w:val="auto"/>
          <w:highlight w:val="none"/>
        </w:rPr>
        <w:t>1、凡与本合同有关而引起的一切争议，甲乙双方应首先通过友好协商解决，如经协商后仍不能达成协议时，任何一方可以向法院提出诉讼。</w:t>
      </w:r>
    </w:p>
    <w:p>
      <w:pPr>
        <w:spacing w:line="360" w:lineRule="auto"/>
        <w:ind w:firstLine="420" w:firstLineChars="200"/>
        <w:rPr>
          <w:rFonts w:hint="eastAsia"/>
          <w:color w:val="auto"/>
          <w:highlight w:val="none"/>
        </w:rPr>
      </w:pPr>
      <w:r>
        <w:rPr>
          <w:rFonts w:hint="eastAsia"/>
          <w:color w:val="auto"/>
          <w:highlight w:val="none"/>
        </w:rPr>
        <w:t>2、本合同发生的诉讼管辖地为东莞市有管辖权的法院。</w:t>
      </w:r>
    </w:p>
    <w:p>
      <w:pPr>
        <w:spacing w:line="360" w:lineRule="auto"/>
        <w:ind w:firstLine="420" w:firstLineChars="200"/>
        <w:rPr>
          <w:rFonts w:hint="eastAsia"/>
          <w:color w:val="auto"/>
          <w:highlight w:val="none"/>
        </w:rPr>
      </w:pPr>
      <w:r>
        <w:rPr>
          <w:rFonts w:hint="eastAsia"/>
          <w:color w:val="auto"/>
          <w:highlight w:val="none"/>
        </w:rPr>
        <w:t>3、在进行法院审理期间，除提交法院审理的事项外，合同其他部分仍继续履行。</w:t>
      </w:r>
    </w:p>
    <w:p>
      <w:pPr>
        <w:spacing w:line="360" w:lineRule="auto"/>
        <w:ind w:firstLine="420" w:firstLineChars="200"/>
        <w:rPr>
          <w:color w:val="auto"/>
          <w:highlight w:val="none"/>
        </w:rPr>
      </w:pPr>
      <w:r>
        <w:rPr>
          <w:rFonts w:hint="eastAsia"/>
          <w:color w:val="auto"/>
          <w:highlight w:val="none"/>
        </w:rPr>
        <w:t>4、本合同按照中华人民共和国的法律进行解释。</w:t>
      </w:r>
    </w:p>
    <w:p>
      <w:pPr>
        <w:spacing w:line="360" w:lineRule="auto"/>
        <w:outlineLvl w:val="1"/>
        <w:rPr>
          <w:b/>
          <w:bCs/>
          <w:color w:val="auto"/>
          <w:highlight w:val="none"/>
        </w:rPr>
      </w:pPr>
      <w:bookmarkStart w:id="152" w:name="_Toc26856"/>
      <w:r>
        <w:rPr>
          <w:rFonts w:hint="eastAsia"/>
          <w:b/>
          <w:bCs/>
          <w:color w:val="auto"/>
          <w:highlight w:val="none"/>
        </w:rPr>
        <w:t>十、不可抗力</w:t>
      </w:r>
      <w:bookmarkEnd w:id="152"/>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3" w:name="_Toc16247"/>
      <w:r>
        <w:rPr>
          <w:rFonts w:hint="eastAsia"/>
          <w:b/>
          <w:bCs/>
          <w:color w:val="auto"/>
          <w:highlight w:val="none"/>
        </w:rPr>
        <w:t>十一、税费</w:t>
      </w:r>
      <w:bookmarkEnd w:id="153"/>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4" w:name="_Toc14065"/>
      <w:r>
        <w:rPr>
          <w:rFonts w:hint="eastAsia"/>
          <w:b/>
          <w:bCs/>
          <w:color w:val="auto"/>
          <w:highlight w:val="none"/>
        </w:rPr>
        <w:t>十二、其它</w:t>
      </w:r>
      <w:bookmarkEnd w:id="154"/>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5" w:name="_Toc13763"/>
      <w:r>
        <w:rPr>
          <w:rFonts w:hint="eastAsia"/>
          <w:b/>
          <w:bCs/>
          <w:color w:val="auto"/>
          <w:highlight w:val="none"/>
        </w:rPr>
        <w:t>十三、合同生效</w:t>
      </w:r>
      <w:bookmarkEnd w:id="155"/>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rFonts w:hint="default" w:eastAsia="宋体"/>
          <w:color w:val="auto"/>
          <w:highlight w:val="none"/>
          <w:lang w:val="en-US" w:eastAsia="zh-CN"/>
        </w:rPr>
      </w:pPr>
      <w:r>
        <w:rPr>
          <w:rFonts w:hint="eastAsia"/>
          <w:color w:val="auto"/>
          <w:highlight w:val="none"/>
          <w:lang w:val="en-US" w:eastAsia="zh-CN"/>
        </w:rPr>
        <w:t>附件1：考核评分表；附加2：中标通知书</w:t>
      </w:r>
    </w:p>
    <w:p>
      <w:pPr>
        <w:spacing w:line="360" w:lineRule="auto"/>
        <w:rPr>
          <w:color w:val="auto"/>
          <w:highlight w:val="none"/>
        </w:rPr>
      </w:pPr>
    </w:p>
    <w:p>
      <w:pPr>
        <w:rPr>
          <w:rFonts w:hint="eastAsia"/>
          <w:color w:val="auto"/>
          <w:highlight w:val="none"/>
        </w:rPr>
      </w:pPr>
      <w:r>
        <w:rPr>
          <w:rFonts w:hint="eastAsia"/>
          <w:color w:val="auto"/>
          <w:highlight w:val="none"/>
        </w:rPr>
        <w:br w:type="page"/>
      </w: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rFonts w:hint="eastAsia"/>
          <w:color w:val="auto"/>
          <w:highlight w:val="none"/>
        </w:rPr>
      </w:pPr>
      <w:r>
        <w:rPr>
          <w:rFonts w:hint="eastAsia"/>
          <w:color w:val="auto"/>
          <w:highlight w:val="none"/>
        </w:rPr>
        <w:br w:type="page"/>
      </w:r>
    </w:p>
    <w:p>
      <w:pPr>
        <w:rPr>
          <w:rFonts w:hint="eastAsia"/>
          <w:color w:val="auto"/>
          <w:highlight w:val="none"/>
          <w:lang w:val="en-US" w:eastAsia="zh-CN"/>
        </w:rPr>
      </w:pPr>
      <w:r>
        <w:rPr>
          <w:rFonts w:hint="eastAsia"/>
          <w:color w:val="auto"/>
          <w:highlight w:val="none"/>
          <w:lang w:val="en-US" w:eastAsia="zh-CN"/>
        </w:rPr>
        <w:t>附件1：</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3450"/>
        <w:gridCol w:w="3129"/>
        <w:gridCol w:w="45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5"/>
            <w:tcBorders>
              <w:top w:val="nil"/>
              <w:left w:val="nil"/>
              <w:bottom w:val="nil"/>
              <w:right w:val="nil"/>
            </w:tcBorders>
            <w:shd w:val="clear" w:color="auto" w:fill="auto"/>
            <w:vAlign w:val="top"/>
          </w:tcPr>
          <w:p>
            <w:pPr>
              <w:jc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snapToGrid w:val="0"/>
                <w:color w:val="auto"/>
                <w:sz w:val="21"/>
                <w:szCs w:val="21"/>
                <w:highlight w:val="none"/>
                <w:lang w:val="en-US" w:eastAsia="zh-CN" w:bidi="ar"/>
              </w:rPr>
              <w:t>绿化养护考核评分表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检查时间：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养护管理要求</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扣分标准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组织领导与安全生产（20分）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当管理者提出合理整改要求时，在限期内按《整改通知书》进行整改</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不配合管理、不按《整改通知书》限期内整改的，每项扣2分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每逢节假日，如春节、元旦、五一、国庆节等或某些特别日子，能按上级要求完成特别安排的工作</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在节假日或特别日子未按要求完成任务的，每次扣1分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及时收集、整理有关绿地养护的相关资料，建立养护档案，并按要求报送给有关部门</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未收集、整理有关绿地养护的相关资料，未建立养护档案，以上情况出现每次扣1分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未按要求报送给有关部门，以上情况出现每次扣1分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对不可抗力（如台风、暴雨等自然灾害）造成的绿化景观损害，根据业主设定的时间与要求，及时完成现场清理，保持绿地整洁，道路畅通</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未能按要求及时完成清理工作的，每次扣1分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按照合同要求配备人员，着装统一，按规定穿戴具有反光标志的背心，城市主、次干道（设计车速60公里/小时）距离作业点正、反方向分别不少于80m的地方设置反光警示牌及其他警示标志。快速路（设计车速80公里/小时）距离作业点正、反方向分别不少于150m的地方设置反光警示牌及其他警示标志。高速公路（设计车速100公里/小时以上）距离作业点正、反方向分别不少于300m的地方设置反光警示牌及其他警示标志。</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未按照合同要求配备人员，统一着装，穿戴具有反光标志的背心，未按要求设置反光警示牌及其他警示标志，以上情况出现每处扣2分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作业时及往返途中没有佩戴工牌，没有摆放</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好交通工具的，作业车辆未安置交通安全标</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志，每次扣1分。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道路树木修剪作业时要做好安全防护措施，占道作业时要做好警示标志及雪糕桶的摆放，园林机械作业前，应对施工现场围合及标示</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道路树木修剪作业时未做好安全防护措施，占道作业时未设置警示标志及雪糕桶或园林机械作业前，未对施工现场围合及标示每次扣3分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截除较大的树枝、藤蔓或砍伐清除枯死的树体时，应预先制定施工方案和应急预案，采取必要的安全措施。砍伐或清除枯死树体，应严格依次按照先锯除侧枝和主枝，再分段锯除主干、后挖除树兜和回填种植土的操作程序作业</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截除较大的树枝、藤蔓或砍伐清除枯死的树体时，未预先制定施工方案和应急预案，采取必要的安全措施，每次扣1分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砍伐或清除枯死树体，未依次按照先锯除侧</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枝和主枝，再分段锯除主干、后挖除树兜和</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回填种植土的操作程序作业，每次扣1分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规范开展高空作业工作，高空作业要使用升降车，不得站在车辆车厢、驾驶舱顶部或攀爬树木进行修剪，各单位要严格执行“双报备”、高处作业做到“五个必须”（必须培训持证上岗、必须实行作业审批、必须做好个人防护、必须落实工程措施、必须安排专人监护）</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高空作业未使用升降车，站在车辆车厢、驾驶舱顶部或攀爬树木进行修剪，每次扣1分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未严格按照高处作业“五个必须”、“双报备”每次扣3分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每月召开安全生产及文明施工会议，并做好文字及相片记录</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每月未召开安全生产及文明施工会议或未做好好文字及相片记录，每次扣1分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043"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乔木、花灌木、行道树及其它树木（25分）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乔木树冠基本完整，基本无死株、缺株。人行道树的体量、高度基本保持一致，乔木树杆无铁钉、木板等附着物。</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死株、缺株应≤2.5%,每超出1%扣1分、有铁钉、木板等附着物每处扣1分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花灌木生长正常，开花正常，木本地被植物生长正常，覆盖率达到97%以上，基本无杂草，无死株、缺株。</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花灌木、木本地被植物覆盖率低于97%，以上情况出现每少1%扣1分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花灌木、木本地被植物存在杂草、死株、缺株≥2.5%，以上情况出现每多1%扣1分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绿篱生长旺盛，无死株，无明显断垄，无高草杂草，无明显病虫害发生。</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绿篱存在死株、明显断垄，每处扣1分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发生病虫害，每处扣1分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藤本植物生长正常，视攀缘植物生长习性，覆盖率不低于85%。</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藤本植物覆盖率低于85%，以上情况出现每低10%扣1分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补植、改植于5天内完成草坪补植或改植后一个月内覆盖率达到95%以上其他植物补植或改植的成活率达到98%以上</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未能在5天内及时补植的，每处扣1分，对已要求补植但仍不按要求补植的，扣2分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043" w:type="dxa"/>
            <w:vMerge w:val="continue"/>
            <w:tcBorders>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草坪补植或改植后一个月内覆盖率达到95%</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以上，每少1%扣1分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043" w:type="dxa"/>
            <w:vMerge w:val="continue"/>
            <w:tcBorders>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3450" w:type="dxa"/>
            <w:vMerge w:val="continue"/>
            <w:tcBorders>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其他植物补植或改植的成活率达到98%以上，</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每少1%扣1分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花卉、地被、草坪（25分）</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花卉生长正常，株型完整，开花适时，开花时覆盖率达到90%以上，基本无杂草</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花卉开花时覆盖率低于90%，以上情况出现每低1%扣1分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花卉存在杂草应低于3%，每高出1%扣1分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草坪及地被植物整齐，草坪的绿色期不少于250天</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覆盖率90%以上杂草的覆盖率不超过3%无积水草坪植物生长旺盛、无裸露地面，无成片枯黄，枯黄</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率控制在2%以内</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草坪及地被植物参差不齐，草坪的绿色期少于250天，以上情况出现每少3天扣1分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覆盖率低于90%，每低1%扣1分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每平方米杂草超过15株，每超过1株扣0.5分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存在积水，每处扣1分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草坪地面裸露，成片枯黄，枯黄率高于2%，每高1%扣1分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花坛、花带、花台植物基本无杂草</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花坛、花带、花台植物存在杂草应低于3%，每高1%扣1分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修剪、淋水及施肥（20分）</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2"/>
                <w:rFonts w:hint="eastAsia" w:ascii="宋体" w:hAnsi="宋体" w:eastAsia="宋体" w:cs="宋体"/>
                <w:snapToGrid w:val="0"/>
                <w:color w:val="auto"/>
                <w:sz w:val="21"/>
                <w:szCs w:val="21"/>
                <w:highlight w:val="none"/>
                <w:lang w:val="en-US" w:eastAsia="zh-CN" w:bidi="ar"/>
              </w:rPr>
            </w:pPr>
            <w:r>
              <w:rPr>
                <w:rStyle w:val="32"/>
                <w:rFonts w:hint="eastAsia" w:ascii="宋体" w:hAnsi="宋体" w:eastAsia="宋体" w:cs="宋体"/>
                <w:snapToGrid w:val="0"/>
                <w:color w:val="auto"/>
                <w:sz w:val="21"/>
                <w:szCs w:val="21"/>
                <w:highlight w:val="none"/>
                <w:lang w:val="en-US" w:eastAsia="zh-CN" w:bidi="ar"/>
              </w:rPr>
              <w:t>乔灌木修剪：自然形乔木每年不少于1次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造型乔木每年不少于4次</w:t>
            </w:r>
            <w:r>
              <w:rPr>
                <w:rStyle w:val="38"/>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自然形灌木每年不少于1次</w:t>
            </w:r>
            <w:r>
              <w:rPr>
                <w:rStyle w:val="38"/>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造型灌木每年不少于6次</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自然形乔木修剪次数低于每年规定修剪次数，每少一次扣1分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造型乔木修剪次数低于每年规定修剪次数，每少一次扣1分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自然形灌木修剪次数低于每年规定修剪次数，每少一次扣1分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造型灌木修剪次数低于每年规定修剪次数，每少一次扣1分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绿篱、模纹花坛修剪：绿篱、模纹花坛修剪每年不少于6次</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绿篱、模纹花坛修剪次数低于每年规定修剪次数，每少一次扣1分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草坪修剪留茬高度1.3—5.0cm</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修剪高度不在留茬高度范围内，每次扣1分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地表无自然沉降、隆起等现象，绿地内应保持清洁，做到无垃圾杂物，无石砾砖块，无成片干枯枝叶，无粪便污物，无悬挂物，无蚊蝇滋生</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绿地内存在垃圾杂物、自然沉降、隆起、石砾砖块，成片干枯枝叶，粪便污物，悬挂物，每处扣1分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乔灌木施肥每年不少于2次，2—3月和9—10月重点进行施肥，复合肥和基肥结合观花灌木每年不少于3次草本花卉每年不少于4次，成片花卉每月撒施复合肥1次，每年根据其长势和覆盖率情况适当施基肥1—2次</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绿篱每年撒施复合肥不少于2次，每年根据其长势和覆盖率情况适当施基肥1—2次草地、地被每年不少于2次</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乔灌木施肥次数低于规定次数要求，每次扣1分，不按要求施肥，造成生长衰退，每次扣1分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观花灌木施肥次数低于规定次数要求，每次扣1分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草本花卉、成片花卉施肥次数低于规定次数要求，每次扣1分，不按要求施肥，造成生长衰退，每次扣1分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绿篱施肥次数低于规定次数要求，每次扣1分，不按要求施肥，造成生长衰退，每次扣1分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草地、地被施肥次数低于规定次数要求，每</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及时淋水，旱季一般乔木3—5天淋水1次</w:t>
            </w:r>
            <w:r>
              <w:rPr>
                <w:rStyle w:val="38"/>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单丛灌木、成片花卉、绿篱一般2—3天淋水1次</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草地、地被一般每天淋水1次</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雨季根据天气情况适当调节</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旱季乔木淋水次数低于规定次数，每次扣1分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单丛灌木、成片花卉、绿篱淋水次数低于规</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定次数，每次扣1分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草地、地被淋水次数低于规定次数，每次扣1分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病虫害防治及用药安全</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（10分）</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病虫害控制及时、有效，被害植株不超过5%</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被害叶片不超过叶片总量的3%</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有害植物的危害得到有效治理，鼠害基本得到控制</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注意防治红火蚁</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被害植株超过5%，每多1%扣1分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被害叶片超过叶片总量的3%，每多1%扣1分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有害植物的危害未得到有效治理，存在鼠害，出现以上情况每处扣1分，未防治红火蚁，</w:t>
            </w:r>
            <w:r>
              <w:rPr>
                <w:rStyle w:val="32"/>
                <w:rFonts w:hint="eastAsia" w:ascii="宋体" w:hAnsi="宋体" w:eastAsia="宋体" w:cs="宋体"/>
                <w:snapToGrid w:val="0"/>
                <w:color w:val="auto"/>
                <w:sz w:val="21"/>
                <w:szCs w:val="21"/>
                <w:highlight w:val="none"/>
                <w:lang w:val="en-US" w:eastAsia="zh-CN" w:bidi="ar"/>
              </w:rPr>
              <w:br w:type="textWrapping"/>
            </w:r>
            <w:r>
              <w:rPr>
                <w:rStyle w:val="32"/>
                <w:rFonts w:hint="eastAsia" w:ascii="宋体" w:hAnsi="宋体" w:eastAsia="宋体" w:cs="宋体"/>
                <w:snapToGrid w:val="0"/>
                <w:color w:val="auto"/>
                <w:sz w:val="21"/>
                <w:szCs w:val="21"/>
                <w:highlight w:val="none"/>
                <w:lang w:val="en-US" w:eastAsia="zh-CN" w:bidi="ar"/>
              </w:rPr>
              <w:t>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用药符合规定，选用高效、低毒、无污染，配比正确，操作安全，不发生药害事故</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发生药害事故，危害树木明显影响景观的，每处扣2分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eastAsia="宋体" w:cs="宋体"/>
                <w:snapToGrid w:val="0"/>
                <w:color w:val="auto"/>
                <w:sz w:val="21"/>
                <w:szCs w:val="21"/>
                <w:highlight w:val="none"/>
                <w:lang w:val="en-US" w:eastAsia="zh-CN" w:bidi="ar"/>
              </w:rPr>
              <w:t>合计实得分（）＝总分(100)-合计检查扣分()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left"/>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社区检查人员签名:</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社区负责人签名(盖章):</w:t>
            </w:r>
          </w:p>
          <w:p>
            <w:pPr>
              <w:spacing w:after="0"/>
              <w:jc w:val="left"/>
              <w:rPr>
                <w:rFonts w:hint="eastAsia" w:ascii="宋体" w:hAnsi="宋体" w:cs="宋体"/>
                <w:color w:val="auto"/>
                <w:kern w:val="0"/>
                <w:szCs w:val="21"/>
                <w:highlight w:val="none"/>
                <w:lang w:bidi="ar"/>
              </w:rPr>
            </w:pPr>
          </w:p>
          <w:p>
            <w:pPr>
              <w:spacing w:after="0"/>
              <w:jc w:val="left"/>
              <w:rPr>
                <w:rFonts w:hint="eastAsia" w:ascii="宋体" w:hAnsi="宋体" w:cs="宋体"/>
                <w:color w:val="auto"/>
                <w:kern w:val="0"/>
                <w:szCs w:val="21"/>
                <w:highlight w:val="none"/>
                <w:lang w:bidi="ar"/>
              </w:rPr>
            </w:pPr>
          </w:p>
          <w:p>
            <w:pPr>
              <w:keepNext w:val="0"/>
              <w:keepLines w:val="0"/>
              <w:widowControl/>
              <w:suppressLineNumbers w:val="0"/>
              <w:jc w:val="left"/>
              <w:textAlignment w:val="center"/>
              <w:rPr>
                <w:rStyle w:val="32"/>
                <w:rFonts w:hint="eastAsia" w:ascii="宋体" w:hAnsi="宋体" w:eastAsia="宋体" w:cs="宋体"/>
                <w:snapToGrid w:val="0"/>
                <w:color w:val="auto"/>
                <w:sz w:val="21"/>
                <w:szCs w:val="21"/>
                <w:highlight w:val="none"/>
                <w:lang w:val="en-US" w:eastAsia="zh-CN" w:bidi="ar"/>
              </w:rPr>
            </w:pPr>
            <w:r>
              <w:rPr>
                <w:rFonts w:hint="eastAsia" w:ascii="宋体" w:hAnsi="宋体" w:cs="宋体"/>
                <w:color w:val="auto"/>
                <w:kern w:val="0"/>
                <w:szCs w:val="21"/>
                <w:highlight w:val="none"/>
                <w:lang w:val="en-US" w:eastAsia="zh-CN" w:bidi="ar"/>
              </w:rPr>
              <w:t>中标单位</w:t>
            </w:r>
            <w:r>
              <w:rPr>
                <w:rFonts w:hint="eastAsia" w:ascii="宋体" w:hAnsi="宋体" w:cs="宋体"/>
                <w:color w:val="auto"/>
                <w:kern w:val="0"/>
                <w:szCs w:val="21"/>
                <w:highlight w:val="none"/>
                <w:lang w:bidi="ar"/>
              </w:rPr>
              <w:t>陪检人员签名:</w:t>
            </w:r>
            <w:r>
              <w:rPr>
                <w:rFonts w:hint="eastAsia" w:ascii="宋体" w:hAnsi="宋体" w:cs="宋体"/>
                <w:color w:val="auto"/>
                <w:kern w:val="0"/>
                <w:szCs w:val="21"/>
                <w:highlight w:val="none"/>
                <w:lang w:val="en-US" w:eastAsia="zh-CN" w:bidi="ar"/>
              </w:rPr>
              <w:t xml:space="preserve">               中标单位</w:t>
            </w:r>
            <w:r>
              <w:rPr>
                <w:rFonts w:hint="eastAsia" w:ascii="宋体" w:hAnsi="宋体" w:cs="宋体"/>
                <w:color w:val="auto"/>
                <w:kern w:val="0"/>
                <w:szCs w:val="21"/>
                <w:highlight w:val="none"/>
                <w:lang w:bidi="ar"/>
              </w:rPr>
              <w:t>负责人签名(盖章):</w:t>
            </w:r>
          </w:p>
        </w:tc>
      </w:tr>
    </w:tbl>
    <w:p>
      <w:pPr>
        <w:rPr>
          <w:color w:val="auto"/>
          <w:highlight w:val="none"/>
        </w:rPr>
      </w:pPr>
      <w:r>
        <w:rPr>
          <w:rFonts w:hint="eastAsia"/>
          <w:color w:val="auto"/>
          <w:highlight w:val="none"/>
        </w:rPr>
        <w:br w:type="page"/>
      </w:r>
    </w:p>
    <w:p>
      <w:pPr>
        <w:pStyle w:val="3"/>
        <w:rPr>
          <w:color w:val="auto"/>
          <w:highlight w:val="none"/>
        </w:rPr>
      </w:pPr>
      <w:bookmarkStart w:id="156" w:name="_Toc17794"/>
      <w:r>
        <w:rPr>
          <w:rFonts w:hint="eastAsia"/>
          <w:color w:val="auto"/>
          <w:highlight w:val="none"/>
        </w:rPr>
        <w:t>第六篇 投标文件格式</w:t>
      </w:r>
      <w:bookmarkEnd w:id="156"/>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7" w:name="_Toc32213"/>
      <w:r>
        <w:rPr>
          <w:rFonts w:hint="eastAsia"/>
          <w:b/>
          <w:bCs/>
          <w:color w:val="auto"/>
          <w:highlight w:val="none"/>
        </w:rPr>
        <w:t>（封面格式仅供参考）</w:t>
      </w:r>
      <w:bookmarkEnd w:id="157"/>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8" w:name="_Toc14748"/>
      <w:r>
        <w:rPr>
          <w:rFonts w:ascii="宋体" w:hAnsi="宋体" w:cs="宋体"/>
          <w:b/>
          <w:color w:val="auto"/>
          <w:spacing w:val="10"/>
          <w:kern w:val="0"/>
          <w:sz w:val="38"/>
          <w:szCs w:val="38"/>
          <w:highlight w:val="none"/>
          <w:lang w:val="zh-CN" w:bidi="zh-CN"/>
        </w:rPr>
        <w:t>投标文件封面</w:t>
      </w:r>
      <w:bookmarkEnd w:id="158"/>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9"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9"/>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0" w:name="_Toc23039"/>
      <w:r>
        <w:rPr>
          <w:color w:val="auto"/>
          <w:sz w:val="24"/>
          <w:highlight w:val="none"/>
        </w:rPr>
        <w:t>法定代表人证明书</w:t>
      </w:r>
      <w:bookmarkEnd w:id="160"/>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61" w:name="_Toc20098"/>
      <w:r>
        <w:rPr>
          <w:color w:val="auto"/>
          <w:highlight w:val="none"/>
        </w:rPr>
        <w:t>履约进度计划表</w:t>
      </w:r>
      <w:bookmarkEnd w:id="161"/>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2" w:name="_Toc2912"/>
      <w:r>
        <w:rPr>
          <w:rFonts w:hint="eastAsia"/>
          <w:b/>
          <w:bCs/>
          <w:color w:val="auto"/>
          <w:sz w:val="24"/>
          <w:szCs w:val="32"/>
          <w:highlight w:val="none"/>
        </w:rPr>
        <w:t>格式十四：</w:t>
      </w:r>
      <w:bookmarkEnd w:id="162"/>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3" w:name="_Toc14919"/>
      <w:r>
        <w:rPr>
          <w:rFonts w:hint="eastAsia" w:ascii="宋体" w:hAnsi="宋体" w:cs="宋体"/>
          <w:color w:val="auto"/>
          <w:szCs w:val="21"/>
          <w:highlight w:val="none"/>
        </w:rPr>
        <w:t>1、招标文件要求提供的其他资料。</w:t>
      </w:r>
      <w:bookmarkEnd w:id="163"/>
    </w:p>
    <w:p>
      <w:pPr>
        <w:pStyle w:val="20"/>
        <w:tabs>
          <w:tab w:val="left" w:pos="673"/>
        </w:tabs>
        <w:spacing w:line="360" w:lineRule="auto"/>
        <w:ind w:firstLine="0" w:firstLineChars="0"/>
        <w:outlineLvl w:val="1"/>
        <w:rPr>
          <w:rFonts w:ascii="宋体" w:hAnsi="宋体" w:cs="宋体"/>
          <w:color w:val="auto"/>
          <w:szCs w:val="21"/>
          <w:highlight w:val="none"/>
        </w:rPr>
      </w:pPr>
      <w:bookmarkStart w:id="164" w:name="_Toc7938"/>
      <w:r>
        <w:rPr>
          <w:rFonts w:hint="eastAsia" w:ascii="宋体" w:hAnsi="宋体" w:cs="宋体"/>
          <w:color w:val="auto"/>
          <w:szCs w:val="21"/>
          <w:highlight w:val="none"/>
        </w:rPr>
        <w:t>2、投标人认为需提供的其他资料。</w:t>
      </w:r>
      <w:bookmarkEnd w:id="164"/>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5" w:name="_Toc30382"/>
      <w:r>
        <w:rPr>
          <w:rFonts w:hint="eastAsia" w:ascii="宋体" w:hAnsi="宋体" w:cs="宋体"/>
          <w:b/>
          <w:bCs/>
          <w:color w:val="auto"/>
          <w:sz w:val="24"/>
          <w:highlight w:val="none"/>
        </w:rPr>
        <w:t>格式十五：</w:t>
      </w:r>
      <w:bookmarkEnd w:id="165"/>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6" w:name="_Toc3970"/>
      <w:r>
        <w:rPr>
          <w:rFonts w:hint="eastAsia" w:ascii="宋体" w:hAnsi="宋体" w:cs="宋体"/>
          <w:b/>
          <w:bCs/>
          <w:color w:val="auto"/>
          <w:sz w:val="24"/>
          <w:highlight w:val="none"/>
        </w:rPr>
        <w:t>格式十五：</w:t>
      </w:r>
      <w:bookmarkEnd w:id="166"/>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67" w:name="_Toc4401"/>
      <w:r>
        <w:rPr>
          <w:rFonts w:hint="eastAsia" w:ascii="宋体" w:hAnsi="宋体" w:cs="宋体"/>
          <w:b/>
          <w:bCs/>
          <w:color w:val="auto"/>
          <w:szCs w:val="21"/>
          <w:highlight w:val="none"/>
        </w:rPr>
        <w:t>需要招标人提供的附加条件</w:t>
      </w:r>
      <w:bookmarkEnd w:id="167"/>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68" w:name="_Toc25747"/>
      <w:r>
        <w:rPr>
          <w:rFonts w:hint="eastAsia"/>
          <w:b/>
          <w:bCs/>
          <w:color w:val="auto"/>
          <w:highlight w:val="none"/>
          <w:lang w:val="en-US"/>
        </w:rPr>
        <w:t>格式十六：</w:t>
      </w:r>
      <w:bookmarkEnd w:id="168"/>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69" w:name="_Toc27211"/>
      <w:r>
        <w:rPr>
          <w:rFonts w:hint="eastAsia"/>
          <w:color w:val="auto"/>
          <w:highlight w:val="none"/>
        </w:rPr>
        <w:t>第七篇 开标文件格式</w:t>
      </w:r>
      <w:bookmarkEnd w:id="169"/>
    </w:p>
    <w:p>
      <w:pPr>
        <w:jc w:val="center"/>
        <w:outlineLvl w:val="1"/>
        <w:rPr>
          <w:b/>
          <w:bCs/>
          <w:color w:val="auto"/>
          <w:highlight w:val="none"/>
        </w:rPr>
      </w:pPr>
      <w:bookmarkStart w:id="170" w:name="_Toc32249"/>
      <w:r>
        <w:rPr>
          <w:rFonts w:hint="eastAsia"/>
          <w:b/>
          <w:bCs/>
          <w:color w:val="auto"/>
          <w:highlight w:val="none"/>
        </w:rPr>
        <w:t>（封面格式仅供参考）</w:t>
      </w:r>
      <w:bookmarkEnd w:id="170"/>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1"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1"/>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2"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2"/>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73" w:name="_Toc32100"/>
      <w:r>
        <w:rPr>
          <w:rFonts w:hint="eastAsia"/>
          <w:b/>
          <w:bCs/>
          <w:color w:val="auto"/>
          <w:sz w:val="21"/>
          <w:szCs w:val="21"/>
          <w:highlight w:val="none"/>
          <w:lang w:val="en-US"/>
        </w:rPr>
        <w:t>1、开标一览表</w:t>
      </w:r>
      <w:bookmarkEnd w:id="173"/>
    </w:p>
    <w:p>
      <w:pPr>
        <w:spacing w:line="360" w:lineRule="auto"/>
        <w:outlineLvl w:val="1"/>
        <w:rPr>
          <w:rFonts w:ascii="宋体" w:hAnsi="宋体" w:cs="宋体"/>
          <w:b/>
          <w:bCs/>
          <w:color w:val="auto"/>
          <w:szCs w:val="21"/>
          <w:highlight w:val="none"/>
        </w:rPr>
      </w:pPr>
      <w:bookmarkStart w:id="174" w:name="_Toc8054"/>
      <w:r>
        <w:rPr>
          <w:rFonts w:hint="eastAsia" w:ascii="宋体" w:hAnsi="宋体" w:cs="宋体"/>
          <w:b/>
          <w:bCs/>
          <w:color w:val="auto"/>
          <w:szCs w:val="21"/>
          <w:highlight w:val="none"/>
        </w:rPr>
        <w:t>2、分项报价表</w:t>
      </w:r>
      <w:bookmarkEnd w:id="174"/>
    </w:p>
    <w:p>
      <w:pPr>
        <w:pStyle w:val="2"/>
        <w:spacing w:before="0" w:line="360" w:lineRule="auto"/>
        <w:ind w:left="0"/>
        <w:outlineLvl w:val="1"/>
        <w:rPr>
          <w:b/>
          <w:bCs/>
          <w:color w:val="auto"/>
          <w:sz w:val="21"/>
          <w:szCs w:val="21"/>
          <w:highlight w:val="none"/>
          <w:lang w:val="en-US"/>
        </w:rPr>
      </w:pPr>
      <w:bookmarkStart w:id="175" w:name="_Toc5011"/>
      <w:r>
        <w:rPr>
          <w:rFonts w:hint="eastAsia"/>
          <w:b/>
          <w:bCs/>
          <w:color w:val="auto"/>
          <w:sz w:val="21"/>
          <w:szCs w:val="21"/>
          <w:highlight w:val="none"/>
          <w:lang w:val="en-US"/>
        </w:rPr>
        <w:t>3、法定代表人证明书</w:t>
      </w:r>
      <w:bookmarkEnd w:id="175"/>
    </w:p>
    <w:p>
      <w:pPr>
        <w:pStyle w:val="2"/>
        <w:spacing w:before="0" w:line="360" w:lineRule="auto"/>
        <w:ind w:left="0"/>
        <w:outlineLvl w:val="1"/>
        <w:rPr>
          <w:b/>
          <w:bCs/>
          <w:color w:val="auto"/>
          <w:sz w:val="21"/>
          <w:szCs w:val="21"/>
          <w:highlight w:val="none"/>
          <w:lang w:val="en-US"/>
        </w:rPr>
      </w:pPr>
      <w:bookmarkStart w:id="176" w:name="_Toc27439"/>
      <w:r>
        <w:rPr>
          <w:rFonts w:hint="eastAsia"/>
          <w:b/>
          <w:bCs/>
          <w:color w:val="auto"/>
          <w:sz w:val="21"/>
          <w:szCs w:val="21"/>
          <w:highlight w:val="none"/>
          <w:lang w:val="en-US"/>
        </w:rPr>
        <w:t>4、法定代表人授权书</w:t>
      </w:r>
      <w:bookmarkEnd w:id="176"/>
    </w:p>
    <w:p>
      <w:pPr>
        <w:spacing w:line="360" w:lineRule="auto"/>
        <w:outlineLvl w:val="1"/>
        <w:rPr>
          <w:rFonts w:ascii="宋体" w:hAnsi="宋体" w:cs="宋体"/>
          <w:b/>
          <w:bCs/>
          <w:color w:val="auto"/>
          <w:szCs w:val="21"/>
          <w:highlight w:val="none"/>
        </w:rPr>
      </w:pPr>
      <w:bookmarkStart w:id="177" w:name="_Toc16304"/>
      <w:r>
        <w:rPr>
          <w:rFonts w:hint="eastAsia" w:ascii="宋体" w:hAnsi="宋体" w:cs="宋体"/>
          <w:b/>
          <w:bCs/>
          <w:color w:val="auto"/>
          <w:szCs w:val="21"/>
          <w:highlight w:val="none"/>
        </w:rPr>
        <w:t>5、投标保证金</w:t>
      </w:r>
      <w:bookmarkEnd w:id="177"/>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8" w:name="_Toc2722"/>
      <w:r>
        <w:rPr>
          <w:rFonts w:hint="eastAsia"/>
          <w:color w:val="auto"/>
          <w:highlight w:val="none"/>
        </w:rPr>
        <w:t>第八篇 其它文件格式（如有需要）</w:t>
      </w:r>
      <w:bookmarkEnd w:id="178"/>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东莞市长安镇新民社区绿化养护服务项目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7342FC6"/>
    <w:rsid w:val="08F278CA"/>
    <w:rsid w:val="0A5C25E5"/>
    <w:rsid w:val="0AAB1D08"/>
    <w:rsid w:val="0B5B7E94"/>
    <w:rsid w:val="0B696582"/>
    <w:rsid w:val="0BD14D22"/>
    <w:rsid w:val="0C502C33"/>
    <w:rsid w:val="0CD41D0B"/>
    <w:rsid w:val="0DE142A9"/>
    <w:rsid w:val="0E8C422E"/>
    <w:rsid w:val="0F1622A5"/>
    <w:rsid w:val="11565C91"/>
    <w:rsid w:val="121918AE"/>
    <w:rsid w:val="126E350F"/>
    <w:rsid w:val="131751AB"/>
    <w:rsid w:val="15380D0C"/>
    <w:rsid w:val="161909DD"/>
    <w:rsid w:val="178164D0"/>
    <w:rsid w:val="18062A99"/>
    <w:rsid w:val="1BBB674D"/>
    <w:rsid w:val="1BE705BF"/>
    <w:rsid w:val="1DB725C0"/>
    <w:rsid w:val="1E440D57"/>
    <w:rsid w:val="20332F5E"/>
    <w:rsid w:val="209314D4"/>
    <w:rsid w:val="23477A98"/>
    <w:rsid w:val="244868B3"/>
    <w:rsid w:val="269A0871"/>
    <w:rsid w:val="29B22AEF"/>
    <w:rsid w:val="2A213986"/>
    <w:rsid w:val="2A6C3AA2"/>
    <w:rsid w:val="2B57233C"/>
    <w:rsid w:val="2D3A4F1C"/>
    <w:rsid w:val="2DE33D62"/>
    <w:rsid w:val="2E462ABD"/>
    <w:rsid w:val="2F4F681A"/>
    <w:rsid w:val="2FE55D43"/>
    <w:rsid w:val="30C474C2"/>
    <w:rsid w:val="3158095E"/>
    <w:rsid w:val="31ED0D4A"/>
    <w:rsid w:val="33A52943"/>
    <w:rsid w:val="34BE4BEB"/>
    <w:rsid w:val="35C1129C"/>
    <w:rsid w:val="372D3A3D"/>
    <w:rsid w:val="373F6180"/>
    <w:rsid w:val="37423885"/>
    <w:rsid w:val="37A82279"/>
    <w:rsid w:val="3B2A432E"/>
    <w:rsid w:val="3C8E00EA"/>
    <w:rsid w:val="3DE1069B"/>
    <w:rsid w:val="3E0202C6"/>
    <w:rsid w:val="3F0A76BA"/>
    <w:rsid w:val="401711CC"/>
    <w:rsid w:val="40B55567"/>
    <w:rsid w:val="422E2420"/>
    <w:rsid w:val="42D6466E"/>
    <w:rsid w:val="43143B39"/>
    <w:rsid w:val="43585670"/>
    <w:rsid w:val="438833C2"/>
    <w:rsid w:val="468A6BFD"/>
    <w:rsid w:val="47735BD0"/>
    <w:rsid w:val="47BB609D"/>
    <w:rsid w:val="47CA196A"/>
    <w:rsid w:val="481D3236"/>
    <w:rsid w:val="498145E0"/>
    <w:rsid w:val="4BE07E65"/>
    <w:rsid w:val="4C0672A7"/>
    <w:rsid w:val="4C573AD4"/>
    <w:rsid w:val="4DAA2866"/>
    <w:rsid w:val="4DD27F03"/>
    <w:rsid w:val="4F2676D5"/>
    <w:rsid w:val="5112378D"/>
    <w:rsid w:val="525B07C5"/>
    <w:rsid w:val="52E14EC4"/>
    <w:rsid w:val="53710418"/>
    <w:rsid w:val="53F51E89"/>
    <w:rsid w:val="54D338A8"/>
    <w:rsid w:val="57106398"/>
    <w:rsid w:val="57EE60DD"/>
    <w:rsid w:val="5B812734"/>
    <w:rsid w:val="5BE04967"/>
    <w:rsid w:val="5C015C21"/>
    <w:rsid w:val="5C410A87"/>
    <w:rsid w:val="5D744988"/>
    <w:rsid w:val="5E720F58"/>
    <w:rsid w:val="622349C8"/>
    <w:rsid w:val="63C47ACF"/>
    <w:rsid w:val="64344366"/>
    <w:rsid w:val="64D3048A"/>
    <w:rsid w:val="65851F87"/>
    <w:rsid w:val="665212BA"/>
    <w:rsid w:val="66CA48D2"/>
    <w:rsid w:val="687065DC"/>
    <w:rsid w:val="69FB3BA8"/>
    <w:rsid w:val="6E003853"/>
    <w:rsid w:val="6ECE5FF3"/>
    <w:rsid w:val="6ED74C74"/>
    <w:rsid w:val="6F566CB3"/>
    <w:rsid w:val="70832ED7"/>
    <w:rsid w:val="7152191D"/>
    <w:rsid w:val="717F42C4"/>
    <w:rsid w:val="72F0415A"/>
    <w:rsid w:val="74951BFB"/>
    <w:rsid w:val="74F42CD7"/>
    <w:rsid w:val="74F71418"/>
    <w:rsid w:val="7B507070"/>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autoRedefine/>
    <w:qFormat/>
    <w:uiPriority w:val="0"/>
    <w:pPr>
      <w:keepNext/>
      <w:keepLines/>
      <w:spacing w:line="576" w:lineRule="auto"/>
      <w:jc w:val="center"/>
      <w:outlineLvl w:val="0"/>
    </w:pPr>
    <w:rPr>
      <w:b/>
      <w:kern w:val="44"/>
      <w:sz w:val="30"/>
    </w:rPr>
  </w:style>
  <w:style w:type="paragraph" w:styleId="4">
    <w:name w:val="heading 2"/>
    <w:basedOn w:val="1"/>
    <w:next w:val="1"/>
    <w:autoRedefine/>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spacing w:before="161"/>
      <w:ind w:left="120"/>
    </w:pPr>
    <w:rPr>
      <w:rFonts w:ascii="宋体" w:hAnsi="宋体" w:cs="宋体"/>
      <w:sz w:val="24"/>
      <w:lang w:val="zh-CN" w:bidi="zh-CN"/>
    </w:rPr>
  </w:style>
  <w:style w:type="paragraph" w:styleId="7">
    <w:name w:val="Normal Indent"/>
    <w:basedOn w:val="1"/>
    <w:autoRedefine/>
    <w:semiHidden/>
    <w:unhideWhenUsed/>
    <w:qFormat/>
    <w:uiPriority w:val="99"/>
    <w:pPr>
      <w:ind w:firstLine="420" w:firstLineChars="200"/>
    </w:pPr>
  </w:style>
  <w:style w:type="paragraph" w:styleId="8">
    <w:name w:val="annotation text"/>
    <w:basedOn w:val="1"/>
    <w:autoRedefine/>
    <w:qFormat/>
    <w:uiPriority w:val="0"/>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autoRedefine/>
    <w:qFormat/>
    <w:uiPriority w:val="0"/>
    <w:pPr>
      <w:spacing w:line="360" w:lineRule="auto"/>
      <w:ind w:firstLine="420" w:firstLineChars="200"/>
    </w:pPr>
    <w:rPr>
      <w:bCs/>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99"/>
    <w:rPr>
      <w:color w:val="0000FF"/>
      <w:u w:val="single"/>
    </w:rPr>
  </w:style>
  <w:style w:type="character" w:styleId="19">
    <w:name w:val="annotation reference"/>
    <w:basedOn w:val="17"/>
    <w:autoRedefine/>
    <w:qFormat/>
    <w:uiPriority w:val="0"/>
    <w:rPr>
      <w:sz w:val="21"/>
      <w:szCs w:val="21"/>
    </w:rPr>
  </w:style>
  <w:style w:type="paragraph" w:styleId="20">
    <w:name w:val="List Paragraph"/>
    <w:basedOn w:val="1"/>
    <w:autoRedefine/>
    <w:qFormat/>
    <w:uiPriority w:val="34"/>
    <w:pPr>
      <w:ind w:firstLine="420" w:firstLineChars="200"/>
    </w:pPr>
  </w:style>
  <w:style w:type="character" w:customStyle="1" w:styleId="21">
    <w:name w:val="标题 1 Char"/>
    <w:link w:val="3"/>
    <w:autoRedefine/>
    <w:qFormat/>
    <w:uiPriority w:val="0"/>
    <w:rPr>
      <w:b/>
      <w:kern w:val="44"/>
      <w:sz w:val="30"/>
    </w:rPr>
  </w:style>
  <w:style w:type="paragraph" w:customStyle="1" w:styleId="22">
    <w:name w:val="Table Paragraph"/>
    <w:basedOn w:val="1"/>
    <w:autoRedefine/>
    <w:qFormat/>
    <w:uiPriority w:val="1"/>
  </w:style>
  <w:style w:type="paragraph" w:customStyle="1" w:styleId="23">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autoRedefine/>
    <w:qFormat/>
    <w:uiPriority w:val="0"/>
    <w:rPr>
      <w:rFonts w:asciiTheme="minorHAnsi" w:hAnsiTheme="minorHAnsi" w:eastAsiaTheme="minorEastAsia" w:cstheme="minorBidi"/>
      <w:lang w:val="en-US" w:eastAsia="zh-CN" w:bidi="ar-SA"/>
    </w:rPr>
  </w:style>
  <w:style w:type="paragraph" w:customStyle="1" w:styleId="2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autoRedefine/>
    <w:qFormat/>
    <w:uiPriority w:val="0"/>
    <w:pPr>
      <w:ind w:firstLine="420" w:firstLineChars="200"/>
    </w:pPr>
    <w:rPr>
      <w:rFonts w:ascii="Calibri" w:hAnsi="Calibri"/>
      <w:kern w:val="0"/>
      <w:sz w:val="20"/>
      <w:szCs w:val="20"/>
    </w:rPr>
  </w:style>
  <w:style w:type="character" w:customStyle="1" w:styleId="28">
    <w:name w:val="批注框文本 Char"/>
    <w:basedOn w:val="17"/>
    <w:link w:val="11"/>
    <w:autoRedefine/>
    <w:qFormat/>
    <w:uiPriority w:val="0"/>
    <w:rPr>
      <w:rFonts w:asciiTheme="minorHAnsi" w:hAnsiTheme="minorHAnsi" w:cstheme="minorBidi"/>
      <w:kern w:val="2"/>
      <w:sz w:val="18"/>
      <w:szCs w:val="18"/>
    </w:rPr>
  </w:style>
  <w:style w:type="paragraph" w:customStyle="1" w:styleId="29">
    <w:name w:val="Other|1"/>
    <w:basedOn w:val="1"/>
    <w:autoRedefine/>
    <w:qFormat/>
    <w:uiPriority w:val="0"/>
    <w:pPr>
      <w:jc w:val="center"/>
    </w:pPr>
    <w:rPr>
      <w:rFonts w:ascii="宋体" w:hAnsi="宋体" w:cs="宋体"/>
      <w:sz w:val="14"/>
      <w:szCs w:val="14"/>
      <w:lang w:val="zh-TW" w:eastAsia="zh-TW" w:bidi="zh-TW"/>
    </w:rPr>
  </w:style>
  <w:style w:type="paragraph" w:customStyle="1" w:styleId="30">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autoRedefine/>
    <w:qFormat/>
    <w:uiPriority w:val="0"/>
    <w:rPr>
      <w:rFonts w:ascii="宋体" w:hAnsi="宋体" w:eastAsia="宋体" w:cs="宋体"/>
      <w:color w:val="000000"/>
      <w:sz w:val="18"/>
      <w:szCs w:val="18"/>
      <w:u w:val="none"/>
    </w:rPr>
  </w:style>
  <w:style w:type="character" w:customStyle="1" w:styleId="33">
    <w:name w:val="font41"/>
    <w:basedOn w:val="17"/>
    <w:autoRedefine/>
    <w:qFormat/>
    <w:uiPriority w:val="0"/>
    <w:rPr>
      <w:rFonts w:hint="default" w:ascii="Times New Roman" w:hAnsi="Times New Roman" w:cs="Times New Roman"/>
      <w:color w:val="000000"/>
      <w:sz w:val="20"/>
      <w:szCs w:val="20"/>
      <w:u w:val="none"/>
    </w:rPr>
  </w:style>
  <w:style w:type="character" w:customStyle="1" w:styleId="34">
    <w:name w:val="font51"/>
    <w:basedOn w:val="17"/>
    <w:autoRedefine/>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autoRedefine/>
    <w:qFormat/>
    <w:uiPriority w:val="0"/>
    <w:rPr>
      <w:rFonts w:hint="eastAsia" w:ascii="宋体" w:hAnsi="宋体" w:eastAsia="宋体" w:cs="宋体"/>
      <w:color w:val="000000"/>
      <w:sz w:val="20"/>
      <w:szCs w:val="20"/>
      <w:u w:val="none"/>
    </w:rPr>
  </w:style>
  <w:style w:type="character" w:customStyle="1" w:styleId="36">
    <w:name w:val="font61"/>
    <w:basedOn w:val="17"/>
    <w:autoRedefine/>
    <w:qFormat/>
    <w:uiPriority w:val="0"/>
    <w:rPr>
      <w:rFonts w:hint="default" w:ascii="Times New Roman" w:hAnsi="Times New Roman" w:cs="Times New Roman"/>
      <w:color w:val="000000"/>
      <w:sz w:val="20"/>
      <w:szCs w:val="20"/>
      <w:u w:val="none"/>
      <w:vertAlign w:val="superscript"/>
    </w:rPr>
  </w:style>
  <w:style w:type="paragraph" w:customStyle="1" w:styleId="37">
    <w:name w:val="列出段落11"/>
    <w:basedOn w:val="1"/>
    <w:autoRedefine/>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38">
    <w:name w:val="font31"/>
    <w:basedOn w:val="17"/>
    <w:autoRedefine/>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31708</Words>
  <Characters>33595</Characters>
  <Lines>343</Lines>
  <Paragraphs>96</Paragraphs>
  <TotalTime>3</TotalTime>
  <ScaleCrop>false</ScaleCrop>
  <LinksUpToDate>false</LinksUpToDate>
  <CharactersWithSpaces>35223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2023-04-10T09:08:00Z</cp:lastPrinted>
  <dcterms:modified xsi:type="dcterms:W3CDTF">2024-01-18T08:13:46Z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38BCBAE82F53404F838416D12EDCBC78_13</vt:lpwstr>
  </property>
</Properties>
</file>