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9"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东莞市樟木头镇实验幼儿园饭堂食材配送项目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GSDG2024-001C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东莞市樟木头镇实验幼儿园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4</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1</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5</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4"/>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5"/>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24"/>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东莞市樟木头镇实验幼儿园饭堂食材配送项目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1</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26</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4"/>
        <w:spacing w:line="360" w:lineRule="auto"/>
        <w:jc w:val="left"/>
        <w:rPr>
          <w:rFonts w:ascii="宋体" w:hAnsi="宋体" w:cs="宋体"/>
          <w:bCs/>
          <w:color w:val="auto"/>
          <w:sz w:val="21"/>
          <w:szCs w:val="21"/>
          <w:highlight w:val="none"/>
        </w:rPr>
      </w:pPr>
      <w:bookmarkStart w:id="4" w:name="_Toc28359079"/>
      <w:bookmarkStart w:id="5" w:name="_Toc2169"/>
      <w:bookmarkStart w:id="6" w:name="_Toc28359002"/>
      <w:bookmarkStart w:id="7" w:name="_Toc35393790"/>
      <w:bookmarkStart w:id="8" w:name="_Toc35393621"/>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GSDG2024-001C</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东莞市樟木头镇实验幼儿园饭堂食材配送项目</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4270"/>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4270" w:type="dxa"/>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3628" w:type="dxa"/>
            <w:vAlign w:val="center"/>
          </w:tcPr>
          <w:p>
            <w:pPr>
              <w:spacing w:line="360" w:lineRule="auto"/>
              <w:jc w:val="center"/>
              <w:rPr>
                <w:rFonts w:hAnsi="宋体"/>
                <w:b/>
                <w:color w:val="auto"/>
                <w:szCs w:val="21"/>
                <w:highlight w:val="none"/>
              </w:rPr>
            </w:pPr>
            <w:r>
              <w:rPr>
                <w:rFonts w:hint="eastAsia" w:hAnsi="宋体"/>
                <w:b/>
                <w:color w:val="auto"/>
                <w:szCs w:val="21"/>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0" w:type="auto"/>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4270" w:type="dxa"/>
            <w:vAlign w:val="center"/>
          </w:tcPr>
          <w:p>
            <w:pPr>
              <w:spacing w:line="360" w:lineRule="auto"/>
              <w:jc w:val="center"/>
              <w:rPr>
                <w:rFonts w:hAnsi="宋体"/>
                <w:color w:val="auto"/>
                <w:szCs w:val="21"/>
                <w:highlight w:val="none"/>
              </w:rPr>
            </w:pPr>
            <w:r>
              <w:rPr>
                <w:rFonts w:hint="eastAsia" w:ascii="宋体" w:hAnsi="宋体" w:cs="宋体"/>
                <w:color w:val="auto"/>
                <w:szCs w:val="21"/>
                <w:highlight w:val="none"/>
                <w:lang w:eastAsia="zh-CN"/>
              </w:rPr>
              <w:t>东莞市樟木头镇实验幼儿园饭堂食材配送</w:t>
            </w:r>
            <w:r>
              <w:rPr>
                <w:rFonts w:hint="eastAsia" w:hAnsi="宋体"/>
                <w:color w:val="auto"/>
                <w:szCs w:val="21"/>
                <w:highlight w:val="none"/>
              </w:rPr>
              <w:t>采购一项</w:t>
            </w:r>
          </w:p>
        </w:tc>
        <w:tc>
          <w:tcPr>
            <w:tcW w:w="3628" w:type="dxa"/>
            <w:vAlign w:val="center"/>
          </w:tcPr>
          <w:p>
            <w:pPr>
              <w:spacing w:line="360" w:lineRule="auto"/>
              <w:jc w:val="center"/>
              <w:rPr>
                <w:rFonts w:hAnsi="宋体"/>
                <w:color w:val="auto"/>
                <w:szCs w:val="21"/>
                <w:highlight w:val="none"/>
              </w:rPr>
            </w:pPr>
            <w:r>
              <w:rPr>
                <w:rFonts w:hint="eastAsia" w:ascii="宋体" w:hAnsi="宋体" w:eastAsia="宋体" w:cs="宋体"/>
                <w:color w:val="auto"/>
                <w:sz w:val="21"/>
                <w:szCs w:val="21"/>
                <w:highlight w:val="none"/>
                <w:lang w:eastAsia="zh-CN"/>
              </w:rPr>
              <w:t>自合同签定之日起三年。</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4"/>
        <w:spacing w:line="360" w:lineRule="auto"/>
        <w:jc w:val="left"/>
        <w:rPr>
          <w:rFonts w:ascii="宋体" w:hAnsi="宋体" w:cs="宋体"/>
          <w:b w:val="0"/>
          <w:color w:val="auto"/>
          <w:sz w:val="21"/>
          <w:szCs w:val="21"/>
          <w:highlight w:val="none"/>
        </w:rPr>
      </w:pPr>
      <w:bookmarkStart w:id="10" w:name="_Toc25198"/>
      <w:bookmarkStart w:id="11" w:name="_Toc28359080"/>
      <w:bookmarkStart w:id="12" w:name="_Toc35393791"/>
      <w:bookmarkStart w:id="13" w:name="_Toc28359003"/>
      <w:bookmarkStart w:id="14" w:name="_Toc35393622"/>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04"/>
      <w:bookmarkStart w:id="17" w:name="_Toc28359081"/>
      <w:r>
        <w:rPr>
          <w:rFonts w:hint="eastAsia" w:ascii="宋体" w:hAnsi="宋体"/>
          <w:color w:val="auto"/>
          <w:szCs w:val="21"/>
          <w:highlight w:val="none"/>
        </w:rPr>
        <w:t>1.投标供应商应具备</w:t>
      </w:r>
      <w:r>
        <w:rPr>
          <w:rFonts w:hint="eastAsia" w:ascii="宋体" w:hAnsi="宋体"/>
          <w:color w:val="auto"/>
          <w:szCs w:val="21"/>
          <w:highlight w:val="none"/>
          <w:lang w:val="en-US" w:eastAsia="zh-CN"/>
        </w:rPr>
        <w:t>的</w:t>
      </w:r>
      <w:r>
        <w:rPr>
          <w:rFonts w:hint="eastAsia" w:ascii="宋体" w:hAnsi="宋体"/>
          <w:color w:val="auto"/>
          <w:szCs w:val="21"/>
          <w:highlight w:val="none"/>
        </w:rPr>
        <w:t>条件，提供下列材料：</w:t>
      </w:r>
      <w:bookmarkEnd w:id="15"/>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color w:val="auto"/>
          <w:szCs w:val="21"/>
          <w:highlight w:val="none"/>
          <w:lang w:eastAsia="zh-CN"/>
        </w:rPr>
        <w:t>（</w:t>
      </w:r>
      <w:r>
        <w:rPr>
          <w:rFonts w:hint="eastAsia" w:ascii="宋体" w:hAnsi="宋体"/>
          <w:color w:val="auto"/>
          <w:szCs w:val="21"/>
          <w:highlight w:val="none"/>
        </w:rPr>
        <w:t>或提供相关承诺函）</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2021年度或2022年度</w:t>
      </w:r>
      <w:r>
        <w:rPr>
          <w:rFonts w:hint="eastAsia" w:ascii="宋体" w:hAnsi="宋体"/>
          <w:color w:val="auto"/>
          <w:szCs w:val="21"/>
          <w:highlight w:val="none"/>
        </w:rPr>
        <w:t>财务状况报告或基本开户行出具的资信证明）。</w:t>
      </w:r>
      <w:r>
        <w:rPr>
          <w:rFonts w:hint="eastAsia" w:ascii="宋体" w:hAnsi="宋体"/>
          <w:color w:val="auto"/>
          <w:szCs w:val="21"/>
          <w:highlight w:val="none"/>
          <w:lang w:eastAsia="zh-CN"/>
        </w:rPr>
        <w:t>（</w:t>
      </w:r>
      <w:r>
        <w:rPr>
          <w:rFonts w:hint="eastAsia" w:ascii="宋体" w:hAnsi="宋体"/>
          <w:color w:val="auto"/>
          <w:szCs w:val="21"/>
          <w:highlight w:val="none"/>
        </w:rPr>
        <w:t>或提供相关承诺函）</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ascii="宋体" w:hAnsi="宋体"/>
          <w:color w:val="auto"/>
          <w:szCs w:val="21"/>
          <w:highlight w:val="none"/>
          <w:lang w:eastAsia="zh-CN"/>
        </w:rPr>
        <w:t>（</w:t>
      </w:r>
      <w:r>
        <w:rPr>
          <w:rFonts w:hint="eastAsia" w:ascii="宋体" w:hAnsi="宋体"/>
          <w:color w:val="auto"/>
          <w:szCs w:val="21"/>
          <w:highlight w:val="none"/>
        </w:rPr>
        <w:t>或提供相关承诺函）</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6）信用记录：供应商未被列入“信用中国”网站</w:t>
      </w:r>
      <w:r>
        <w:rPr>
          <w:rFonts w:hint="eastAsia" w:ascii="宋体" w:hAnsi="宋体"/>
          <w:color w:val="auto"/>
          <w:szCs w:val="21"/>
          <w:highlight w:val="none"/>
          <w:lang w:eastAsia="zh-CN"/>
        </w:rPr>
        <w:t>（</w:t>
      </w:r>
      <w:r>
        <w:rPr>
          <w:rFonts w:hint="eastAsia" w:ascii="宋体" w:hAnsi="宋体"/>
          <w:color w:val="auto"/>
          <w:szCs w:val="21"/>
          <w:highlight w:val="none"/>
        </w:rPr>
        <w:t>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”记录名单；不处于中国政府采购网</w:t>
      </w:r>
      <w:r>
        <w:rPr>
          <w:rFonts w:hint="eastAsia" w:ascii="宋体" w:hAnsi="宋体"/>
          <w:color w:val="auto"/>
          <w:szCs w:val="21"/>
          <w:highlight w:val="none"/>
          <w:lang w:eastAsia="zh-CN"/>
        </w:rPr>
        <w:t>（</w:t>
      </w:r>
      <w:r>
        <w:rPr>
          <w:rFonts w:hint="eastAsia" w:ascii="宋体" w:hAnsi="宋体"/>
          <w:color w:val="auto"/>
          <w:szCs w:val="21"/>
          <w:highlight w:val="none"/>
        </w:rPr>
        <w:t xml:space="preserve">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rPr>
          <w:rFonts w:hint="eastAsia"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pPr>
        <w:pStyle w:val="4"/>
        <w:spacing w:line="360" w:lineRule="auto"/>
        <w:jc w:val="left"/>
        <w:rPr>
          <w:rFonts w:ascii="宋体" w:hAnsi="宋体" w:cs="宋体"/>
          <w:bCs/>
          <w:color w:val="auto"/>
          <w:sz w:val="21"/>
          <w:szCs w:val="21"/>
          <w:highlight w:val="none"/>
        </w:rPr>
      </w:pPr>
      <w:bookmarkStart w:id="19" w:name="_Toc35393792"/>
      <w:bookmarkStart w:id="20" w:name="_Toc35393623"/>
      <w:bookmarkStart w:id="21" w:name="_Toc173"/>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 xml:space="preserve">日（节假日除外），上午9：00～12：00，下午14：30～17：30（北京时间）； </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0"/>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0"/>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4"/>
        <w:spacing w:line="360" w:lineRule="auto"/>
        <w:jc w:val="left"/>
        <w:rPr>
          <w:rFonts w:ascii="宋体" w:hAnsi="宋体" w:cs="宋体"/>
          <w:bCs/>
          <w:color w:val="auto"/>
          <w:sz w:val="21"/>
          <w:szCs w:val="21"/>
          <w:highlight w:val="none"/>
        </w:rPr>
      </w:pPr>
      <w:bookmarkStart w:id="22" w:name="_Toc28359082"/>
      <w:bookmarkStart w:id="23" w:name="_Toc28359005"/>
      <w:bookmarkStart w:id="24" w:name="_Toc28585"/>
      <w:bookmarkStart w:id="25" w:name="_Toc35393624"/>
      <w:bookmarkStart w:id="26" w:name="_Toc35393793"/>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26</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14</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r>
        <w:rPr>
          <w:rFonts w:hint="eastAsia" w:ascii="宋体" w:hAnsi="宋体" w:eastAsia="宋体" w:cs="宋体"/>
          <w:i w:val="0"/>
          <w:iCs w:val="0"/>
          <w:caps w:val="0"/>
          <w:color w:val="auto"/>
          <w:spacing w:val="0"/>
          <w:sz w:val="21"/>
          <w:szCs w:val="21"/>
          <w:highlight w:val="none"/>
        </w:rPr>
        <w:t>。</w:t>
      </w:r>
    </w:p>
    <w:p>
      <w:pPr>
        <w:pStyle w:val="4"/>
        <w:spacing w:line="360" w:lineRule="auto"/>
        <w:jc w:val="left"/>
        <w:rPr>
          <w:rFonts w:ascii="宋体" w:hAnsi="宋体" w:cs="宋体"/>
          <w:bCs/>
          <w:color w:val="auto"/>
          <w:sz w:val="21"/>
          <w:szCs w:val="21"/>
          <w:highlight w:val="none"/>
        </w:rPr>
      </w:pPr>
      <w:bookmarkStart w:id="27" w:name="_Toc28359084"/>
      <w:bookmarkStart w:id="28" w:name="_Toc35393794"/>
      <w:bookmarkStart w:id="29" w:name="_Toc35393625"/>
      <w:bookmarkStart w:id="30" w:name="_Toc25695"/>
      <w:bookmarkStart w:id="31" w:name="_Toc28359007"/>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4"/>
        <w:spacing w:line="360" w:lineRule="auto"/>
        <w:jc w:val="left"/>
        <w:rPr>
          <w:rFonts w:ascii="宋体" w:hAnsi="宋体" w:cs="宋体"/>
          <w:bCs/>
          <w:color w:val="auto"/>
          <w:sz w:val="21"/>
          <w:szCs w:val="21"/>
          <w:highlight w:val="none"/>
        </w:rPr>
      </w:pPr>
      <w:bookmarkStart w:id="32" w:name="_Toc35393626"/>
      <w:bookmarkStart w:id="33" w:name="_Toc1519"/>
      <w:bookmarkStart w:id="34" w:name="_Toc35393795"/>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35393627"/>
      <w:bookmarkStart w:id="36" w:name="_Toc28359008"/>
      <w:bookmarkStart w:id="37" w:name="_Toc35393796"/>
      <w:bookmarkStart w:id="38" w:name="_Toc28359085"/>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w:t>
      </w:r>
      <w:r>
        <w:rPr>
          <w:rFonts w:hint="eastAsia" w:ascii="宋体" w:hAnsi="宋体"/>
          <w:color w:val="auto"/>
          <w:szCs w:val="21"/>
          <w:highlight w:val="none"/>
          <w:lang w:eastAsia="zh-CN"/>
        </w:rPr>
        <w:t>（</w:t>
      </w:r>
      <w:r>
        <w:rPr>
          <w:rFonts w:hint="eastAsia" w:ascii="宋体" w:hAnsi="宋体"/>
          <w:color w:val="auto"/>
          <w:szCs w:val="21"/>
          <w:highlight w:val="none"/>
        </w:rPr>
        <w:t>http://www.ccgp.gov.cn/)以及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4"/>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东莞市樟木头镇实验幼儿园</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址：广东省东莞市</w:t>
      </w:r>
      <w:r>
        <w:rPr>
          <w:rFonts w:hint="eastAsia" w:ascii="宋体" w:hAnsi="宋体" w:cs="宋体"/>
          <w:color w:val="auto"/>
          <w:szCs w:val="21"/>
          <w:highlight w:val="none"/>
          <w:lang w:val="en-US" w:eastAsia="zh-CN"/>
        </w:rPr>
        <w:t>樟木头镇</w:t>
      </w:r>
    </w:p>
    <w:p>
      <w:pPr>
        <w:spacing w:line="360" w:lineRule="auto"/>
        <w:ind w:left="263" w:hanging="262" w:hangingChars="125"/>
        <w:rPr>
          <w:rFonts w:hint="default" w:ascii="宋体" w:hAnsi="宋体" w:cs="宋体"/>
          <w:color w:val="auto"/>
          <w:szCs w:val="21"/>
          <w:highlight w:val="none"/>
          <w:lang w:val="en-US" w:eastAsia="zh-CN"/>
        </w:rPr>
      </w:pPr>
      <w:r>
        <w:rPr>
          <w:rFonts w:hint="eastAsia" w:ascii="宋体" w:hAnsi="宋体" w:cs="宋体"/>
          <w:color w:val="auto"/>
          <w:szCs w:val="21"/>
          <w:highlight w:val="none"/>
        </w:rPr>
        <w:t>联系人：黄义翠</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联系方式：82339898</w:t>
      </w:r>
    </w:p>
    <w:p>
      <w:pPr>
        <w:spacing w:line="360" w:lineRule="auto"/>
        <w:ind w:left="264" w:hanging="264" w:hangingChars="125"/>
        <w:outlineLvl w:val="2"/>
        <w:rPr>
          <w:rFonts w:ascii="宋体" w:hAnsi="宋体" w:cs="宋体"/>
          <w:b/>
          <w:bCs/>
          <w:color w:val="auto"/>
          <w:szCs w:val="21"/>
          <w:highlight w:val="none"/>
        </w:rPr>
      </w:pPr>
      <w:bookmarkStart w:id="41" w:name="_Toc28359086"/>
      <w:bookmarkStart w:id="42" w:name="_Toc4580"/>
      <w:bookmarkStart w:id="43" w:name="_Toc28359009"/>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87"/>
      <w:bookmarkStart w:id="45" w:name="_Toc28359010"/>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spacing w:line="360" w:lineRule="auto"/>
        <w:rPr>
          <w:color w:val="auto"/>
          <w:highlight w:val="none"/>
        </w:rPr>
      </w:pPr>
      <w:bookmarkStart w:id="47" w:name="_Toc29954"/>
      <w:r>
        <w:rPr>
          <w:rFonts w:hint="eastAsia"/>
          <w:color w:val="auto"/>
          <w:highlight w:val="none"/>
        </w:rPr>
        <w:t>投标人须知</w:t>
      </w:r>
      <w:bookmarkEnd w:id="47"/>
    </w:p>
    <w:p>
      <w:pPr>
        <w:pStyle w:val="4"/>
        <w:spacing w:line="360" w:lineRule="auto"/>
        <w:rPr>
          <w:color w:val="auto"/>
          <w:highlight w:val="none"/>
          <w:lang w:val="zh-CN"/>
        </w:rPr>
      </w:pPr>
      <w:bookmarkStart w:id="48" w:name="_Toc413402429"/>
      <w:bookmarkStart w:id="49" w:name="_Toc396137231"/>
      <w:bookmarkStart w:id="50" w:name="_Toc497983494"/>
      <w:bookmarkStart w:id="51" w:name="_Toc652"/>
      <w:r>
        <w:rPr>
          <w:rFonts w:hint="eastAsia"/>
          <w:color w:val="auto"/>
          <w:highlight w:val="none"/>
          <w:lang w:val="zh-CN"/>
        </w:rPr>
        <w:t>一、投标须知前附表</w:t>
      </w:r>
      <w:bookmarkEnd w:id="48"/>
      <w:bookmarkEnd w:id="49"/>
      <w:bookmarkEnd w:id="50"/>
      <w:bookmarkEnd w:id="51"/>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jc w:val="both"/>
              <w:rPr>
                <w:b/>
                <w:bCs/>
                <w:color w:val="auto"/>
                <w:highlight w:val="none"/>
              </w:rPr>
            </w:pPr>
            <w:r>
              <w:rPr>
                <w:rFonts w:hint="eastAsia"/>
                <w:color w:val="auto"/>
                <w:highlight w:val="none"/>
              </w:rPr>
              <w:t>投标保证金金额：</w:t>
            </w:r>
            <w:r>
              <w:rPr>
                <w:rFonts w:hint="eastAsia"/>
                <w:color w:val="auto"/>
                <w:highlight w:val="none"/>
                <w:lang w:val="en-US" w:eastAsia="zh-CN"/>
              </w:rPr>
              <w:t>/</w:t>
            </w:r>
          </w:p>
          <w:p>
            <w:pPr>
              <w:spacing w:line="300" w:lineRule="exact"/>
              <w:jc w:val="both"/>
              <w:rPr>
                <w:rFonts w:ascii="宋体" w:hAnsi="宋体"/>
                <w:color w:val="auto"/>
                <w:szCs w:val="21"/>
                <w:highlight w:val="none"/>
                <w:lang w:val="zh-CN"/>
              </w:rPr>
            </w:pPr>
            <w:r>
              <w:rPr>
                <w:rFonts w:hint="eastAsia"/>
                <w:color w:val="auto"/>
                <w:highlight w:val="none"/>
              </w:rPr>
              <w:t>2、</w:t>
            </w:r>
            <w:r>
              <w:rPr>
                <w:rFonts w:hint="eastAsia" w:ascii="宋体" w:hAnsi="宋体"/>
                <w:color w:val="auto"/>
                <w:szCs w:val="21"/>
                <w:highlight w:val="none"/>
                <w:lang w:val="zh-CN"/>
              </w:rPr>
              <w:t>保证金递交账户：</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收款人：国顺招标有限公司</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开户行：广发银行股份有限公司东莞城区支行</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账  号：9550880226934600216</w:t>
            </w:r>
          </w:p>
          <w:p>
            <w:pPr>
              <w:pStyle w:val="5"/>
              <w:rPr>
                <w:color w:val="auto"/>
                <w:highlight w:val="none"/>
              </w:rPr>
            </w:pPr>
            <w:r>
              <w:rPr>
                <w:rFonts w:hint="eastAsia" w:ascii="宋体" w:hAnsi="宋体"/>
                <w:color w:val="auto"/>
                <w:szCs w:val="21"/>
                <w:highlight w:val="none"/>
                <w:lang w:val="zh-CN"/>
              </w:rPr>
              <w:t>（各投标人在转账或电汇时须在用途栏上写明项目编号）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pPr>
              <w:spacing w:line="360" w:lineRule="auto"/>
              <w:ind w:right="-38" w:rightChars="-18"/>
              <w:jc w:val="center"/>
              <w:rPr>
                <w:color w:val="auto"/>
                <w:highlight w:val="none"/>
              </w:rPr>
            </w:pPr>
            <w:r>
              <w:rPr>
                <w:rFonts w:hint="eastAsia" w:ascii="宋体" w:hAnsi="宋体" w:cs="宋体"/>
                <w:bCs/>
                <w:color w:val="auto"/>
                <w:szCs w:val="21"/>
                <w:highlight w:val="none"/>
              </w:rPr>
              <w:t>（如有需要）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说明：中标人应在签订合同前递交履约保证金，履约保证金可采用保证金（银行转账、电汇）方式，或采用履约保函方式。</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函为担保机构、国有或股份制商业银行支行以上级别银行开具的保函，保函金额为合同价的5%。如须合同生效后才可办理保函的，提交保函时间不得超过合同签订日（含）起15个工作日。保函有效期间截止时间为本合同期满后且经采购人验收合格后的30日。</w:t>
            </w:r>
          </w:p>
          <w:p>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履约保证金在合同期满后或产品验收合格后，中标人向采购人提交退回履约保证金的申请、履约保证金汇款凭证复印件、采购合同、采购项目验收报告原件、中标通知书复印件，前往采购人办理履约保证金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4"/>
              </w:numPr>
              <w:spacing w:line="360" w:lineRule="auto"/>
              <w:rPr>
                <w:rFonts w:ascii="宋体" w:hAnsi="宋体" w:cs="宋体"/>
                <w:color w:val="auto"/>
                <w:highlight w:val="none"/>
              </w:rPr>
            </w:pPr>
            <w:r>
              <w:rPr>
                <w:rFonts w:hint="eastAsia" w:ascii="宋体" w:hAnsi="宋体" w:eastAsia="宋体"/>
                <w:color w:val="auto"/>
                <w:sz w:val="21"/>
                <w:szCs w:val="21"/>
                <w:highlight w:val="none"/>
              </w:rPr>
              <w:t>中标服务费</w:t>
            </w:r>
            <w:r>
              <w:rPr>
                <w:rFonts w:hint="eastAsia" w:ascii="宋体" w:hAnsi="宋体" w:eastAsia="宋体"/>
                <w:color w:val="auto"/>
                <w:sz w:val="21"/>
                <w:szCs w:val="21"/>
                <w:highlight w:val="none"/>
                <w:lang w:eastAsia="zh-CN"/>
              </w:rPr>
              <w:t>以定额人民币叁万元</w:t>
            </w:r>
            <w:r>
              <w:rPr>
                <w:rFonts w:hint="eastAsia" w:ascii="宋体" w:hAnsi="宋体" w:eastAsia="宋体"/>
                <w:color w:val="auto"/>
                <w:sz w:val="21"/>
                <w:szCs w:val="21"/>
                <w:highlight w:val="none"/>
              </w:rPr>
              <w:t>向中标单位收取。</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4"/>
        <w:numPr>
          <w:ilvl w:val="0"/>
          <w:numId w:val="5"/>
        </w:numPr>
        <w:rPr>
          <w:color w:val="auto"/>
          <w:highlight w:val="none"/>
        </w:rPr>
      </w:pPr>
      <w:bookmarkStart w:id="52" w:name="_Toc21639"/>
      <w:r>
        <w:rPr>
          <w:rFonts w:hint="eastAsia"/>
          <w:color w:val="auto"/>
          <w:highlight w:val="none"/>
        </w:rPr>
        <w:t>投标须知</w:t>
      </w:r>
      <w:bookmarkEnd w:id="52"/>
    </w:p>
    <w:p>
      <w:pPr>
        <w:pStyle w:val="5"/>
        <w:rPr>
          <w:color w:val="auto"/>
          <w:highlight w:val="none"/>
        </w:rPr>
      </w:pPr>
      <w:bookmarkStart w:id="53" w:name="_Toc2381"/>
      <w:bookmarkStart w:id="54" w:name="_Toc20860"/>
      <w:r>
        <w:rPr>
          <w:rFonts w:hint="eastAsia"/>
          <w:color w:val="auto"/>
          <w:highlight w:val="none"/>
        </w:rPr>
        <w:t>1.适用范围</w:t>
      </w:r>
      <w:bookmarkEnd w:id="53"/>
      <w:bookmarkEnd w:id="54"/>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5"/>
        <w:rPr>
          <w:color w:val="auto"/>
          <w:highlight w:val="none"/>
        </w:rPr>
      </w:pPr>
      <w:bookmarkStart w:id="55" w:name="_Toc6621"/>
      <w:bookmarkStart w:id="56" w:name="_Toc15203"/>
      <w:r>
        <w:rPr>
          <w:rFonts w:hint="eastAsia"/>
          <w:color w:val="auto"/>
          <w:highlight w:val="none"/>
        </w:rPr>
        <w:t>2.</w:t>
      </w:r>
      <w:bookmarkStart w:id="57" w:name="_Toc382049092"/>
      <w:bookmarkStart w:id="58" w:name="_Toc1530"/>
      <w:bookmarkStart w:id="59" w:name="_Toc303084246"/>
      <w:bookmarkStart w:id="60" w:name="_Toc298847174"/>
      <w:r>
        <w:rPr>
          <w:rFonts w:hint="eastAsia"/>
          <w:color w:val="auto"/>
          <w:highlight w:val="none"/>
        </w:rPr>
        <w:t>定义</w:t>
      </w:r>
      <w:bookmarkEnd w:id="55"/>
      <w:bookmarkEnd w:id="56"/>
      <w:bookmarkEnd w:id="57"/>
      <w:bookmarkEnd w:id="58"/>
      <w:bookmarkEnd w:id="59"/>
      <w:bookmarkEnd w:id="60"/>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招标人：是指依法进行采购的国家机关、事业单位等团体组织。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w:t>
      </w:r>
      <w:r>
        <w:rPr>
          <w:rFonts w:hint="eastAsia" w:ascii="宋体" w:hAnsi="宋体" w:cs="宋体"/>
          <w:color w:val="auto"/>
          <w:szCs w:val="21"/>
          <w:highlight w:val="none"/>
          <w:lang w:val="en-US" w:eastAsia="zh-CN"/>
        </w:rPr>
        <w:t>相关法规</w:t>
      </w:r>
      <w:r>
        <w:rPr>
          <w:rFonts w:hint="eastAsia" w:ascii="宋体" w:hAnsi="宋体" w:cs="宋体"/>
          <w:color w:val="auto"/>
          <w:szCs w:val="21"/>
          <w:highlight w:val="none"/>
        </w:rPr>
        <w:t>及其实施条例组建的专门负责本次招标其评标工作的临时性机构。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5"/>
        <w:rPr>
          <w:color w:val="auto"/>
          <w:highlight w:val="none"/>
        </w:rPr>
      </w:pPr>
      <w:bookmarkStart w:id="61" w:name="_Toc1072"/>
      <w:bookmarkStart w:id="62" w:name="_Toc31531"/>
      <w:r>
        <w:rPr>
          <w:rFonts w:hint="eastAsia"/>
          <w:color w:val="auto"/>
          <w:highlight w:val="none"/>
        </w:rPr>
        <w:t>3.货物和服务</w:t>
      </w:r>
      <w:bookmarkEnd w:id="61"/>
      <w:bookmarkEnd w:id="6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投标人提供的所有服务，其质量、技术等特征必须符合国家、行业现行法律、法规的相关标准和有关规定及用户需求。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5"/>
        <w:rPr>
          <w:color w:val="auto"/>
          <w:highlight w:val="none"/>
        </w:rPr>
      </w:pPr>
      <w:bookmarkStart w:id="63" w:name="_Toc32610"/>
      <w:bookmarkStart w:id="64" w:name="_Toc16909"/>
      <w:r>
        <w:rPr>
          <w:rFonts w:hint="eastAsia"/>
          <w:color w:val="auto"/>
          <w:highlight w:val="none"/>
        </w:rPr>
        <w:t>4.投标费用</w:t>
      </w:r>
      <w:bookmarkEnd w:id="63"/>
      <w:bookmarkEnd w:id="6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5"/>
        <w:rPr>
          <w:color w:val="auto"/>
          <w:highlight w:val="none"/>
        </w:rPr>
      </w:pPr>
      <w:bookmarkStart w:id="65" w:name="_Toc13316"/>
      <w:bookmarkStart w:id="66" w:name="_Toc24409"/>
      <w:r>
        <w:rPr>
          <w:rFonts w:hint="eastAsia"/>
          <w:color w:val="auto"/>
          <w:highlight w:val="none"/>
        </w:rPr>
        <w:t>5.知识产权</w:t>
      </w:r>
      <w:bookmarkEnd w:id="65"/>
      <w:bookmarkEnd w:id="66"/>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7" w:name="_Toc25530"/>
      <w:bookmarkStart w:id="68" w:name="_Toc25911"/>
      <w:r>
        <w:rPr>
          <w:rFonts w:hint="eastAsia"/>
          <w:color w:val="auto"/>
          <w:highlight w:val="none"/>
        </w:rPr>
        <w:t>6.关于联合体投标</w:t>
      </w:r>
      <w:bookmarkEnd w:id="67"/>
      <w:bookmarkEnd w:id="68"/>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规定的条件。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9" w:name="_Toc24312"/>
      <w:bookmarkStart w:id="70" w:name="_Toc27528"/>
      <w:r>
        <w:rPr>
          <w:rFonts w:hint="eastAsia"/>
          <w:color w:val="auto"/>
          <w:highlight w:val="none"/>
        </w:rPr>
        <w:t>7.关于分支机构投标</w:t>
      </w:r>
      <w:bookmarkEnd w:id="69"/>
      <w:bookmarkEnd w:id="70"/>
    </w:p>
    <w:p>
      <w:pPr>
        <w:pStyle w:val="20"/>
        <w:numPr>
          <w:ilvl w:val="0"/>
          <w:numId w:val="6"/>
        </w:numPr>
        <w:spacing w:line="400" w:lineRule="exact"/>
        <w:ind w:firstLineChars="0"/>
        <w:jc w:val="both"/>
        <w:rPr>
          <w:rFonts w:ascii="宋体" w:hAnsi="宋体" w:cs="宋体"/>
          <w:vanish/>
          <w:color w:val="auto"/>
          <w:szCs w:val="21"/>
          <w:highlight w:val="none"/>
        </w:rPr>
      </w:pPr>
      <w:bookmarkStart w:id="71" w:name="EB389f116341dd4693875bc7987e7327f3"/>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1"/>
    </w:p>
    <w:p>
      <w:pPr>
        <w:spacing w:line="360" w:lineRule="auto"/>
        <w:rPr>
          <w:rFonts w:ascii="宋体" w:hAnsi="宋体" w:cs="宋体"/>
          <w:color w:val="auto"/>
          <w:szCs w:val="21"/>
          <w:highlight w:val="none"/>
        </w:rPr>
      </w:pPr>
    </w:p>
    <w:p>
      <w:pPr>
        <w:pStyle w:val="5"/>
        <w:rPr>
          <w:color w:val="auto"/>
          <w:highlight w:val="none"/>
        </w:rPr>
      </w:pPr>
      <w:bookmarkStart w:id="72" w:name="_Toc13645"/>
      <w:bookmarkStart w:id="73" w:name="_Toc15490"/>
      <w:r>
        <w:rPr>
          <w:rFonts w:hint="eastAsia"/>
          <w:color w:val="auto"/>
          <w:highlight w:val="none"/>
        </w:rPr>
        <w:t>8.招标文件的组成</w:t>
      </w:r>
      <w:bookmarkEnd w:id="72"/>
      <w:bookmarkEnd w:id="73"/>
    </w:p>
    <w:p>
      <w:pPr>
        <w:pStyle w:val="20"/>
        <w:numPr>
          <w:ilvl w:val="0"/>
          <w:numId w:val="6"/>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74" w:name="_Toc7789"/>
      <w:bookmarkStart w:id="75" w:name="_Toc644"/>
      <w:r>
        <w:rPr>
          <w:rFonts w:hint="eastAsia"/>
          <w:color w:val="auto"/>
          <w:highlight w:val="none"/>
        </w:rPr>
        <w:t>9.招标文件的澄清或修改</w:t>
      </w:r>
      <w:bookmarkEnd w:id="74"/>
      <w:bookmarkEnd w:id="75"/>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2"/>
        <w:ind w:left="0"/>
        <w:rPr>
          <w:color w:val="auto"/>
          <w:sz w:val="21"/>
          <w:szCs w:val="21"/>
          <w:highlight w:val="none"/>
        </w:rPr>
      </w:pPr>
    </w:p>
    <w:p>
      <w:pPr>
        <w:pStyle w:val="5"/>
        <w:rPr>
          <w:color w:val="auto"/>
          <w:highlight w:val="none"/>
        </w:rPr>
      </w:pPr>
      <w:bookmarkStart w:id="76" w:name="_Toc708"/>
      <w:bookmarkStart w:id="77" w:name="_Toc6458"/>
      <w:r>
        <w:rPr>
          <w:rFonts w:hint="eastAsia"/>
          <w:color w:val="auto"/>
          <w:highlight w:val="none"/>
        </w:rPr>
        <w:t>10.投标文件的语言及度量衡单位</w:t>
      </w:r>
      <w:bookmarkEnd w:id="76"/>
      <w:bookmarkEnd w:id="77"/>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8" w:name="_Toc8246"/>
      <w:bookmarkStart w:id="79" w:name="_Toc29420"/>
      <w:bookmarkStart w:id="80" w:name="_Toc28866"/>
      <w:bookmarkStart w:id="81" w:name="_Toc382049103"/>
      <w:bookmarkStart w:id="82" w:name="_Toc303084256"/>
      <w:bookmarkStart w:id="83" w:name="_Toc307934854"/>
      <w:r>
        <w:rPr>
          <w:rFonts w:hint="eastAsia"/>
          <w:color w:val="auto"/>
          <w:highlight w:val="none"/>
        </w:rPr>
        <w:t>11.投标文件的组成</w:t>
      </w:r>
      <w:bookmarkEnd w:id="78"/>
      <w:bookmarkEnd w:id="79"/>
      <w:bookmarkEnd w:id="80"/>
      <w:bookmarkEnd w:id="81"/>
      <w:bookmarkEnd w:id="82"/>
      <w:bookmarkEnd w:id="83"/>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84" w:name="_Toc5980"/>
      <w:bookmarkStart w:id="85" w:name="_Toc11356"/>
      <w:r>
        <w:rPr>
          <w:rFonts w:hint="eastAsia"/>
          <w:color w:val="auto"/>
          <w:highlight w:val="none"/>
        </w:rPr>
        <w:t>12.投标文件编制</w:t>
      </w:r>
      <w:bookmarkEnd w:id="84"/>
      <w:bookmarkEnd w:id="85"/>
    </w:p>
    <w:p>
      <w:pPr>
        <w:pStyle w:val="20"/>
        <w:numPr>
          <w:ilvl w:val="0"/>
          <w:numId w:val="6"/>
        </w:numPr>
        <w:spacing w:line="400" w:lineRule="exact"/>
        <w:ind w:firstLineChars="0"/>
        <w:jc w:val="both"/>
        <w:rPr>
          <w:rFonts w:ascii="宋体" w:hAnsi="宋体" w:cs="宋体"/>
          <w:vanish/>
          <w:color w:val="auto"/>
          <w:szCs w:val="21"/>
          <w:highlight w:val="none"/>
        </w:rPr>
      </w:pPr>
      <w:bookmarkStart w:id="86" w:name="_Toc30308425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6"/>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5"/>
        <w:rPr>
          <w:color w:val="auto"/>
          <w:highlight w:val="none"/>
        </w:rPr>
      </w:pPr>
      <w:bookmarkStart w:id="87" w:name="_Toc1355"/>
      <w:bookmarkStart w:id="88" w:name="_Toc28034"/>
      <w:r>
        <w:rPr>
          <w:rFonts w:hint="eastAsia"/>
          <w:color w:val="auto"/>
          <w:highlight w:val="none"/>
        </w:rPr>
        <w:t>13.投标报价说明</w:t>
      </w:r>
      <w:bookmarkEnd w:id="87"/>
      <w:bookmarkEnd w:id="88"/>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5"/>
        <w:rPr>
          <w:color w:val="auto"/>
          <w:highlight w:val="none"/>
        </w:rPr>
      </w:pPr>
      <w:bookmarkStart w:id="89" w:name="_Toc34"/>
      <w:bookmarkStart w:id="90" w:name="_Toc6729"/>
      <w:r>
        <w:rPr>
          <w:rFonts w:hint="eastAsia"/>
          <w:color w:val="auto"/>
          <w:highlight w:val="none"/>
        </w:rPr>
        <w:t>14.投标人所提供的服务或货物的证明文件</w:t>
      </w:r>
      <w:bookmarkEnd w:id="89"/>
      <w:bookmarkEnd w:id="90"/>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bookmarkStart w:id="91" w:name="_Hlt107925668"/>
      <w:bookmarkEnd w:id="91"/>
      <w:bookmarkStart w:id="92" w:name="_Hlt107925638"/>
      <w:bookmarkEnd w:id="92"/>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0"/>
        <w:spacing w:line="400" w:lineRule="exact"/>
        <w:ind w:left="425" w:firstLine="0" w:firstLineChars="0"/>
        <w:jc w:val="both"/>
        <w:rPr>
          <w:rFonts w:ascii="宋体" w:hAnsi="宋体" w:cs="宋体"/>
          <w:color w:val="auto"/>
          <w:szCs w:val="21"/>
          <w:highlight w:val="none"/>
        </w:rPr>
      </w:pPr>
    </w:p>
    <w:p>
      <w:pPr>
        <w:pStyle w:val="5"/>
        <w:rPr>
          <w:color w:val="auto"/>
          <w:highlight w:val="none"/>
        </w:rPr>
      </w:pPr>
      <w:bookmarkStart w:id="93" w:name="_Toc10940"/>
      <w:bookmarkStart w:id="94" w:name="_Toc29725"/>
      <w:r>
        <w:rPr>
          <w:rFonts w:hint="eastAsia"/>
          <w:color w:val="auto"/>
          <w:highlight w:val="none"/>
        </w:rPr>
        <w:t>15.★投标有效期</w:t>
      </w:r>
      <w:bookmarkEnd w:id="93"/>
      <w:bookmarkEnd w:id="9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5"/>
        <w:rPr>
          <w:rFonts w:hint="eastAsia" w:eastAsia="宋体"/>
          <w:color w:val="auto"/>
          <w:highlight w:val="none"/>
          <w:lang w:eastAsia="zh-CN"/>
        </w:rPr>
      </w:pPr>
      <w:bookmarkStart w:id="95" w:name="_Toc5483"/>
      <w:bookmarkStart w:id="96" w:name="_Toc15529"/>
      <w:r>
        <w:rPr>
          <w:rFonts w:hint="eastAsia"/>
          <w:color w:val="auto"/>
          <w:highlight w:val="none"/>
        </w:rPr>
        <w:t>16.★投标保证金</w:t>
      </w:r>
      <w:bookmarkEnd w:id="95"/>
      <w:bookmarkEnd w:id="96"/>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pPr>
        <w:pStyle w:val="20"/>
        <w:numPr>
          <w:ilvl w:val="0"/>
          <w:numId w:val="6"/>
        </w:numPr>
        <w:spacing w:line="400" w:lineRule="exact"/>
        <w:ind w:firstLineChars="0"/>
        <w:jc w:val="both"/>
        <w:rPr>
          <w:rFonts w:ascii="宋体" w:hAnsi="宋体" w:cs="宋体"/>
          <w:vanish/>
          <w:color w:val="auto"/>
          <w:szCs w:val="21"/>
          <w:highlight w:val="none"/>
        </w:rPr>
      </w:pPr>
      <w:bookmarkStart w:id="97" w:name="_Ref179619405"/>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7"/>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采用银行转账、电汇方式提交的,付至招标代理机构指定账户上。 </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详见投标人资料表)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6"/>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2"/>
        <w:rPr>
          <w:color w:val="auto"/>
          <w:sz w:val="21"/>
          <w:szCs w:val="21"/>
          <w:highlight w:val="none"/>
        </w:rPr>
      </w:pPr>
    </w:p>
    <w:p>
      <w:pPr>
        <w:pStyle w:val="5"/>
        <w:rPr>
          <w:color w:val="auto"/>
          <w:highlight w:val="none"/>
        </w:rPr>
      </w:pPr>
      <w:bookmarkStart w:id="98" w:name="_Toc16286"/>
      <w:bookmarkStart w:id="99" w:name="_Toc303084264"/>
      <w:bookmarkStart w:id="100" w:name="_Toc382049111"/>
      <w:bookmarkStart w:id="101" w:name="_Toc16724"/>
      <w:bookmarkStart w:id="102" w:name="_Toc24997"/>
      <w:r>
        <w:rPr>
          <w:rFonts w:hint="eastAsia"/>
          <w:color w:val="auto"/>
          <w:highlight w:val="none"/>
        </w:rPr>
        <w:t>17.投标文件的装订，签署，密封和标记</w:t>
      </w:r>
      <w:bookmarkEnd w:id="98"/>
      <w:bookmarkEnd w:id="99"/>
      <w:bookmarkEnd w:id="100"/>
      <w:bookmarkEnd w:id="101"/>
      <w:bookmarkEnd w:id="102"/>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03" w:name="_Toc30088"/>
      <w:bookmarkStart w:id="104" w:name="_Toc17636"/>
      <w:r>
        <w:rPr>
          <w:rFonts w:hint="eastAsia"/>
          <w:color w:val="auto"/>
          <w:highlight w:val="none"/>
        </w:rPr>
        <w:t>18.迟交的投标文件</w:t>
      </w:r>
      <w:bookmarkEnd w:id="103"/>
      <w:bookmarkEnd w:id="10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5"/>
        <w:rPr>
          <w:color w:val="auto"/>
          <w:highlight w:val="none"/>
        </w:rPr>
      </w:pPr>
      <w:bookmarkStart w:id="105" w:name="_Toc24269"/>
      <w:bookmarkStart w:id="106" w:name="_Toc15912"/>
      <w:r>
        <w:rPr>
          <w:rFonts w:hint="eastAsia"/>
          <w:color w:val="auto"/>
          <w:highlight w:val="none"/>
        </w:rPr>
        <w:t>19.投标样品、投标演示（如有要求）</w:t>
      </w:r>
      <w:bookmarkEnd w:id="105"/>
      <w:bookmarkEnd w:id="106"/>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5"/>
        <w:rPr>
          <w:color w:val="auto"/>
          <w:highlight w:val="none"/>
        </w:rPr>
      </w:pPr>
      <w:bookmarkStart w:id="107" w:name="_Toc303084265"/>
      <w:bookmarkStart w:id="108" w:name="_Toc22355"/>
      <w:bookmarkStart w:id="109" w:name="_Toc28098"/>
      <w:bookmarkStart w:id="110" w:name="_Toc382049112"/>
      <w:bookmarkStart w:id="111" w:name="_Toc9777"/>
      <w:r>
        <w:rPr>
          <w:rFonts w:hint="eastAsia"/>
          <w:color w:val="auto"/>
          <w:highlight w:val="none"/>
        </w:rPr>
        <w:t>20.投标截止期</w:t>
      </w:r>
      <w:bookmarkEnd w:id="107"/>
      <w:bookmarkEnd w:id="108"/>
      <w:bookmarkEnd w:id="109"/>
      <w:bookmarkEnd w:id="110"/>
      <w:bookmarkEnd w:id="111"/>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5"/>
        <w:rPr>
          <w:color w:val="auto"/>
          <w:highlight w:val="none"/>
        </w:rPr>
      </w:pPr>
      <w:bookmarkStart w:id="112" w:name="_Toc4270"/>
      <w:bookmarkStart w:id="113" w:name="_Toc22260"/>
      <w:r>
        <w:rPr>
          <w:rFonts w:hint="eastAsia"/>
          <w:color w:val="auto"/>
          <w:highlight w:val="none"/>
        </w:rPr>
        <w:t>21.投标文件的补充、修改与撤回</w:t>
      </w:r>
      <w:bookmarkEnd w:id="112"/>
      <w:bookmarkEnd w:id="113"/>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2"/>
        <w:spacing w:line="360" w:lineRule="auto"/>
        <w:rPr>
          <w:color w:val="auto"/>
          <w:sz w:val="21"/>
          <w:szCs w:val="21"/>
          <w:highlight w:val="none"/>
        </w:rPr>
      </w:pPr>
    </w:p>
    <w:p>
      <w:pPr>
        <w:pStyle w:val="6"/>
        <w:overflowPunct w:val="0"/>
        <w:spacing w:before="0" w:after="0" w:line="400" w:lineRule="exact"/>
        <w:rPr>
          <w:rFonts w:ascii="宋体" w:hAnsi="宋体" w:cs="宋体"/>
          <w:color w:val="auto"/>
          <w:sz w:val="21"/>
          <w:szCs w:val="21"/>
          <w:highlight w:val="none"/>
        </w:rPr>
      </w:pPr>
      <w:bookmarkStart w:id="114" w:name="_Toc174"/>
      <w:r>
        <w:rPr>
          <w:rFonts w:hint="eastAsia" w:ascii="宋体" w:hAnsi="宋体" w:cs="宋体"/>
          <w:color w:val="auto"/>
          <w:sz w:val="21"/>
          <w:szCs w:val="21"/>
          <w:highlight w:val="none"/>
        </w:rPr>
        <w:t>22.开标</w:t>
      </w:r>
      <w:bookmarkEnd w:id="114"/>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5"/>
        <w:rPr>
          <w:color w:val="auto"/>
          <w:highlight w:val="none"/>
        </w:rPr>
      </w:pPr>
      <w:bookmarkStart w:id="115" w:name="_Toc318"/>
      <w:bookmarkStart w:id="116" w:name="_Toc23244"/>
      <w:r>
        <w:rPr>
          <w:rFonts w:hint="eastAsia"/>
          <w:color w:val="auto"/>
          <w:highlight w:val="none"/>
        </w:rPr>
        <w:t>23.评标委员会及评标方法</w:t>
      </w:r>
      <w:bookmarkEnd w:id="115"/>
      <w:bookmarkEnd w:id="116"/>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17" w:name="_Toc15635"/>
      <w:bookmarkStart w:id="118" w:name="_Toc21911"/>
      <w:r>
        <w:rPr>
          <w:rFonts w:hint="eastAsia"/>
          <w:color w:val="auto"/>
          <w:highlight w:val="none"/>
        </w:rPr>
        <w:t>24.评审原则及评标过程的保密</w:t>
      </w:r>
      <w:bookmarkEnd w:id="117"/>
      <w:bookmarkEnd w:id="118"/>
    </w:p>
    <w:p>
      <w:pPr>
        <w:pStyle w:val="20"/>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评审的基本原则：评标委员会将依据国家和地方政府有关法规的规定，遵循“客观、公正、审慎”的原则进行评审工作。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5"/>
        <w:rPr>
          <w:color w:val="auto"/>
          <w:highlight w:val="none"/>
        </w:rPr>
      </w:pPr>
      <w:bookmarkStart w:id="119" w:name="_Toc12318"/>
      <w:bookmarkStart w:id="120" w:name="_Toc10950"/>
      <w:r>
        <w:rPr>
          <w:rFonts w:hint="eastAsia"/>
          <w:color w:val="auto"/>
          <w:highlight w:val="none"/>
        </w:rPr>
        <w:t>25.投标文件的初审</w:t>
      </w:r>
      <w:bookmarkEnd w:id="119"/>
      <w:bookmarkEnd w:id="120"/>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5"/>
        <w:rPr>
          <w:color w:val="auto"/>
          <w:highlight w:val="none"/>
        </w:rPr>
      </w:pPr>
      <w:bookmarkStart w:id="121" w:name="_Toc19657"/>
      <w:bookmarkStart w:id="122" w:name="_Toc24775"/>
      <w:r>
        <w:rPr>
          <w:rFonts w:hint="eastAsia"/>
          <w:color w:val="auto"/>
          <w:highlight w:val="none"/>
        </w:rPr>
        <w:t>26.商务、技术、价格评审</w:t>
      </w:r>
      <w:bookmarkEnd w:id="121"/>
      <w:bookmarkEnd w:id="122"/>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5"/>
        <w:rPr>
          <w:color w:val="auto"/>
          <w:highlight w:val="none"/>
        </w:rPr>
      </w:pPr>
      <w:bookmarkStart w:id="123" w:name="_Toc316375620"/>
      <w:bookmarkStart w:id="124" w:name="_Toc20328"/>
      <w:bookmarkStart w:id="125" w:name="_Toc382049120"/>
      <w:bookmarkStart w:id="126" w:name="_Toc19304"/>
      <w:bookmarkStart w:id="127" w:name="_Toc5898"/>
      <w:r>
        <w:rPr>
          <w:rFonts w:hint="eastAsia"/>
          <w:color w:val="auto"/>
          <w:highlight w:val="none"/>
        </w:rPr>
        <w:t>27.纪律和保密</w:t>
      </w:r>
      <w:bookmarkEnd w:id="123"/>
      <w:r>
        <w:rPr>
          <w:rFonts w:hint="eastAsia"/>
          <w:color w:val="auto"/>
          <w:highlight w:val="none"/>
        </w:rPr>
        <w:t>事项</w:t>
      </w:r>
      <w:bookmarkEnd w:id="124"/>
      <w:bookmarkEnd w:id="125"/>
      <w:bookmarkEnd w:id="126"/>
      <w:bookmarkEnd w:id="127"/>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rPr>
          <w:color w:val="auto"/>
          <w:highlight w:val="none"/>
        </w:rPr>
      </w:pPr>
      <w:bookmarkStart w:id="128" w:name="_Toc508284011"/>
      <w:bookmarkStart w:id="129" w:name="_Toc4954"/>
      <w:bookmarkStart w:id="130" w:name="_Toc1994"/>
      <w:r>
        <w:rPr>
          <w:rFonts w:hint="eastAsia"/>
          <w:color w:val="auto"/>
          <w:highlight w:val="none"/>
        </w:rPr>
        <w:t>28.合同授予标准</w:t>
      </w:r>
      <w:bookmarkEnd w:id="128"/>
      <w:bookmarkEnd w:id="129"/>
      <w:bookmarkEnd w:id="130"/>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5"/>
        <w:rPr>
          <w:color w:val="auto"/>
          <w:highlight w:val="none"/>
        </w:rPr>
      </w:pPr>
      <w:bookmarkStart w:id="131" w:name="_Toc22043"/>
      <w:bookmarkStart w:id="132" w:name="_Toc14141"/>
      <w:bookmarkStart w:id="133" w:name="_Toc508284013"/>
      <w:r>
        <w:rPr>
          <w:rFonts w:hint="eastAsia"/>
          <w:color w:val="auto"/>
          <w:highlight w:val="none"/>
        </w:rPr>
        <w:t>30.发布采购结果</w:t>
      </w:r>
      <w:bookmarkEnd w:id="131"/>
      <w:bookmarkEnd w:id="132"/>
      <w:bookmarkEnd w:id="133"/>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5"/>
        <w:rPr>
          <w:color w:val="auto"/>
          <w:highlight w:val="none"/>
        </w:rPr>
      </w:pPr>
      <w:bookmarkStart w:id="134" w:name="_Toc8411"/>
      <w:bookmarkStart w:id="135" w:name="_Toc11977"/>
      <w:r>
        <w:rPr>
          <w:rFonts w:hint="eastAsia"/>
          <w:color w:val="auto"/>
          <w:highlight w:val="none"/>
        </w:rPr>
        <w:t>30.合同的签订与履行</w:t>
      </w:r>
      <w:bookmarkEnd w:id="134"/>
      <w:bookmarkEnd w:id="135"/>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2"/>
        <w:rPr>
          <w:color w:val="auto"/>
          <w:sz w:val="21"/>
          <w:szCs w:val="21"/>
          <w:highlight w:val="none"/>
        </w:rPr>
      </w:pPr>
    </w:p>
    <w:p>
      <w:pPr>
        <w:pStyle w:val="5"/>
        <w:rPr>
          <w:color w:val="auto"/>
          <w:highlight w:val="none"/>
        </w:rPr>
      </w:pPr>
      <w:bookmarkStart w:id="136" w:name="_Toc23400"/>
      <w:bookmarkStart w:id="137" w:name="_Toc19434"/>
      <w:r>
        <w:rPr>
          <w:rFonts w:hint="eastAsia"/>
          <w:color w:val="auto"/>
          <w:highlight w:val="none"/>
        </w:rPr>
        <w:t>31.招标文件的解释权</w:t>
      </w:r>
      <w:bookmarkEnd w:id="136"/>
      <w:bookmarkEnd w:id="137"/>
    </w:p>
    <w:p>
      <w:pPr>
        <w:pStyle w:val="20"/>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rPr>
          <w:color w:val="auto"/>
          <w:highlight w:val="none"/>
        </w:rPr>
      </w:pPr>
      <w:bookmarkStart w:id="138" w:name="_Toc27892"/>
      <w:r>
        <w:rPr>
          <w:rFonts w:hint="eastAsia"/>
          <w:color w:val="auto"/>
          <w:highlight w:val="none"/>
        </w:rPr>
        <w:t>用户需求书</w:t>
      </w:r>
      <w:bookmarkEnd w:id="138"/>
    </w:p>
    <w:p>
      <w:pPr>
        <w:jc w:val="center"/>
        <w:outlineLvl w:val="1"/>
        <w:rPr>
          <w:b/>
          <w:bCs/>
          <w:color w:val="auto"/>
          <w:sz w:val="28"/>
          <w:szCs w:val="36"/>
          <w:highlight w:val="none"/>
        </w:rPr>
      </w:pPr>
      <w:bookmarkStart w:id="139" w:name="_Toc16006"/>
      <w:r>
        <w:rPr>
          <w:rFonts w:hint="eastAsia"/>
          <w:b/>
          <w:bCs/>
          <w:color w:val="auto"/>
          <w:sz w:val="28"/>
          <w:szCs w:val="36"/>
          <w:highlight w:val="none"/>
        </w:rPr>
        <w:t>商务要求</w:t>
      </w:r>
      <w:bookmarkEnd w:id="139"/>
    </w:p>
    <w:tbl>
      <w:tblPr>
        <w:tblStyle w:val="15"/>
        <w:tblW w:w="5053"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74"/>
        <w:gridCol w:w="6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95" w:type="pct"/>
            <w:vAlign w:val="center"/>
          </w:tcPr>
          <w:p>
            <w:pPr>
              <w:autoSpaceDE w:val="0"/>
              <w:autoSpaceDN w:val="0"/>
              <w:spacing w:line="288"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联合体投标</w:t>
            </w:r>
          </w:p>
        </w:tc>
        <w:tc>
          <w:tcPr>
            <w:tcW w:w="4004" w:type="pct"/>
            <w:vAlign w:val="center"/>
          </w:tcPr>
          <w:p>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本项目</w:t>
            </w:r>
            <w:r>
              <w:rPr>
                <w:rFonts w:hint="eastAsia" w:ascii="宋体" w:hAnsi="宋体" w:cs="宋体"/>
                <w:color w:val="auto"/>
                <w:szCs w:val="21"/>
                <w:highlight w:val="none"/>
                <w:lang w:val="en-US" w:bidi="zh-CN"/>
              </w:rPr>
              <w:t>不</w:t>
            </w:r>
            <w:r>
              <w:rPr>
                <w:rFonts w:hint="eastAsia" w:ascii="宋体" w:hAnsi="宋体" w:cs="宋体"/>
                <w:color w:val="auto"/>
                <w:szCs w:val="21"/>
                <w:highlight w:val="none"/>
                <w:lang w:val="zh-CN" w:bidi="zh-CN"/>
              </w:rPr>
              <w:t>接受联合体投标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s="宋体"/>
                <w:color w:val="auto"/>
                <w:sz w:val="21"/>
                <w:szCs w:val="21"/>
                <w:highlight w:val="none"/>
              </w:rPr>
              <w:t>服务期</w:t>
            </w:r>
          </w:p>
        </w:tc>
        <w:tc>
          <w:tcPr>
            <w:tcW w:w="6724" w:type="dxa"/>
            <w:vAlign w:val="center"/>
          </w:tcPr>
          <w:p>
            <w:pPr>
              <w:keepNext w:val="0"/>
              <w:keepLines w:val="0"/>
              <w:pageBreakBefore w:val="0"/>
              <w:kinsoku/>
              <w:wordWrap/>
              <w:overflowPunct/>
              <w:topLinePunct w:val="0"/>
              <w:bidi w:val="0"/>
              <w:adjustRightInd/>
              <w:snapToGrid/>
              <w:spacing w:after="0" w:line="36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s="宋体"/>
                <w:color w:val="auto"/>
                <w:sz w:val="21"/>
                <w:szCs w:val="21"/>
                <w:highlight w:val="none"/>
                <w:lang w:eastAsia="zh-CN"/>
              </w:rPr>
              <w:t>自合同签定之日起三年。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0"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Cs w:val="21"/>
                <w:highlight w:val="none"/>
                <w:lang w:val="en-US" w:eastAsia="zh-CN" w:bidi="zh-CN"/>
              </w:rPr>
            </w:pPr>
            <w:r>
              <w:rPr>
                <w:rFonts w:hint="eastAsia" w:ascii="宋体" w:hAnsi="宋体"/>
                <w:color w:val="auto"/>
                <w:szCs w:val="21"/>
                <w:highlight w:val="none"/>
                <w:lang w:val="en-US" w:eastAsia="zh-CN"/>
              </w:rPr>
              <w:t>付款方式</w:t>
            </w:r>
          </w:p>
        </w:tc>
        <w:tc>
          <w:tcPr>
            <w:tcW w:w="6724"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eastAsia="宋体" w:cs="宋体"/>
                <w:color w:val="auto"/>
                <w:szCs w:val="21"/>
                <w:highlight w:val="none"/>
                <w:lang w:val="zh-CN" w:bidi="zh-CN"/>
              </w:rPr>
            </w:pPr>
            <w:r>
              <w:rPr>
                <w:rFonts w:hint="eastAsia" w:ascii="宋体" w:hAnsi="宋体" w:eastAsia="宋体" w:cs="宋体"/>
                <w:color w:val="auto"/>
                <w:szCs w:val="21"/>
                <w:highlight w:val="none"/>
                <w:lang w:val="en-US" w:eastAsia="zh-CN" w:bidi="zh-CN"/>
              </w:rPr>
              <w:t>按采购人要求按月配送，按实支付。具体付款要求如下：双方采取先送货后结款的方式，从第一次送货之日起，采购方和中标方在每月15日前核对上期货款，再根据双方核对无误确认好的金额由中标方开具发票给采购方请款，采购方在收到中标方发票后，按实际情况向投标方支付货款。采购方以银行转账方式将货款转入中标方书面指定的银行账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Cs w:val="21"/>
                <w:highlight w:val="none"/>
                <w:lang w:val="en-US" w:eastAsia="zh-CN" w:bidi="zh-CN"/>
              </w:rPr>
            </w:pPr>
            <w:r>
              <w:rPr>
                <w:rFonts w:hint="eastAsia" w:ascii="宋体" w:hAnsi="宋体"/>
                <w:color w:val="auto"/>
                <w:szCs w:val="21"/>
                <w:highlight w:val="none"/>
                <w:lang w:val="en-US" w:eastAsia="zh-CN"/>
              </w:rPr>
              <w:t>服务地点</w:t>
            </w:r>
          </w:p>
        </w:tc>
        <w:tc>
          <w:tcPr>
            <w:tcW w:w="6724"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eastAsia="宋体" w:cs="宋体"/>
                <w:color w:val="auto"/>
                <w:szCs w:val="21"/>
                <w:highlight w:val="none"/>
                <w:lang w:val="en-US" w:bidi="zh-CN"/>
              </w:rPr>
            </w:pPr>
            <w:r>
              <w:rPr>
                <w:rFonts w:hint="eastAsia" w:ascii="宋体" w:hAnsi="宋体" w:eastAsia="宋体" w:cs="宋体"/>
                <w:color w:val="auto"/>
                <w:sz w:val="21"/>
                <w:szCs w:val="21"/>
                <w:highlight w:val="none"/>
              </w:rPr>
              <w:t>采购人指定地点。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67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cs="宋体"/>
                <w:color w:val="auto"/>
                <w:szCs w:val="21"/>
                <w:highlight w:val="none"/>
                <w:lang w:val="en-US" w:bidi="zh-CN"/>
              </w:rPr>
            </w:pPr>
            <w:r>
              <w:rPr>
                <w:rFonts w:hint="eastAsia" w:ascii="宋体" w:hAnsi="宋体" w:cs="宋体"/>
                <w:color w:val="auto"/>
                <w:szCs w:val="21"/>
                <w:highlight w:val="none"/>
                <w:lang w:val="en-US" w:bidi="zh-CN"/>
              </w:rPr>
              <w:t>报价要求</w:t>
            </w:r>
          </w:p>
        </w:tc>
        <w:tc>
          <w:tcPr>
            <w:tcW w:w="6724" w:type="dxa"/>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1.本项目报价采用下浮率报价方式，且所报的下浮率应当适用于所有产品单品。报价应包含完成本次招标所有服务内容的费用，包括人工费、食材采购费、食材运输费、材料费、设备使用费、保险费、各种税务费、必须的辅助材料费及合同实施过程中不可预见费用等全部费用，采购人不向中标人另行支付任何费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2.中标人供货价需按照当前时段东莞市发展和改革局公布同期“广东省菜篮子价格监测表”中最新一期的“东莞市菜篮子价格监测表”的价格为基准价进行下浮，中标人须于《东莞市发展和改革局》网站最新价格挂出后第二天向采购人提供最新一期的价格表，当周基准价格一经确定，双方须严格执行，不受市场物价波动影响，不得调价。中标人原则上每隔一个周调整一次价格，每次调整价格经采购人确认后方可开始执行。</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3.若东莞市发展和改革局网站上无发布的产品（部分特定牌子的产品除外）则由采购人和中标人双方共同在周边市场（樟木头中心市场，大润发超市，天和百货）参考同类产品价格的平均价作为基准价进行下浮（即基准价=市场平均价=N个市场抽样价格之和÷N），供货价即为基准价×【1-中标下浮率】。</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4.</w:t>
            </w:r>
            <w:r>
              <w:rPr>
                <w:rFonts w:hint="eastAsia" w:ascii="宋体" w:hAnsi="宋体" w:cs="宋体"/>
                <w:color w:val="auto"/>
                <w:szCs w:val="21"/>
                <w:highlight w:val="none"/>
                <w:lang w:val="zh-CN" w:bidi="zh-CN"/>
              </w:rPr>
              <w:tab/>
            </w:r>
            <w:r>
              <w:rPr>
                <w:rFonts w:hint="eastAsia" w:ascii="宋体" w:hAnsi="宋体" w:cs="宋体"/>
                <w:color w:val="auto"/>
                <w:szCs w:val="21"/>
                <w:highlight w:val="none"/>
                <w:lang w:val="zh-CN" w:bidi="zh-CN"/>
              </w:rPr>
              <w:t>所供食材价格包含一切费用，主要包括购货或自产养（种）植成本、包装费、运输费、装卸费、搬运费、储存费、人工费、检验检疫费、质量检测费、保险费、各种税费及合同实施过程中的应预见和不可预见费用等。在项目的实施过程中，中标人必须充分考虑在本项目实施期间的一切可能产生的风险和相关费用，采购人无需支付合同约定货款之外的任何费用和补偿。</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5.</w:t>
            </w:r>
            <w:r>
              <w:rPr>
                <w:rFonts w:hint="eastAsia" w:ascii="宋体" w:hAnsi="宋体" w:cs="宋体"/>
                <w:color w:val="auto"/>
                <w:szCs w:val="21"/>
                <w:highlight w:val="none"/>
                <w:lang w:val="zh-CN" w:bidi="zh-CN"/>
              </w:rPr>
              <w:tab/>
            </w:r>
            <w:r>
              <w:rPr>
                <w:rFonts w:hint="eastAsia" w:ascii="宋体" w:hAnsi="宋体" w:cs="宋体"/>
                <w:color w:val="auto"/>
                <w:szCs w:val="21"/>
                <w:highlight w:val="none"/>
                <w:lang w:val="zh-CN" w:bidi="zh-CN"/>
              </w:rPr>
              <w:t>如生产商或批发商统一调整价格或新增食材，中标人须及时书面通知采购人并附相关资料。价格下调时，应给予采购人相同的价格下调幅度；价格上升时，须提供生产商或批发商调价通知书等书面证明材料原件，经采购人审核后执行新的价格。</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6.</w:t>
            </w:r>
            <w:r>
              <w:rPr>
                <w:rFonts w:hint="eastAsia" w:ascii="宋体" w:hAnsi="宋体" w:cs="宋体"/>
                <w:color w:val="auto"/>
                <w:szCs w:val="21"/>
                <w:highlight w:val="none"/>
                <w:lang w:val="zh-CN" w:bidi="zh-CN"/>
              </w:rPr>
              <w:tab/>
            </w:r>
            <w:r>
              <w:rPr>
                <w:rFonts w:hint="eastAsia" w:ascii="宋体" w:hAnsi="宋体" w:cs="宋体"/>
                <w:color w:val="auto"/>
                <w:szCs w:val="21"/>
                <w:highlight w:val="none"/>
                <w:lang w:val="zh-CN" w:bidi="zh-CN"/>
              </w:rPr>
              <w:t>采购人有权随时抽查中标人的供货食材入货台账或进行市场调查，发现中标人有虚报或隐瞒供货食材市场价存在欺骗行为，采购人有权取消其中标资格，终止合同。</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7.</w:t>
            </w:r>
            <w:r>
              <w:rPr>
                <w:rFonts w:hint="eastAsia" w:ascii="宋体" w:hAnsi="宋体" w:cs="宋体"/>
                <w:color w:val="auto"/>
                <w:szCs w:val="21"/>
                <w:highlight w:val="none"/>
                <w:lang w:val="zh-CN" w:bidi="zh-CN"/>
              </w:rPr>
              <w:tab/>
            </w:r>
            <w:r>
              <w:rPr>
                <w:rFonts w:hint="eastAsia" w:ascii="宋体" w:hAnsi="宋体" w:cs="宋体"/>
                <w:color w:val="auto"/>
                <w:szCs w:val="21"/>
                <w:highlight w:val="none"/>
                <w:lang w:val="zh-CN" w:bidi="zh-CN"/>
              </w:rPr>
              <w:t>采购人临时需求货品不在核定的供货价格清单内的，中标人必须按采购人要求供货，供货价格由双方临时确定。下次该货品应纳入报价清单，并按上述定价原则确定供货价格。</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8.若遇台风、暴雨等意外原因造成的个别品种价格需临时调整，应通知采购人，并征得采购人同意后方可调整，每次送货按通知价格计算。</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9.定价周期：每周更新一次，中标人每次至少提前2天提交下次报价清单给采购人审核，双方签字后生效。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8" w:hRule="atLeast"/>
        </w:trPr>
        <w:tc>
          <w:tcPr>
            <w:tcW w:w="167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cs="宋体"/>
                <w:color w:val="auto"/>
                <w:szCs w:val="21"/>
                <w:highlight w:val="none"/>
                <w:lang w:val="zh-CN" w:bidi="zh-CN"/>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有效期</w:t>
            </w:r>
          </w:p>
        </w:tc>
        <w:tc>
          <w:tcPr>
            <w:tcW w:w="6724"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Cs w:val="21"/>
                <w:highlight w:val="none"/>
                <w:lang w:val="zh-CN" w:eastAsia="zh-CN" w:bidi="zh-CN"/>
              </w:rPr>
            </w:pPr>
            <w:r>
              <w:rPr>
                <w:rFonts w:hint="eastAsia" w:ascii="宋体" w:hAnsi="宋体" w:eastAsia="宋体" w:cs="宋体"/>
                <w:color w:val="auto"/>
                <w:sz w:val="21"/>
                <w:szCs w:val="21"/>
                <w:highlight w:val="none"/>
              </w:rPr>
              <w:t>自开标</w:t>
            </w:r>
            <w:r>
              <w:rPr>
                <w:rFonts w:hint="eastAsia" w:ascii="宋体" w:hAnsi="宋体" w:eastAsia="宋体" w:cs="宋体"/>
                <w:color w:val="auto"/>
                <w:sz w:val="21"/>
                <w:szCs w:val="21"/>
                <w:highlight w:val="none"/>
                <w:lang w:val="en-US" w:eastAsia="zh-CN"/>
              </w:rPr>
              <w:t>之</w:t>
            </w:r>
            <w:r>
              <w:rPr>
                <w:rFonts w:hint="eastAsia" w:ascii="宋体" w:hAnsi="宋体" w:eastAsia="宋体" w:cs="宋体"/>
                <w:color w:val="auto"/>
                <w:sz w:val="21"/>
                <w:szCs w:val="21"/>
                <w:highlight w:val="none"/>
              </w:rPr>
              <w:t>日起90天。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167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cs="宋体"/>
                <w:color w:val="auto"/>
                <w:szCs w:val="21"/>
                <w:highlight w:val="none"/>
                <w:lang w:val="zh-CN" w:bidi="zh-CN"/>
              </w:rPr>
            </w:pPr>
            <w:r>
              <w:rPr>
                <w:rFonts w:hint="eastAsia" w:ascii="宋体" w:hAnsi="宋体" w:eastAsia="宋体" w:cs="宋体"/>
                <w:color w:val="auto"/>
                <w:sz w:val="21"/>
                <w:szCs w:val="21"/>
                <w:highlight w:val="none"/>
              </w:rPr>
              <w:t>质量及包装要求</w:t>
            </w:r>
          </w:p>
        </w:tc>
        <w:tc>
          <w:tcPr>
            <w:tcW w:w="6724" w:type="dxa"/>
            <w:vAlign w:val="center"/>
          </w:tcPr>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中标人应充分理解并认真遵循本招标文件的要求，所提供的货物必须是满足招标文件要求。保证供应的货品均为正规生产的新鲜（冰鲜除外）、检验合格、无毒、无辐射、无侵权货品，符合国家有关卫生、质量、包装和保质标准，有使用有效期的货品，其剩余有效期不得少于标注有效期的50%。</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2.中标人保证所提供的水产品和蔬菜种类的多样性和季节性，以保证新鲜感。</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3.货物有包装的，货物的包装必须完整清洁（无损、无污、无皱），采购人有权拒收包装不整齐、已拆封的货品。</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4.货品质量或包装不符合采购人要求的，中标人必须无条件退货或更换。</w:t>
            </w:r>
          </w:p>
          <w:p>
            <w:pPr>
              <w:widowControl w:val="0"/>
              <w:tabs>
                <w:tab w:val="left" w:pos="709"/>
              </w:tabs>
              <w:adjustRightInd/>
              <w:snapToGrid/>
              <w:spacing w:after="0" w:line="360" w:lineRule="auto"/>
              <w:ind w:firstLine="420" w:firstLineChars="200"/>
              <w:jc w:val="both"/>
              <w:rPr>
                <w:rFonts w:ascii="宋体" w:hAnsi="宋体" w:cs="宋体"/>
                <w:color w:val="auto"/>
                <w:szCs w:val="21"/>
                <w:highlight w:val="none"/>
                <w:lang w:bidi="zh-CN"/>
              </w:rPr>
            </w:pPr>
            <w:r>
              <w:rPr>
                <w:rFonts w:hint="eastAsia" w:ascii="宋体" w:hAnsi="宋体" w:eastAsia="宋体" w:cs="宋体"/>
                <w:bCs/>
                <w:color w:val="auto"/>
                <w:sz w:val="21"/>
                <w:szCs w:val="21"/>
                <w:highlight w:val="none"/>
              </w:rPr>
              <w:t>5.中标人提供假冒伪劣、过期、变质货品的，一经发现，除按采购人要求无条件退货或换货外，因中标人供应货品质量问题造成食品安全事故的，经有关部门鉴定后，中标人须负担全数的医药费及赔偿费等，采购人将取消该中标人的供货资格，中标人同时承担相应的民事及刑事法律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167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cs="宋体"/>
                <w:color w:val="auto"/>
                <w:szCs w:val="21"/>
                <w:highlight w:val="none"/>
                <w:lang w:val="zh-CN" w:bidi="zh-CN"/>
              </w:rPr>
            </w:pPr>
            <w:r>
              <w:rPr>
                <w:rFonts w:hint="eastAsia" w:ascii="宋体" w:hAnsi="宋体" w:eastAsia="宋体" w:cs="宋体"/>
                <w:color w:val="auto"/>
                <w:sz w:val="21"/>
                <w:szCs w:val="21"/>
                <w:highlight w:val="none"/>
              </w:rPr>
              <w:t>保密条款</w:t>
            </w:r>
          </w:p>
        </w:tc>
        <w:tc>
          <w:tcPr>
            <w:tcW w:w="6724"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ascii="宋体" w:hAnsi="宋体" w:cs="宋体"/>
                <w:color w:val="auto"/>
                <w:szCs w:val="21"/>
                <w:highlight w:val="none"/>
                <w:lang w:bidi="zh-CN"/>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在实施货物供货期间，不得将供货的实际数量及供货地点泄露给其他企业或者个人，</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指派相对固定的人员完成货物配送服务，并需将配送人员的详细资料报采购人备案，货物配送人员必须遵纪守法、品行良好，无违法犯罪记录。如需要更换配送人员，必须事先通知采购人并将其个人资料送采购人审批，审批合格者才能更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167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cs="宋体"/>
                <w:color w:val="auto"/>
                <w:szCs w:val="21"/>
                <w:highlight w:val="none"/>
                <w:lang w:val="zh-CN" w:bidi="zh-CN"/>
              </w:rPr>
            </w:pPr>
            <w:r>
              <w:rPr>
                <w:rFonts w:hint="eastAsia" w:ascii="宋体" w:hAnsi="宋体" w:eastAsia="宋体" w:cs="宋体"/>
                <w:color w:val="auto"/>
                <w:sz w:val="21"/>
                <w:szCs w:val="21"/>
                <w:highlight w:val="none"/>
                <w:lang w:val="en-US" w:eastAsia="zh-CN"/>
              </w:rPr>
              <w:t>验收标准</w:t>
            </w:r>
          </w:p>
        </w:tc>
        <w:tc>
          <w:tcPr>
            <w:tcW w:w="6724"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ascii="宋体" w:hAnsi="宋体" w:cs="宋体"/>
                <w:color w:val="auto"/>
                <w:szCs w:val="21"/>
                <w:highlight w:val="none"/>
                <w:lang w:bidi="zh-CN"/>
              </w:rPr>
            </w:pPr>
            <w:r>
              <w:rPr>
                <w:rFonts w:hint="eastAsia" w:ascii="宋体" w:hAnsi="宋体" w:eastAsia="宋体" w:cs="宋体"/>
                <w:color w:val="auto"/>
                <w:sz w:val="21"/>
                <w:szCs w:val="21"/>
                <w:highlight w:val="none"/>
                <w:lang w:val="en-US" w:eastAsia="zh-CN"/>
              </w:rPr>
              <w:t>中标人所供应的货品必须符合国家和东莞市的相关安全质量标准、卫生标准等，同时符合采购人的使用要求，包括但不限于各分包所列的货品质量要求。中标人在接受订单时须确认采购人对货品的使用要求，对于不符合采购人要求的货品，采购人有权拒收或要求更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167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olor w:val="auto"/>
                <w:szCs w:val="21"/>
                <w:highlight w:val="none"/>
              </w:rPr>
            </w:pPr>
            <w:r>
              <w:rPr>
                <w:rFonts w:hint="eastAsia" w:ascii="宋体" w:hAnsi="宋体" w:eastAsia="宋体" w:cs="宋体"/>
                <w:color w:val="auto"/>
                <w:sz w:val="21"/>
                <w:szCs w:val="21"/>
                <w:highlight w:val="none"/>
                <w:lang w:val="en-US" w:eastAsia="zh-CN"/>
              </w:rPr>
              <w:t>售后服务</w:t>
            </w:r>
          </w:p>
        </w:tc>
        <w:tc>
          <w:tcPr>
            <w:tcW w:w="6724"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olor w:val="auto"/>
                <w:szCs w:val="21"/>
                <w:highlight w:val="none"/>
                <w:lang w:eastAsia="zh-CN"/>
              </w:rPr>
            </w:pPr>
            <w:r>
              <w:rPr>
                <w:rFonts w:hint="eastAsia" w:ascii="宋体" w:hAnsi="宋体" w:eastAsia="宋体" w:cs="宋体"/>
                <w:color w:val="auto"/>
                <w:sz w:val="21"/>
                <w:szCs w:val="21"/>
                <w:highlight w:val="none"/>
                <w:lang w:val="en-US" w:eastAsia="zh-CN"/>
              </w:rPr>
              <w:t>非采购人的人为原因而出现产品质量，由中标人负责包换或包退，并承担因此而产生的一切费用。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167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olor w:val="auto"/>
                <w:szCs w:val="21"/>
                <w:highlight w:val="none"/>
              </w:rPr>
            </w:pPr>
            <w:r>
              <w:rPr>
                <w:rFonts w:hint="eastAsia" w:ascii="宋体" w:hAnsi="宋体" w:eastAsia="宋体" w:cs="宋体"/>
                <w:color w:val="auto"/>
                <w:sz w:val="21"/>
                <w:szCs w:val="21"/>
                <w:highlight w:val="none"/>
              </w:rPr>
              <w:t>合同条款</w:t>
            </w:r>
          </w:p>
        </w:tc>
        <w:tc>
          <w:tcPr>
            <w:tcW w:w="6724"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供应商实质响应合同各条款。</w:t>
            </w:r>
          </w:p>
        </w:tc>
      </w:tr>
    </w:tbl>
    <w:p>
      <w:pPr>
        <w:rPr>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2"/>
        <w:jc w:val="center"/>
        <w:rPr>
          <w:rFonts w:hint="eastAsia"/>
          <w:b/>
          <w:bCs/>
          <w:color w:val="auto"/>
          <w:sz w:val="28"/>
          <w:szCs w:val="36"/>
          <w:highlight w:val="none"/>
        </w:rPr>
      </w:pPr>
      <w:bookmarkStart w:id="140" w:name="_Toc4572"/>
      <w:r>
        <w:rPr>
          <w:rFonts w:hint="eastAsia"/>
          <w:b/>
          <w:bCs/>
          <w:color w:val="auto"/>
          <w:sz w:val="28"/>
          <w:szCs w:val="36"/>
          <w:highlight w:val="none"/>
        </w:rPr>
        <w:t>技术要求</w:t>
      </w:r>
      <w:bookmarkEnd w:id="140"/>
    </w:p>
    <w:p>
      <w:pPr>
        <w:widowControl w:val="0"/>
        <w:numPr>
          <w:ilvl w:val="0"/>
          <w:numId w:val="10"/>
        </w:numPr>
        <w:tabs>
          <w:tab w:val="left" w:pos="426"/>
          <w:tab w:val="left" w:pos="709"/>
          <w:tab w:val="clear" w:pos="420"/>
        </w:tabs>
        <w:adjustRightInd/>
        <w:snapToGrid/>
        <w:spacing w:after="0" w:line="360" w:lineRule="auto"/>
        <w:jc w:val="both"/>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食材服务需求</w:t>
      </w:r>
    </w:p>
    <w:p>
      <w:pPr>
        <w:keepNext w:val="0"/>
        <w:keepLines w:val="0"/>
        <w:pageBreakBefore w:val="0"/>
        <w:widowControl w:val="0"/>
        <w:numPr>
          <w:ilvl w:val="0"/>
          <w:numId w:val="11"/>
        </w:numPr>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质量要求</w:t>
      </w:r>
    </w:p>
    <w:p>
      <w:pPr>
        <w:widowControl w:val="0"/>
        <w:numPr>
          <w:ilvl w:val="0"/>
          <w:numId w:val="12"/>
        </w:numPr>
        <w:spacing w:after="0" w:line="360" w:lineRule="auto"/>
        <w:ind w:left="0" w:leftChars="0" w:firstLine="40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粮油类配送采购要求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（1）供应产品的质量要求：</w:t>
      </w:r>
    </w:p>
    <w:p>
      <w:pPr>
        <w:widowControl w:val="0"/>
        <w:spacing w:after="0" w:line="360" w:lineRule="auto"/>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①米、油货物必须符合卫生，不得有腐烂、变质、油脂酸败、霉变、生虫、污秽不结、混有异物或者其他感官性状异常，并可能对人体健康有害的物质。</w:t>
      </w:r>
    </w:p>
    <w:p>
      <w:pPr>
        <w:widowControl w:val="0"/>
        <w:spacing w:after="0" w:line="360" w:lineRule="auto"/>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米、油要提供QS认证、国家机关发出的产品检验合格证书。包装食品：包装箱完整，同时包装箱要印有注册商标、生产厂家名称、厂址、出厂日期、产品合格证、保质期限、产品成份、厂家电话号码。散装豆类：提供生产厂家营业执照、卫生许可证、国家机关发出的产品检验合格证书。中标人所提供产品质量必须要符合行业标准要求，不得有掺假、变质、变味、过期等现象出现，严禁伪劣、假冒、无证不合格物品进入仓库。</w:t>
      </w:r>
    </w:p>
    <w:p>
      <w:pPr>
        <w:widowControl w:val="0"/>
        <w:spacing w:after="0" w:line="360" w:lineRule="auto"/>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③中标人在供应过程中，如果发生出现质量问题或造成食物中毒,如变质等情况，经查实后确属中标人责任，中标人应承担全部责任，主要包括食物中毒人员医疗费、误工费、事故处理费等，直至追究刑事责任。</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（2）执行标准：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①米类执行标准：GB/T1354-2018　标准一等米不含添加剂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②大米的质量标准：除符合标准一等米外，要求：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碎米总量≤17%（国家标准：≤35%）</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小碎米总量≤2%（国家标准：≤2.5%）</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不完善粒≤3.5%（国家标准：≤4.0%）</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黄米粒按国家标准执行。</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③油类执行标准：SB/T10292-1998</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④油类质量要求：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个食用油品种必须色泽好，透明度高，无浑浊，无沉淀和悬浮物，粘度小，无分层现象，气味正常，无酸臭异味。严格执行国家相关质量标准及卫生安全标准，色泽、气味、霉变、真菌毒素、重金属污染物、农药等严格控制在国家标准范围内（原粮及成品粮色泽、气味必须正常。霉变粒不得超过2％。真菌毒素：黄曲霉毒素B1（5μg/kg～20μg/kg）、脱氧雪腐镰刀菌烯醇（≤1000μg/kg）、玉米赤霉烯酮（≤60μg/kg）、赭曲霉毒素A（5μg/kg）。重金属污染物：铅（≤0.2mg/kg）、镉(0.1mg/kg～0.2mg/kg)、汞（0.02mg/kg）、无机砷（0.1mg/kg～0.2mg/kg）。农药：对磷化物、马拉硫磷等140余种农药规定了最大残留限量）。并根据用户需求的食用油等级保质保量完成供货。要求提供的食用油生产厂家信誉良好，有明确的商品标签，有生产日期、保质期、质量等级，并标明初制油的加工工艺(即用浸出法生产，还是用压榨法生产的)和是否用转基因油料生产，不许以次充好、以假充真。如将毛油当一级或二级油进行销售，将低价位的植物油掺入高价位植物油中进行销售，牟取暴利，一经查处，中标人将承担全部责任。</w:t>
      </w:r>
    </w:p>
    <w:p>
      <w:pPr>
        <w:widowControl w:val="0"/>
        <w:numPr>
          <w:ilvl w:val="0"/>
          <w:numId w:val="12"/>
        </w:numPr>
        <w:spacing w:after="0" w:line="360" w:lineRule="auto"/>
        <w:ind w:left="0" w:leftChars="0" w:firstLine="40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副食品供应货品质量要求</w:t>
      </w:r>
    </w:p>
    <w:p>
      <w:pPr>
        <w:widowControl w:val="0"/>
        <w:numPr>
          <w:ilvl w:val="0"/>
          <w:numId w:val="0"/>
        </w:numPr>
        <w:spacing w:after="0" w:line="360" w:lineRule="auto"/>
        <w:ind w:firstLine="420" w:firstLineChars="200"/>
        <w:jc w:val="both"/>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副食品包括但不限于牛奶、食糖、</w:t>
      </w:r>
      <w:r>
        <w:rPr>
          <w:rFonts w:hint="eastAsia" w:hAnsi="宋体" w:cs="宋体"/>
          <w:color w:val="auto"/>
          <w:sz w:val="21"/>
          <w:szCs w:val="21"/>
          <w:highlight w:val="none"/>
          <w:lang w:val="en-US" w:eastAsia="zh-CN"/>
        </w:rPr>
        <w:fldChar w:fldCharType="begin"/>
      </w:r>
      <w:r>
        <w:rPr>
          <w:rFonts w:hint="eastAsia" w:hAnsi="宋体" w:cs="宋体"/>
          <w:color w:val="auto"/>
          <w:sz w:val="21"/>
          <w:szCs w:val="21"/>
          <w:highlight w:val="none"/>
          <w:lang w:val="en-US" w:eastAsia="zh-CN"/>
        </w:rPr>
        <w:instrText xml:space="preserve"> HYPERLINK "https://baike.so.com/doc/1586555-1677103.html" \t "https://baike.so.com/doc/_blank" </w:instrText>
      </w:r>
      <w:r>
        <w:rPr>
          <w:rFonts w:hint="eastAsia" w:hAnsi="宋体" w:cs="宋体"/>
          <w:color w:val="auto"/>
          <w:sz w:val="21"/>
          <w:szCs w:val="21"/>
          <w:highlight w:val="none"/>
          <w:lang w:val="en-US" w:eastAsia="zh-CN"/>
        </w:rPr>
        <w:fldChar w:fldCharType="separate"/>
      </w:r>
      <w:r>
        <w:rPr>
          <w:rFonts w:hint="eastAsia" w:hAnsi="宋体" w:cs="宋体"/>
          <w:color w:val="auto"/>
          <w:sz w:val="21"/>
          <w:szCs w:val="21"/>
          <w:highlight w:val="none"/>
          <w:lang w:val="en-US" w:eastAsia="zh-CN"/>
        </w:rPr>
        <w:t>糖果</w:t>
      </w:r>
      <w:r>
        <w:rPr>
          <w:rFonts w:hint="eastAsia" w:hAnsi="宋体" w:cs="宋体"/>
          <w:color w:val="auto"/>
          <w:sz w:val="21"/>
          <w:szCs w:val="21"/>
          <w:highlight w:val="none"/>
          <w:lang w:val="en-US" w:eastAsia="zh-CN"/>
        </w:rPr>
        <w:fldChar w:fldCharType="end"/>
      </w:r>
      <w:r>
        <w:rPr>
          <w:rFonts w:hint="eastAsia" w:hAnsi="宋体" w:cs="宋体"/>
          <w:color w:val="auto"/>
          <w:sz w:val="21"/>
          <w:szCs w:val="21"/>
          <w:highlight w:val="none"/>
          <w:lang w:val="en-US" w:eastAsia="zh-CN"/>
        </w:rPr>
        <w:t>、罐头、乳制品、蜜制品、豆制品、饮料、饼干、糕点、小食品以及果品等。</w:t>
      </w:r>
    </w:p>
    <w:p>
      <w:pPr>
        <w:widowControl w:val="0"/>
        <w:numPr>
          <w:ilvl w:val="0"/>
          <w:numId w:val="0"/>
        </w:numPr>
        <w:spacing w:after="0" w:line="360" w:lineRule="auto"/>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eastAsia="zh-CN"/>
        </w:rPr>
        <w:t>）</w:t>
      </w:r>
      <w:r>
        <w:rPr>
          <w:rFonts w:hint="eastAsia" w:hAnsi="宋体" w:cs="宋体"/>
          <w:color w:val="auto"/>
          <w:sz w:val="21"/>
          <w:szCs w:val="21"/>
          <w:highlight w:val="none"/>
        </w:rPr>
        <w:t>副食品须选用符合国家食品卫生法规相关标准的商品，选用无毒、无害、无污染、可朔源的食品。掺假、掺杂食品坚决不能使用。副食品表面外观新鲜、完整，无霉变异味，无砂粒杂质，无虫尸鼠粪等不洁卫生问题。奶制品色泽乳白，口味鲜香，包装完整，无破损，符合国家规定的质量卫生标准。</w:t>
      </w:r>
    </w:p>
    <w:p>
      <w:pPr>
        <w:widowControl w:val="0"/>
        <w:numPr>
          <w:ilvl w:val="0"/>
          <w:numId w:val="0"/>
        </w:numPr>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hAnsi="宋体" w:cs="宋体"/>
          <w:color w:val="auto"/>
          <w:sz w:val="21"/>
          <w:szCs w:val="21"/>
          <w:highlight w:val="none"/>
        </w:rPr>
        <w:t>副食品</w:t>
      </w:r>
      <w:r>
        <w:rPr>
          <w:rFonts w:hint="eastAsia" w:ascii="宋体" w:hAnsi="宋体" w:eastAsia="宋体" w:cs="宋体"/>
          <w:color w:val="auto"/>
          <w:sz w:val="21"/>
          <w:szCs w:val="21"/>
          <w:highlight w:val="none"/>
        </w:rPr>
        <w:t>外包装清晰标注生产厂家名称、厂址、厂家电话号码、出厂日期、保质期限、产品成份等，并符合国家食品卫生标准，坚决杜绝假冒、变质、过期的产品（从收货之日起计算剩余保质期不得低于标注保质期的50%），供货时并提供QS认证、及产品相关的检验合格证书。</w:t>
      </w:r>
    </w:p>
    <w:p>
      <w:pPr>
        <w:widowControl w:val="0"/>
        <w:numPr>
          <w:ilvl w:val="0"/>
          <w:numId w:val="12"/>
        </w:numPr>
        <w:spacing w:after="0" w:line="360" w:lineRule="auto"/>
        <w:ind w:left="0" w:leftChars="0" w:firstLine="40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蔬菜瓜果供应货品质量要求</w:t>
      </w:r>
    </w:p>
    <w:p>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提供的蔬菜须确保鲜嫩度，不得有黄叶、斑点、腐烂或有异常味道，利用率不得低于95%，且不含有残留农药或污染物，并出具有效的《农产品检验报告》。卫生质量指标，应符合我国无公害蔬菜上的卫生指标规定。采购人对所配送蔬菜进行二次农残检测，如含量超标采购人有权要求中标人无条件退货或换货，同时做好相关记录。</w:t>
      </w:r>
    </w:p>
    <w:p>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(2)中标人需设自检测室或有固定的送检机构，每天所供蔬菜类都要提供农药残留的检测报告，并交采购人存档备查。</w:t>
      </w:r>
    </w:p>
    <w:p>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中标人提供的</w:t>
      </w:r>
      <w:r>
        <w:rPr>
          <w:rFonts w:hint="eastAsia" w:ascii="宋体" w:hAnsi="宋体" w:eastAsia="宋体" w:cs="宋体"/>
          <w:color w:val="auto"/>
          <w:sz w:val="21"/>
          <w:szCs w:val="21"/>
          <w:highlight w:val="none"/>
        </w:rPr>
        <w:t>豆制品须确保色泽均匀，呈块状、硬度适中、富有弹性、持水性好、无霉点。有主料应有的香气，无异味，无肉眼可见外来异物。</w:t>
      </w:r>
    </w:p>
    <w:p>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验收时未发现问题，而在加工食用前发现部分货品存在质量问题的，采购人立即通知中标人将问题货品进行退换货处理。如中标人所供应货品出现质量问题造成食品安全事故，中标人应承担全部责任和经济损失。</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4.肉类供应货品质量要求</w:t>
      </w:r>
    </w:p>
    <w:p>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鲜肉类全部来源于正规肉联厂，保证为当日新鲜肉，并提供政府检疫部门出示的检疫合格证明。（鲜肉类利用率不低于98%）</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具有当天卫生监督部门发放的“动物检疫合格证明”，肉体印有检疫章。</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表皮干爽、肌体结实、肉质紧密、肉色淡红新鲜，肥肉洁白而细腻。</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外观检测无异味、无寄生虫、无粘液、无渗出液体、指压反弹迅速、具有猪肉自然气味。</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运输设备具备恒温保鲜（5度），存放容器保持清洁卫生，包装合理且材料无污染。</w:t>
      </w:r>
    </w:p>
    <w:p>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来源可靠放心，无毒、无害、无污染。</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.水产品类供应货品质量要求</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必须鲜活。</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非冰鲜类必须鲜活，利用率不低于95%；冰鲜类水产品解冻后利用率不低于80%。</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鲜鱼鳞片完整，有光泽无脱落，鳃口紧闭，眼球光亮透明，鱼鳃鲜红，鳍尾完整，确保新鲜。</w:t>
      </w:r>
    </w:p>
    <w:p>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身体饱满结实，无腐烂异味，肉质紧密有弹性，无离骨脱刺现象。</w:t>
      </w:r>
    </w:p>
    <w:p>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来源可靠放心，无毒、无害、无污染。</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400" w:leftChars="0"/>
        <w:contextualSpacing/>
        <w:textAlignment w:val="auto"/>
        <w:rPr>
          <w:rFonts w:hAnsi="宋体" w:cs="宋体"/>
          <w:color w:val="auto"/>
          <w:sz w:val="21"/>
          <w:szCs w:val="21"/>
          <w:highlight w:val="none"/>
        </w:rPr>
      </w:pPr>
    </w:p>
    <w:p>
      <w:pPr>
        <w:keepNext w:val="0"/>
        <w:keepLines w:val="0"/>
        <w:pageBreakBefore w:val="0"/>
        <w:widowControl w:val="0"/>
        <w:numPr>
          <w:ilvl w:val="0"/>
          <w:numId w:val="11"/>
        </w:numPr>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配送要求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必须采用符合卫生要求的运载工具，要保持清洁和定期消毒。运输车厢的内仓应为抗腐蚀、防潮，防虫、防鼠的设计，车厢内无不良气味、异味。送货车辆应保持清洁，堆放科学合理，避免造成食材的交叉污染；如对温度有要求的应确定食材的温度，记录送货车辆温度，并记录存档。</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2.容器要求清洁、干燥、牢固、透气，无污染、无异味、无霉变现象。</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3.冰鲜类水产品必须用专用冷藏、冷冻载具运输，保证运输过程冷链不中断，到达目的地时外包装箱干爽，无软化现象。</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4.蔬菜应小心轻卸，严防机械损伤。</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5.中标人要免费提供运送及卸货服务。</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必须按照采购人要求的货品规格、数量、质量配送，如数量不足的，中标人应立即补足；如有10%以下（含10%）货品规格、质量不符合要求的，中标人应对不符合要求的货品进行更换；如有10%以上的货品规格、质量不符合要求的，由采购人选择整批退货或要求中标人按时整批更换。</w:t>
      </w:r>
    </w:p>
    <w:p>
      <w:pPr>
        <w:keepNext w:val="0"/>
        <w:keepLines w:val="0"/>
        <w:pageBreakBefore w:val="0"/>
        <w:widowControl w:val="0"/>
        <w:numPr>
          <w:ilvl w:val="0"/>
          <w:numId w:val="11"/>
        </w:numPr>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中标人需设立自有检测室或有固定的送检机构，每种蔬菜每天都要随货提供农药残留的检测报告，食品检测人员或检测机构资料交采购人存档备查。</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1.对食品安全质量问题的处理：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(1)对危及人体健康的食品质量问题（如农药残留超标、腐烂变质等）采取零容忍措施，一经发现，当日所送同批次货品全部退货。</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(2)若验收时未发现问题，而在加工食用前发现部分货品质量有问题，采购人立即通知中标人，将问题货品作退换货处理。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(3)中标人所供应货品出现质量问题造成食品安全事故，经查实后属中标人责任的，中标人应承担全部责任和经济损失。</w:t>
      </w:r>
    </w:p>
    <w:p>
      <w:pPr>
        <w:bidi w:val="0"/>
        <w:rPr>
          <w:rFonts w:hint="eastAsia"/>
          <w:color w:val="auto"/>
          <w:highlight w:val="none"/>
        </w:rPr>
      </w:pPr>
    </w:p>
    <w:p>
      <w:pPr>
        <w:widowControl w:val="0"/>
        <w:numPr>
          <w:ilvl w:val="0"/>
          <w:numId w:val="10"/>
        </w:numPr>
        <w:tabs>
          <w:tab w:val="left" w:pos="426"/>
          <w:tab w:val="left" w:pos="709"/>
          <w:tab w:val="clear" w:pos="420"/>
        </w:tabs>
        <w:adjustRightInd/>
        <w:snapToGrid/>
        <w:spacing w:after="0" w:line="360" w:lineRule="auto"/>
        <w:jc w:val="both"/>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w:t>
      </w:r>
      <w:r>
        <w:rPr>
          <w:rFonts w:hint="eastAsia" w:ascii="宋体" w:hAnsi="宋体" w:cs="宋体"/>
          <w:b/>
          <w:bCs/>
          <w:color w:val="auto"/>
          <w:sz w:val="24"/>
          <w:szCs w:val="24"/>
          <w:highlight w:val="none"/>
          <w:lang w:val="en-US" w:eastAsia="zh-CN"/>
        </w:rPr>
        <w:t>内容</w:t>
      </w:r>
      <w:r>
        <w:rPr>
          <w:rFonts w:hint="eastAsia" w:ascii="宋体" w:hAnsi="宋体" w:eastAsia="宋体" w:cs="宋体"/>
          <w:b/>
          <w:bCs/>
          <w:color w:val="auto"/>
          <w:sz w:val="24"/>
          <w:szCs w:val="24"/>
          <w:highlight w:val="none"/>
        </w:rPr>
        <w:t>说明</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应当根据采购人实际情况，按照与采购人的约定，在规定的时间内将预定的货物如数送到指定地点。除发生客观不可抗力的情况外，中标人不得推迟送货。如确需延迟送货的，中标人应在得知情况的同时告知采购人并征得采购人同意，由于中标人延迟造成采购人利益受损的，采购人有权要求中标人赔偿。</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水产品类一般每天送货1-2次；蔬菜类一般每天送货1次，采购人在前一天确认采购订单；调味品类一般一个星期送货一次，采购人至少提前一天确认采购订单。每次订单不论数量多少，中标人都必须按采购人要求配送。对于临时性采购订单，中标人须积极配合，按照采购人要求按时、按质、按量将货品配送到指定地点。</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配送时间：每天上午</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0前送达采购指定地点。如采购人需要临时增加补货，中标人必须在采购要求的时间内将货物保质保量送到采购人指定地点。具体配送时间以采购人实际要求为准。</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中标人负责货品配送前的仓储，采购人不提供仓库。</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在采购人签收之前，货物的所有权和风险属于中标人，货物发生遗失、损坏由中标人负责。</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须严格按照采购人的订单配送货品，不得随意增减数量或改变品种。如因市场流通问题确实需要变更供货内容的，中标人应在得知情况的同时书面告知采购人并征得采购人同意后方可变更，否则，采购人有权拒收，由此产生的一切损失和费用由中标人承担。</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中标人不能按核定的供货价交付的某些货品、不能提供与其承诺相符的服务或中标人存在违反招标文件和合同的行为，并且不予纠正的，将取消其中标资格。此项下违约行为包括但不限于下列各项：</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(1)中标人在收到采购人订货要求后，在承诺的供货时间内不能供货的。</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(2)中标人未能提供承诺的服务的。</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(3)中标人不能在约定时间内提供合法票据进行结算的。</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(4)中标人送货专员在采购人单位活动但不遵守采购人单位各项规章制度或做出有损采购人形象和利益的事情的。</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(5)中标人泄露采购人的秘密的。如泄密行为造成采购人损失的，中标人将承担由此产生的一切损失和法律责任。</w:t>
      </w:r>
    </w:p>
    <w:p>
      <w:pPr>
        <w:bidi w:val="0"/>
        <w:rPr>
          <w:rFonts w:hint="eastAsia"/>
          <w:color w:val="auto"/>
          <w:highlight w:val="none"/>
        </w:rPr>
      </w:pPr>
    </w:p>
    <w:p>
      <w:pPr>
        <w:widowControl w:val="0"/>
        <w:numPr>
          <w:ilvl w:val="0"/>
          <w:numId w:val="10"/>
        </w:numPr>
        <w:tabs>
          <w:tab w:val="left" w:pos="426"/>
          <w:tab w:val="left" w:pos="709"/>
          <w:tab w:val="clear" w:pos="420"/>
        </w:tabs>
        <w:adjustRightInd/>
        <w:snapToGrid/>
        <w:spacing w:after="0" w:line="360" w:lineRule="auto"/>
        <w:jc w:val="both"/>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其他要求</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中标人必须服从采购人的监督、管理，配合采购人到农场基地、食物配送点进行现场考察。</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食品供应链要求：所有食品的来源必须清晰可追溯和追责。</w:t>
      </w:r>
    </w:p>
    <w:p>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中标人需配合采购人要求，落实我市关于采购贫困地区农副产品的相关政策要求，通过贫困地区农副产品网络销售平台或定向扶贫地区采购贫困地区农副产品。</w:t>
      </w:r>
    </w:p>
    <w:p>
      <w:pPr>
        <w:bidi w:val="0"/>
        <w:rPr>
          <w:rFonts w:hint="eastAsia"/>
          <w:color w:val="auto"/>
          <w:highlight w:val="none"/>
        </w:rPr>
      </w:pPr>
    </w:p>
    <w:p>
      <w:pPr>
        <w:widowControl w:val="0"/>
        <w:numPr>
          <w:ilvl w:val="0"/>
          <w:numId w:val="10"/>
        </w:numPr>
        <w:tabs>
          <w:tab w:val="left" w:pos="426"/>
          <w:tab w:val="left" w:pos="709"/>
          <w:tab w:val="clear" w:pos="420"/>
        </w:tabs>
        <w:adjustRightInd/>
        <w:snapToGrid/>
        <w:spacing w:after="0" w:line="360" w:lineRule="auto"/>
        <w:jc w:val="both"/>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相关说明</w:t>
      </w:r>
    </w:p>
    <w:p>
      <w:pPr>
        <w:pStyle w:val="23"/>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服务年限内，履行本招标文件约定的义务过程中出现违反国家法律法规、相关主管部门规章制度、擅自提高价格或提供伪劣服务内容、服务质量低劣造成采购人损失等情况的，采购人有权视情节分别给予警告、没收采购履约担保或取消协议服务资格等处罚。</w:t>
      </w:r>
    </w:p>
    <w:p>
      <w:pPr>
        <w:pStyle w:val="23"/>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被取消配送服务资格而造成服务单位数量不能满足正常食堂食材配送工作需求的，采购人有权按顺序递补本次采购排名在</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之后的候选单位，或通过对该项目服务单位进行补充采购或重新采购的方式，以保证服务单位数量的正常需求。</w:t>
      </w:r>
    </w:p>
    <w:p>
      <w:pPr>
        <w:pStyle w:val="23"/>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必须清楚理解：采购人无法预计也无法保证服务单位所能获得的服务项目数量；对此服务单位不得向采购人追讨任何费用。</w:t>
      </w:r>
    </w:p>
    <w:p>
      <w:pPr>
        <w:rPr>
          <w:rFonts w:hint="eastAsia" w:ascii="宋体" w:hAnsi="宋体" w:cs="宋体"/>
          <w:b/>
          <w:bCs/>
          <w:color w:val="auto"/>
          <w:kern w:val="0"/>
          <w:szCs w:val="21"/>
          <w:highlight w:val="none"/>
          <w:lang w:val="zh-CN" w:bidi="zh-CN"/>
        </w:rPr>
      </w:pPr>
    </w:p>
    <w:p>
      <w:pPr>
        <w:pStyle w:val="2"/>
        <w:rPr>
          <w:rFonts w:hint="eastAsia" w:ascii="宋体" w:hAnsi="宋体" w:cs="宋体"/>
          <w:b/>
          <w:bCs/>
          <w:color w:val="auto"/>
          <w:kern w:val="0"/>
          <w:szCs w:val="21"/>
          <w:highlight w:val="none"/>
          <w:lang w:val="zh-CN" w:bidi="zh-CN"/>
        </w:rPr>
      </w:pPr>
    </w:p>
    <w:p>
      <w:pPr>
        <w:rPr>
          <w:rFonts w:hint="eastAsia"/>
          <w:color w:val="auto"/>
          <w:highlight w:val="none"/>
          <w:lang w:val="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2"/>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color w:val="auto"/>
          <w:highlight w:val="none"/>
        </w:rPr>
      </w:pPr>
      <w:bookmarkStart w:id="141" w:name="_Toc28584"/>
      <w:r>
        <w:rPr>
          <w:rFonts w:hint="eastAsia"/>
          <w:color w:val="auto"/>
          <w:highlight w:val="none"/>
        </w:rPr>
        <w:br w:type="page"/>
      </w:r>
    </w:p>
    <w:p>
      <w:pPr>
        <w:pStyle w:val="3"/>
        <w:numPr>
          <w:ilvl w:val="0"/>
          <w:numId w:val="1"/>
        </w:numPr>
        <w:rPr>
          <w:color w:val="auto"/>
          <w:highlight w:val="none"/>
        </w:rPr>
      </w:pPr>
      <w:r>
        <w:rPr>
          <w:rFonts w:hint="eastAsia"/>
          <w:color w:val="auto"/>
          <w:highlight w:val="none"/>
        </w:rPr>
        <w:t>详细评审</w:t>
      </w:r>
      <w:bookmarkEnd w:id="141"/>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30分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pPr>
              <w:pStyle w:val="23"/>
              <w:spacing w:line="34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相关业绩</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20分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投标人具有食材配送</w:t>
            </w:r>
            <w:r>
              <w:rPr>
                <w:rFonts w:hint="eastAsia" w:ascii="宋体" w:hAnsi="宋体" w:cs="宋体"/>
                <w:color w:val="auto"/>
                <w:kern w:val="2"/>
                <w:sz w:val="21"/>
                <w:szCs w:val="21"/>
                <w:highlight w:val="none"/>
                <w:lang w:val="en-US" w:eastAsia="zh-CN"/>
              </w:rPr>
              <w:t>类项目</w:t>
            </w:r>
            <w:r>
              <w:rPr>
                <w:rFonts w:hint="eastAsia" w:ascii="宋体" w:hAnsi="宋体" w:eastAsia="宋体" w:cs="宋体"/>
                <w:color w:val="auto"/>
                <w:kern w:val="2"/>
                <w:sz w:val="21"/>
                <w:szCs w:val="21"/>
                <w:highlight w:val="none"/>
              </w:rPr>
              <w:t>业绩进行评审，每提供一项业绩得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分，本项满分</w:t>
            </w:r>
            <w:r>
              <w:rPr>
                <w:rFonts w:hint="eastAsia" w:ascii="宋体" w:hAnsi="宋体" w:cs="宋体"/>
                <w:color w:val="auto"/>
                <w:kern w:val="2"/>
                <w:sz w:val="21"/>
                <w:szCs w:val="21"/>
                <w:highlight w:val="none"/>
                <w:lang w:val="en-US" w:eastAsia="zh-CN"/>
              </w:rPr>
              <w:t>20</w:t>
            </w:r>
            <w:r>
              <w:rPr>
                <w:rFonts w:hint="eastAsia" w:ascii="宋体" w:hAnsi="宋体" w:eastAsia="宋体" w:cs="宋体"/>
                <w:color w:val="auto"/>
                <w:kern w:val="2"/>
                <w:sz w:val="21"/>
                <w:szCs w:val="21"/>
                <w:highlight w:val="none"/>
              </w:rPr>
              <w:t xml:space="preserve">分。 </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kern w:val="2"/>
                <w:sz w:val="21"/>
                <w:szCs w:val="21"/>
                <w:highlight w:val="none"/>
              </w:rPr>
              <w:t>注：须提供合同复印件加盖投标人公章</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pStyle w:val="23"/>
              <w:spacing w:line="34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企业实力</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spacing w:line="34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8分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r>
              <w:rPr>
                <w:rFonts w:hint="eastAsia" w:ascii="宋体" w:hAnsi="宋体" w:cs="宋体"/>
                <w:color w:val="auto"/>
                <w:kern w:val="2"/>
                <w:sz w:val="21"/>
                <w:szCs w:val="21"/>
                <w:highlight w:val="none"/>
                <w:lang w:val="en-US" w:eastAsia="zh-CN"/>
              </w:rPr>
              <w:t>投标人具有</w:t>
            </w:r>
            <w:r>
              <w:rPr>
                <w:rFonts w:hint="eastAsia" w:ascii="宋体" w:hAnsi="宋体" w:eastAsia="宋体" w:cs="宋体"/>
                <w:color w:val="auto"/>
                <w:kern w:val="2"/>
                <w:sz w:val="21"/>
                <w:szCs w:val="21"/>
                <w:highlight w:val="none"/>
              </w:rPr>
              <w:t>质量管理体系认证</w:t>
            </w:r>
            <w:r>
              <w:rPr>
                <w:rFonts w:hint="eastAsia" w:ascii="宋体" w:hAnsi="宋体" w:cs="宋体"/>
                <w:color w:val="auto"/>
                <w:kern w:val="2"/>
                <w:sz w:val="21"/>
                <w:szCs w:val="21"/>
                <w:highlight w:val="none"/>
                <w:lang w:val="en-US" w:eastAsia="zh-CN"/>
              </w:rPr>
              <w:t>证书</w:t>
            </w:r>
            <w:r>
              <w:rPr>
                <w:rFonts w:hint="eastAsia" w:ascii="宋体" w:hAnsi="宋体" w:eastAsia="宋体" w:cs="宋体"/>
                <w:color w:val="auto"/>
                <w:kern w:val="2"/>
                <w:sz w:val="21"/>
                <w:szCs w:val="21"/>
                <w:highlight w:val="none"/>
                <w:lang w:eastAsia="zh-CN"/>
              </w:rPr>
              <w:t>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，本项满分1分；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rPr>
              <w:t>2、</w:t>
            </w:r>
            <w:r>
              <w:rPr>
                <w:rFonts w:hint="eastAsia" w:ascii="宋体" w:hAnsi="宋体" w:cs="宋体"/>
                <w:color w:val="auto"/>
                <w:kern w:val="2"/>
                <w:sz w:val="21"/>
                <w:szCs w:val="21"/>
                <w:highlight w:val="none"/>
                <w:lang w:val="en-US" w:eastAsia="zh-CN"/>
              </w:rPr>
              <w:t>投标人具有</w:t>
            </w:r>
            <w:r>
              <w:rPr>
                <w:rFonts w:hint="eastAsia" w:ascii="宋体" w:hAnsi="宋体" w:eastAsia="宋体" w:cs="宋体"/>
                <w:color w:val="auto"/>
                <w:kern w:val="2"/>
                <w:sz w:val="21"/>
                <w:szCs w:val="21"/>
                <w:highlight w:val="none"/>
              </w:rPr>
              <w:t>环境管理体系认证</w:t>
            </w:r>
            <w:r>
              <w:rPr>
                <w:rFonts w:hint="eastAsia" w:ascii="宋体" w:hAnsi="宋体" w:cs="宋体"/>
                <w:color w:val="auto"/>
                <w:kern w:val="2"/>
                <w:sz w:val="21"/>
                <w:szCs w:val="21"/>
                <w:highlight w:val="none"/>
                <w:lang w:val="en-US" w:eastAsia="zh-CN"/>
              </w:rPr>
              <w:t>证书</w:t>
            </w:r>
            <w:r>
              <w:rPr>
                <w:rFonts w:hint="eastAsia" w:ascii="宋体" w:hAnsi="宋体" w:eastAsia="宋体" w:cs="宋体"/>
                <w:color w:val="auto"/>
                <w:kern w:val="2"/>
                <w:sz w:val="21"/>
                <w:szCs w:val="21"/>
                <w:highlight w:val="none"/>
                <w:lang w:eastAsia="zh-CN"/>
              </w:rPr>
              <w:t>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，本项满分1分；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rPr>
              <w:t>3、</w:t>
            </w:r>
            <w:r>
              <w:rPr>
                <w:rFonts w:hint="eastAsia" w:ascii="宋体" w:hAnsi="宋体" w:cs="宋体"/>
                <w:color w:val="auto"/>
                <w:kern w:val="2"/>
                <w:sz w:val="21"/>
                <w:szCs w:val="21"/>
                <w:highlight w:val="none"/>
                <w:lang w:val="en-US" w:eastAsia="zh-CN"/>
              </w:rPr>
              <w:t>投标人具有</w:t>
            </w:r>
            <w:r>
              <w:rPr>
                <w:rFonts w:hint="eastAsia" w:ascii="宋体" w:hAnsi="宋体" w:eastAsia="宋体" w:cs="宋体"/>
                <w:color w:val="auto"/>
                <w:kern w:val="2"/>
                <w:sz w:val="21"/>
                <w:szCs w:val="21"/>
                <w:highlight w:val="none"/>
              </w:rPr>
              <w:t>职业健康管理体系认证</w:t>
            </w:r>
            <w:r>
              <w:rPr>
                <w:rFonts w:hint="eastAsia" w:ascii="宋体" w:hAnsi="宋体" w:cs="宋体"/>
                <w:color w:val="auto"/>
                <w:kern w:val="2"/>
                <w:sz w:val="21"/>
                <w:szCs w:val="21"/>
                <w:highlight w:val="none"/>
                <w:lang w:val="en-US" w:eastAsia="zh-CN"/>
              </w:rPr>
              <w:t>证书</w:t>
            </w:r>
            <w:r>
              <w:rPr>
                <w:rFonts w:hint="eastAsia" w:ascii="宋体" w:hAnsi="宋体" w:eastAsia="宋体" w:cs="宋体"/>
                <w:color w:val="auto"/>
                <w:kern w:val="2"/>
                <w:sz w:val="21"/>
                <w:szCs w:val="21"/>
                <w:highlight w:val="none"/>
                <w:lang w:eastAsia="zh-CN"/>
              </w:rPr>
              <w:t>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，本项满分1分；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w:t>
            </w:r>
            <w:r>
              <w:rPr>
                <w:rFonts w:hint="eastAsia" w:ascii="宋体" w:hAnsi="宋体" w:cs="宋体"/>
                <w:color w:val="auto"/>
                <w:kern w:val="2"/>
                <w:sz w:val="21"/>
                <w:szCs w:val="21"/>
                <w:highlight w:val="none"/>
                <w:lang w:val="en-US" w:eastAsia="zh-CN"/>
              </w:rPr>
              <w:t>投标人具有危害分析与关键控制点体系</w:t>
            </w:r>
            <w:r>
              <w:rPr>
                <w:rFonts w:hint="eastAsia" w:ascii="宋体" w:hAnsi="宋体" w:eastAsia="宋体" w:cs="宋体"/>
                <w:color w:val="auto"/>
                <w:kern w:val="2"/>
                <w:sz w:val="21"/>
                <w:szCs w:val="21"/>
                <w:highlight w:val="none"/>
              </w:rPr>
              <w:t>认证</w:t>
            </w:r>
            <w:r>
              <w:rPr>
                <w:rFonts w:hint="eastAsia" w:ascii="宋体" w:hAnsi="宋体" w:cs="宋体"/>
                <w:color w:val="auto"/>
                <w:kern w:val="2"/>
                <w:sz w:val="21"/>
                <w:szCs w:val="21"/>
                <w:highlight w:val="none"/>
                <w:lang w:val="en-US" w:eastAsia="zh-CN"/>
              </w:rPr>
              <w:t>证书</w:t>
            </w:r>
            <w:r>
              <w:rPr>
                <w:rFonts w:hint="eastAsia" w:ascii="宋体" w:hAnsi="宋体" w:eastAsia="宋体" w:cs="宋体"/>
                <w:color w:val="auto"/>
                <w:kern w:val="2"/>
                <w:sz w:val="21"/>
                <w:szCs w:val="21"/>
                <w:highlight w:val="none"/>
                <w:lang w:eastAsia="zh-CN"/>
              </w:rPr>
              <w:t>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，本项满分1分。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5、投标人具有绿色供应链认证证书</w:t>
            </w:r>
            <w:r>
              <w:rPr>
                <w:rFonts w:hint="eastAsia" w:ascii="宋体" w:hAnsi="宋体" w:eastAsia="宋体" w:cs="宋体"/>
                <w:color w:val="auto"/>
                <w:kern w:val="2"/>
                <w:sz w:val="21"/>
                <w:szCs w:val="21"/>
                <w:highlight w:val="none"/>
                <w:lang w:eastAsia="zh-CN"/>
              </w:rPr>
              <w:t>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，本项满分1分；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6、投标人具有食品可追溯管理体系认证证书</w:t>
            </w:r>
            <w:r>
              <w:rPr>
                <w:rFonts w:hint="eastAsia" w:ascii="宋体" w:hAnsi="宋体" w:eastAsia="宋体" w:cs="宋体"/>
                <w:color w:val="auto"/>
                <w:kern w:val="2"/>
                <w:sz w:val="21"/>
                <w:szCs w:val="21"/>
                <w:highlight w:val="none"/>
                <w:lang w:eastAsia="zh-CN"/>
              </w:rPr>
              <w:t>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，本项满分1分；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7、投标人具有服务质量评价认证证书</w:t>
            </w:r>
            <w:r>
              <w:rPr>
                <w:rFonts w:hint="eastAsia" w:ascii="宋体" w:hAnsi="宋体" w:eastAsia="宋体" w:cs="宋体"/>
                <w:color w:val="auto"/>
                <w:kern w:val="2"/>
                <w:sz w:val="21"/>
                <w:szCs w:val="21"/>
                <w:highlight w:val="none"/>
                <w:lang w:eastAsia="zh-CN"/>
              </w:rPr>
              <w:t>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，本项满分1分；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8、投标人具有履约能力评价服务认证证书</w:t>
            </w:r>
            <w:r>
              <w:rPr>
                <w:rFonts w:hint="eastAsia" w:ascii="宋体" w:hAnsi="宋体" w:eastAsia="宋体" w:cs="宋体"/>
                <w:color w:val="auto"/>
                <w:kern w:val="2"/>
                <w:sz w:val="21"/>
                <w:szCs w:val="21"/>
                <w:highlight w:val="none"/>
                <w:lang w:eastAsia="zh-CN"/>
              </w:rPr>
              <w:t>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，本项满分1分。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cs="宋体"/>
                <w:color w:val="auto"/>
                <w:kern w:val="2"/>
                <w:sz w:val="21"/>
                <w:szCs w:val="21"/>
                <w:highlight w:val="none"/>
                <w:lang w:val="en-US" w:eastAsia="zh-CN"/>
              </w:rPr>
              <w:t>注：</w:t>
            </w:r>
            <w:r>
              <w:rPr>
                <w:rFonts w:hint="eastAsia" w:ascii="宋体" w:hAnsi="宋体" w:eastAsia="宋体" w:cs="宋体"/>
                <w:color w:val="auto"/>
                <w:kern w:val="2"/>
                <w:sz w:val="21"/>
                <w:szCs w:val="21"/>
                <w:highlight w:val="none"/>
                <w:lang w:val="en-US" w:eastAsia="zh-CN"/>
              </w:rPr>
              <w:t>须提供有效期内证书复印件加盖</w:t>
            </w:r>
            <w:r>
              <w:rPr>
                <w:rFonts w:hint="eastAsia" w:ascii="宋体" w:hAnsi="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lang w:val="en-US" w:eastAsia="zh-CN"/>
              </w:rPr>
              <w:t>公章</w:t>
            </w:r>
            <w:r>
              <w:rPr>
                <w:rFonts w:hint="eastAsia" w:ascii="宋体" w:hAnsi="宋体" w:eastAsia="宋体" w:cs="宋体"/>
                <w:bCs/>
                <w:color w:val="auto"/>
                <w:sz w:val="21"/>
                <w:szCs w:val="21"/>
                <w:highlight w:val="none"/>
                <w:lang w:val="pt-BR"/>
              </w:rPr>
              <w:t>，否则不得分</w:t>
            </w:r>
            <w:r>
              <w:rPr>
                <w:rFonts w:hint="eastAsia" w:ascii="宋体" w:hAnsi="宋体" w:eastAsia="宋体" w:cs="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rPr>
              <w:t>服务便利性</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rPr>
              <w:t>2分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eastAsia="zh-CN"/>
              </w:rPr>
            </w:pPr>
            <w:r>
              <w:rPr>
                <w:rFonts w:hint="eastAsia" w:ascii="宋体" w:hAnsi="宋体" w:eastAsia="宋体" w:cs="宋体"/>
                <w:bCs/>
                <w:color w:val="auto"/>
                <w:sz w:val="21"/>
                <w:szCs w:val="21"/>
                <w:highlight w:val="none"/>
                <w:lang w:val="pt-BR"/>
              </w:rPr>
              <w:t>根据投标人提供的服务响应时间承诺进行</w:t>
            </w:r>
            <w:r>
              <w:rPr>
                <w:rFonts w:hint="eastAsia" w:ascii="宋体" w:hAnsi="宋体" w:eastAsia="宋体" w:cs="宋体"/>
                <w:bCs/>
                <w:color w:val="auto"/>
                <w:sz w:val="21"/>
                <w:szCs w:val="21"/>
                <w:highlight w:val="none"/>
                <w:lang w:val="pt-BR" w:eastAsia="zh-CN"/>
              </w:rPr>
              <w:t>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（1）投标人承诺在接到采购人通知后</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内到现场，得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pt-BR"/>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（2）投标人承诺在接到采购人通知后</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内到现场，得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pt-BR"/>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（3）投标人承诺在接到采购人通知后</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内到现场，得</w:t>
            </w:r>
            <w:r>
              <w:rPr>
                <w:rFonts w:hint="eastAsia" w:ascii="宋体" w:hAnsi="宋体" w:cs="宋体"/>
                <w:bCs/>
                <w:color w:val="auto"/>
                <w:sz w:val="21"/>
                <w:szCs w:val="21"/>
                <w:highlight w:val="none"/>
                <w:lang w:val="en-US" w:eastAsia="zh-CN"/>
              </w:rPr>
              <w:t>0.5</w:t>
            </w:r>
            <w:r>
              <w:rPr>
                <w:rFonts w:hint="eastAsia" w:ascii="宋体" w:hAnsi="宋体" w:eastAsia="宋体" w:cs="宋体"/>
                <w:bCs/>
                <w:color w:val="auto"/>
                <w:sz w:val="21"/>
                <w:szCs w:val="21"/>
                <w:highlight w:val="none"/>
                <w:lang w:val="pt-BR"/>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（4）投标人未承诺或承诺在接到采购人通知后超过</w:t>
            </w:r>
            <w:r>
              <w:rPr>
                <w:rFonts w:hint="eastAsia" w:ascii="宋体" w:hAnsi="宋体" w:cs="宋体"/>
                <w:bCs/>
                <w:color w:val="auto"/>
                <w:sz w:val="21"/>
                <w:szCs w:val="21"/>
                <w:highlight w:val="none"/>
                <w:lang w:val="en-US" w:eastAsia="zh-CN"/>
              </w:rPr>
              <w:t>4</w:t>
            </w:r>
            <w:bookmarkStart w:id="180" w:name="_GoBack"/>
            <w:bookmarkEnd w:id="180"/>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不含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到现场，不得分。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eastAsia="宋体" w:cs="宋体"/>
                <w:bCs/>
                <w:color w:val="auto"/>
                <w:sz w:val="21"/>
                <w:szCs w:val="21"/>
                <w:highlight w:val="none"/>
                <w:lang w:val="pt-BR"/>
              </w:rPr>
              <w:t>注：须提供服务承诺书并加盖投标人公章，否则不得分。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60分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对项目重点难点分析</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bCs/>
                <w:color w:val="auto"/>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根据投标人对</w:t>
            </w:r>
            <w:r>
              <w:rPr>
                <w:rFonts w:hint="eastAsia" w:ascii="宋体" w:hAnsi="宋体" w:eastAsia="宋体" w:cs="宋体"/>
                <w:color w:val="auto"/>
                <w:kern w:val="2"/>
                <w:sz w:val="21"/>
                <w:szCs w:val="21"/>
                <w:highlight w:val="none"/>
              </w:rPr>
              <w:t>项目重点难点分析</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详细、透彻</w:t>
            </w:r>
            <w:r>
              <w:rPr>
                <w:rFonts w:hint="eastAsia" w:ascii="宋体" w:hAnsi="宋体" w:cs="宋体"/>
                <w:color w:val="auto"/>
                <w:kern w:val="2"/>
                <w:sz w:val="21"/>
                <w:szCs w:val="21"/>
                <w:highlight w:val="none"/>
                <w:lang w:val="en-US" w:eastAsia="zh-CN"/>
              </w:rPr>
              <w:t>程度及能否</w:t>
            </w:r>
            <w:r>
              <w:rPr>
                <w:rFonts w:hint="eastAsia" w:ascii="宋体" w:hAnsi="宋体" w:eastAsia="宋体" w:cs="宋体"/>
                <w:color w:val="auto"/>
                <w:kern w:val="2"/>
                <w:sz w:val="21"/>
                <w:szCs w:val="21"/>
                <w:highlight w:val="none"/>
              </w:rPr>
              <w:t>结合本项目实际情况</w:t>
            </w:r>
            <w:r>
              <w:rPr>
                <w:rFonts w:hint="eastAsia" w:ascii="宋体" w:hAnsi="宋体" w:cs="宋体"/>
                <w:color w:val="auto"/>
                <w:kern w:val="2"/>
                <w:sz w:val="21"/>
                <w:szCs w:val="21"/>
                <w:highlight w:val="none"/>
                <w:lang w:val="en-US" w:eastAsia="zh-CN"/>
              </w:rPr>
              <w:t>分析等情况进行综合评审：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1)对本项目重点难点分析详细、透彻，能结合本项目实际情况分析，科学、合理的，得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2)对本项目重点难点分析较详细、透彻，能结合本项目实际情况分析，较科学、合理的，得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)对本项目重点难点分析</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详细、透彻，能结合本项目实际情况分析，合理</w:t>
            </w:r>
            <w:r>
              <w:rPr>
                <w:rFonts w:hint="eastAsia" w:ascii="宋体" w:hAnsi="宋体" w:cs="宋体"/>
                <w:color w:val="auto"/>
                <w:kern w:val="2"/>
                <w:sz w:val="21"/>
                <w:szCs w:val="21"/>
                <w:highlight w:val="none"/>
                <w:lang w:val="en-US" w:eastAsia="zh-CN"/>
              </w:rPr>
              <w:t>性一般</w:t>
            </w:r>
            <w:r>
              <w:rPr>
                <w:rFonts w:hint="eastAsia" w:ascii="宋体" w:hAnsi="宋体" w:eastAsia="宋体" w:cs="宋体"/>
                <w:color w:val="auto"/>
                <w:kern w:val="2"/>
                <w:sz w:val="21"/>
                <w:szCs w:val="21"/>
                <w:highlight w:val="none"/>
              </w:rPr>
              <w:t>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)对本项目重点难点分析不详细，不能结合本项目实际情况分析，缺乏科学合理性的，得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2"/>
                <w:sz w:val="21"/>
                <w:szCs w:val="21"/>
                <w:highlight w:val="none"/>
              </w:rPr>
              <w:t>5)其他或无响应，得0分。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rPr>
              <w:t>投标产品的质量保证和食品安全保障措施方案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15分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根据投标人对</w:t>
            </w:r>
            <w:r>
              <w:rPr>
                <w:rFonts w:hint="eastAsia" w:ascii="宋体" w:hAnsi="宋体" w:eastAsia="宋体" w:cs="宋体"/>
                <w:bCs/>
                <w:color w:val="auto"/>
                <w:kern w:val="2"/>
                <w:sz w:val="21"/>
                <w:szCs w:val="21"/>
                <w:highlight w:val="none"/>
              </w:rPr>
              <w:t>投标产品的质量保证和食品安全保障措施方案</w:t>
            </w:r>
            <w:r>
              <w:rPr>
                <w:rFonts w:hint="eastAsia" w:ascii="宋体" w:hAnsi="宋体" w:cs="宋体"/>
                <w:bCs/>
                <w:color w:val="auto"/>
                <w:kern w:val="2"/>
                <w:sz w:val="21"/>
                <w:szCs w:val="21"/>
                <w:highlight w:val="none"/>
                <w:lang w:val="en-US" w:eastAsia="zh-CN"/>
              </w:rPr>
              <w:t>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1)投标产品的来源回溯、运储、仓储各环节的质量保证及食品安全保障措施完整、科学、合理的得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2)投标产品的来源回溯、运储、仓储各环节的质量保证及食品安全保障措施</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完整、较科学、</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3)投标产品的来源回溯、运储、仓储各环节的质量保证及食品安全保障措施基本完整、基本科学、</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4)投标产品的来源回溯、运储、仓储各环节的质量保证及食品安全保障措施不完整、缺乏科学合理性的得1分；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kern w:val="2"/>
                <w:sz w:val="21"/>
                <w:szCs w:val="21"/>
                <w:highlight w:val="none"/>
              </w:rPr>
              <w:t>5)其他或无响应，得0分。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配送服务方案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hAnsi="宋体" w:eastAsia="宋体" w:cs="宋体"/>
                <w:color w:val="auto"/>
                <w:kern w:val="2"/>
                <w:sz w:val="21"/>
                <w:szCs w:val="21"/>
                <w:highlight w:val="none"/>
                <w:lang w:val="en-US"/>
              </w:rPr>
            </w:pPr>
            <w:r>
              <w:rPr>
                <w:rFonts w:hint="eastAsia" w:ascii="宋体" w:hAnsi="宋体" w:cs="宋体"/>
                <w:bCs/>
                <w:color w:val="auto"/>
                <w:sz w:val="21"/>
                <w:szCs w:val="21"/>
                <w:highlight w:val="none"/>
                <w:lang w:val="en-US" w:eastAsia="zh-CN"/>
              </w:rPr>
              <w:t>15分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根据投标人提供的</w:t>
            </w:r>
            <w:r>
              <w:rPr>
                <w:rFonts w:hint="eastAsia" w:ascii="宋体" w:hAnsi="宋体" w:eastAsia="宋体" w:cs="宋体"/>
                <w:color w:val="auto"/>
                <w:kern w:val="2"/>
                <w:sz w:val="21"/>
                <w:szCs w:val="21"/>
                <w:highlight w:val="none"/>
              </w:rPr>
              <w:t>配送服务方案</w:t>
            </w:r>
            <w:r>
              <w:rPr>
                <w:rFonts w:hint="eastAsia" w:ascii="宋体" w:hAnsi="宋体" w:cs="宋体"/>
                <w:color w:val="auto"/>
                <w:kern w:val="2"/>
                <w:sz w:val="21"/>
                <w:szCs w:val="21"/>
                <w:highlight w:val="none"/>
                <w:lang w:val="en-US" w:eastAsia="zh-CN"/>
              </w:rPr>
              <w:t>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1)方案内容完整、详细、表述清晰、科学合理、切实可行，得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2)方案内容较完整、</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详细、表述较清晰、合理可行，得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3)方案内容基本完整、表述基本清晰、基本合理可行，得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4)方案内容不完整、表述不清晰、缺乏合理性，得1分；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kern w:val="2"/>
                <w:sz w:val="21"/>
                <w:szCs w:val="21"/>
                <w:highlight w:val="none"/>
              </w:rPr>
              <w:t>5)其他或无响应，得0分。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出现产品质量问题退换货方案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hAnsi="宋体" w:eastAsia="宋体" w:cs="宋体"/>
                <w:color w:val="auto"/>
                <w:kern w:val="2"/>
                <w:sz w:val="21"/>
                <w:szCs w:val="21"/>
                <w:highlight w:val="none"/>
                <w:lang w:val="en-US"/>
              </w:rPr>
            </w:pPr>
            <w:r>
              <w:rPr>
                <w:rFonts w:hint="eastAsia" w:ascii="宋体" w:hAnsi="宋体" w:cs="宋体"/>
                <w:color w:val="auto"/>
                <w:kern w:val="2"/>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cs="宋体"/>
                <w:color w:val="auto"/>
                <w:kern w:val="2"/>
                <w:sz w:val="21"/>
                <w:szCs w:val="21"/>
                <w:highlight w:val="none"/>
                <w:lang w:val="en-US" w:eastAsia="zh-CN"/>
              </w:rPr>
              <w:t>投标人提供</w:t>
            </w:r>
            <w:r>
              <w:rPr>
                <w:rFonts w:hint="eastAsia" w:ascii="宋体" w:hAnsi="宋体" w:eastAsia="宋体" w:cs="宋体"/>
                <w:color w:val="auto"/>
                <w:kern w:val="2"/>
                <w:sz w:val="21"/>
                <w:szCs w:val="21"/>
                <w:highlight w:val="none"/>
              </w:rPr>
              <w:t>的退换方案（包含：退换流程）及措施进行</w:t>
            </w:r>
            <w:r>
              <w:rPr>
                <w:rFonts w:hint="eastAsia" w:ascii="宋体" w:hAnsi="宋体" w:cs="宋体"/>
                <w:color w:val="auto"/>
                <w:kern w:val="2"/>
                <w:sz w:val="21"/>
                <w:szCs w:val="21"/>
                <w:highlight w:val="none"/>
                <w:lang w:val="en-US" w:eastAsia="zh-CN"/>
              </w:rPr>
              <w:t>综合评审</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退换货方案全面、详细具体、流程科学（合理）、退换货周期快速，得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1"/>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)退换货方案</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具体、流程</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合理、退换货周期快速，得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)退换货方案不够全面、简略一般、流程基本合理、退换货周期一般，得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)退换货方案存在重大缺陷、流程具有重大漏洞的、退换货周期慢，得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突发事件的应急响应方案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rPr>
              <w:t>提供</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项目实施应急服务预案</w:t>
            </w:r>
            <w:r>
              <w:rPr>
                <w:rFonts w:hint="eastAsia" w:ascii="宋体" w:hAnsi="宋体" w:cs="宋体"/>
                <w:color w:val="auto"/>
                <w:kern w:val="2"/>
                <w:sz w:val="21"/>
                <w:szCs w:val="21"/>
                <w:highlight w:val="none"/>
                <w:lang w:val="en-US" w:eastAsia="zh-CN"/>
              </w:rPr>
              <w:t>进行综合评审</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14"/>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针对本项目拟定的突发事件的处理措施和应急预案全面、科学、合理、可行且详细的，得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合理</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)针对本项目拟定的突发事件的处理措施和应急预案不全面、</w:t>
            </w:r>
            <w:r>
              <w:rPr>
                <w:rFonts w:hint="eastAsia" w:ascii="宋体" w:hAnsi="宋体" w:cs="宋体"/>
                <w:color w:val="auto"/>
                <w:kern w:val="2"/>
                <w:sz w:val="21"/>
                <w:szCs w:val="21"/>
                <w:highlight w:val="none"/>
                <w:lang w:val="en-US" w:eastAsia="zh-CN"/>
              </w:rPr>
              <w:t>不</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)其他或无响应，得0分。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投标人</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投标</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w:t>
            </w:r>
            <w:r>
              <w:rPr>
                <w:rFonts w:hint="eastAsia" w:ascii="宋体" w:hAnsi="宋体"/>
                <w:b/>
                <w:color w:val="auto"/>
                <w:sz w:val="21"/>
                <w:szCs w:val="21"/>
                <w:highlight w:val="none"/>
                <w:lang w:eastAsia="zh-CN"/>
              </w:rPr>
              <w:t>投标人</w:t>
            </w:r>
            <w:r>
              <w:rPr>
                <w:rFonts w:hint="eastAsia" w:ascii="宋体" w:hAnsi="宋体" w:eastAsia="宋体"/>
                <w:b/>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10分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投标报价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分</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spacing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color w:val="auto"/>
                <w:kern w:val="2"/>
                <w:sz w:val="21"/>
                <w:szCs w:val="21"/>
                <w:highlight w:val="none"/>
                <w:lang w:val="zh-CN"/>
              </w:rPr>
              <w:t>价</w:t>
            </w:r>
            <w:r>
              <w:rPr>
                <w:rFonts w:hint="eastAsia" w:ascii="宋体" w:hAnsi="宋体" w:eastAsia="宋体" w:cs="宋体"/>
                <w:bCs/>
                <w:color w:val="auto"/>
                <w:sz w:val="21"/>
                <w:szCs w:val="21"/>
                <w:highlight w:val="none"/>
                <w:lang w:val="zh-CN"/>
              </w:rPr>
              <w:t>格分计算方法：满足招标文件要求且投标报价最低（即最大下浮率）的投标报价为评标基准价，其价格分为满分。其他</w:t>
            </w:r>
            <w:r>
              <w:rPr>
                <w:rFonts w:hint="eastAsia" w:ascii="宋体" w:hAnsi="宋体" w:eastAsia="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rPr>
              <w:t>的价格分统一按照下列公式计算：</w:t>
            </w:r>
            <w:r>
              <w:rPr>
                <w:rFonts w:hint="eastAsia" w:ascii="宋体" w:hAnsi="宋体" w:eastAsia="宋体" w:cs="宋体"/>
                <w:bCs/>
                <w:color w:val="auto"/>
                <w:sz w:val="21"/>
                <w:szCs w:val="21"/>
                <w:highlight w:val="none"/>
                <w:lang w:val="zh-CN" w:eastAsia="zh-CN"/>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lang w:val="zh-CN"/>
              </w:rPr>
              <w:t>投标报价得分=[(1-最大下浮率)／(1-投标下浮率)] ×价格权重</w:t>
            </w:r>
          </w:p>
        </w:tc>
      </w:tr>
    </w:tbl>
    <w:p>
      <w:pPr>
        <w:rPr>
          <w:color w:val="auto"/>
          <w:highlight w:val="none"/>
        </w:rPr>
      </w:pPr>
      <w:r>
        <w:rPr>
          <w:color w:val="auto"/>
          <w:highlight w:val="none"/>
        </w:rPr>
        <w:br w:type="page"/>
      </w:r>
    </w:p>
    <w:p>
      <w:pPr>
        <w:pStyle w:val="3"/>
        <w:numPr>
          <w:ilvl w:val="0"/>
          <w:numId w:val="1"/>
        </w:numPr>
        <w:rPr>
          <w:color w:val="auto"/>
          <w:highlight w:val="none"/>
        </w:rPr>
      </w:pPr>
      <w:bookmarkStart w:id="142" w:name="_Toc32522"/>
      <w:r>
        <w:rPr>
          <w:rFonts w:hint="eastAsia"/>
          <w:color w:val="auto"/>
          <w:highlight w:val="none"/>
        </w:rPr>
        <w:t>合同文本参考格式</w:t>
      </w:r>
      <w:bookmarkEnd w:id="142"/>
    </w:p>
    <w:p>
      <w:pPr>
        <w:jc w:val="center"/>
        <w:outlineLvl w:val="1"/>
        <w:rPr>
          <w:color w:val="auto"/>
          <w:sz w:val="18"/>
          <w:szCs w:val="21"/>
          <w:highlight w:val="none"/>
        </w:rPr>
      </w:pPr>
      <w:bookmarkStart w:id="143" w:name="_Toc1541"/>
      <w:r>
        <w:rPr>
          <w:rFonts w:hint="eastAsia" w:ascii="宋体" w:hAnsi="宋体" w:cs="宋体"/>
          <w:b/>
          <w:bCs/>
          <w:color w:val="auto"/>
          <w:sz w:val="22"/>
          <w:szCs w:val="22"/>
          <w:highlight w:val="none"/>
        </w:rPr>
        <w:t>（本格式编排在招标文件中，供投标人参考，投标时不需填写）</w:t>
      </w:r>
      <w:bookmarkEnd w:id="143"/>
    </w:p>
    <w:p>
      <w:pPr>
        <w:spacing w:line="360" w:lineRule="auto"/>
        <w:rPr>
          <w:color w:val="auto"/>
          <w:highlight w:val="none"/>
        </w:rPr>
      </w:pPr>
      <w:r>
        <w:rPr>
          <w:rFonts w:hint="eastAsia"/>
          <w:color w:val="auto"/>
          <w:highlight w:val="none"/>
        </w:rPr>
        <w:t>甲方：</w:t>
      </w:r>
      <w:r>
        <w:rPr>
          <w:rFonts w:hint="eastAsia"/>
          <w:color w:val="auto"/>
          <w:highlight w:val="none"/>
        </w:rPr>
        <w:tab/>
      </w:r>
    </w:p>
    <w:p>
      <w:pPr>
        <w:spacing w:line="360" w:lineRule="auto"/>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r>
        <w:rPr>
          <w:rFonts w:hint="eastAsia"/>
          <w:color w:val="auto"/>
          <w:highlight w:val="none"/>
        </w:rPr>
        <w:t xml:space="preserve">乙方：  </w:t>
      </w:r>
      <w:r>
        <w:rPr>
          <w:rFonts w:hint="eastAsia"/>
          <w:color w:val="auto"/>
          <w:highlight w:val="none"/>
        </w:rPr>
        <w:tab/>
      </w:r>
    </w:p>
    <w:p>
      <w:pPr>
        <w:spacing w:line="360" w:lineRule="auto"/>
        <w:rPr>
          <w:color w:val="auto"/>
          <w:highlight w:val="none"/>
        </w:rPr>
      </w:pPr>
      <w:r>
        <w:rPr>
          <w:rFonts w:hint="eastAsia"/>
          <w:color w:val="auto"/>
          <w:highlight w:val="none"/>
        </w:rPr>
        <w:t xml:space="preserve">电话： </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p>
    <w:p>
      <w:pPr>
        <w:spacing w:line="360" w:lineRule="auto"/>
        <w:ind w:firstLine="420" w:firstLineChars="200"/>
        <w:rPr>
          <w:color w:val="auto"/>
          <w:highlight w:val="none"/>
        </w:rPr>
      </w:pPr>
      <w:r>
        <w:rPr>
          <w:rFonts w:hint="eastAsia"/>
          <w:color w:val="auto"/>
          <w:highlight w:val="none"/>
        </w:rPr>
        <w:t>根据</w:t>
      </w:r>
      <w:r>
        <w:rPr>
          <w:rFonts w:hint="eastAsia"/>
          <w:color w:val="auto"/>
          <w:highlight w:val="none"/>
          <w:u w:val="single"/>
        </w:rPr>
        <w:t xml:space="preserve">   </w:t>
      </w:r>
      <w:r>
        <w:rPr>
          <w:rFonts w:hint="eastAsia"/>
          <w:color w:val="auto"/>
          <w:highlight w:val="none"/>
        </w:rPr>
        <w:t>项目的采购结果，按照《中华人民共和国民法典</w:t>
      </w:r>
      <w:r>
        <w:rPr>
          <w:rFonts w:hint="eastAsia"/>
          <w:color w:val="auto"/>
          <w:highlight w:val="none"/>
          <w:lang w:eastAsia="zh-CN"/>
        </w:rPr>
        <w:t>（</w:t>
      </w:r>
      <w:r>
        <w:rPr>
          <w:rFonts w:hint="eastAsia"/>
          <w:color w:val="auto"/>
          <w:highlight w:val="none"/>
        </w:rPr>
        <w:t>合同编)》的规定，经双方协商，本着平等互利和诚实信用的原则，一致同意遵守本合同如下。</w:t>
      </w:r>
    </w:p>
    <w:p>
      <w:pPr>
        <w:spacing w:line="360" w:lineRule="auto"/>
        <w:outlineLvl w:val="1"/>
        <w:rPr>
          <w:b/>
          <w:bCs/>
          <w:color w:val="auto"/>
          <w:highlight w:val="none"/>
        </w:rPr>
      </w:pPr>
      <w:bookmarkStart w:id="144" w:name="_Toc864"/>
      <w:r>
        <w:rPr>
          <w:rFonts w:hint="eastAsia"/>
          <w:b/>
          <w:bCs/>
          <w:color w:val="auto"/>
          <w:highlight w:val="none"/>
        </w:rPr>
        <w:t>一、合同金额</w:t>
      </w:r>
      <w:bookmarkEnd w:id="144"/>
    </w:p>
    <w:p>
      <w:pPr>
        <w:spacing w:line="360" w:lineRule="auto"/>
        <w:ind w:firstLine="420" w:firstLineChars="200"/>
        <w:rPr>
          <w:color w:val="auto"/>
          <w:highlight w:val="none"/>
        </w:rPr>
      </w:pPr>
      <w:r>
        <w:rPr>
          <w:rFonts w:hint="eastAsia"/>
          <w:color w:val="auto"/>
          <w:highlight w:val="none"/>
        </w:rPr>
        <w:t xml:space="preserve">合同金额为（大写）： </w:t>
      </w:r>
      <w:r>
        <w:rPr>
          <w:rFonts w:hint="eastAsia"/>
          <w:color w:val="auto"/>
          <w:highlight w:val="none"/>
        </w:rPr>
        <w:tab/>
      </w:r>
      <w:r>
        <w:rPr>
          <w:rFonts w:hint="eastAsia"/>
          <w:color w:val="auto"/>
          <w:highlight w:val="none"/>
        </w:rPr>
        <w:t xml:space="preserve">元（￥ </w:t>
      </w:r>
      <w:r>
        <w:rPr>
          <w:rFonts w:hint="eastAsia"/>
          <w:color w:val="auto"/>
          <w:highlight w:val="none"/>
        </w:rPr>
        <w:tab/>
      </w:r>
      <w:r>
        <w:rPr>
          <w:rFonts w:hint="eastAsia"/>
          <w:color w:val="auto"/>
          <w:highlight w:val="none"/>
        </w:rPr>
        <w:t>元）人民币。</w:t>
      </w:r>
    </w:p>
    <w:p>
      <w:pPr>
        <w:spacing w:line="360" w:lineRule="auto"/>
        <w:outlineLvl w:val="1"/>
        <w:rPr>
          <w:b/>
          <w:bCs/>
          <w:color w:val="auto"/>
          <w:highlight w:val="none"/>
        </w:rPr>
      </w:pPr>
      <w:bookmarkStart w:id="145" w:name="_Toc32599"/>
      <w:r>
        <w:rPr>
          <w:rFonts w:hint="eastAsia"/>
          <w:b/>
          <w:bCs/>
          <w:color w:val="auto"/>
          <w:highlight w:val="none"/>
        </w:rPr>
        <w:t>二、服务范围</w:t>
      </w:r>
      <w:bookmarkEnd w:id="145"/>
    </w:p>
    <w:p>
      <w:pPr>
        <w:spacing w:line="360" w:lineRule="auto"/>
        <w:ind w:firstLine="420" w:firstLineChars="200"/>
        <w:rPr>
          <w:color w:val="auto"/>
          <w:highlight w:val="none"/>
        </w:rPr>
      </w:pPr>
      <w:r>
        <w:rPr>
          <w:rFonts w:hint="eastAsia"/>
          <w:color w:val="auto"/>
          <w:highlight w:val="none"/>
        </w:rPr>
        <w:t>甲方聘请乙方提供以下服务：</w:t>
      </w:r>
    </w:p>
    <w:p>
      <w:pPr>
        <w:spacing w:line="360" w:lineRule="auto"/>
        <w:ind w:firstLine="420" w:firstLineChars="200"/>
        <w:rPr>
          <w:color w:val="auto"/>
          <w:highlight w:val="none"/>
        </w:rPr>
      </w:pPr>
      <w:r>
        <w:rPr>
          <w:rFonts w:hint="eastAsia"/>
          <w:color w:val="auto"/>
          <w:highlight w:val="none"/>
        </w:rPr>
        <w:t xml:space="preserve">1.               </w:t>
      </w:r>
    </w:p>
    <w:p>
      <w:pPr>
        <w:spacing w:line="360" w:lineRule="auto"/>
        <w:ind w:firstLine="420" w:firstLineChars="200"/>
        <w:rPr>
          <w:color w:val="auto"/>
          <w:highlight w:val="none"/>
        </w:rPr>
      </w:pPr>
      <w:r>
        <w:rPr>
          <w:rFonts w:hint="eastAsia"/>
          <w:color w:val="auto"/>
          <w:highlight w:val="none"/>
        </w:rPr>
        <w:t xml:space="preserve">2．              </w:t>
      </w:r>
    </w:p>
    <w:p>
      <w:pPr>
        <w:spacing w:line="360" w:lineRule="auto"/>
        <w:outlineLvl w:val="1"/>
        <w:rPr>
          <w:b/>
          <w:bCs/>
          <w:color w:val="auto"/>
          <w:highlight w:val="none"/>
        </w:rPr>
      </w:pPr>
      <w:bookmarkStart w:id="146" w:name="_Toc28304"/>
      <w:r>
        <w:rPr>
          <w:rFonts w:hint="eastAsia"/>
          <w:b/>
          <w:bCs/>
          <w:color w:val="auto"/>
          <w:highlight w:val="none"/>
        </w:rPr>
        <w:t>三、甲方乙方的权利和义务</w:t>
      </w:r>
      <w:bookmarkEnd w:id="146"/>
    </w:p>
    <w:p>
      <w:pPr>
        <w:spacing w:line="360" w:lineRule="auto"/>
        <w:ind w:firstLine="420" w:firstLineChars="200"/>
        <w:rPr>
          <w:color w:val="auto"/>
          <w:highlight w:val="none"/>
        </w:rPr>
      </w:pPr>
      <w:r>
        <w:rPr>
          <w:rFonts w:hint="eastAsia"/>
          <w:color w:val="auto"/>
          <w:highlight w:val="none"/>
        </w:rPr>
        <w:t>甲方的权利和义务：</w:t>
      </w:r>
    </w:p>
    <w:p>
      <w:pPr>
        <w:spacing w:line="360" w:lineRule="auto"/>
        <w:ind w:firstLine="420" w:firstLineChars="200"/>
        <w:rPr>
          <w:color w:val="auto"/>
          <w:highlight w:val="none"/>
        </w:rPr>
      </w:pPr>
      <w:r>
        <w:rPr>
          <w:rFonts w:hint="eastAsia"/>
          <w:color w:val="auto"/>
          <w:highlight w:val="none"/>
        </w:rPr>
        <w:t>乙方的权利和义务：</w:t>
      </w:r>
    </w:p>
    <w:p>
      <w:pPr>
        <w:spacing w:line="360" w:lineRule="auto"/>
        <w:outlineLvl w:val="1"/>
        <w:rPr>
          <w:b/>
          <w:bCs/>
          <w:color w:val="auto"/>
          <w:highlight w:val="none"/>
        </w:rPr>
      </w:pPr>
      <w:bookmarkStart w:id="147" w:name="_Toc31228"/>
      <w:r>
        <w:rPr>
          <w:rFonts w:hint="eastAsia"/>
          <w:b/>
          <w:bCs/>
          <w:color w:val="auto"/>
          <w:highlight w:val="none"/>
        </w:rPr>
        <w:t>四、服务期间（项目完成期限）</w:t>
      </w:r>
      <w:bookmarkEnd w:id="147"/>
    </w:p>
    <w:p>
      <w:pPr>
        <w:spacing w:line="360" w:lineRule="auto"/>
        <w:ind w:firstLine="420" w:firstLineChars="200"/>
        <w:rPr>
          <w:color w:val="auto"/>
          <w:highlight w:val="none"/>
        </w:rPr>
      </w:pPr>
      <w:r>
        <w:rPr>
          <w:rFonts w:hint="eastAsia"/>
          <w:color w:val="auto"/>
          <w:highlight w:val="none"/>
        </w:rPr>
        <w:t xml:space="preserve">1.委托服务期间自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highlight w:val="none"/>
        </w:rPr>
        <w:t xml:space="preserve">月至     年 </w:t>
      </w:r>
      <w:r>
        <w:rPr>
          <w:rFonts w:hint="eastAsia"/>
          <w:color w:val="auto"/>
          <w:highlight w:val="none"/>
        </w:rPr>
        <w:tab/>
      </w:r>
      <w:r>
        <w:rPr>
          <w:rFonts w:hint="eastAsia"/>
          <w:color w:val="auto"/>
          <w:highlight w:val="none"/>
        </w:rPr>
        <w:t>止。</w:t>
      </w:r>
    </w:p>
    <w:p>
      <w:pPr>
        <w:spacing w:line="360" w:lineRule="auto"/>
        <w:outlineLvl w:val="1"/>
        <w:rPr>
          <w:b/>
          <w:bCs/>
          <w:color w:val="auto"/>
          <w:highlight w:val="none"/>
        </w:rPr>
      </w:pPr>
      <w:bookmarkStart w:id="148" w:name="_Toc1315"/>
      <w:r>
        <w:rPr>
          <w:rFonts w:hint="eastAsia"/>
          <w:b/>
          <w:bCs/>
          <w:color w:val="auto"/>
          <w:highlight w:val="none"/>
        </w:rPr>
        <w:t>五、付款方式</w:t>
      </w:r>
      <w:bookmarkEnd w:id="148"/>
    </w:p>
    <w:p>
      <w:pPr>
        <w:spacing w:line="360" w:lineRule="auto"/>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本合同的付款方式为：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line="360" w:lineRule="auto"/>
        <w:outlineLvl w:val="1"/>
        <w:rPr>
          <w:b/>
          <w:bCs/>
          <w:color w:val="auto"/>
          <w:highlight w:val="none"/>
        </w:rPr>
      </w:pPr>
      <w:bookmarkStart w:id="149" w:name="_Toc29016"/>
      <w:r>
        <w:rPr>
          <w:rFonts w:hint="eastAsia"/>
          <w:b/>
          <w:bCs/>
          <w:color w:val="auto"/>
          <w:highlight w:val="none"/>
        </w:rPr>
        <w:t>六、知识产权归属</w:t>
      </w:r>
      <w:bookmarkEnd w:id="149"/>
    </w:p>
    <w:p>
      <w:pPr>
        <w:spacing w:line="360" w:lineRule="auto"/>
        <w:outlineLvl w:val="1"/>
        <w:rPr>
          <w:b/>
          <w:bCs/>
          <w:color w:val="auto"/>
          <w:highlight w:val="none"/>
        </w:rPr>
      </w:pPr>
      <w:bookmarkStart w:id="150" w:name="_Toc491"/>
      <w:r>
        <w:rPr>
          <w:rFonts w:hint="eastAsia"/>
          <w:b/>
          <w:bCs/>
          <w:color w:val="auto"/>
          <w:highlight w:val="none"/>
        </w:rPr>
        <w:t>七、保密</w:t>
      </w:r>
      <w:bookmarkEnd w:id="150"/>
    </w:p>
    <w:p>
      <w:pPr>
        <w:spacing w:line="360" w:lineRule="auto"/>
        <w:outlineLvl w:val="1"/>
        <w:rPr>
          <w:b/>
          <w:bCs/>
          <w:color w:val="auto"/>
          <w:highlight w:val="none"/>
        </w:rPr>
      </w:pPr>
      <w:bookmarkStart w:id="151" w:name="_Toc5642"/>
      <w:r>
        <w:rPr>
          <w:rFonts w:hint="eastAsia"/>
          <w:b/>
          <w:bCs/>
          <w:color w:val="auto"/>
          <w:highlight w:val="none"/>
        </w:rPr>
        <w:t>八、违约责任与赔偿损失</w:t>
      </w:r>
      <w:bookmarkEnd w:id="151"/>
    </w:p>
    <w:p>
      <w:pPr>
        <w:spacing w:line="360" w:lineRule="auto"/>
        <w:ind w:firstLine="420" w:firstLineChars="200"/>
        <w:rPr>
          <w:color w:val="auto"/>
          <w:highlight w:val="none"/>
        </w:rPr>
      </w:pPr>
      <w:r>
        <w:rPr>
          <w:rFonts w:hint="eastAsia"/>
          <w:color w:val="auto"/>
          <w:highlight w:val="none"/>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spacing w:line="360" w:lineRule="auto"/>
        <w:ind w:firstLine="420" w:firstLineChars="200"/>
        <w:rPr>
          <w:color w:val="auto"/>
          <w:highlight w:val="none"/>
        </w:rPr>
      </w:pPr>
      <w:r>
        <w:rPr>
          <w:rFonts w:hint="eastAsia"/>
          <w:color w:val="auto"/>
          <w:highlight w:val="none"/>
        </w:rPr>
        <w:t>2.甲方无正当理由拒收接受服务，到期拒付服务款项的，甲方向乙方偿付本合同总的5%的违约金。甲方人逾期付款，则每日按本合同总价的3‰向乙方偿付违约金。</w:t>
      </w:r>
    </w:p>
    <w:p>
      <w:pPr>
        <w:spacing w:line="360" w:lineRule="auto"/>
        <w:ind w:firstLine="420" w:firstLineChars="200"/>
        <w:rPr>
          <w:color w:val="auto"/>
          <w:highlight w:val="none"/>
        </w:rPr>
      </w:pPr>
      <w:r>
        <w:rPr>
          <w:rFonts w:hint="eastAsia"/>
          <w:color w:val="auto"/>
          <w:highlight w:val="none"/>
        </w:rPr>
        <w:t>3.对于因甲方原因导致变更、中止或者终止政府采购合同的，甲方应当依照以下合同约定对供应商受到的损失予以赔偿或者补偿：</w:t>
      </w:r>
    </w:p>
    <w:p>
      <w:pPr>
        <w:spacing w:line="360" w:lineRule="auto"/>
        <w:ind w:firstLine="420" w:firstLineChars="200"/>
        <w:rPr>
          <w:color w:val="auto"/>
          <w:highlight w:val="none"/>
        </w:rPr>
      </w:pPr>
      <w:r>
        <w:rPr>
          <w:rFonts w:hint="eastAsia"/>
          <w:color w:val="auto"/>
          <w:highlight w:val="none"/>
        </w:rPr>
        <w:t>4.其它违约责任按《中华人民共和国民法典</w:t>
      </w:r>
      <w:r>
        <w:rPr>
          <w:rFonts w:hint="eastAsia"/>
          <w:color w:val="auto"/>
          <w:highlight w:val="none"/>
          <w:lang w:eastAsia="zh-CN"/>
        </w:rPr>
        <w:t>（</w:t>
      </w:r>
      <w:r>
        <w:rPr>
          <w:rFonts w:hint="eastAsia"/>
          <w:color w:val="auto"/>
          <w:highlight w:val="none"/>
        </w:rPr>
        <w:t>合同编)》处理</w:t>
      </w:r>
    </w:p>
    <w:p>
      <w:pPr>
        <w:spacing w:line="360" w:lineRule="auto"/>
        <w:outlineLvl w:val="1"/>
        <w:rPr>
          <w:b/>
          <w:bCs/>
          <w:color w:val="auto"/>
          <w:highlight w:val="none"/>
        </w:rPr>
      </w:pPr>
      <w:bookmarkStart w:id="152" w:name="_Toc30679"/>
      <w:r>
        <w:rPr>
          <w:rFonts w:hint="eastAsia"/>
          <w:b/>
          <w:bCs/>
          <w:color w:val="auto"/>
          <w:highlight w:val="none"/>
        </w:rPr>
        <w:t>九、争议的解决</w:t>
      </w:r>
      <w:bookmarkEnd w:id="152"/>
    </w:p>
    <w:p>
      <w:pPr>
        <w:spacing w:line="360" w:lineRule="auto"/>
        <w:ind w:firstLine="420" w:firstLineChars="200"/>
        <w:rPr>
          <w:color w:val="auto"/>
          <w:highlight w:val="none"/>
        </w:rPr>
      </w:pPr>
      <w:r>
        <w:rPr>
          <w:rFonts w:hint="eastAsia"/>
          <w:color w:val="auto"/>
          <w:highlight w:val="none"/>
        </w:rPr>
        <w:t>合同执行过程中发生的任何争议，如双方不能通过友好协商解决，按相关法律法规处理。</w:t>
      </w:r>
    </w:p>
    <w:p>
      <w:pPr>
        <w:spacing w:line="360" w:lineRule="auto"/>
        <w:outlineLvl w:val="1"/>
        <w:rPr>
          <w:b/>
          <w:bCs/>
          <w:color w:val="auto"/>
          <w:highlight w:val="none"/>
        </w:rPr>
      </w:pPr>
      <w:bookmarkStart w:id="153" w:name="_Toc26856"/>
      <w:r>
        <w:rPr>
          <w:rFonts w:hint="eastAsia"/>
          <w:b/>
          <w:bCs/>
          <w:color w:val="auto"/>
          <w:highlight w:val="none"/>
        </w:rPr>
        <w:t>十、不可抗力</w:t>
      </w:r>
      <w:bookmarkEnd w:id="153"/>
    </w:p>
    <w:p>
      <w:pPr>
        <w:spacing w:line="360" w:lineRule="auto"/>
        <w:ind w:firstLine="420" w:firstLineChars="200"/>
        <w:rPr>
          <w:color w:val="auto"/>
          <w:highlight w:val="none"/>
        </w:rPr>
      </w:pPr>
      <w:r>
        <w:rPr>
          <w:rFonts w:hint="eastAsia"/>
          <w:color w:val="auto"/>
          <w:highlight w:val="none"/>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spacing w:line="360" w:lineRule="auto"/>
        <w:outlineLvl w:val="1"/>
        <w:rPr>
          <w:b/>
          <w:bCs/>
          <w:color w:val="auto"/>
          <w:highlight w:val="none"/>
        </w:rPr>
      </w:pPr>
      <w:bookmarkStart w:id="154" w:name="_Toc16247"/>
      <w:r>
        <w:rPr>
          <w:rFonts w:hint="eastAsia"/>
          <w:b/>
          <w:bCs/>
          <w:color w:val="auto"/>
          <w:highlight w:val="none"/>
        </w:rPr>
        <w:t>十一、税费</w:t>
      </w:r>
      <w:bookmarkEnd w:id="154"/>
    </w:p>
    <w:p>
      <w:pPr>
        <w:spacing w:line="360" w:lineRule="auto"/>
        <w:ind w:firstLine="420" w:firstLineChars="200"/>
        <w:rPr>
          <w:color w:val="auto"/>
          <w:highlight w:val="none"/>
        </w:rPr>
      </w:pPr>
      <w:r>
        <w:rPr>
          <w:rFonts w:hint="eastAsia"/>
          <w:color w:val="auto"/>
          <w:highlight w:val="none"/>
        </w:rPr>
        <w:t>在中国境内、外发生的与本合同执行有关的一切税费均由乙方负担。</w:t>
      </w:r>
    </w:p>
    <w:p>
      <w:pPr>
        <w:spacing w:line="360" w:lineRule="auto"/>
        <w:outlineLvl w:val="1"/>
        <w:rPr>
          <w:b/>
          <w:bCs/>
          <w:color w:val="auto"/>
          <w:highlight w:val="none"/>
        </w:rPr>
      </w:pPr>
      <w:bookmarkStart w:id="155" w:name="_Toc14065"/>
      <w:r>
        <w:rPr>
          <w:rFonts w:hint="eastAsia"/>
          <w:b/>
          <w:bCs/>
          <w:color w:val="auto"/>
          <w:highlight w:val="none"/>
        </w:rPr>
        <w:t>十二、其它</w:t>
      </w:r>
      <w:bookmarkEnd w:id="155"/>
    </w:p>
    <w:p>
      <w:pPr>
        <w:spacing w:line="360" w:lineRule="auto"/>
        <w:ind w:firstLine="420" w:firstLineChars="200"/>
        <w:rPr>
          <w:color w:val="auto"/>
          <w:highlight w:val="none"/>
        </w:rPr>
      </w:pPr>
      <w:r>
        <w:rPr>
          <w:rFonts w:hint="eastAsia"/>
          <w:color w:val="auto"/>
          <w:highlight w:val="none"/>
        </w:rPr>
        <w:t>1.本合同所有附件、招标文件、投标文件、中标通知书均为合同的有效组成部分，与本合同具有同等法 律效力。</w:t>
      </w:r>
    </w:p>
    <w:p>
      <w:pPr>
        <w:spacing w:line="360" w:lineRule="auto"/>
        <w:ind w:firstLine="420" w:firstLineChars="200"/>
        <w:rPr>
          <w:color w:val="auto"/>
          <w:highlight w:val="none"/>
        </w:rPr>
      </w:pPr>
      <w:r>
        <w:rPr>
          <w:rFonts w:hint="eastAsia"/>
          <w:color w:val="auto"/>
          <w:highlight w:val="none"/>
        </w:rPr>
        <w:t>2.在执行本合同的过程中，所有经双方签署确认的文件（包括会议纪要、补充协议、往来信函）即成为 本合同的有效组成部分。</w:t>
      </w:r>
    </w:p>
    <w:p>
      <w:pPr>
        <w:spacing w:line="360" w:lineRule="auto"/>
        <w:ind w:firstLine="420" w:firstLineChars="200"/>
        <w:rPr>
          <w:color w:val="auto"/>
          <w:highlight w:val="none"/>
        </w:rPr>
      </w:pPr>
      <w:r>
        <w:rPr>
          <w:rFonts w:hint="eastAsia"/>
          <w:color w:val="auto"/>
          <w:highlight w:val="none"/>
        </w:rPr>
        <w:t>3.如一方地址、电话、传真号码有变更，应在变更当日内书面通知对方，否则，应承担相应责任。</w:t>
      </w:r>
    </w:p>
    <w:p>
      <w:pPr>
        <w:spacing w:line="360" w:lineRule="auto"/>
        <w:ind w:firstLine="420" w:firstLineChars="200"/>
        <w:rPr>
          <w:color w:val="auto"/>
          <w:highlight w:val="none"/>
        </w:rPr>
      </w:pPr>
      <w:r>
        <w:rPr>
          <w:rFonts w:hint="eastAsia"/>
          <w:color w:val="auto"/>
          <w:highlight w:val="none"/>
        </w:rPr>
        <w:t xml:space="preserve">4.除甲方事先书面同意外，乙方不得部分或全部转让其应履行的合同项下的义务。 </w:t>
      </w:r>
    </w:p>
    <w:p>
      <w:pPr>
        <w:spacing w:line="360" w:lineRule="auto"/>
        <w:outlineLvl w:val="1"/>
        <w:rPr>
          <w:b/>
          <w:bCs/>
          <w:color w:val="auto"/>
          <w:highlight w:val="none"/>
        </w:rPr>
      </w:pPr>
      <w:bookmarkStart w:id="156" w:name="_Toc13763"/>
      <w:r>
        <w:rPr>
          <w:rFonts w:hint="eastAsia"/>
          <w:b/>
          <w:bCs/>
          <w:color w:val="auto"/>
          <w:highlight w:val="none"/>
        </w:rPr>
        <w:t>十三、合同生效</w:t>
      </w:r>
      <w:bookmarkEnd w:id="156"/>
    </w:p>
    <w:p>
      <w:pPr>
        <w:spacing w:line="360" w:lineRule="auto"/>
        <w:ind w:firstLine="420" w:firstLineChars="200"/>
        <w:rPr>
          <w:color w:val="auto"/>
          <w:highlight w:val="none"/>
        </w:rPr>
      </w:pPr>
      <w:r>
        <w:rPr>
          <w:rFonts w:hint="eastAsia"/>
          <w:color w:val="auto"/>
          <w:highlight w:val="none"/>
        </w:rPr>
        <w:t>本合同在甲乙双方法人代表或其授权代表签字盖章后生效。</w:t>
      </w:r>
    </w:p>
    <w:p>
      <w:pPr>
        <w:spacing w:line="360" w:lineRule="auto"/>
        <w:ind w:firstLine="420" w:firstLineChars="200"/>
        <w:rPr>
          <w:color w:val="auto"/>
          <w:highlight w:val="none"/>
        </w:rPr>
      </w:pPr>
      <w:r>
        <w:rPr>
          <w:rFonts w:hint="eastAsia"/>
          <w:color w:val="auto"/>
          <w:highlight w:val="none"/>
        </w:rPr>
        <w:t>合同一式    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rPr>
        <w:t xml:space="preserve">                                      乙方（盖章）： </w:t>
      </w:r>
    </w:p>
    <w:p>
      <w:pPr>
        <w:spacing w:line="360" w:lineRule="auto"/>
        <w:rPr>
          <w:color w:val="auto"/>
          <w:highlight w:val="none"/>
        </w:rPr>
      </w:pPr>
      <w:r>
        <w:rPr>
          <w:rFonts w:hint="eastAsia"/>
          <w:color w:val="auto"/>
          <w:highlight w:val="none"/>
        </w:rPr>
        <w:t>代表：</w:t>
      </w:r>
      <w:r>
        <w:rPr>
          <w:rFonts w:hint="eastAsia"/>
          <w:color w:val="auto"/>
          <w:highlight w:val="none"/>
        </w:rPr>
        <w:tab/>
      </w:r>
      <w:r>
        <w:rPr>
          <w:rFonts w:hint="eastAsia"/>
          <w:color w:val="auto"/>
          <w:highlight w:val="none"/>
        </w:rPr>
        <w:t xml:space="preserve">                                                  代表：</w:t>
      </w:r>
    </w:p>
    <w:p>
      <w:pPr>
        <w:spacing w:line="360" w:lineRule="auto"/>
        <w:rPr>
          <w:color w:val="auto"/>
          <w:highlight w:val="none"/>
        </w:rPr>
      </w:pPr>
    </w:p>
    <w:p>
      <w:pPr>
        <w:spacing w:line="360" w:lineRule="auto"/>
        <w:rPr>
          <w:color w:val="auto"/>
          <w:highlight w:val="none"/>
        </w:rPr>
      </w:pPr>
      <w:r>
        <w:rPr>
          <w:rFonts w:hint="eastAsia"/>
          <w:color w:val="auto"/>
          <w:highlight w:val="none"/>
        </w:rPr>
        <w:t>签定地点：</w:t>
      </w:r>
    </w:p>
    <w:p>
      <w:pPr>
        <w:spacing w:line="360" w:lineRule="auto"/>
        <w:rPr>
          <w:color w:val="auto"/>
          <w:highlight w:val="none"/>
        </w:rPr>
      </w:pPr>
      <w:r>
        <w:rPr>
          <w:rFonts w:hint="eastAsia"/>
          <w:color w:val="auto"/>
          <w:highlight w:val="none"/>
        </w:rPr>
        <w:t>签定日期：</w:t>
      </w:r>
    </w:p>
    <w:p>
      <w:pPr>
        <w:spacing w:line="360" w:lineRule="auto"/>
        <w:rPr>
          <w:color w:val="auto"/>
          <w:highlight w:val="none"/>
        </w:rPr>
      </w:pPr>
      <w:r>
        <w:rPr>
          <w:rFonts w:hint="eastAsia"/>
          <w:color w:val="auto"/>
          <w:highlight w:val="none"/>
        </w:rPr>
        <w:t>开户名称：</w:t>
      </w:r>
    </w:p>
    <w:p>
      <w:pPr>
        <w:spacing w:line="360" w:lineRule="auto"/>
        <w:rPr>
          <w:color w:val="auto"/>
          <w:highlight w:val="none"/>
        </w:rPr>
      </w:pPr>
      <w:r>
        <w:rPr>
          <w:rFonts w:hint="eastAsia"/>
          <w:color w:val="auto"/>
          <w:highlight w:val="none"/>
        </w:rPr>
        <w:t xml:space="preserve">银行帐号： </w:t>
      </w:r>
    </w:p>
    <w:p>
      <w:pPr>
        <w:spacing w:line="360" w:lineRule="auto"/>
        <w:rPr>
          <w:color w:val="auto"/>
          <w:highlight w:val="none"/>
        </w:rPr>
      </w:pPr>
      <w:r>
        <w:rPr>
          <w:rFonts w:hint="eastAsia"/>
          <w:color w:val="auto"/>
          <w:highlight w:val="none"/>
        </w:rPr>
        <w:t>开 户 行：</w:t>
      </w:r>
    </w:p>
    <w:p>
      <w:pPr>
        <w:rPr>
          <w:color w:val="auto"/>
          <w:highlight w:val="none"/>
        </w:rPr>
      </w:pPr>
      <w:r>
        <w:rPr>
          <w:rFonts w:hint="eastAsia"/>
          <w:color w:val="auto"/>
          <w:highlight w:val="none"/>
        </w:rPr>
        <w:br w:type="page"/>
      </w:r>
    </w:p>
    <w:p>
      <w:pPr>
        <w:pStyle w:val="3"/>
        <w:rPr>
          <w:color w:val="auto"/>
          <w:highlight w:val="none"/>
        </w:rPr>
      </w:pPr>
      <w:bookmarkStart w:id="157" w:name="_Toc17794"/>
      <w:r>
        <w:rPr>
          <w:rFonts w:hint="eastAsia"/>
          <w:color w:val="auto"/>
          <w:highlight w:val="none"/>
        </w:rPr>
        <w:t>第六篇 投标文件格式</w:t>
      </w:r>
      <w:bookmarkEnd w:id="157"/>
    </w:p>
    <w:p>
      <w:pPr>
        <w:rPr>
          <w:b/>
          <w:bCs/>
          <w:color w:val="auto"/>
          <w:highlight w:val="none"/>
        </w:rPr>
      </w:pPr>
      <w:r>
        <w:rPr>
          <w:rFonts w:hint="eastAsia"/>
          <w:b/>
          <w:bCs/>
          <w:color w:val="auto"/>
          <w:highlight w:val="none"/>
        </w:rPr>
        <w:t>注意事项：</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t>
      </w:r>
      <w:r>
        <w:rPr>
          <w:rFonts w:hint="eastAsia"/>
          <w:color w:val="auto"/>
          <w:sz w:val="20"/>
          <w:szCs w:val="20"/>
          <w:highlight w:val="none"/>
          <w:lang w:val="en-US" w:eastAsia="zh-CN"/>
        </w:rPr>
        <w:t>（</w:t>
      </w:r>
      <w:r>
        <w:rPr>
          <w:rFonts w:hint="eastAsia"/>
          <w:color w:val="auto"/>
          <w:sz w:val="20"/>
          <w:szCs w:val="20"/>
          <w:highlight w:val="none"/>
          <w:lang w:val="en-US"/>
        </w:rPr>
        <w:t>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2"/>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58" w:name="_Toc32213"/>
      <w:r>
        <w:rPr>
          <w:rFonts w:hint="eastAsia"/>
          <w:b/>
          <w:bCs/>
          <w:color w:val="auto"/>
          <w:highlight w:val="none"/>
        </w:rPr>
        <w:t>（封面格式仅供参考）</w:t>
      </w:r>
      <w:bookmarkEnd w:id="158"/>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59" w:name="_Toc14748"/>
      <w:r>
        <w:rPr>
          <w:rFonts w:ascii="宋体" w:hAnsi="宋体" w:cs="宋体"/>
          <w:b/>
          <w:color w:val="auto"/>
          <w:spacing w:val="10"/>
          <w:kern w:val="0"/>
          <w:sz w:val="38"/>
          <w:szCs w:val="38"/>
          <w:highlight w:val="none"/>
          <w:lang w:val="zh-CN" w:bidi="zh-CN"/>
        </w:rPr>
        <w:t>投标文件封面</w:t>
      </w:r>
      <w:bookmarkEnd w:id="159"/>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0"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60"/>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2"/>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2"/>
        <w:jc w:val="center"/>
        <w:rPr>
          <w:b/>
          <w:color w:val="auto"/>
          <w:sz w:val="12"/>
          <w:highlight w:val="none"/>
        </w:rPr>
      </w:pPr>
      <w:r>
        <w:rPr>
          <w:b/>
          <w:color w:val="auto"/>
          <w:highlight w:val="none"/>
        </w:rPr>
        <w:t>投标函</w:t>
      </w:r>
    </w:p>
    <w:p>
      <w:pPr>
        <w:pStyle w:val="2"/>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lang w:eastAsia="zh-CN"/>
        </w:rPr>
        <w:t>（</w:t>
      </w: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lang w:eastAsia="zh-CN"/>
        </w:rPr>
        <w:t>（</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w:t>
      </w:r>
      <w:r>
        <w:rPr>
          <w:rFonts w:hint="eastAsia"/>
          <w:color w:val="auto"/>
          <w:sz w:val="21"/>
          <w:szCs w:val="21"/>
          <w:highlight w:val="none"/>
          <w:lang w:val="en-US" w:eastAsia="zh-CN"/>
        </w:rPr>
        <w:t>招标文件</w:t>
      </w:r>
      <w:r>
        <w:rPr>
          <w:rFonts w:hint="eastAsia"/>
          <w:color w:val="auto"/>
          <w:sz w:val="21"/>
          <w:szCs w:val="21"/>
          <w:highlight w:val="none"/>
        </w:rPr>
        <w:t>规定的条件，承诺如下：</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0"/>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2"/>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2"/>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投标下浮率</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highlight w:val="none"/>
                <w:lang w:eastAsia="zh-CN"/>
              </w:rPr>
            </w:pP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1.开标一览表内容与投标文件中相应内容不一致的，以开标一览表为准。</w:t>
      </w:r>
    </w:p>
    <w:p>
      <w:pPr>
        <w:pStyle w:val="20"/>
        <w:spacing w:line="360" w:lineRule="auto"/>
        <w:ind w:firstLine="0" w:firstLineChars="0"/>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2"/>
        <w:rPr>
          <w:b/>
          <w:bCs/>
          <w:color w:val="auto"/>
          <w:highlight w:val="none"/>
          <w:lang w:val="en-US"/>
        </w:rPr>
      </w:pPr>
      <w:r>
        <w:rPr>
          <w:rFonts w:hint="eastAsia"/>
          <w:b/>
          <w:bCs/>
          <w:color w:val="auto"/>
          <w:highlight w:val="none"/>
          <w:lang w:val="en-US"/>
        </w:rPr>
        <w:t>格式四：</w:t>
      </w:r>
    </w:p>
    <w:p>
      <w:pPr>
        <w:pStyle w:val="4"/>
        <w:spacing w:line="360" w:lineRule="auto"/>
        <w:rPr>
          <w:color w:val="auto"/>
          <w:sz w:val="24"/>
          <w:highlight w:val="none"/>
        </w:rPr>
      </w:pPr>
      <w:bookmarkStart w:id="161" w:name="_Toc23039"/>
      <w:r>
        <w:rPr>
          <w:color w:val="auto"/>
          <w:sz w:val="24"/>
          <w:highlight w:val="none"/>
        </w:rPr>
        <w:t>法定代表人证明书</w:t>
      </w:r>
      <w:bookmarkEnd w:id="161"/>
    </w:p>
    <w:p>
      <w:pPr>
        <w:pStyle w:val="2"/>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2"/>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3693"/>
        </w:tabs>
        <w:spacing w:line="242" w:lineRule="exact"/>
        <w:ind w:right="104"/>
        <w:jc w:val="right"/>
        <w:rPr>
          <w:color w:val="auto"/>
          <w:sz w:val="21"/>
          <w:szCs w:val="21"/>
          <w:highlight w:val="none"/>
        </w:rPr>
      </w:pPr>
    </w:p>
    <w:p>
      <w:pPr>
        <w:pStyle w:val="2"/>
        <w:tabs>
          <w:tab w:val="left" w:pos="3693"/>
        </w:tabs>
        <w:spacing w:line="242" w:lineRule="exact"/>
        <w:ind w:right="104"/>
        <w:jc w:val="right"/>
        <w:rPr>
          <w:color w:val="auto"/>
          <w:sz w:val="21"/>
          <w:szCs w:val="21"/>
          <w:highlight w:val="none"/>
        </w:rPr>
      </w:pPr>
    </w:p>
    <w:p>
      <w:pPr>
        <w:pStyle w:val="2"/>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2"/>
        <w:rPr>
          <w:color w:val="auto"/>
          <w:highlight w:val="none"/>
          <w:lang w:val="en-US"/>
        </w:rPr>
      </w:pPr>
    </w:p>
    <w:p>
      <w:pPr>
        <w:rPr>
          <w:color w:val="auto"/>
          <w:highlight w:val="none"/>
        </w:rPr>
      </w:pPr>
    </w:p>
    <w:p>
      <w:pPr>
        <w:pStyle w:val="2"/>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2"/>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2"/>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2"/>
        <w:tabs>
          <w:tab w:val="left" w:pos="10713"/>
        </w:tabs>
        <w:spacing w:before="0" w:line="360" w:lineRule="auto"/>
        <w:ind w:left="0"/>
        <w:jc w:val="right"/>
        <w:rPr>
          <w:color w:val="auto"/>
          <w:sz w:val="21"/>
          <w:szCs w:val="21"/>
          <w:highlight w:val="none"/>
        </w:rPr>
      </w:pPr>
    </w:p>
    <w:p>
      <w:pPr>
        <w:pStyle w:val="2"/>
        <w:tabs>
          <w:tab w:val="left" w:pos="10713"/>
        </w:tabs>
        <w:spacing w:before="0" w:line="360" w:lineRule="auto"/>
        <w:ind w:left="0"/>
        <w:jc w:val="right"/>
        <w:rPr>
          <w:color w:val="auto"/>
          <w:sz w:val="21"/>
          <w:szCs w:val="21"/>
          <w:highlight w:val="none"/>
        </w:rPr>
      </w:pP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2"/>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2"/>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5"/>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2"/>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2"/>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lang w:eastAsia="zh-CN"/>
        </w:rPr>
        <w:t>（</w:t>
      </w:r>
      <w:r>
        <w:rPr>
          <w:rFonts w:hint="eastAsia"/>
          <w:color w:val="auto"/>
          <w:sz w:val="20"/>
          <w:highlight w:val="none"/>
        </w:rPr>
        <w:t>或提供相关承诺函）</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w:t>
      </w:r>
      <w:r>
        <w:rPr>
          <w:rFonts w:hint="eastAsia" w:ascii="宋体" w:hAnsi="宋体"/>
          <w:color w:val="auto"/>
          <w:szCs w:val="21"/>
          <w:highlight w:val="none"/>
          <w:lang w:val="en-US" w:eastAsia="zh-CN"/>
        </w:rPr>
        <w:t>1</w:t>
      </w:r>
      <w:r>
        <w:rPr>
          <w:rFonts w:hint="eastAsia" w:ascii="宋体" w:hAnsi="宋体"/>
          <w:color w:val="auto"/>
          <w:szCs w:val="21"/>
          <w:highlight w:val="none"/>
        </w:rPr>
        <w:t>年度</w:t>
      </w:r>
      <w:r>
        <w:rPr>
          <w:rFonts w:hint="eastAsia" w:ascii="宋体" w:hAnsi="宋体"/>
          <w:color w:val="auto"/>
          <w:szCs w:val="21"/>
          <w:highlight w:val="none"/>
          <w:lang w:val="en-US" w:eastAsia="zh-CN"/>
        </w:rPr>
        <w:t>或2022年度</w:t>
      </w:r>
      <w:r>
        <w:rPr>
          <w:rFonts w:hint="eastAsia" w:ascii="宋体" w:hAnsi="宋体"/>
          <w:color w:val="auto"/>
          <w:szCs w:val="21"/>
          <w:highlight w:val="none"/>
        </w:rPr>
        <w:t>财务状况报告或基本开户行出具的资信证明）。</w:t>
      </w:r>
      <w:r>
        <w:rPr>
          <w:rFonts w:hint="eastAsia"/>
          <w:color w:val="auto"/>
          <w:sz w:val="20"/>
          <w:highlight w:val="none"/>
          <w:lang w:eastAsia="zh-CN"/>
        </w:rPr>
        <w:t>（</w:t>
      </w:r>
      <w:r>
        <w:rPr>
          <w:rFonts w:hint="eastAsia"/>
          <w:color w:val="auto"/>
          <w:sz w:val="20"/>
          <w:highlight w:val="none"/>
        </w:rPr>
        <w:t>或提供相关承诺函）</w:t>
      </w:r>
    </w:p>
    <w:p>
      <w:pPr>
        <w:widowControl/>
        <w:spacing w:line="360" w:lineRule="auto"/>
        <w:rPr>
          <w:color w:val="auto"/>
          <w:sz w:val="20"/>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color w:val="auto"/>
          <w:sz w:val="20"/>
          <w:highlight w:val="none"/>
          <w:lang w:eastAsia="zh-CN"/>
        </w:rPr>
        <w:t>（</w:t>
      </w:r>
      <w:r>
        <w:rPr>
          <w:rFonts w:hint="eastAsia"/>
          <w:color w:val="auto"/>
          <w:sz w:val="20"/>
          <w:highlight w:val="none"/>
        </w:rPr>
        <w:t>或提供相关承诺函）</w:t>
      </w:r>
    </w:p>
    <w:p>
      <w:pPr>
        <w:rPr>
          <w:color w:val="auto"/>
          <w:sz w:val="20"/>
          <w:highlight w:val="none"/>
        </w:rPr>
      </w:pPr>
      <w:r>
        <w:rPr>
          <w:rFonts w:hint="eastAsia"/>
          <w:color w:val="auto"/>
          <w:sz w:val="20"/>
          <w:highlight w:val="none"/>
        </w:rPr>
        <w:br w:type="page"/>
      </w:r>
    </w:p>
    <w:p>
      <w:pPr>
        <w:pStyle w:val="2"/>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2"/>
        <w:jc w:val="center"/>
        <w:rPr>
          <w:b/>
          <w:bCs/>
          <w:color w:val="auto"/>
          <w:highlight w:val="none"/>
          <w:lang w:val="en-US"/>
        </w:rPr>
      </w:pPr>
      <w:r>
        <w:rPr>
          <w:b/>
          <w:bCs/>
          <w:color w:val="auto"/>
          <w:highlight w:val="none"/>
          <w:lang w:val="en-US"/>
        </w:rPr>
        <w:t>投标人业绩情况表</w:t>
      </w:r>
    </w:p>
    <w:p>
      <w:pPr>
        <w:pStyle w:val="2"/>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2"/>
              <w:spacing w:line="360" w:lineRule="auto"/>
              <w:rPr>
                <w:rFonts w:ascii="宋体" w:hAnsi="宋体" w:cs="宋体"/>
                <w:color w:val="auto"/>
                <w:szCs w:val="21"/>
                <w:highlight w:val="none"/>
              </w:rPr>
            </w:pPr>
          </w:p>
        </w:tc>
        <w:tc>
          <w:tcPr>
            <w:tcW w:w="1553" w:type="pct"/>
            <w:shd w:val="clear" w:color="auto" w:fill="FFFFFF" w:themeFill="background1"/>
          </w:tcPr>
          <w:p>
            <w:pPr>
              <w:pStyle w:val="22"/>
              <w:spacing w:line="360" w:lineRule="auto"/>
              <w:rPr>
                <w:rFonts w:ascii="宋体" w:hAnsi="宋体" w:cs="宋体"/>
                <w:color w:val="auto"/>
                <w:szCs w:val="21"/>
                <w:highlight w:val="none"/>
              </w:rPr>
            </w:pPr>
          </w:p>
        </w:tc>
        <w:tc>
          <w:tcPr>
            <w:tcW w:w="779" w:type="pct"/>
            <w:shd w:val="clear" w:color="auto" w:fill="FFFFFF" w:themeFill="background1"/>
          </w:tcPr>
          <w:p>
            <w:pPr>
              <w:pStyle w:val="22"/>
              <w:spacing w:line="360" w:lineRule="auto"/>
              <w:rPr>
                <w:rFonts w:ascii="宋体" w:hAnsi="宋体" w:cs="宋体"/>
                <w:color w:val="auto"/>
                <w:szCs w:val="21"/>
                <w:highlight w:val="none"/>
              </w:rPr>
            </w:pPr>
          </w:p>
        </w:tc>
        <w:tc>
          <w:tcPr>
            <w:tcW w:w="1001" w:type="pct"/>
            <w:shd w:val="clear" w:color="auto" w:fill="FFFFFF" w:themeFill="background1"/>
          </w:tcPr>
          <w:p>
            <w:pPr>
              <w:pStyle w:val="22"/>
              <w:spacing w:line="360" w:lineRule="auto"/>
              <w:rPr>
                <w:rFonts w:ascii="宋体" w:hAnsi="宋体" w:cs="宋体"/>
                <w:color w:val="auto"/>
                <w:szCs w:val="21"/>
                <w:highlight w:val="none"/>
              </w:rPr>
            </w:pPr>
          </w:p>
        </w:tc>
        <w:tc>
          <w:tcPr>
            <w:tcW w:w="785"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2"/>
              <w:spacing w:line="360" w:lineRule="auto"/>
              <w:rPr>
                <w:rFonts w:ascii="宋体" w:hAnsi="宋体" w:cs="宋体"/>
                <w:color w:val="auto"/>
                <w:szCs w:val="21"/>
                <w:highlight w:val="none"/>
              </w:rPr>
            </w:pPr>
          </w:p>
        </w:tc>
        <w:tc>
          <w:tcPr>
            <w:tcW w:w="1553" w:type="pct"/>
          </w:tcPr>
          <w:p>
            <w:pPr>
              <w:pStyle w:val="22"/>
              <w:spacing w:line="360" w:lineRule="auto"/>
              <w:rPr>
                <w:rFonts w:ascii="宋体" w:hAnsi="宋体" w:cs="宋体"/>
                <w:color w:val="auto"/>
                <w:szCs w:val="21"/>
                <w:highlight w:val="none"/>
              </w:rPr>
            </w:pPr>
          </w:p>
        </w:tc>
        <w:tc>
          <w:tcPr>
            <w:tcW w:w="779" w:type="pct"/>
          </w:tcPr>
          <w:p>
            <w:pPr>
              <w:pStyle w:val="22"/>
              <w:spacing w:line="360" w:lineRule="auto"/>
              <w:rPr>
                <w:rFonts w:ascii="宋体" w:hAnsi="宋体" w:cs="宋体"/>
                <w:color w:val="auto"/>
                <w:szCs w:val="21"/>
                <w:highlight w:val="none"/>
              </w:rPr>
            </w:pPr>
          </w:p>
        </w:tc>
        <w:tc>
          <w:tcPr>
            <w:tcW w:w="1001" w:type="pct"/>
          </w:tcPr>
          <w:p>
            <w:pPr>
              <w:pStyle w:val="22"/>
              <w:spacing w:line="360" w:lineRule="auto"/>
              <w:rPr>
                <w:rFonts w:ascii="宋体" w:hAnsi="宋体" w:cs="宋体"/>
                <w:color w:val="auto"/>
                <w:szCs w:val="21"/>
                <w:highlight w:val="none"/>
              </w:rPr>
            </w:pPr>
          </w:p>
        </w:tc>
        <w:tc>
          <w:tcPr>
            <w:tcW w:w="785" w:type="pct"/>
          </w:tcPr>
          <w:p>
            <w:pPr>
              <w:pStyle w:val="22"/>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2"/>
        <w:rPr>
          <w:color w:val="auto"/>
          <w:highlight w:val="none"/>
          <w:lang w:val="en-US"/>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bl>
    <w:p>
      <w:pPr>
        <w:pStyle w:val="2"/>
        <w:rPr>
          <w:color w:val="auto"/>
          <w:highlight w:val="none"/>
          <w:lang w:val="en-US"/>
        </w:rPr>
      </w:pPr>
    </w:p>
    <w:p>
      <w:pPr>
        <w:rPr>
          <w:color w:val="auto"/>
          <w:highlight w:val="none"/>
        </w:rPr>
      </w:pP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0"/>
        <w:tabs>
          <w:tab w:val="left" w:pos="731"/>
        </w:tabs>
        <w:autoSpaceDE w:val="0"/>
        <w:autoSpaceDN w:val="0"/>
        <w:spacing w:line="360" w:lineRule="auto"/>
        <w:ind w:firstLine="423"/>
        <w:rPr>
          <w:rFonts w:ascii="宋体" w:hAnsi="宋体" w:cs="宋体"/>
          <w:color w:val="auto"/>
          <w:w w:val="101"/>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bl>
    <w:p>
      <w:pPr>
        <w:pStyle w:val="2"/>
        <w:rPr>
          <w:color w:val="auto"/>
          <w:sz w:val="21"/>
          <w:szCs w:val="21"/>
          <w:highlight w:val="none"/>
          <w:lang w:val="en-US"/>
        </w:rPr>
      </w:pPr>
    </w:p>
    <w:p>
      <w:pPr>
        <w:rPr>
          <w:color w:val="auto"/>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2"/>
        <w:autoSpaceDE w:val="0"/>
        <w:autoSpaceDN w:val="0"/>
        <w:spacing w:before="0" w:line="360" w:lineRule="auto"/>
        <w:ind w:left="0" w:firstLine="420" w:firstLineChars="200"/>
        <w:rPr>
          <w:color w:val="auto"/>
          <w:sz w:val="21"/>
          <w:szCs w:val="21"/>
          <w:highlight w:val="none"/>
          <w:lang w:val="en-US"/>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2"/>
        <w:spacing w:before="8"/>
        <w:rPr>
          <w:color w:val="auto"/>
          <w:sz w:val="13"/>
          <w:highlight w:val="none"/>
        </w:rPr>
      </w:pPr>
    </w:p>
    <w:p>
      <w:pPr>
        <w:pStyle w:val="4"/>
        <w:rPr>
          <w:color w:val="auto"/>
          <w:highlight w:val="none"/>
        </w:rPr>
      </w:pPr>
      <w:bookmarkStart w:id="162" w:name="_Toc20098"/>
      <w:r>
        <w:rPr>
          <w:color w:val="auto"/>
          <w:highlight w:val="none"/>
        </w:rPr>
        <w:t>履约进度计划表</w:t>
      </w:r>
      <w:bookmarkEnd w:id="162"/>
    </w:p>
    <w:p>
      <w:pPr>
        <w:pStyle w:val="2"/>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2"/>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2"/>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2"/>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2"/>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2"/>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63" w:name="_Toc2912"/>
      <w:r>
        <w:rPr>
          <w:rFonts w:hint="eastAsia"/>
          <w:b/>
          <w:bCs/>
          <w:color w:val="auto"/>
          <w:sz w:val="24"/>
          <w:szCs w:val="32"/>
          <w:highlight w:val="none"/>
        </w:rPr>
        <w:t>格式十四：</w:t>
      </w:r>
      <w:bookmarkEnd w:id="163"/>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2"/>
        <w:jc w:val="center"/>
        <w:rPr>
          <w:b/>
          <w:bCs/>
          <w:color w:val="auto"/>
          <w:highlight w:val="none"/>
        </w:rPr>
      </w:pPr>
      <w:r>
        <w:rPr>
          <w:b/>
          <w:bCs/>
          <w:color w:val="auto"/>
          <w:highlight w:val="none"/>
        </w:rPr>
        <w:t>各类证明材料</w:t>
      </w:r>
    </w:p>
    <w:p>
      <w:pPr>
        <w:pStyle w:val="20"/>
        <w:tabs>
          <w:tab w:val="left" w:pos="673"/>
        </w:tabs>
        <w:spacing w:line="360" w:lineRule="auto"/>
        <w:ind w:firstLine="0" w:firstLineChars="0"/>
        <w:outlineLvl w:val="1"/>
        <w:rPr>
          <w:rFonts w:ascii="宋体" w:hAnsi="宋体" w:cs="宋体"/>
          <w:color w:val="auto"/>
          <w:szCs w:val="21"/>
          <w:highlight w:val="none"/>
        </w:rPr>
      </w:pPr>
      <w:bookmarkStart w:id="164" w:name="_Toc14919"/>
      <w:r>
        <w:rPr>
          <w:rFonts w:hint="eastAsia" w:ascii="宋体" w:hAnsi="宋体" w:cs="宋体"/>
          <w:color w:val="auto"/>
          <w:szCs w:val="21"/>
          <w:highlight w:val="none"/>
        </w:rPr>
        <w:t>1、招标文件要求提供的其他资料。</w:t>
      </w:r>
      <w:bookmarkEnd w:id="164"/>
    </w:p>
    <w:p>
      <w:pPr>
        <w:pStyle w:val="20"/>
        <w:tabs>
          <w:tab w:val="left" w:pos="673"/>
        </w:tabs>
        <w:spacing w:line="360" w:lineRule="auto"/>
        <w:ind w:firstLine="0" w:firstLineChars="0"/>
        <w:outlineLvl w:val="1"/>
        <w:rPr>
          <w:rFonts w:ascii="宋体" w:hAnsi="宋体" w:cs="宋体"/>
          <w:color w:val="auto"/>
          <w:szCs w:val="21"/>
          <w:highlight w:val="none"/>
        </w:rPr>
      </w:pPr>
      <w:bookmarkStart w:id="165" w:name="_Toc7938"/>
      <w:r>
        <w:rPr>
          <w:rFonts w:hint="eastAsia" w:ascii="宋体" w:hAnsi="宋体" w:cs="宋体"/>
          <w:color w:val="auto"/>
          <w:szCs w:val="21"/>
          <w:highlight w:val="none"/>
        </w:rPr>
        <w:t>2、投标人认为需提供的其他资料。</w:t>
      </w:r>
      <w:bookmarkEnd w:id="165"/>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66" w:name="_Toc30382"/>
      <w:r>
        <w:rPr>
          <w:rFonts w:hint="eastAsia" w:ascii="宋体" w:hAnsi="宋体" w:cs="宋体"/>
          <w:b/>
          <w:bCs/>
          <w:color w:val="auto"/>
          <w:sz w:val="24"/>
          <w:highlight w:val="none"/>
        </w:rPr>
        <w:t>格式十五：</w:t>
      </w:r>
      <w:bookmarkEnd w:id="166"/>
    </w:p>
    <w:p>
      <w:pPr>
        <w:pStyle w:val="20"/>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0"/>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0"/>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0"/>
        <w:tabs>
          <w:tab w:val="left" w:pos="673"/>
        </w:tabs>
        <w:spacing w:line="360" w:lineRule="auto"/>
        <w:ind w:firstLine="0" w:firstLineChars="0"/>
        <w:outlineLvl w:val="1"/>
        <w:rPr>
          <w:rFonts w:ascii="宋体" w:hAnsi="宋体" w:cs="宋体"/>
          <w:b/>
          <w:bCs/>
          <w:color w:val="auto"/>
          <w:sz w:val="24"/>
          <w:highlight w:val="none"/>
        </w:rPr>
      </w:pPr>
      <w:bookmarkStart w:id="167" w:name="_Toc3970"/>
      <w:r>
        <w:rPr>
          <w:rFonts w:hint="eastAsia" w:ascii="宋体" w:hAnsi="宋体" w:cs="宋体"/>
          <w:b/>
          <w:bCs/>
          <w:color w:val="auto"/>
          <w:sz w:val="24"/>
          <w:highlight w:val="none"/>
        </w:rPr>
        <w:t>格式十五：</w:t>
      </w:r>
      <w:bookmarkEnd w:id="167"/>
    </w:p>
    <w:p>
      <w:pPr>
        <w:pStyle w:val="2"/>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2"/>
        <w:spacing w:before="8"/>
        <w:rPr>
          <w:color w:val="auto"/>
          <w:sz w:val="21"/>
          <w:szCs w:val="21"/>
          <w:highlight w:val="none"/>
        </w:rPr>
      </w:pPr>
    </w:p>
    <w:p>
      <w:pPr>
        <w:jc w:val="center"/>
        <w:outlineLvl w:val="1"/>
        <w:rPr>
          <w:rFonts w:ascii="宋体" w:hAnsi="宋体" w:cs="宋体"/>
          <w:b/>
          <w:bCs/>
          <w:color w:val="auto"/>
          <w:szCs w:val="21"/>
          <w:highlight w:val="none"/>
        </w:rPr>
      </w:pPr>
      <w:bookmarkStart w:id="168" w:name="_Toc4401"/>
      <w:r>
        <w:rPr>
          <w:rFonts w:hint="eastAsia" w:ascii="宋体" w:hAnsi="宋体" w:cs="宋体"/>
          <w:b/>
          <w:bCs/>
          <w:color w:val="auto"/>
          <w:szCs w:val="21"/>
          <w:highlight w:val="none"/>
        </w:rPr>
        <w:t>需要招标人提供的附加条件</w:t>
      </w:r>
      <w:bookmarkEnd w:id="168"/>
    </w:p>
    <w:p>
      <w:pPr>
        <w:pStyle w:val="2"/>
        <w:autoSpaceDE w:val="0"/>
        <w:autoSpaceDN w:val="0"/>
        <w:spacing w:before="0" w:line="360" w:lineRule="auto"/>
        <w:ind w:left="0"/>
        <w:rPr>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2"/>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2"/>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784" w:type="pct"/>
          </w:tcPr>
          <w:p>
            <w:pPr>
              <w:pStyle w:val="22"/>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2"/>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2"/>
        <w:outlineLvl w:val="1"/>
        <w:rPr>
          <w:b/>
          <w:bCs/>
          <w:color w:val="auto"/>
          <w:highlight w:val="none"/>
          <w:lang w:val="en-US"/>
        </w:rPr>
      </w:pPr>
      <w:bookmarkStart w:id="169" w:name="_Toc25747"/>
      <w:r>
        <w:rPr>
          <w:rFonts w:hint="eastAsia"/>
          <w:b/>
          <w:bCs/>
          <w:color w:val="auto"/>
          <w:highlight w:val="none"/>
          <w:lang w:val="en-US"/>
        </w:rPr>
        <w:t>格式十六：</w:t>
      </w:r>
      <w:bookmarkEnd w:id="169"/>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170" w:name="_Toc27211"/>
      <w:r>
        <w:rPr>
          <w:rFonts w:hint="eastAsia"/>
          <w:color w:val="auto"/>
          <w:highlight w:val="none"/>
        </w:rPr>
        <w:t>第七篇 开标文件格式</w:t>
      </w:r>
      <w:bookmarkEnd w:id="170"/>
    </w:p>
    <w:p>
      <w:pPr>
        <w:jc w:val="center"/>
        <w:outlineLvl w:val="1"/>
        <w:rPr>
          <w:b/>
          <w:bCs/>
          <w:color w:val="auto"/>
          <w:highlight w:val="none"/>
        </w:rPr>
      </w:pPr>
      <w:bookmarkStart w:id="171" w:name="_Toc32249"/>
      <w:r>
        <w:rPr>
          <w:rFonts w:hint="eastAsia"/>
          <w:b/>
          <w:bCs/>
          <w:color w:val="auto"/>
          <w:highlight w:val="none"/>
        </w:rPr>
        <w:t>（封面格式仅供参考）</w:t>
      </w:r>
      <w:bookmarkEnd w:id="171"/>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72"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72"/>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73"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73"/>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2"/>
        <w:spacing w:before="0" w:line="360" w:lineRule="auto"/>
        <w:ind w:left="0"/>
        <w:outlineLvl w:val="1"/>
        <w:rPr>
          <w:b/>
          <w:bCs/>
          <w:color w:val="auto"/>
          <w:sz w:val="21"/>
          <w:szCs w:val="21"/>
          <w:highlight w:val="none"/>
          <w:lang w:val="en-US"/>
        </w:rPr>
      </w:pPr>
      <w:bookmarkStart w:id="174" w:name="_Toc32100"/>
      <w:r>
        <w:rPr>
          <w:rFonts w:hint="eastAsia"/>
          <w:b/>
          <w:bCs/>
          <w:color w:val="auto"/>
          <w:sz w:val="21"/>
          <w:szCs w:val="21"/>
          <w:highlight w:val="none"/>
          <w:lang w:val="en-US"/>
        </w:rPr>
        <w:t>1、开标一览表</w:t>
      </w:r>
      <w:bookmarkEnd w:id="174"/>
    </w:p>
    <w:p>
      <w:pPr>
        <w:spacing w:line="360" w:lineRule="auto"/>
        <w:outlineLvl w:val="1"/>
        <w:rPr>
          <w:rFonts w:ascii="宋体" w:hAnsi="宋体" w:cs="宋体"/>
          <w:b/>
          <w:bCs/>
          <w:color w:val="auto"/>
          <w:szCs w:val="21"/>
          <w:highlight w:val="none"/>
        </w:rPr>
      </w:pPr>
      <w:bookmarkStart w:id="175" w:name="_Toc8054"/>
      <w:r>
        <w:rPr>
          <w:rFonts w:hint="eastAsia" w:ascii="宋体" w:hAnsi="宋体" w:cs="宋体"/>
          <w:b/>
          <w:bCs/>
          <w:color w:val="auto"/>
          <w:szCs w:val="21"/>
          <w:highlight w:val="none"/>
        </w:rPr>
        <w:t>2、分项报价表</w:t>
      </w:r>
      <w:bookmarkEnd w:id="175"/>
    </w:p>
    <w:p>
      <w:pPr>
        <w:pStyle w:val="2"/>
        <w:spacing w:before="0" w:line="360" w:lineRule="auto"/>
        <w:ind w:left="0"/>
        <w:outlineLvl w:val="1"/>
        <w:rPr>
          <w:b/>
          <w:bCs/>
          <w:color w:val="auto"/>
          <w:sz w:val="21"/>
          <w:szCs w:val="21"/>
          <w:highlight w:val="none"/>
          <w:lang w:val="en-US"/>
        </w:rPr>
      </w:pPr>
      <w:bookmarkStart w:id="176" w:name="_Toc5011"/>
      <w:r>
        <w:rPr>
          <w:rFonts w:hint="eastAsia"/>
          <w:b/>
          <w:bCs/>
          <w:color w:val="auto"/>
          <w:sz w:val="21"/>
          <w:szCs w:val="21"/>
          <w:highlight w:val="none"/>
          <w:lang w:val="en-US"/>
        </w:rPr>
        <w:t>3、法定代表人证明书</w:t>
      </w:r>
      <w:bookmarkEnd w:id="176"/>
    </w:p>
    <w:p>
      <w:pPr>
        <w:pStyle w:val="2"/>
        <w:spacing w:before="0" w:line="360" w:lineRule="auto"/>
        <w:ind w:left="0"/>
        <w:outlineLvl w:val="1"/>
        <w:rPr>
          <w:b/>
          <w:bCs/>
          <w:color w:val="auto"/>
          <w:sz w:val="21"/>
          <w:szCs w:val="21"/>
          <w:highlight w:val="none"/>
          <w:lang w:val="en-US"/>
        </w:rPr>
      </w:pPr>
      <w:bookmarkStart w:id="177" w:name="_Toc27439"/>
      <w:r>
        <w:rPr>
          <w:rFonts w:hint="eastAsia"/>
          <w:b/>
          <w:bCs/>
          <w:color w:val="auto"/>
          <w:sz w:val="21"/>
          <w:szCs w:val="21"/>
          <w:highlight w:val="none"/>
          <w:lang w:val="en-US"/>
        </w:rPr>
        <w:t>4、法定代表人授权书</w:t>
      </w:r>
      <w:bookmarkEnd w:id="177"/>
    </w:p>
    <w:p>
      <w:pPr>
        <w:spacing w:line="360" w:lineRule="auto"/>
        <w:outlineLvl w:val="1"/>
        <w:rPr>
          <w:rFonts w:ascii="宋体" w:hAnsi="宋体" w:cs="宋体"/>
          <w:b/>
          <w:bCs/>
          <w:color w:val="auto"/>
          <w:szCs w:val="21"/>
          <w:highlight w:val="none"/>
        </w:rPr>
      </w:pPr>
      <w:bookmarkStart w:id="178" w:name="_Toc16304"/>
      <w:r>
        <w:rPr>
          <w:rFonts w:hint="eastAsia" w:ascii="宋体" w:hAnsi="宋体" w:cs="宋体"/>
          <w:b/>
          <w:bCs/>
          <w:color w:val="auto"/>
          <w:szCs w:val="21"/>
          <w:highlight w:val="none"/>
        </w:rPr>
        <w:t>5、投标保证金</w:t>
      </w:r>
      <w:bookmarkEnd w:id="178"/>
    </w:p>
    <w:p>
      <w:pPr>
        <w:rPr>
          <w:color w:val="auto"/>
          <w:highlight w:val="none"/>
        </w:rPr>
      </w:pPr>
    </w:p>
    <w:p>
      <w:pPr>
        <w:pStyle w:val="2"/>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179" w:name="_Toc2722"/>
      <w:r>
        <w:rPr>
          <w:rFonts w:hint="eastAsia"/>
          <w:color w:val="auto"/>
          <w:highlight w:val="none"/>
        </w:rPr>
        <w:t>第八篇 其它文件格式（如有需要）</w:t>
      </w:r>
      <w:bookmarkEnd w:id="179"/>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2"/>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0"/>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2"/>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2"/>
        <w:tabs>
          <w:tab w:val="left" w:pos="10713"/>
        </w:tabs>
        <w:autoSpaceDE w:val="0"/>
        <w:autoSpaceDN w:val="0"/>
        <w:spacing w:before="0" w:line="360" w:lineRule="auto"/>
        <w:ind w:left="0" w:firstLine="420" w:firstLineChars="200"/>
        <w:rPr>
          <w:color w:val="auto"/>
          <w:sz w:val="21"/>
          <w:szCs w:val="21"/>
          <w:highlight w:val="none"/>
        </w:rPr>
      </w:pP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2"/>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2"/>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2"/>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2"/>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2"/>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2"/>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2"/>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2"/>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2"/>
        <w:tabs>
          <w:tab w:val="left" w:pos="3165"/>
          <w:tab w:val="left" w:pos="5818"/>
        </w:tabs>
        <w:autoSpaceDE w:val="0"/>
        <w:autoSpaceDN w:val="0"/>
        <w:spacing w:line="360" w:lineRule="auto"/>
        <w:ind w:left="0" w:firstLine="420" w:firstLineChars="200"/>
        <w:rPr>
          <w:color w:val="auto"/>
          <w:sz w:val="21"/>
          <w:szCs w:val="21"/>
          <w:highlight w:val="none"/>
        </w:rPr>
      </w:pPr>
    </w:p>
    <w:p>
      <w:pPr>
        <w:pStyle w:val="2"/>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rFonts w:hint="eastAsia"/>
          <w:color w:val="auto"/>
          <w:spacing w:val="-3"/>
          <w:sz w:val="21"/>
          <w:szCs w:val="21"/>
          <w:highlight w:val="none"/>
          <w:lang w:eastAsia="zh-CN"/>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2"/>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2"/>
        <w:autoSpaceDE w:val="0"/>
        <w:autoSpaceDN w:val="0"/>
        <w:spacing w:line="360" w:lineRule="auto"/>
        <w:ind w:left="0" w:firstLine="420" w:firstLineChars="200"/>
        <w:rPr>
          <w:color w:val="auto"/>
          <w:sz w:val="21"/>
          <w:szCs w:val="21"/>
          <w:highlight w:val="none"/>
        </w:rPr>
      </w:pP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0"/>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0"/>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2"/>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2"/>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3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思源黑体 CN Heavy">
    <w:altName w:val="黑体"/>
    <w:panose1 w:val="020B0A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GDQI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r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UdrKv3&#10;VfcAY2hZ2OoHy2OaKJW3q0OAtEnxKFCnCjoVDxjE1LN+aeKk/3lOUU9/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YGDQI5AgAAcAQAAA4AAAAAAAAAAQAgAAAAHwEAAGRycy9lMm9Eb2Mu&#10;eG1sUEsFBgAAAAAGAAYAWQEAAMo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eastAsia" w:eastAsia="宋体"/>
        <w:lang w:eastAsia="zh-CN"/>
      </w:rPr>
    </w:pPr>
    <w:r>
      <w:rPr>
        <w:rFonts w:hint="eastAsia"/>
        <w:lang w:eastAsia="zh-CN"/>
      </w:rPr>
      <w:t>东莞市樟木头镇实验幼儿园饭堂食材配送项目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D7C7"/>
    <w:multiLevelType w:val="singleLevel"/>
    <w:tmpl w:val="90A2D7C7"/>
    <w:lvl w:ilvl="0" w:tentative="0">
      <w:start w:val="1"/>
      <w:numFmt w:val="decimal"/>
      <w:suff w:val="nothing"/>
      <w:lvlText w:val="%1、"/>
      <w:lvlJc w:val="left"/>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AD20561C"/>
    <w:multiLevelType w:val="singleLevel"/>
    <w:tmpl w:val="AD20561C"/>
    <w:lvl w:ilvl="0" w:tentative="0">
      <w:start w:val="1"/>
      <w:numFmt w:val="chineseCounting"/>
      <w:lvlText w:val="（%1）"/>
      <w:lvlJc w:val="left"/>
      <w:rPr>
        <w:rFonts w:hint="eastAsia"/>
      </w:r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FF6E5B74"/>
    <w:multiLevelType w:val="singleLevel"/>
    <w:tmpl w:val="FF6E5B74"/>
    <w:lvl w:ilvl="0" w:tentative="0">
      <w:start w:val="1"/>
      <w:numFmt w:val="decimal"/>
      <w:suff w:val="nothing"/>
      <w:lvlText w:val="%1．"/>
      <w:lvlJc w:val="left"/>
      <w:pPr>
        <w:ind w:left="0" w:firstLine="400"/>
      </w:pPr>
      <w:rPr>
        <w:rFonts w:hint="default"/>
      </w:rPr>
    </w:lvl>
  </w:abstractNum>
  <w:abstractNum w:abstractNumId="7">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06CABF7"/>
    <w:multiLevelType w:val="singleLevel"/>
    <w:tmpl w:val="206CABF7"/>
    <w:lvl w:ilvl="0" w:tentative="0">
      <w:start w:val="1"/>
      <w:numFmt w:val="decimal"/>
      <w:suff w:val="nothing"/>
      <w:lvlText w:val="（%1）"/>
      <w:lvlJc w:val="left"/>
    </w:lvl>
  </w:abstractNum>
  <w:abstractNum w:abstractNumId="9">
    <w:nsid w:val="22532AD9"/>
    <w:multiLevelType w:val="singleLevel"/>
    <w:tmpl w:val="22532AD9"/>
    <w:lvl w:ilvl="0" w:tentative="0">
      <w:start w:val="1"/>
      <w:numFmt w:val="decimal"/>
      <w:lvlText w:val="%1)"/>
      <w:lvlJc w:val="left"/>
      <w:pPr>
        <w:tabs>
          <w:tab w:val="left" w:pos="312"/>
        </w:tabs>
      </w:pPr>
    </w:lvl>
  </w:abstractNum>
  <w:abstractNum w:abstractNumId="10">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2E25990"/>
    <w:multiLevelType w:val="singleLevel"/>
    <w:tmpl w:val="32E25990"/>
    <w:lvl w:ilvl="0" w:tentative="0">
      <w:start w:val="1"/>
      <w:numFmt w:val="decimal"/>
      <w:suff w:val="nothing"/>
      <w:lvlText w:val="%1、"/>
      <w:lvlJc w:val="left"/>
    </w:lvl>
  </w:abstractNum>
  <w:abstractNum w:abstractNumId="12">
    <w:nsid w:val="3F88662E"/>
    <w:multiLevelType w:val="singleLevel"/>
    <w:tmpl w:val="3F88662E"/>
    <w:lvl w:ilvl="0" w:tentative="0">
      <w:start w:val="1"/>
      <w:numFmt w:val="decimal"/>
      <w:suff w:val="space"/>
      <w:lvlText w:val="%1)"/>
      <w:lvlJc w:val="left"/>
    </w:lvl>
  </w:abstractNum>
  <w:abstractNum w:abstractNumId="13">
    <w:nsid w:val="636C59FA"/>
    <w:multiLevelType w:val="singleLevel"/>
    <w:tmpl w:val="636C59FA"/>
    <w:lvl w:ilvl="0" w:tentative="0">
      <w:start w:val="1"/>
      <w:numFmt w:val="decimal"/>
      <w:lvlText w:val="%1)"/>
      <w:lvlJc w:val="left"/>
      <w:pPr>
        <w:tabs>
          <w:tab w:val="left" w:pos="312"/>
        </w:tabs>
      </w:pPr>
    </w:lvl>
  </w:abstractNum>
  <w:num w:numId="1">
    <w:abstractNumId w:val="1"/>
  </w:num>
  <w:num w:numId="2">
    <w:abstractNumId w:val="11"/>
  </w:num>
  <w:num w:numId="3">
    <w:abstractNumId w:val="0"/>
  </w:num>
  <w:num w:numId="4">
    <w:abstractNumId w:val="3"/>
  </w:num>
  <w:num w:numId="5">
    <w:abstractNumId w:val="4"/>
  </w:num>
  <w:num w:numId="6">
    <w:abstractNumId w:val="7"/>
  </w:num>
  <w:num w:numId="7">
    <w:abstractNumId w:val="12"/>
  </w:num>
  <w:num w:numId="8">
    <w:abstractNumId w:val="8"/>
  </w:num>
  <w:num w:numId="9">
    <w:abstractNumId w:val="5"/>
  </w:num>
  <w:num w:numId="10">
    <w:abstractNumId w:val="10"/>
  </w:num>
  <w:num w:numId="11">
    <w:abstractNumId w:val="2"/>
  </w:num>
  <w:num w:numId="12">
    <w:abstractNumId w:val="6"/>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7754C9"/>
    <w:rsid w:val="03DB3CD5"/>
    <w:rsid w:val="0428632B"/>
    <w:rsid w:val="04BC008C"/>
    <w:rsid w:val="057C5CF6"/>
    <w:rsid w:val="05BE394B"/>
    <w:rsid w:val="07342FC6"/>
    <w:rsid w:val="08F278CA"/>
    <w:rsid w:val="0AAB1D08"/>
    <w:rsid w:val="0B5B7E94"/>
    <w:rsid w:val="0B696582"/>
    <w:rsid w:val="0C502C33"/>
    <w:rsid w:val="0CD41D0B"/>
    <w:rsid w:val="0DE142A9"/>
    <w:rsid w:val="0F1622A5"/>
    <w:rsid w:val="121918AE"/>
    <w:rsid w:val="126E350F"/>
    <w:rsid w:val="131751AB"/>
    <w:rsid w:val="15380D0C"/>
    <w:rsid w:val="161909DD"/>
    <w:rsid w:val="16D25464"/>
    <w:rsid w:val="178164D0"/>
    <w:rsid w:val="18062A99"/>
    <w:rsid w:val="1BBB674D"/>
    <w:rsid w:val="1BE705BF"/>
    <w:rsid w:val="1DB725C0"/>
    <w:rsid w:val="1E440D57"/>
    <w:rsid w:val="20332F5E"/>
    <w:rsid w:val="209314D4"/>
    <w:rsid w:val="23477A98"/>
    <w:rsid w:val="244868B3"/>
    <w:rsid w:val="25715CA1"/>
    <w:rsid w:val="269A0871"/>
    <w:rsid w:val="2A213986"/>
    <w:rsid w:val="2A6C3AA2"/>
    <w:rsid w:val="2B57233C"/>
    <w:rsid w:val="2D3A4F1C"/>
    <w:rsid w:val="2DE33D62"/>
    <w:rsid w:val="2E462ABD"/>
    <w:rsid w:val="2F4F681A"/>
    <w:rsid w:val="2FE55D43"/>
    <w:rsid w:val="30C474C2"/>
    <w:rsid w:val="3158095E"/>
    <w:rsid w:val="31ED0D4A"/>
    <w:rsid w:val="34BE4BEB"/>
    <w:rsid w:val="35C1129C"/>
    <w:rsid w:val="372D3A3D"/>
    <w:rsid w:val="373F6180"/>
    <w:rsid w:val="37423885"/>
    <w:rsid w:val="37A82279"/>
    <w:rsid w:val="3B2A432E"/>
    <w:rsid w:val="3C8E00EA"/>
    <w:rsid w:val="3E0202C6"/>
    <w:rsid w:val="3F0A76BA"/>
    <w:rsid w:val="401711CC"/>
    <w:rsid w:val="422E2420"/>
    <w:rsid w:val="42D6466E"/>
    <w:rsid w:val="43143B39"/>
    <w:rsid w:val="43585670"/>
    <w:rsid w:val="438833C2"/>
    <w:rsid w:val="468A6BFD"/>
    <w:rsid w:val="47735BD0"/>
    <w:rsid w:val="47BB609D"/>
    <w:rsid w:val="47CA196A"/>
    <w:rsid w:val="481D3236"/>
    <w:rsid w:val="498145E0"/>
    <w:rsid w:val="4BE07E65"/>
    <w:rsid w:val="4C0672A7"/>
    <w:rsid w:val="4C573AD4"/>
    <w:rsid w:val="4D154CC3"/>
    <w:rsid w:val="4DAA2866"/>
    <w:rsid w:val="4F2676D5"/>
    <w:rsid w:val="5112378D"/>
    <w:rsid w:val="525B07C5"/>
    <w:rsid w:val="52E14EC4"/>
    <w:rsid w:val="53710418"/>
    <w:rsid w:val="53F51E89"/>
    <w:rsid w:val="54D338A8"/>
    <w:rsid w:val="57106398"/>
    <w:rsid w:val="575612E0"/>
    <w:rsid w:val="57EE60DD"/>
    <w:rsid w:val="5B812734"/>
    <w:rsid w:val="5BE04967"/>
    <w:rsid w:val="5C015C21"/>
    <w:rsid w:val="5D744988"/>
    <w:rsid w:val="5E4B177F"/>
    <w:rsid w:val="5E720F58"/>
    <w:rsid w:val="622349C8"/>
    <w:rsid w:val="64344366"/>
    <w:rsid w:val="64793AA3"/>
    <w:rsid w:val="64D3048A"/>
    <w:rsid w:val="65851F87"/>
    <w:rsid w:val="665212BA"/>
    <w:rsid w:val="66CA48D2"/>
    <w:rsid w:val="67403D9A"/>
    <w:rsid w:val="687065DC"/>
    <w:rsid w:val="69FB3BA8"/>
    <w:rsid w:val="6E003853"/>
    <w:rsid w:val="6ECE5FF3"/>
    <w:rsid w:val="6ED74C74"/>
    <w:rsid w:val="6F566CB3"/>
    <w:rsid w:val="70832ED7"/>
    <w:rsid w:val="7152191D"/>
    <w:rsid w:val="7169749E"/>
    <w:rsid w:val="717F42C4"/>
    <w:rsid w:val="74951BFB"/>
    <w:rsid w:val="74F71418"/>
    <w:rsid w:val="7B507070"/>
    <w:rsid w:val="7EA32264"/>
    <w:rsid w:val="7F2D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1"/>
    <w:qFormat/>
    <w:uiPriority w:val="0"/>
    <w:pPr>
      <w:keepNext/>
      <w:keepLines/>
      <w:spacing w:line="576" w:lineRule="auto"/>
      <w:jc w:val="center"/>
      <w:outlineLvl w:val="0"/>
    </w:pPr>
    <w:rPr>
      <w:b/>
      <w:kern w:val="44"/>
      <w:sz w:val="30"/>
    </w:rPr>
  </w:style>
  <w:style w:type="paragraph" w:styleId="4">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5">
    <w:name w:val="heading 3"/>
    <w:basedOn w:val="1"/>
    <w:next w:val="1"/>
    <w:autoRedefine/>
    <w:unhideWhenUsed/>
    <w:qFormat/>
    <w:uiPriority w:val="0"/>
    <w:pPr>
      <w:keepNext/>
      <w:keepLines/>
      <w:spacing w:line="360" w:lineRule="auto"/>
      <w:outlineLvl w:val="2"/>
    </w:pPr>
    <w:rPr>
      <w:b/>
    </w:rPr>
  </w:style>
  <w:style w:type="paragraph" w:styleId="6">
    <w:name w:val="heading 4"/>
    <w:basedOn w:val="1"/>
    <w:next w:val="1"/>
    <w:autoRedefine/>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pPr>
      <w:spacing w:before="161"/>
      <w:ind w:left="120"/>
    </w:pPr>
    <w:rPr>
      <w:rFonts w:ascii="宋体" w:hAnsi="宋体" w:cs="宋体"/>
      <w:sz w:val="24"/>
      <w:lang w:val="zh-CN" w:bidi="zh-CN"/>
    </w:rPr>
  </w:style>
  <w:style w:type="paragraph" w:styleId="7">
    <w:name w:val="Normal Indent"/>
    <w:basedOn w:val="1"/>
    <w:autoRedefine/>
    <w:semiHidden/>
    <w:unhideWhenUsed/>
    <w:qFormat/>
    <w:uiPriority w:val="99"/>
    <w:pPr>
      <w:ind w:firstLine="420" w:firstLineChars="200"/>
    </w:pPr>
  </w:style>
  <w:style w:type="paragraph" w:styleId="8">
    <w:name w:val="annotation text"/>
    <w:basedOn w:val="1"/>
    <w:autoRedefine/>
    <w:qFormat/>
    <w:uiPriority w:val="0"/>
  </w:style>
  <w:style w:type="paragraph" w:styleId="9">
    <w:name w:val="Body Text Indent"/>
    <w:basedOn w:val="1"/>
    <w:autoRedefine/>
    <w:qFormat/>
    <w:uiPriority w:val="0"/>
    <w:pPr>
      <w:spacing w:after="120"/>
      <w:ind w:left="420" w:leftChars="200"/>
    </w:pPr>
  </w:style>
  <w:style w:type="paragraph" w:styleId="10">
    <w:name w:val="Plain Text"/>
    <w:basedOn w:val="1"/>
    <w:autoRedefine/>
    <w:qFormat/>
    <w:uiPriority w:val="0"/>
    <w:rPr>
      <w:rFonts w:ascii="宋体" w:hAnsi="Courier New" w:eastAsiaTheme="minorEastAsia"/>
      <w:szCs w:val="22"/>
    </w:rPr>
  </w:style>
  <w:style w:type="paragraph" w:styleId="11">
    <w:name w:val="Balloon Text"/>
    <w:basedOn w:val="1"/>
    <w:link w:val="28"/>
    <w:autoRedefine/>
    <w:qFormat/>
    <w:uiPriority w:val="0"/>
    <w:rPr>
      <w:sz w:val="18"/>
      <w:szCs w:val="18"/>
    </w:rPr>
  </w:style>
  <w:style w:type="paragraph" w:styleId="12">
    <w:name w:val="footer"/>
    <w:basedOn w:val="1"/>
    <w:autoRedefine/>
    <w:qFormat/>
    <w:uiPriority w:val="0"/>
    <w:pPr>
      <w:tabs>
        <w:tab w:val="center" w:pos="4153"/>
        <w:tab w:val="right" w:pos="8306"/>
      </w:tabs>
      <w:snapToGrid w:val="0"/>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First Indent 2"/>
    <w:basedOn w:val="9"/>
    <w:autoRedefine/>
    <w:qFormat/>
    <w:uiPriority w:val="0"/>
    <w:pPr>
      <w:spacing w:line="360" w:lineRule="auto"/>
      <w:ind w:firstLine="420" w:firstLineChars="200"/>
    </w:pPr>
    <w:rPr>
      <w:bCs/>
      <w:szCs w:val="21"/>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autoRedefine/>
    <w:qFormat/>
    <w:uiPriority w:val="99"/>
    <w:rPr>
      <w:color w:val="0000FF"/>
      <w:u w:val="single"/>
    </w:rPr>
  </w:style>
  <w:style w:type="character" w:styleId="19">
    <w:name w:val="annotation reference"/>
    <w:basedOn w:val="17"/>
    <w:autoRedefine/>
    <w:qFormat/>
    <w:uiPriority w:val="0"/>
    <w:rPr>
      <w:sz w:val="21"/>
      <w:szCs w:val="21"/>
    </w:rPr>
  </w:style>
  <w:style w:type="paragraph" w:styleId="20">
    <w:name w:val="List Paragraph"/>
    <w:basedOn w:val="1"/>
    <w:autoRedefine/>
    <w:qFormat/>
    <w:uiPriority w:val="34"/>
    <w:pPr>
      <w:ind w:firstLine="420" w:firstLineChars="200"/>
    </w:pPr>
  </w:style>
  <w:style w:type="character" w:customStyle="1" w:styleId="21">
    <w:name w:val="标题 1 Char"/>
    <w:link w:val="3"/>
    <w:autoRedefine/>
    <w:qFormat/>
    <w:uiPriority w:val="0"/>
    <w:rPr>
      <w:b/>
      <w:kern w:val="44"/>
      <w:sz w:val="30"/>
    </w:rPr>
  </w:style>
  <w:style w:type="paragraph" w:customStyle="1" w:styleId="22">
    <w:name w:val="Table Paragraph"/>
    <w:basedOn w:val="1"/>
    <w:autoRedefine/>
    <w:qFormat/>
    <w:uiPriority w:val="1"/>
  </w:style>
  <w:style w:type="paragraph" w:customStyle="1" w:styleId="23">
    <w:name w:val="正文缩进2格"/>
    <w:basedOn w:val="1"/>
    <w:next w:val="1"/>
    <w:autoRedefine/>
    <w:qFormat/>
    <w:uiPriority w:val="0"/>
    <w:pPr>
      <w:spacing w:line="600" w:lineRule="exact"/>
      <w:ind w:firstLine="639" w:firstLineChars="206"/>
      <w:jc w:val="both"/>
    </w:pPr>
    <w:rPr>
      <w:rFonts w:ascii="仿宋_GB2312" w:hAnsi="宋体" w:eastAsia="仿宋_GB2312"/>
      <w:sz w:val="31"/>
    </w:rPr>
  </w:style>
  <w:style w:type="paragraph" w:customStyle="1" w:styleId="24">
    <w:name w:val="WPSOffice手动目录 1"/>
    <w:autoRedefine/>
    <w:qFormat/>
    <w:uiPriority w:val="0"/>
    <w:rPr>
      <w:rFonts w:asciiTheme="minorHAnsi" w:hAnsiTheme="minorHAnsi" w:eastAsiaTheme="minorEastAsia" w:cstheme="minorBidi"/>
      <w:lang w:val="en-US" w:eastAsia="zh-CN" w:bidi="ar-SA"/>
    </w:rPr>
  </w:style>
  <w:style w:type="paragraph" w:customStyle="1" w:styleId="25">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26">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27">
    <w:name w:val="列出段落1"/>
    <w:basedOn w:val="1"/>
    <w:autoRedefine/>
    <w:qFormat/>
    <w:uiPriority w:val="0"/>
    <w:pPr>
      <w:ind w:firstLine="420" w:firstLineChars="200"/>
    </w:pPr>
    <w:rPr>
      <w:rFonts w:ascii="Calibri" w:hAnsi="Calibri"/>
      <w:kern w:val="0"/>
      <w:sz w:val="20"/>
      <w:szCs w:val="20"/>
    </w:rPr>
  </w:style>
  <w:style w:type="character" w:customStyle="1" w:styleId="28">
    <w:name w:val="批注框文本 Char"/>
    <w:basedOn w:val="17"/>
    <w:link w:val="11"/>
    <w:autoRedefine/>
    <w:qFormat/>
    <w:uiPriority w:val="0"/>
    <w:rPr>
      <w:rFonts w:asciiTheme="minorHAnsi" w:hAnsiTheme="minorHAnsi" w:cstheme="minorBidi"/>
      <w:kern w:val="2"/>
      <w:sz w:val="18"/>
      <w:szCs w:val="18"/>
    </w:rPr>
  </w:style>
  <w:style w:type="paragraph" w:customStyle="1" w:styleId="29">
    <w:name w:val="Other|1"/>
    <w:basedOn w:val="1"/>
    <w:autoRedefine/>
    <w:qFormat/>
    <w:uiPriority w:val="0"/>
    <w:pPr>
      <w:jc w:val="center"/>
    </w:pPr>
    <w:rPr>
      <w:rFonts w:ascii="宋体" w:hAnsi="宋体" w:cs="宋体"/>
      <w:sz w:val="14"/>
      <w:szCs w:val="14"/>
      <w:lang w:val="zh-TW" w:eastAsia="zh-TW" w:bidi="zh-TW"/>
    </w:rPr>
  </w:style>
  <w:style w:type="paragraph" w:customStyle="1" w:styleId="30">
    <w:name w:val="Char"/>
    <w:autoRedefine/>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1">
    <w:name w:val="List Paragraph1"/>
    <w:basedOn w:val="1"/>
    <w:autoRedefine/>
    <w:qFormat/>
    <w:uiPriority w:val="0"/>
    <w:pPr>
      <w:widowControl w:val="0"/>
      <w:adjustRightInd/>
      <w:snapToGrid/>
      <w:spacing w:after="0"/>
      <w:ind w:firstLine="420" w:firstLineChars="200"/>
      <w:jc w:val="both"/>
    </w:pPr>
    <w:rPr>
      <w:rFonts w:ascii="Calibri" w:hAnsi="Calibri" w:eastAsia="宋体"/>
      <w:kern w:val="2"/>
      <w:sz w:val="21"/>
    </w:rPr>
  </w:style>
  <w:style w:type="character" w:customStyle="1" w:styleId="32">
    <w:name w:val="font21"/>
    <w:basedOn w:val="17"/>
    <w:autoRedefine/>
    <w:qFormat/>
    <w:uiPriority w:val="0"/>
    <w:rPr>
      <w:rFonts w:ascii="宋体" w:hAnsi="宋体" w:eastAsia="宋体" w:cs="宋体"/>
      <w:color w:val="000000"/>
      <w:sz w:val="18"/>
      <w:szCs w:val="18"/>
      <w:u w:val="none"/>
    </w:rPr>
  </w:style>
  <w:style w:type="character" w:customStyle="1" w:styleId="33">
    <w:name w:val="font41"/>
    <w:basedOn w:val="17"/>
    <w:autoRedefine/>
    <w:qFormat/>
    <w:uiPriority w:val="0"/>
    <w:rPr>
      <w:rFonts w:hint="default" w:ascii="Times New Roman" w:hAnsi="Times New Roman" w:cs="Times New Roman"/>
      <w:color w:val="000000"/>
      <w:sz w:val="20"/>
      <w:szCs w:val="20"/>
      <w:u w:val="none"/>
    </w:rPr>
  </w:style>
  <w:style w:type="character" w:customStyle="1" w:styleId="34">
    <w:name w:val="font51"/>
    <w:basedOn w:val="17"/>
    <w:autoRedefine/>
    <w:qFormat/>
    <w:uiPriority w:val="0"/>
    <w:rPr>
      <w:rFonts w:hint="eastAsia" w:ascii="宋体" w:hAnsi="宋体" w:eastAsia="宋体" w:cs="宋体"/>
      <w:color w:val="000000"/>
      <w:sz w:val="20"/>
      <w:szCs w:val="20"/>
      <w:u w:val="none"/>
      <w:vertAlign w:val="superscript"/>
    </w:rPr>
  </w:style>
  <w:style w:type="character" w:customStyle="1" w:styleId="35">
    <w:name w:val="font11"/>
    <w:basedOn w:val="17"/>
    <w:autoRedefine/>
    <w:qFormat/>
    <w:uiPriority w:val="0"/>
    <w:rPr>
      <w:rFonts w:hint="eastAsia" w:ascii="宋体" w:hAnsi="宋体" w:eastAsia="宋体" w:cs="宋体"/>
      <w:color w:val="000000"/>
      <w:sz w:val="20"/>
      <w:szCs w:val="20"/>
      <w:u w:val="none"/>
    </w:rPr>
  </w:style>
  <w:style w:type="character" w:customStyle="1" w:styleId="36">
    <w:name w:val="font61"/>
    <w:basedOn w:val="17"/>
    <w:autoRedefine/>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69</Pages>
  <Words>31708</Words>
  <Characters>33595</Characters>
  <Lines>343</Lines>
  <Paragraphs>96</Paragraphs>
  <TotalTime>3</TotalTime>
  <ScaleCrop>false</ScaleCrop>
  <LinksUpToDate>false</LinksUpToDate>
  <CharactersWithSpaces>35223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2023-04-10T09:08:00Z</cp:lastPrinted>
  <dcterms:modified xsi:type="dcterms:W3CDTF">2024-01-18T06:41:18Z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ACCCEC4E3B994B5EB549AA94B29BB29F_13</vt:lpwstr>
  </property>
</Properties>
</file>