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spacing w:before="156" w:beforeLines="50" w:after="156" w:afterLines="50"/>
        <w:jc w:val="center"/>
        <w:outlineLvl w:val="0"/>
        <w:rPr>
          <w:b/>
          <w:bCs/>
          <w:color w:val="auto"/>
          <w:sz w:val="52"/>
          <w:szCs w:val="72"/>
          <w:highlight w:val="none"/>
        </w:rPr>
      </w:pPr>
      <w:bookmarkStart w:id="0" w:name="_Toc7942"/>
      <w:bookmarkStart w:id="1" w:name="_Toc16489"/>
      <w:bookmarkStart w:id="2" w:name="_Toc7243"/>
      <w:bookmarkStart w:id="3" w:name="_Toc25865"/>
      <w:r>
        <w:rPr>
          <w:rFonts w:hint="eastAsia"/>
          <w:b/>
          <w:bCs/>
          <w:color w:val="auto"/>
          <w:sz w:val="52"/>
          <w:szCs w:val="72"/>
          <w:highlight w:val="none"/>
        </w:rPr>
        <w:t>国内采购</w:t>
      </w:r>
      <w:bookmarkEnd w:id="0"/>
      <w:bookmarkEnd w:id="1"/>
      <w:bookmarkEnd w:id="2"/>
      <w:bookmarkEnd w:id="3"/>
    </w:p>
    <w:p>
      <w:pPr>
        <w:spacing w:before="156" w:beforeLines="50" w:after="156" w:afterLines="50"/>
        <w:jc w:val="center"/>
        <w:outlineLvl w:val="0"/>
        <w:rPr>
          <w:b/>
          <w:bCs/>
          <w:color w:val="auto"/>
          <w:sz w:val="52"/>
          <w:szCs w:val="72"/>
          <w:highlight w:val="none"/>
        </w:rPr>
      </w:pPr>
      <w:bookmarkStart w:id="4" w:name="_Toc8734"/>
      <w:bookmarkStart w:id="5" w:name="_Toc20638"/>
      <w:bookmarkStart w:id="6" w:name="_Toc15158"/>
      <w:bookmarkStart w:id="7" w:name="_Toc9385"/>
      <w:r>
        <w:rPr>
          <w:rFonts w:hint="eastAsia"/>
          <w:b/>
          <w:bCs/>
          <w:color w:val="auto"/>
          <w:sz w:val="52"/>
          <w:szCs w:val="72"/>
          <w:highlight w:val="none"/>
        </w:rPr>
        <w:t>竞争性磋商文件</w:t>
      </w:r>
      <w:bookmarkEnd w:id="4"/>
      <w:bookmarkEnd w:id="5"/>
      <w:bookmarkEnd w:id="6"/>
      <w:bookmarkEnd w:id="7"/>
    </w:p>
    <w:p>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300" w:firstLineChars="10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宏鹏精密零部件检测项目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300" w:firstLineChars="10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GSDG2024-003C</w:t>
            </w:r>
            <w:bookmarkStart w:id="317" w:name="_GoBack"/>
            <w:bookmarkEnd w:id="3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300" w:firstLineChars="10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东莞市石排镇下沙股份经济合作社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ind w:firstLine="300" w:firstLineChars="100"/>
              <w:jc w:val="both"/>
              <w:textAlignment w:val="auto"/>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ind w:firstLine="480"/>
        <w:jc w:val="center"/>
        <w:rPr>
          <w:color w:val="auto"/>
          <w:sz w:val="24"/>
          <w:szCs w:val="32"/>
          <w:highlight w:val="none"/>
        </w:rPr>
      </w:pPr>
    </w:p>
    <w:p>
      <w:pPr>
        <w:ind w:firstLine="480"/>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5265"/>
      <w:bookmarkStart w:id="9" w:name="_Toc17050"/>
      <w:bookmarkStart w:id="10" w:name="_Toc4164"/>
      <w:bookmarkStart w:id="11" w:name="_Toc18278"/>
      <w:r>
        <w:rPr>
          <w:rFonts w:hint="eastAsia" w:ascii="黑体" w:hAnsi="黑体" w:eastAsia="黑体" w:cs="黑体"/>
          <w:color w:val="auto"/>
          <w:sz w:val="30"/>
          <w:szCs w:val="30"/>
          <w:highlight w:val="none"/>
        </w:rPr>
        <w:t>2024年</w:t>
      </w:r>
      <w:r>
        <w:rPr>
          <w:rFonts w:hint="eastAsia" w:ascii="黑体" w:hAnsi="黑体" w:eastAsia="黑体" w:cs="黑体"/>
          <w:color w:val="auto"/>
          <w:sz w:val="30"/>
          <w:szCs w:val="30"/>
          <w:highlight w:val="none"/>
          <w:lang w:val="en-US" w:eastAsia="zh-CN"/>
        </w:rPr>
        <w:t>2</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18</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ind w:firstLine="482"/>
            <w:jc w:val="center"/>
            <w:rPr>
              <w:b/>
              <w:bCs/>
              <w:color w:val="auto"/>
              <w:sz w:val="24"/>
              <w:szCs w:val="32"/>
              <w:highlight w:val="none"/>
            </w:rPr>
          </w:pPr>
          <w:r>
            <w:rPr>
              <w:rFonts w:ascii="宋体" w:hAnsi="宋体"/>
              <w:b/>
              <w:bCs/>
              <w:color w:val="auto"/>
              <w:sz w:val="24"/>
              <w:szCs w:val="32"/>
              <w:highlight w:val="none"/>
            </w:rPr>
            <w:t>目录</w:t>
          </w:r>
        </w:p>
        <w:p>
          <w:pPr>
            <w:pStyle w:val="14"/>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4"/>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ind w:firstLine="602"/>
        <w:rPr>
          <w:color w:val="auto"/>
          <w:highlight w:val="none"/>
        </w:rPr>
      </w:pPr>
      <w:bookmarkStart w:id="12" w:name="_Toc27497"/>
      <w:r>
        <w:rPr>
          <w:rFonts w:hint="eastAsia"/>
          <w:color w:val="auto"/>
          <w:highlight w:val="none"/>
        </w:rPr>
        <w:t>磋商邀请</w:t>
      </w:r>
      <w:bookmarkEnd w:id="1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宏鹏精密零部件检测项目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2024年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pPr>
        <w:pStyle w:val="4"/>
        <w:spacing w:before="0" w:after="0" w:line="360" w:lineRule="auto"/>
        <w:ind w:firstLine="422"/>
        <w:jc w:val="left"/>
        <w:rPr>
          <w:rFonts w:ascii="宋体" w:hAnsi="宋体" w:cs="宋体"/>
          <w:bCs/>
          <w:color w:val="auto"/>
          <w:sz w:val="21"/>
          <w:szCs w:val="21"/>
          <w:highlight w:val="none"/>
        </w:rPr>
      </w:pPr>
      <w:bookmarkStart w:id="13" w:name="_Toc26796"/>
      <w:bookmarkStart w:id="14" w:name="_Toc28359002"/>
      <w:bookmarkStart w:id="15" w:name="_Toc2169"/>
      <w:bookmarkStart w:id="16" w:name="_Toc28359079"/>
      <w:bookmarkStart w:id="17" w:name="_Toc35393790"/>
      <w:bookmarkStart w:id="18" w:name="_Toc35393621"/>
      <w:bookmarkStart w:id="19" w:name="_Toc31624"/>
      <w:bookmarkStart w:id="20" w:name="_Toc13782"/>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项目编号：GSDG2024-003C</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项目名称：宏鹏精密零部件检测项目</w:t>
      </w:r>
    </w:p>
    <w:bookmarkEnd w:id="21"/>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¥783,483.41元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033" w:type="pct"/>
            <w:vAlign w:val="center"/>
          </w:tcPr>
          <w:p>
            <w:pPr>
              <w:spacing w:line="360" w:lineRule="auto"/>
              <w:ind w:firstLine="422"/>
              <w:jc w:val="center"/>
              <w:rPr>
                <w:rFonts w:hAnsi="宋体"/>
                <w:color w:val="auto"/>
                <w:szCs w:val="21"/>
                <w:highlight w:val="none"/>
              </w:rPr>
            </w:pPr>
            <w:r>
              <w:rPr>
                <w:rFonts w:hint="eastAsia" w:hAnsi="宋体"/>
                <w:b/>
                <w:color w:val="auto"/>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033" w:type="pct"/>
            <w:vAlign w:val="center"/>
          </w:tcPr>
          <w:p>
            <w:pPr>
              <w:spacing w:line="360" w:lineRule="auto"/>
              <w:jc w:val="center"/>
              <w:rPr>
                <w:rFonts w:hAnsi="宋体"/>
                <w:color w:val="auto"/>
                <w:szCs w:val="21"/>
                <w:highlight w:val="none"/>
              </w:rPr>
            </w:pPr>
            <w:r>
              <w:rPr>
                <w:rFonts w:hint="eastAsia" w:hAnsi="宋体"/>
                <w:color w:val="auto"/>
                <w:szCs w:val="21"/>
                <w:highlight w:val="none"/>
              </w:rPr>
              <w:t>宏鹏精密零部件检测项目采购一项</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pPr>
        <w:pStyle w:val="4"/>
        <w:spacing w:before="0" w:after="0" w:line="360" w:lineRule="auto"/>
        <w:ind w:firstLine="422"/>
        <w:jc w:val="left"/>
        <w:rPr>
          <w:rFonts w:ascii="宋体" w:hAnsi="宋体" w:cs="宋体"/>
          <w:b w:val="0"/>
          <w:color w:val="auto"/>
          <w:sz w:val="21"/>
          <w:szCs w:val="21"/>
          <w:highlight w:val="none"/>
        </w:rPr>
      </w:pPr>
      <w:bookmarkStart w:id="22" w:name="_Toc31691"/>
      <w:bookmarkStart w:id="23" w:name="_Toc28359003"/>
      <w:bookmarkStart w:id="24" w:name="_Toc28625"/>
      <w:bookmarkStart w:id="25" w:name="_Toc25198"/>
      <w:bookmarkStart w:id="26" w:name="_Toc13371"/>
      <w:bookmarkStart w:id="27" w:name="_Toc35393791"/>
      <w:bookmarkStart w:id="28" w:name="_Toc28359080"/>
      <w:bookmarkStart w:id="29" w:name="_Toc35393622"/>
      <w:r>
        <w:rPr>
          <w:rFonts w:hint="eastAsia" w:ascii="宋体" w:hAnsi="宋体" w:cs="宋体"/>
          <w:bCs/>
          <w:color w:val="auto"/>
          <w:sz w:val="21"/>
          <w:szCs w:val="21"/>
          <w:highlight w:val="none"/>
        </w:rPr>
        <w:t>二、申请人的资格要求：</w:t>
      </w:r>
      <w:bookmarkEnd w:id="22"/>
      <w:bookmarkEnd w:id="23"/>
      <w:bookmarkEnd w:id="24"/>
      <w:bookmarkEnd w:id="25"/>
      <w:bookmarkEnd w:id="26"/>
      <w:bookmarkEnd w:id="27"/>
      <w:bookmarkEnd w:id="28"/>
      <w:bookmarkEnd w:id="29"/>
    </w:p>
    <w:p>
      <w:pPr>
        <w:widowControl/>
        <w:spacing w:line="360" w:lineRule="auto"/>
        <w:ind w:firstLine="420" w:firstLineChars="200"/>
        <w:outlineLvl w:val="2"/>
        <w:rPr>
          <w:rFonts w:ascii="宋体" w:hAnsi="宋体"/>
          <w:color w:val="auto"/>
          <w:szCs w:val="21"/>
          <w:highlight w:val="none"/>
        </w:rPr>
      </w:pPr>
      <w:bookmarkStart w:id="30" w:name="_Toc29919"/>
      <w:bookmarkStart w:id="31" w:name="_Toc8265"/>
      <w:bookmarkStart w:id="32" w:name="_Toc7315"/>
      <w:bookmarkStart w:id="33" w:name="_Toc16211"/>
      <w:bookmarkStart w:id="34" w:name="_Toc28359081"/>
      <w:bookmarkStart w:id="35" w:name="_Toc28359004"/>
      <w:r>
        <w:rPr>
          <w:rFonts w:hint="eastAsia" w:ascii="宋体" w:hAnsi="宋体"/>
          <w:color w:val="auto"/>
          <w:szCs w:val="21"/>
          <w:highlight w:val="none"/>
        </w:rPr>
        <w:t>1.供应商应具备《政府采购法》第二十二条规定的条件，提供下列材料：</w:t>
      </w:r>
      <w:bookmarkEnd w:id="30"/>
      <w:bookmarkEnd w:id="31"/>
      <w:bookmarkEnd w:id="32"/>
      <w:bookmarkEnd w:id="33"/>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pPr>
        <w:widowControl/>
        <w:spacing w:line="360" w:lineRule="auto"/>
        <w:ind w:firstLine="420" w:firstLineChars="200"/>
        <w:outlineLvl w:val="2"/>
        <w:rPr>
          <w:rFonts w:ascii="宋体" w:hAnsi="宋体"/>
          <w:color w:val="auto"/>
          <w:szCs w:val="21"/>
          <w:highlight w:val="none"/>
        </w:rPr>
      </w:pPr>
      <w:bookmarkStart w:id="36" w:name="_Toc4071"/>
      <w:bookmarkStart w:id="37" w:name="_Toc16617"/>
      <w:bookmarkStart w:id="38" w:name="_Toc18344"/>
      <w:bookmarkStart w:id="39" w:name="_Toc26119"/>
      <w:r>
        <w:rPr>
          <w:rFonts w:hint="eastAsia" w:ascii="宋体" w:hAnsi="宋体"/>
          <w:color w:val="auto"/>
          <w:szCs w:val="21"/>
          <w:highlight w:val="none"/>
        </w:rPr>
        <w:t>2.本项目的特定资格要求：</w:t>
      </w:r>
      <w:bookmarkEnd w:id="36"/>
      <w:bookmarkEnd w:id="37"/>
      <w:bookmarkEnd w:id="38"/>
      <w:bookmarkEnd w:id="39"/>
    </w:p>
    <w:p>
      <w:pPr>
        <w:widowControl/>
        <w:spacing w:line="400" w:lineRule="exact"/>
        <w:ind w:firstLine="420" w:firstLineChars="200"/>
        <w:rPr>
          <w:rFonts w:ascii="宋体" w:hAnsi="宋体"/>
          <w:color w:val="auto"/>
          <w:szCs w:val="21"/>
          <w:highlight w:val="none"/>
        </w:rPr>
      </w:pPr>
      <w:bookmarkStart w:id="40" w:name="_Toc35393623"/>
      <w:bookmarkStart w:id="41" w:name="_Toc35393792"/>
      <w:bookmarkStart w:id="42" w:name="_Toc173"/>
      <w:bookmarkStart w:id="43" w:name="_Toc18578"/>
      <w:bookmarkStart w:id="44" w:name="_Toc27443"/>
      <w:bookmarkStart w:id="45" w:name="_Toc2137"/>
      <w:r>
        <w:rPr>
          <w:rFonts w:hint="eastAsia" w:ascii="宋体" w:hAnsi="宋体"/>
          <w:color w:val="auto"/>
          <w:szCs w:val="21"/>
          <w:highlight w:val="none"/>
        </w:rPr>
        <w:t>（1）</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须</w:t>
      </w:r>
      <w:r>
        <w:rPr>
          <w:rFonts w:hint="eastAsia" w:ascii="宋体" w:hAnsi="宋体" w:eastAsia="宋体"/>
          <w:color w:val="auto"/>
          <w:sz w:val="21"/>
          <w:szCs w:val="21"/>
          <w:highlight w:val="none"/>
          <w:lang w:eastAsia="zh-CN"/>
        </w:rPr>
        <w:t>具备建设行政主管部门颁发的在有效期内的建设工程质量检测机构的资质证书（提供相关证明材料）</w:t>
      </w:r>
      <w:r>
        <w:rPr>
          <w:rFonts w:hint="eastAsia" w:ascii="宋体" w:hAnsi="宋体"/>
          <w:color w:val="auto"/>
          <w:sz w:val="21"/>
          <w:szCs w:val="21"/>
          <w:highlight w:val="none"/>
          <w:lang w:eastAsia="zh-CN"/>
        </w:rPr>
        <w:t>。</w:t>
      </w:r>
    </w:p>
    <w:p>
      <w:pPr>
        <w:pStyle w:val="4"/>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1、项目公示时间：2024年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2、获取竞争性磋商文件时间：2024年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日起至2024年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 xml:space="preserve">日（节假日除外），上午9：00～12：00，下午14：30～17：30（北京时间）； </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4"/>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4"/>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pPr>
        <w:pStyle w:val="4"/>
        <w:spacing w:before="0" w:after="0" w:line="360" w:lineRule="auto"/>
        <w:ind w:firstLine="422"/>
        <w:jc w:val="left"/>
        <w:rPr>
          <w:rFonts w:ascii="宋体" w:hAnsi="宋体" w:cs="宋体"/>
          <w:bCs/>
          <w:color w:val="auto"/>
          <w:sz w:val="21"/>
          <w:szCs w:val="21"/>
          <w:highlight w:val="none"/>
        </w:rPr>
      </w:pPr>
      <w:bookmarkStart w:id="46" w:name="_Toc28359082"/>
      <w:bookmarkStart w:id="47" w:name="_Toc28359005"/>
      <w:bookmarkStart w:id="48" w:name="_Toc28585"/>
      <w:bookmarkStart w:id="49" w:name="_Toc35393624"/>
      <w:bookmarkStart w:id="50" w:name="_Toc35393793"/>
      <w:bookmarkStart w:id="51" w:name="_Toc27404"/>
      <w:bookmarkStart w:id="52" w:name="_Toc10322"/>
      <w:bookmarkStart w:id="53" w:name="_Toc28435"/>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截止时间：</w:t>
      </w:r>
      <w:r>
        <w:rPr>
          <w:rFonts w:hint="eastAsia" w:ascii="宋体" w:hAnsi="宋体" w:cs="宋体"/>
          <w:bCs/>
          <w:color w:val="auto"/>
          <w:szCs w:val="21"/>
          <w:highlight w:val="none"/>
          <w:u w:val="single"/>
        </w:rPr>
        <w:t xml:space="preserve"> 2024年</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bCs/>
          <w:color w:val="auto"/>
          <w:szCs w:val="21"/>
          <w:highlight w:val="none"/>
        </w:rPr>
        <w:t>。</w:t>
      </w:r>
    </w:p>
    <w:p>
      <w:pPr>
        <w:pStyle w:val="4"/>
        <w:spacing w:before="0" w:after="0" w:line="360" w:lineRule="auto"/>
        <w:ind w:firstLine="422"/>
        <w:jc w:val="left"/>
        <w:rPr>
          <w:rFonts w:ascii="宋体" w:hAnsi="宋体" w:cs="宋体"/>
          <w:bCs/>
          <w:color w:val="auto"/>
          <w:sz w:val="21"/>
          <w:szCs w:val="21"/>
          <w:highlight w:val="none"/>
        </w:rPr>
      </w:pPr>
      <w:bookmarkStart w:id="54" w:name="_Toc1202"/>
      <w:bookmarkStart w:id="55" w:name="_Toc35393625"/>
      <w:bookmarkStart w:id="56" w:name="_Toc25695"/>
      <w:bookmarkStart w:id="57" w:name="_Toc28359084"/>
      <w:bookmarkStart w:id="58" w:name="_Toc26299"/>
      <w:bookmarkStart w:id="59" w:name="_Toc35393794"/>
      <w:bookmarkStart w:id="60" w:name="_Toc17857"/>
      <w:bookmarkStart w:id="61" w:name="_Toc28359007"/>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spacing w:before="0" w:after="0" w:line="360" w:lineRule="auto"/>
        <w:ind w:firstLine="422"/>
        <w:jc w:val="left"/>
        <w:rPr>
          <w:rFonts w:ascii="宋体" w:hAnsi="宋体" w:cs="宋体"/>
          <w:bCs/>
          <w:color w:val="auto"/>
          <w:sz w:val="21"/>
          <w:szCs w:val="21"/>
          <w:highlight w:val="none"/>
        </w:rPr>
      </w:pPr>
      <w:bookmarkStart w:id="62" w:name="_Toc6612"/>
      <w:bookmarkStart w:id="63" w:name="_Toc35393795"/>
      <w:bookmarkStart w:id="64" w:name="_Toc35393626"/>
      <w:bookmarkStart w:id="65" w:name="_Toc1519"/>
      <w:bookmarkStart w:id="66" w:name="_Toc25010"/>
      <w:bookmarkStart w:id="67" w:name="_Toc9116"/>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pPr>
        <w:widowControl/>
        <w:spacing w:line="360" w:lineRule="auto"/>
        <w:ind w:firstLine="420" w:firstLineChars="200"/>
        <w:rPr>
          <w:rFonts w:ascii="宋体" w:hAnsi="宋体"/>
          <w:color w:val="auto"/>
          <w:szCs w:val="21"/>
          <w:highlight w:val="none"/>
        </w:rPr>
      </w:pPr>
      <w:bookmarkStart w:id="68" w:name="_Toc35393627"/>
      <w:bookmarkStart w:id="69" w:name="_Toc28359085"/>
      <w:bookmarkStart w:id="70" w:name="_Toc28359008"/>
      <w:bookmarkStart w:id="71" w:name="_Toc35393796"/>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pPr>
        <w:pStyle w:val="4"/>
        <w:spacing w:before="0" w:after="0" w:line="360" w:lineRule="auto"/>
        <w:ind w:firstLine="422"/>
        <w:jc w:val="left"/>
        <w:rPr>
          <w:rFonts w:ascii="宋体" w:hAnsi="宋体" w:cs="宋体"/>
          <w:bCs/>
          <w:color w:val="auto"/>
          <w:sz w:val="21"/>
          <w:szCs w:val="21"/>
          <w:highlight w:val="none"/>
        </w:rPr>
      </w:pPr>
      <w:bookmarkStart w:id="72" w:name="_Toc12281"/>
      <w:bookmarkStart w:id="73" w:name="_Toc5139"/>
      <w:bookmarkStart w:id="74" w:name="_Toc22586"/>
      <w:bookmarkStart w:id="75" w:name="_Toc8358"/>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76" w:name="_Toc7403"/>
      <w:bookmarkStart w:id="77" w:name="_Toc30615"/>
      <w:bookmarkStart w:id="78" w:name="_Toc31577"/>
      <w:bookmarkStart w:id="79" w:name="_Toc30277"/>
      <w:r>
        <w:rPr>
          <w:rFonts w:hint="eastAsia" w:ascii="宋体" w:hAnsi="宋体" w:cs="宋体"/>
          <w:b/>
          <w:bCs/>
          <w:color w:val="auto"/>
          <w:szCs w:val="21"/>
          <w:highlight w:val="none"/>
        </w:rPr>
        <w:t>1.采购人信息</w:t>
      </w:r>
      <w:bookmarkEnd w:id="76"/>
      <w:bookmarkEnd w:id="77"/>
      <w:bookmarkEnd w:id="78"/>
      <w:bookmarkEnd w:id="79"/>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称：东莞市石排镇下沙股份经济合作社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olor w:val="auto"/>
          <w:szCs w:val="21"/>
          <w:highlight w:val="none"/>
        </w:rPr>
        <w:t>东莞市石排镇下沙社区</w:t>
      </w:r>
      <w:r>
        <w:rPr>
          <w:rFonts w:hint="eastAsia" w:ascii="宋体" w:hAnsi="宋体" w:cs="宋体"/>
          <w:color w:val="auto"/>
          <w:szCs w:val="21"/>
          <w:highlight w:val="none"/>
        </w:rPr>
        <w:t>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联系人：王仲恒</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 xml:space="preserve">联系方式：0769-86655020　　　　　　　　　　　 </w:t>
      </w:r>
      <w:bookmarkStart w:id="80" w:name="_Toc28359086"/>
      <w:bookmarkStart w:id="81" w:name="_Toc28359009"/>
    </w:p>
    <w:p>
      <w:pPr>
        <w:spacing w:line="360" w:lineRule="auto"/>
        <w:ind w:left="264" w:hanging="264" w:hangingChars="125"/>
        <w:outlineLvl w:val="2"/>
        <w:rPr>
          <w:rFonts w:ascii="宋体" w:hAnsi="宋体" w:cs="宋体"/>
          <w:b/>
          <w:bCs/>
          <w:color w:val="auto"/>
          <w:szCs w:val="21"/>
          <w:highlight w:val="none"/>
        </w:rPr>
      </w:pPr>
      <w:bookmarkStart w:id="82" w:name="_Toc11561"/>
      <w:bookmarkStart w:id="83" w:name="_Toc4580"/>
      <w:bookmarkStart w:id="84" w:name="_Toc25259"/>
      <w:bookmarkStart w:id="85" w:name="_Toc10880"/>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　　　　　　　　　　　　</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2"/>
        <w:rPr>
          <w:rFonts w:ascii="宋体" w:hAnsi="宋体" w:cs="宋体"/>
          <w:b/>
          <w:bCs/>
          <w:color w:val="auto"/>
          <w:szCs w:val="21"/>
          <w:highlight w:val="none"/>
        </w:rPr>
      </w:pPr>
      <w:bookmarkStart w:id="88" w:name="_Toc9440"/>
      <w:bookmarkStart w:id="89" w:name="_Toc15543"/>
      <w:bookmarkStart w:id="90" w:name="_Toc18257"/>
      <w:bookmarkStart w:id="91" w:name="_Toc28659"/>
      <w:r>
        <w:rPr>
          <w:rFonts w:hint="eastAsia" w:ascii="宋体" w:hAnsi="宋体" w:cs="宋体"/>
          <w:b/>
          <w:bCs/>
          <w:color w:val="auto"/>
          <w:szCs w:val="21"/>
          <w:highlight w:val="none"/>
        </w:rPr>
        <w:t>3.项目联系方式</w:t>
      </w:r>
      <w:bookmarkEnd w:id="86"/>
      <w:bookmarkEnd w:id="87"/>
      <w:bookmarkEnd w:id="88"/>
      <w:bookmarkEnd w:id="89"/>
      <w:bookmarkEnd w:id="90"/>
      <w:bookmarkEnd w:id="91"/>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pStyle w:val="3"/>
        <w:numPr>
          <w:ilvl w:val="0"/>
          <w:numId w:val="1"/>
        </w:numPr>
        <w:spacing w:before="0" w:after="0" w:line="360" w:lineRule="auto"/>
        <w:ind w:firstLine="602"/>
        <w:rPr>
          <w:color w:val="auto"/>
          <w:highlight w:val="none"/>
        </w:rPr>
      </w:pPr>
      <w:bookmarkStart w:id="92" w:name="_Toc26573"/>
      <w:r>
        <w:rPr>
          <w:rFonts w:hint="eastAsia"/>
          <w:color w:val="auto"/>
          <w:highlight w:val="none"/>
        </w:rPr>
        <w:t>供应商须知</w:t>
      </w:r>
      <w:bookmarkEnd w:id="92"/>
    </w:p>
    <w:p>
      <w:pPr>
        <w:pStyle w:val="4"/>
        <w:spacing w:before="0" w:after="0" w:line="360" w:lineRule="auto"/>
        <w:ind w:firstLine="562"/>
        <w:rPr>
          <w:color w:val="auto"/>
          <w:highlight w:val="none"/>
          <w:lang w:val="zh-CN"/>
        </w:rPr>
      </w:pPr>
      <w:bookmarkStart w:id="93" w:name="_Toc396137231"/>
      <w:bookmarkStart w:id="94" w:name="_Toc497983494"/>
      <w:bookmarkStart w:id="95" w:name="_Toc413402429"/>
      <w:bookmarkStart w:id="96" w:name="_Toc30510"/>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pPr>
              <w:spacing w:line="360" w:lineRule="auto"/>
              <w:jc w:val="both"/>
              <w:rPr>
                <w:color w:val="auto"/>
                <w:highlight w:val="none"/>
              </w:rPr>
            </w:pPr>
            <w:r>
              <w:rPr>
                <w:rFonts w:hint="eastAsia"/>
                <w:color w:val="auto"/>
                <w:highlight w:val="none"/>
              </w:rPr>
              <w:t>开户名称：国顺招标有限公司</w:t>
            </w:r>
          </w:p>
          <w:p>
            <w:pPr>
              <w:spacing w:line="360" w:lineRule="auto"/>
              <w:jc w:val="both"/>
              <w:rPr>
                <w:color w:val="auto"/>
                <w:highlight w:val="none"/>
              </w:rPr>
            </w:pPr>
            <w:r>
              <w:rPr>
                <w:rFonts w:hint="eastAsia"/>
                <w:color w:val="auto"/>
                <w:highlight w:val="none"/>
              </w:rPr>
              <w:t>开户银行：广发银行股份有限公司东莞城区支行</w:t>
            </w:r>
          </w:p>
          <w:p>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履约保证金（不需要）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陆仟元整。</w:t>
            </w:r>
          </w:p>
          <w:p>
            <w:pPr>
              <w:spacing w:line="360" w:lineRule="auto"/>
              <w:rPr>
                <w:color w:val="auto"/>
                <w:highlight w:val="none"/>
              </w:rPr>
            </w:pPr>
            <w:r>
              <w:rPr>
                <w:rFonts w:hint="eastAsia"/>
                <w:color w:val="auto"/>
                <w:highlight w:val="none"/>
              </w:rPr>
              <w:t>（2）成交服务费以转账或现金的形式支付。采购代理机构服务费汇入账号：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ind w:firstLine="562"/>
        <w:rPr>
          <w:color w:val="auto"/>
          <w:highlight w:val="none"/>
        </w:rPr>
      </w:pPr>
      <w:bookmarkStart w:id="97" w:name="_Toc32123"/>
      <w:r>
        <w:rPr>
          <w:rFonts w:hint="eastAsia"/>
          <w:color w:val="auto"/>
          <w:highlight w:val="none"/>
        </w:rPr>
        <w:t>供应商须知</w:t>
      </w:r>
      <w:bookmarkEnd w:id="97"/>
    </w:p>
    <w:p>
      <w:pPr>
        <w:pStyle w:val="5"/>
        <w:ind w:firstLine="422"/>
        <w:rPr>
          <w:color w:val="auto"/>
          <w:highlight w:val="none"/>
        </w:rPr>
      </w:pPr>
      <w:bookmarkStart w:id="98" w:name="_Toc30834"/>
      <w:bookmarkStart w:id="99" w:name="_Toc8083"/>
      <w:bookmarkStart w:id="100" w:name="_Toc10658"/>
      <w:r>
        <w:rPr>
          <w:rFonts w:hint="eastAsia"/>
          <w:color w:val="auto"/>
          <w:highlight w:val="none"/>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01" w:name="_Toc7271"/>
      <w:bookmarkStart w:id="102" w:name="_Toc25237"/>
      <w:bookmarkStart w:id="103" w:name="_Toc720"/>
      <w:r>
        <w:rPr>
          <w:rFonts w:hint="eastAsia"/>
          <w:color w:val="auto"/>
          <w:highlight w:val="none"/>
        </w:rPr>
        <w:t>2.</w:t>
      </w:r>
      <w:bookmarkStart w:id="104" w:name="_Toc1530"/>
      <w:bookmarkStart w:id="105" w:name="_Toc298847174"/>
      <w:bookmarkStart w:id="106" w:name="_Toc303084246"/>
      <w:bookmarkStart w:id="107" w:name="_Toc382049092"/>
      <w:r>
        <w:rPr>
          <w:rFonts w:hint="eastAsia"/>
          <w:color w:val="auto"/>
          <w:highlight w:val="none"/>
        </w:rPr>
        <w:t>定义</w:t>
      </w:r>
      <w:bookmarkEnd w:id="101"/>
      <w:bookmarkEnd w:id="102"/>
      <w:bookmarkEnd w:id="103"/>
      <w:bookmarkEnd w:id="104"/>
      <w:bookmarkEnd w:id="105"/>
      <w:bookmarkEnd w:id="106"/>
      <w:bookmarkEnd w:id="107"/>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采购代理机构：国顺招标有限公司。</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磋商小组：磋商小组是依据《中华人民共和国政府采购法》及其实施条例、《政府采购货物和服务招标投标管理办法》等组建的专门负责本次磋商其评审工作的临时性机构。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08" w:name="_Toc9030"/>
      <w:bookmarkStart w:id="109" w:name="_Toc24019"/>
      <w:bookmarkStart w:id="110" w:name="_Toc30379"/>
      <w:r>
        <w:rPr>
          <w:rFonts w:hint="eastAsia"/>
          <w:color w:val="auto"/>
          <w:highlight w:val="none"/>
        </w:rPr>
        <w:t>3.货物和服务</w:t>
      </w:r>
      <w:bookmarkEnd w:id="108"/>
      <w:bookmarkEnd w:id="109"/>
      <w:bookmarkEnd w:id="110"/>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应当获得财政部门核准。依据《政府采购进口产品管理办法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12" w:name="_Toc14543"/>
      <w:bookmarkStart w:id="113" w:name="_Toc18277"/>
      <w:bookmarkStart w:id="114" w:name="_Toc8119"/>
      <w:r>
        <w:rPr>
          <w:rFonts w:hint="eastAsia"/>
          <w:color w:val="auto"/>
          <w:highlight w:val="none"/>
        </w:rPr>
        <w:t>4.响应费用</w:t>
      </w:r>
      <w:bookmarkEnd w:id="112"/>
      <w:bookmarkEnd w:id="113"/>
      <w:bookmarkEnd w:id="114"/>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pPr>
        <w:spacing w:line="400" w:lineRule="exact"/>
        <w:jc w:val="both"/>
        <w:rPr>
          <w:rFonts w:ascii="宋体" w:hAnsi="宋体"/>
          <w:color w:val="auto"/>
          <w:kern w:val="0"/>
          <w:szCs w:val="21"/>
          <w:highlight w:val="none"/>
        </w:rPr>
      </w:pPr>
    </w:p>
    <w:p>
      <w:pPr>
        <w:pStyle w:val="5"/>
        <w:ind w:firstLine="422"/>
        <w:rPr>
          <w:color w:val="auto"/>
          <w:highlight w:val="none"/>
        </w:rPr>
      </w:pPr>
      <w:bookmarkStart w:id="115" w:name="_Toc25254"/>
      <w:bookmarkStart w:id="116" w:name="_Toc32220"/>
      <w:bookmarkStart w:id="117" w:name="_Toc24793"/>
      <w:r>
        <w:rPr>
          <w:rFonts w:hint="eastAsia"/>
          <w:color w:val="auto"/>
          <w:highlight w:val="none"/>
        </w:rPr>
        <w:t>5.知识产权</w:t>
      </w:r>
      <w:bookmarkEnd w:id="115"/>
      <w:bookmarkEnd w:id="116"/>
      <w:bookmarkEnd w:id="117"/>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p>
    <w:p>
      <w:pPr>
        <w:pStyle w:val="5"/>
        <w:ind w:firstLine="422"/>
        <w:rPr>
          <w:color w:val="auto"/>
          <w:highlight w:val="none"/>
        </w:rPr>
      </w:pPr>
      <w:bookmarkStart w:id="118" w:name="_Toc31725"/>
      <w:bookmarkStart w:id="119" w:name="_Toc13064"/>
      <w:bookmarkStart w:id="120" w:name="_Toc30779"/>
      <w:r>
        <w:rPr>
          <w:rFonts w:hint="eastAsia"/>
          <w:color w:val="auto"/>
          <w:highlight w:val="none"/>
        </w:rPr>
        <w:t>6.关于联合体</w:t>
      </w:r>
      <w:bookmarkEnd w:id="118"/>
      <w:bookmarkEnd w:id="119"/>
      <w:bookmarkEnd w:id="120"/>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olor w:val="auto"/>
          <w:kern w:val="0"/>
          <w:szCs w:val="21"/>
          <w:highlight w:val="none"/>
        </w:rPr>
      </w:pPr>
    </w:p>
    <w:p>
      <w:pPr>
        <w:pStyle w:val="5"/>
        <w:ind w:firstLine="422"/>
        <w:rPr>
          <w:color w:val="auto"/>
          <w:highlight w:val="none"/>
        </w:rPr>
      </w:pPr>
      <w:bookmarkStart w:id="121" w:name="_Toc18142"/>
      <w:bookmarkStart w:id="122" w:name="_Toc23688"/>
      <w:bookmarkStart w:id="123" w:name="_Toc27755"/>
      <w:r>
        <w:rPr>
          <w:rFonts w:hint="eastAsia"/>
          <w:color w:val="auto"/>
          <w:highlight w:val="none"/>
        </w:rPr>
        <w:t>7.关于分支机构响应</w:t>
      </w:r>
      <w:bookmarkEnd w:id="121"/>
      <w:bookmarkEnd w:id="122"/>
      <w:bookmarkEnd w:id="123"/>
    </w:p>
    <w:p>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25" w:name="_Toc5596"/>
      <w:bookmarkStart w:id="126" w:name="_Toc29774"/>
      <w:bookmarkStart w:id="127" w:name="_Toc19660"/>
      <w:r>
        <w:rPr>
          <w:rFonts w:hint="eastAsia"/>
          <w:color w:val="auto"/>
          <w:highlight w:val="none"/>
        </w:rPr>
        <w:t>8.磋商文件的组成</w:t>
      </w:r>
      <w:bookmarkEnd w:id="125"/>
      <w:bookmarkEnd w:id="126"/>
      <w:bookmarkEnd w:id="127"/>
    </w:p>
    <w:p>
      <w:pPr>
        <w:numPr>
          <w:ilvl w:val="0"/>
          <w:numId w:val="5"/>
        </w:numPr>
        <w:spacing w:line="400" w:lineRule="exact"/>
        <w:ind w:firstLine="420"/>
        <w:jc w:val="both"/>
        <w:rPr>
          <w:rFonts w:ascii="宋体" w:hAnsi="宋体"/>
          <w:vanish/>
          <w:color w:val="auto"/>
          <w:szCs w:val="21"/>
          <w:highlight w:val="none"/>
        </w:rPr>
      </w:pP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28" w:name="_Toc20046"/>
      <w:bookmarkStart w:id="129" w:name="_Toc28076"/>
      <w:bookmarkStart w:id="130" w:name="_Toc3812"/>
      <w:r>
        <w:rPr>
          <w:rFonts w:hint="eastAsia"/>
          <w:color w:val="auto"/>
          <w:highlight w:val="none"/>
        </w:rPr>
        <w:t>9.磋商文件的澄清或修改</w:t>
      </w:r>
      <w:bookmarkEnd w:id="128"/>
      <w:bookmarkEnd w:id="129"/>
      <w:bookmarkEnd w:id="130"/>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pPr>
        <w:spacing w:line="360" w:lineRule="exact"/>
        <w:ind w:left="567"/>
        <w:jc w:val="both"/>
        <w:rPr>
          <w:rFonts w:ascii="宋体" w:hAnsi="宋体"/>
          <w:color w:val="auto"/>
          <w:kern w:val="0"/>
          <w:szCs w:val="21"/>
          <w:highlight w:val="none"/>
        </w:rPr>
      </w:pPr>
    </w:p>
    <w:p>
      <w:pPr>
        <w:pStyle w:val="5"/>
        <w:ind w:firstLine="422"/>
        <w:rPr>
          <w:color w:val="auto"/>
          <w:highlight w:val="none"/>
        </w:rPr>
      </w:pPr>
      <w:bookmarkStart w:id="131" w:name="_Toc17507"/>
      <w:bookmarkStart w:id="132" w:name="_Toc5431"/>
      <w:bookmarkStart w:id="133" w:name="_Toc28595"/>
      <w:r>
        <w:rPr>
          <w:rFonts w:hint="eastAsia"/>
          <w:color w:val="auto"/>
          <w:highlight w:val="none"/>
        </w:rPr>
        <w:t>10.响应文件的语言及度量衡单位</w:t>
      </w:r>
      <w:bookmarkEnd w:id="131"/>
      <w:bookmarkEnd w:id="132"/>
      <w:bookmarkEnd w:id="133"/>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pPr>
        <w:spacing w:line="400" w:lineRule="exact"/>
        <w:ind w:left="567"/>
        <w:jc w:val="both"/>
        <w:rPr>
          <w:rFonts w:ascii="宋体" w:hAnsi="宋体"/>
          <w:color w:val="auto"/>
          <w:kern w:val="0"/>
          <w:szCs w:val="21"/>
          <w:highlight w:val="none"/>
        </w:rPr>
      </w:pPr>
    </w:p>
    <w:p>
      <w:pPr>
        <w:pStyle w:val="5"/>
        <w:ind w:firstLine="422"/>
        <w:rPr>
          <w:color w:val="auto"/>
          <w:highlight w:val="none"/>
        </w:rPr>
      </w:pPr>
      <w:bookmarkStart w:id="134" w:name="_Toc307934854"/>
      <w:bookmarkStart w:id="135" w:name="_Toc17694"/>
      <w:bookmarkStart w:id="136" w:name="_Toc21308"/>
      <w:bookmarkStart w:id="137" w:name="_Toc382049103"/>
      <w:bookmarkStart w:id="138" w:name="_Toc28866"/>
      <w:bookmarkStart w:id="139" w:name="_Toc303084256"/>
      <w:bookmarkStart w:id="140" w:name="_Toc25080"/>
      <w:r>
        <w:rPr>
          <w:rFonts w:hint="eastAsia"/>
          <w:color w:val="auto"/>
          <w:highlight w:val="none"/>
        </w:rPr>
        <w:t>11.响应文件的组成</w:t>
      </w:r>
      <w:bookmarkEnd w:id="134"/>
      <w:bookmarkEnd w:id="135"/>
      <w:bookmarkEnd w:id="136"/>
      <w:bookmarkEnd w:id="137"/>
      <w:bookmarkEnd w:id="138"/>
      <w:bookmarkEnd w:id="139"/>
      <w:bookmarkEnd w:id="140"/>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41" w:name="_Toc28835"/>
      <w:bookmarkStart w:id="142" w:name="_Toc23396"/>
      <w:bookmarkStart w:id="143" w:name="_Toc26322"/>
      <w:r>
        <w:rPr>
          <w:rFonts w:hint="eastAsia"/>
          <w:color w:val="auto"/>
          <w:highlight w:val="none"/>
        </w:rPr>
        <w:t>12.响应文件编制</w:t>
      </w:r>
      <w:bookmarkEnd w:id="141"/>
      <w:bookmarkEnd w:id="142"/>
      <w:bookmarkEnd w:id="143"/>
    </w:p>
    <w:p>
      <w:pPr>
        <w:numPr>
          <w:ilvl w:val="0"/>
          <w:numId w:val="5"/>
        </w:numPr>
        <w:spacing w:line="400" w:lineRule="exact"/>
        <w:ind w:firstLine="420"/>
        <w:jc w:val="both"/>
        <w:rPr>
          <w:rFonts w:ascii="宋体" w:hAnsi="宋体"/>
          <w:vanish/>
          <w:color w:val="auto"/>
          <w:szCs w:val="21"/>
          <w:highlight w:val="none"/>
        </w:rPr>
      </w:pPr>
      <w:bookmarkStart w:id="144" w:name="_Toc303084258"/>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pPr>
        <w:keepNext w:val="0"/>
        <w:keepLines w:val="0"/>
        <w:pageBreakBefore w:val="0"/>
        <w:widowControl w:val="0"/>
        <w:kinsoku/>
        <w:wordWrap/>
        <w:overflowPunct/>
        <w:topLinePunct w:val="0"/>
        <w:autoSpaceDE/>
        <w:autoSpaceDN/>
        <w:bidi w:val="0"/>
        <w:adjustRightInd/>
        <w:snapToGrid/>
        <w:spacing w:line="400" w:lineRule="exact"/>
        <w:ind w:left="1029" w:leftChars="190" w:hanging="630" w:hangingChars="300"/>
        <w:jc w:val="both"/>
        <w:textAlignment w:val="auto"/>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pPr>
        <w:keepNext w:val="0"/>
        <w:keepLines w:val="0"/>
        <w:pageBreakBefore w:val="0"/>
        <w:widowControl w:val="0"/>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left="1050" w:leftChars="20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pPr>
        <w:spacing w:line="400" w:lineRule="exact"/>
        <w:ind w:firstLine="440"/>
        <w:jc w:val="both"/>
        <w:rPr>
          <w:rFonts w:ascii="Tahoma" w:hAnsi="Tahoma" w:eastAsia="微软雅黑"/>
          <w:color w:val="auto"/>
          <w:kern w:val="0"/>
          <w:sz w:val="22"/>
          <w:szCs w:val="22"/>
          <w:highlight w:val="none"/>
        </w:rPr>
      </w:pPr>
    </w:p>
    <w:p>
      <w:pPr>
        <w:pStyle w:val="5"/>
        <w:ind w:firstLine="422"/>
        <w:rPr>
          <w:color w:val="auto"/>
          <w:highlight w:val="none"/>
        </w:rPr>
      </w:pPr>
      <w:bookmarkStart w:id="145" w:name="_Toc11253"/>
      <w:bookmarkStart w:id="146" w:name="_Toc10449"/>
      <w:bookmarkStart w:id="147" w:name="_Toc29388"/>
      <w:r>
        <w:rPr>
          <w:rFonts w:hint="eastAsia"/>
          <w:color w:val="auto"/>
          <w:highlight w:val="none"/>
        </w:rPr>
        <w:t>13.响应报价说明</w:t>
      </w:r>
      <w:bookmarkEnd w:id="145"/>
      <w:bookmarkEnd w:id="146"/>
      <w:bookmarkEnd w:id="147"/>
    </w:p>
    <w:p>
      <w:pPr>
        <w:numPr>
          <w:ilvl w:val="0"/>
          <w:numId w:val="5"/>
        </w:numPr>
        <w:spacing w:line="400" w:lineRule="exact"/>
        <w:ind w:firstLine="420"/>
        <w:jc w:val="both"/>
        <w:rPr>
          <w:rFonts w:ascii="宋体" w:hAnsi="宋体"/>
          <w:vanish/>
          <w:color w:val="auto"/>
          <w:szCs w:val="21"/>
          <w:highlight w:val="none"/>
        </w:rPr>
      </w:pP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48" w:name="_Toc18749"/>
      <w:bookmarkStart w:id="149" w:name="_Toc28006"/>
      <w:bookmarkStart w:id="150" w:name="_Toc29860"/>
      <w:r>
        <w:rPr>
          <w:rFonts w:hint="eastAsia"/>
          <w:color w:val="auto"/>
          <w:highlight w:val="none"/>
        </w:rPr>
        <w:t>14.供应商所提供的服务或货物的证明文件</w:t>
      </w:r>
      <w:bookmarkEnd w:id="148"/>
      <w:bookmarkEnd w:id="149"/>
      <w:bookmarkEnd w:id="150"/>
    </w:p>
    <w:p>
      <w:pPr>
        <w:numPr>
          <w:ilvl w:val="0"/>
          <w:numId w:val="5"/>
        </w:numPr>
        <w:spacing w:line="400" w:lineRule="exact"/>
        <w:ind w:firstLine="420"/>
        <w:jc w:val="both"/>
        <w:rPr>
          <w:rFonts w:ascii="宋体" w:hAnsi="宋体"/>
          <w:vanish/>
          <w:color w:val="auto"/>
          <w:szCs w:val="21"/>
          <w:highlight w:val="none"/>
        </w:rPr>
      </w:pP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pPr>
        <w:spacing w:line="400" w:lineRule="exact"/>
        <w:ind w:left="425" w:firstLine="440"/>
        <w:jc w:val="both"/>
        <w:rPr>
          <w:rFonts w:ascii="Tahoma" w:hAnsi="Tahoma" w:eastAsia="微软雅黑"/>
          <w:color w:val="auto"/>
          <w:sz w:val="22"/>
          <w:szCs w:val="22"/>
          <w:highlight w:val="none"/>
        </w:rPr>
      </w:pPr>
    </w:p>
    <w:p>
      <w:pPr>
        <w:pStyle w:val="5"/>
        <w:ind w:firstLine="422"/>
        <w:rPr>
          <w:color w:val="auto"/>
          <w:highlight w:val="none"/>
        </w:rPr>
      </w:pPr>
      <w:bookmarkStart w:id="153" w:name="_Toc4792"/>
      <w:bookmarkStart w:id="154" w:name="_Toc12457"/>
      <w:bookmarkStart w:id="155" w:name="_Toc20435"/>
      <w:r>
        <w:rPr>
          <w:rFonts w:hint="eastAsia"/>
          <w:color w:val="auto"/>
          <w:highlight w:val="none"/>
        </w:rPr>
        <w:t>15.★响应有效期</w:t>
      </w:r>
      <w:bookmarkEnd w:id="153"/>
      <w:bookmarkEnd w:id="154"/>
      <w:bookmarkEnd w:id="155"/>
    </w:p>
    <w:p>
      <w:pPr>
        <w:numPr>
          <w:ilvl w:val="0"/>
          <w:numId w:val="5"/>
        </w:numPr>
        <w:spacing w:line="400" w:lineRule="exact"/>
        <w:ind w:firstLine="420"/>
        <w:jc w:val="both"/>
        <w:rPr>
          <w:rFonts w:ascii="宋体" w:hAnsi="宋体"/>
          <w:vanish/>
          <w:color w:val="auto"/>
          <w:szCs w:val="21"/>
          <w:highlight w:val="none"/>
        </w:rPr>
      </w:pP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pPr>
        <w:spacing w:line="400" w:lineRule="exact"/>
        <w:ind w:left="567" w:firstLine="440"/>
        <w:jc w:val="both"/>
        <w:rPr>
          <w:rFonts w:ascii="Tahoma" w:hAnsi="Tahoma" w:eastAsia="微软雅黑"/>
          <w:color w:val="auto"/>
          <w:kern w:val="0"/>
          <w:sz w:val="22"/>
          <w:szCs w:val="22"/>
          <w:highlight w:val="none"/>
        </w:rPr>
      </w:pPr>
    </w:p>
    <w:p>
      <w:pPr>
        <w:pStyle w:val="5"/>
        <w:ind w:firstLine="422"/>
        <w:rPr>
          <w:color w:val="auto"/>
          <w:highlight w:val="none"/>
        </w:rPr>
      </w:pPr>
      <w:bookmarkStart w:id="156" w:name="_Toc11339"/>
      <w:bookmarkStart w:id="157" w:name="_Toc20804"/>
      <w:bookmarkStart w:id="158" w:name="_Toc28431"/>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pPr>
        <w:numPr>
          <w:ilvl w:val="0"/>
          <w:numId w:val="5"/>
        </w:numPr>
        <w:spacing w:line="400" w:lineRule="exact"/>
        <w:ind w:firstLine="420"/>
        <w:jc w:val="both"/>
        <w:rPr>
          <w:rFonts w:ascii="宋体" w:hAnsi="宋体"/>
          <w:vanish/>
          <w:color w:val="auto"/>
          <w:szCs w:val="21"/>
          <w:highlight w:val="none"/>
        </w:rPr>
      </w:pPr>
      <w:bookmarkStart w:id="159" w:name="_Ref179619405"/>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pPr>
        <w:pageBreakBefore w:val="0"/>
        <w:numPr>
          <w:ilvl w:val="1"/>
          <w:numId w:val="5"/>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pPr>
        <w:pageBreakBefore w:val="0"/>
        <w:numPr>
          <w:ilvl w:val="1"/>
          <w:numId w:val="5"/>
        </w:numPr>
        <w:kinsoku/>
        <w:wordWrap/>
        <w:overflowPunct/>
        <w:topLinePunct w:val="0"/>
        <w:autoSpaceDE/>
        <w:autoSpaceDN/>
        <w:bidi w:val="0"/>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pPr>
        <w:pageBreakBefore w:val="0"/>
        <w:widowControl/>
        <w:kinsoku/>
        <w:wordWrap/>
        <w:overflowPunct/>
        <w:topLinePunct w:val="0"/>
        <w:autoSpaceDE/>
        <w:autoSpaceDN/>
        <w:bidi w:val="0"/>
        <w:adjustRightInd w:val="0"/>
        <w:snapToGrid w:val="0"/>
        <w:spacing w:line="400" w:lineRule="exact"/>
        <w:ind w:left="630" w:hanging="632" w:hangingChars="300"/>
        <w:textAlignment w:val="auto"/>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pPr>
        <w:pageBreakBefore w:val="0"/>
        <w:widowControl/>
        <w:kinsoku/>
        <w:wordWrap/>
        <w:overflowPunct/>
        <w:topLinePunct w:val="0"/>
        <w:autoSpaceDE/>
        <w:autoSpaceDN/>
        <w:bidi w:val="0"/>
        <w:adjustRightInd w:val="0"/>
        <w:snapToGrid w:val="0"/>
        <w:spacing w:after="200"/>
        <w:ind w:left="630" w:hanging="660" w:hangingChars="300"/>
        <w:textAlignment w:val="auto"/>
        <w:rPr>
          <w:rFonts w:ascii="Tahoma" w:hAnsi="Tahoma" w:eastAsia="微软雅黑"/>
          <w:color w:val="auto"/>
          <w:kern w:val="0"/>
          <w:sz w:val="22"/>
          <w:szCs w:val="22"/>
          <w:highlight w:val="none"/>
        </w:rPr>
      </w:pPr>
    </w:p>
    <w:p>
      <w:pPr>
        <w:pStyle w:val="5"/>
        <w:pageBreakBefore w:val="0"/>
        <w:kinsoku/>
        <w:wordWrap/>
        <w:overflowPunct/>
        <w:topLinePunct w:val="0"/>
        <w:autoSpaceDE/>
        <w:autoSpaceDN/>
        <w:bidi w:val="0"/>
        <w:ind w:left="630" w:hanging="632" w:hangingChars="300"/>
        <w:textAlignment w:val="auto"/>
        <w:rPr>
          <w:color w:val="auto"/>
          <w:highlight w:val="none"/>
        </w:rPr>
      </w:pPr>
      <w:bookmarkStart w:id="160" w:name="_Toc5055"/>
      <w:bookmarkStart w:id="161" w:name="_Toc21699"/>
      <w:bookmarkStart w:id="162" w:name="_Toc382049111"/>
      <w:bookmarkStart w:id="163" w:name="_Toc17970"/>
      <w:bookmarkStart w:id="164" w:name="_Toc303084264"/>
      <w:bookmarkStart w:id="165" w:name="_Toc24997"/>
      <w:r>
        <w:rPr>
          <w:rFonts w:hint="eastAsia"/>
          <w:color w:val="auto"/>
          <w:highlight w:val="none"/>
        </w:rPr>
        <w:t>17.响应文件的装订，签署，密封和标记</w:t>
      </w:r>
      <w:bookmarkEnd w:id="160"/>
      <w:bookmarkEnd w:id="161"/>
      <w:bookmarkEnd w:id="162"/>
      <w:bookmarkEnd w:id="163"/>
      <w:bookmarkEnd w:id="164"/>
      <w:bookmarkEnd w:id="165"/>
    </w:p>
    <w:p>
      <w:pPr>
        <w:pageBreakBefore w:val="0"/>
        <w:numPr>
          <w:ilvl w:val="0"/>
          <w:numId w:val="5"/>
        </w:numPr>
        <w:kinsoku/>
        <w:wordWrap/>
        <w:overflowPunct/>
        <w:topLinePunct w:val="0"/>
        <w:autoSpaceDE/>
        <w:autoSpaceDN/>
        <w:bidi w:val="0"/>
        <w:spacing w:line="400" w:lineRule="exact"/>
        <w:ind w:left="630" w:hanging="630" w:hangingChars="300"/>
        <w:jc w:val="both"/>
        <w:textAlignment w:val="auto"/>
        <w:rPr>
          <w:rFonts w:ascii="宋体" w:hAnsi="宋体"/>
          <w:vanish/>
          <w:color w:val="auto"/>
          <w:szCs w:val="21"/>
          <w:highlight w:val="none"/>
        </w:rPr>
      </w:pP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响应单位名称：</w:t>
      </w:r>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w:t>
      </w:r>
    </w:p>
    <w:p>
      <w:pPr>
        <w:pageBreakBefore w:val="0"/>
        <w:numPr>
          <w:ilvl w:val="0"/>
          <w:numId w:val="6"/>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项目编号：</w:t>
      </w:r>
    </w:p>
    <w:p>
      <w:pPr>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pPr>
        <w:pageBreakBefore w:val="0"/>
        <w:numPr>
          <w:ilvl w:val="0"/>
          <w:numId w:val="7"/>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pPr>
        <w:pageBreakBefore w:val="0"/>
        <w:numPr>
          <w:ilvl w:val="1"/>
          <w:numId w:val="5"/>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pPr>
        <w:pageBreakBefore w:val="0"/>
        <w:numPr>
          <w:ilvl w:val="1"/>
          <w:numId w:val="5"/>
        </w:numPr>
        <w:tabs>
          <w:tab w:val="left" w:pos="660"/>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pPr>
        <w:pageBreakBefore w:val="0"/>
        <w:numPr>
          <w:ilvl w:val="1"/>
          <w:numId w:val="5"/>
        </w:numPr>
        <w:tabs>
          <w:tab w:val="left" w:pos="440"/>
          <w:tab w:val="left" w:pos="660"/>
          <w:tab w:val="clear" w:pos="567"/>
        </w:tabs>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66" w:name="_Toc1911"/>
      <w:bookmarkStart w:id="167" w:name="_Toc14913"/>
      <w:bookmarkStart w:id="168" w:name="_Toc3249"/>
      <w:r>
        <w:rPr>
          <w:rFonts w:hint="eastAsia"/>
          <w:color w:val="auto"/>
          <w:highlight w:val="none"/>
        </w:rPr>
        <w:t>18.迟交的响应文件</w:t>
      </w:r>
      <w:bookmarkEnd w:id="166"/>
      <w:bookmarkEnd w:id="167"/>
      <w:bookmarkEnd w:id="168"/>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69" w:name="_Toc22059"/>
      <w:bookmarkStart w:id="170" w:name="_Toc8387"/>
      <w:bookmarkStart w:id="171" w:name="_Toc13946"/>
      <w:r>
        <w:rPr>
          <w:rFonts w:hint="eastAsia"/>
          <w:color w:val="auto"/>
          <w:highlight w:val="none"/>
        </w:rPr>
        <w:t>19.磋商样品、磋商演示（如有要求）</w:t>
      </w:r>
      <w:bookmarkEnd w:id="169"/>
      <w:bookmarkEnd w:id="170"/>
      <w:bookmarkEnd w:id="171"/>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hint="eastAsia"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72" w:name="_Toc1364"/>
      <w:bookmarkStart w:id="173" w:name="_Toc518"/>
      <w:bookmarkStart w:id="174" w:name="_Toc382049112"/>
      <w:bookmarkStart w:id="175" w:name="_Toc303084265"/>
      <w:bookmarkStart w:id="176" w:name="_Toc24777"/>
      <w:bookmarkStart w:id="177" w:name="_Toc9777"/>
      <w:r>
        <w:rPr>
          <w:rFonts w:hint="eastAsia"/>
          <w:color w:val="auto"/>
          <w:highlight w:val="none"/>
        </w:rPr>
        <w:t>20.响应截止期</w:t>
      </w:r>
      <w:bookmarkEnd w:id="172"/>
      <w:bookmarkEnd w:id="173"/>
      <w:bookmarkEnd w:id="174"/>
      <w:bookmarkEnd w:id="175"/>
      <w:bookmarkEnd w:id="176"/>
      <w:bookmarkEnd w:id="177"/>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78" w:name="_Toc14390"/>
      <w:bookmarkStart w:id="179" w:name="_Toc4603"/>
      <w:bookmarkStart w:id="180" w:name="_Toc28776"/>
      <w:r>
        <w:rPr>
          <w:rFonts w:hint="eastAsia"/>
          <w:color w:val="auto"/>
          <w:highlight w:val="none"/>
        </w:rPr>
        <w:t>21.响应文件的补充、修改与撤回</w:t>
      </w:r>
      <w:bookmarkEnd w:id="178"/>
      <w:bookmarkEnd w:id="179"/>
      <w:bookmarkEnd w:id="180"/>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pPr>
        <w:widowControl/>
        <w:adjustRightInd w:val="0"/>
        <w:snapToGrid w:val="0"/>
        <w:ind w:left="119" w:firstLine="480"/>
        <w:rPr>
          <w:rFonts w:ascii="宋体" w:hAnsi="宋体" w:cs="宋体"/>
          <w:color w:val="auto"/>
          <w:sz w:val="24"/>
          <w:szCs w:val="22"/>
          <w:highlight w:val="none"/>
          <w:lang w:val="zh-CN" w:bidi="zh-CN"/>
        </w:rPr>
      </w:pPr>
    </w:p>
    <w:p>
      <w:pPr>
        <w:pStyle w:val="5"/>
        <w:ind w:firstLine="422"/>
        <w:rPr>
          <w:color w:val="auto"/>
          <w:highlight w:val="none"/>
        </w:rPr>
      </w:pPr>
      <w:bookmarkStart w:id="181" w:name="_Toc191"/>
      <w:bookmarkStart w:id="182" w:name="_Toc14512"/>
      <w:bookmarkStart w:id="183" w:name="_Toc11914"/>
      <w:r>
        <w:rPr>
          <w:rFonts w:hint="eastAsia"/>
          <w:color w:val="auto"/>
          <w:highlight w:val="none"/>
        </w:rPr>
        <w:t>22.磋商</w:t>
      </w:r>
      <w:bookmarkEnd w:id="181"/>
      <w:bookmarkEnd w:id="182"/>
      <w:bookmarkEnd w:id="183"/>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pPr>
        <w:keepNext w:val="0"/>
        <w:keepLines w:val="0"/>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pPr>
        <w:keepNext w:val="0"/>
        <w:keepLines w:val="0"/>
        <w:pageBreakBefore w:val="0"/>
        <w:numPr>
          <w:ilvl w:val="1"/>
          <w:numId w:val="5"/>
        </w:numPr>
        <w:kinsoku/>
        <w:wordWrap/>
        <w:overflowPunct/>
        <w:topLinePunct w:val="0"/>
        <w:autoSpaceDE/>
        <w:autoSpaceDN/>
        <w:bidi w:val="0"/>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line="400" w:lineRule="exact"/>
        <w:ind w:left="630" w:hanging="630" w:hangingChars="300"/>
        <w:textAlignment w:val="auto"/>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pPr>
        <w:spacing w:line="400" w:lineRule="exact"/>
        <w:ind w:left="567" w:firstLine="440"/>
        <w:jc w:val="both"/>
        <w:rPr>
          <w:rFonts w:ascii="Tahoma" w:hAnsi="Tahoma" w:eastAsia="微软雅黑"/>
          <w:color w:val="auto"/>
          <w:kern w:val="0"/>
          <w:sz w:val="22"/>
          <w:szCs w:val="22"/>
          <w:highlight w:val="none"/>
        </w:rPr>
      </w:pPr>
    </w:p>
    <w:p>
      <w:pPr>
        <w:pStyle w:val="5"/>
        <w:ind w:firstLine="422"/>
        <w:rPr>
          <w:color w:val="auto"/>
          <w:highlight w:val="none"/>
        </w:rPr>
      </w:pPr>
      <w:bookmarkStart w:id="184" w:name="_Toc13823"/>
      <w:bookmarkStart w:id="185" w:name="_Toc31198"/>
      <w:bookmarkStart w:id="186" w:name="_Toc19811"/>
      <w:r>
        <w:rPr>
          <w:rFonts w:hint="eastAsia"/>
          <w:color w:val="auto"/>
          <w:highlight w:val="none"/>
        </w:rPr>
        <w:t>23.磋商小组及评审方法</w:t>
      </w:r>
      <w:bookmarkEnd w:id="184"/>
      <w:bookmarkEnd w:id="185"/>
      <w:bookmarkEnd w:id="186"/>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87" w:name="_Toc9540"/>
      <w:bookmarkStart w:id="188" w:name="_Toc20823"/>
      <w:bookmarkStart w:id="189" w:name="_Toc3525"/>
      <w:r>
        <w:rPr>
          <w:rFonts w:hint="eastAsia"/>
          <w:color w:val="auto"/>
          <w:highlight w:val="none"/>
        </w:rPr>
        <w:t>24.评审原则及评审过程的保密</w:t>
      </w:r>
      <w:bookmarkEnd w:id="187"/>
      <w:bookmarkEnd w:id="188"/>
      <w:bookmarkEnd w:id="189"/>
    </w:p>
    <w:p>
      <w:pPr>
        <w:numPr>
          <w:ilvl w:val="0"/>
          <w:numId w:val="5"/>
        </w:numPr>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评审的基本原则：磋商小组将依据《中华人民共和国政府采购法》及国家和地方政府有关法规的规定，遵循“客观、公正、审慎”的原则进行评审工作。</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pPr>
        <w:widowControl/>
        <w:adjustRightInd w:val="0"/>
        <w:snapToGrid w:val="0"/>
        <w:spacing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190" w:name="_Toc15479"/>
      <w:bookmarkStart w:id="191" w:name="_Toc18014"/>
      <w:bookmarkStart w:id="192" w:name="_Toc7072"/>
      <w:r>
        <w:rPr>
          <w:rFonts w:hint="eastAsia"/>
          <w:color w:val="auto"/>
          <w:highlight w:val="none"/>
        </w:rPr>
        <w:t>25.响应文件的初审</w:t>
      </w:r>
      <w:bookmarkEnd w:id="190"/>
      <w:bookmarkEnd w:id="191"/>
      <w:bookmarkEnd w:id="192"/>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1) 资格瑕疵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响应保证金瑕疵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2) 技术响应瑕疵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hint="eastAsia"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3) 商务响应瑕疵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4）报价瑕疵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5）违规行为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leftChars="300" w:firstLine="0" w:firstLineChars="0"/>
        <w:jc w:val="both"/>
        <w:textAlignment w:val="auto"/>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pPr>
        <w:keepNext w:val="0"/>
        <w:keepLines w:val="0"/>
        <w:pageBreakBefore w:val="0"/>
        <w:widowControl w:val="0"/>
        <w:numPr>
          <w:ilvl w:val="1"/>
          <w:numId w:val="5"/>
        </w:numPr>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pPr>
        <w:spacing w:line="400" w:lineRule="exact"/>
        <w:jc w:val="both"/>
        <w:rPr>
          <w:rFonts w:ascii="宋体" w:hAnsi="宋体"/>
          <w:color w:val="auto"/>
          <w:kern w:val="0"/>
          <w:szCs w:val="21"/>
          <w:highlight w:val="none"/>
        </w:rPr>
      </w:pPr>
    </w:p>
    <w:p>
      <w:pPr>
        <w:pStyle w:val="5"/>
        <w:ind w:firstLine="422"/>
        <w:rPr>
          <w:color w:val="auto"/>
          <w:highlight w:val="none"/>
        </w:rPr>
      </w:pPr>
      <w:bookmarkStart w:id="193" w:name="_Toc4041"/>
      <w:bookmarkStart w:id="194" w:name="_Toc16157"/>
      <w:bookmarkStart w:id="195" w:name="_Toc9736"/>
      <w:r>
        <w:rPr>
          <w:rFonts w:hint="eastAsia"/>
          <w:color w:val="auto"/>
          <w:highlight w:val="none"/>
        </w:rPr>
        <w:t>26.商务、技术、价格评审</w:t>
      </w:r>
      <w:bookmarkEnd w:id="193"/>
      <w:bookmarkEnd w:id="194"/>
      <w:bookmarkEnd w:id="195"/>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pPr>
        <w:keepNext w:val="0"/>
        <w:keepLines w:val="0"/>
        <w:pageBreakBefore w:val="0"/>
        <w:widowControl w:val="0"/>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最终报价</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pPr>
        <w:spacing w:line="400" w:lineRule="exact"/>
        <w:ind w:firstLine="440"/>
        <w:jc w:val="both"/>
        <w:rPr>
          <w:rFonts w:ascii="Tahoma" w:hAnsi="Tahoma" w:eastAsia="微软雅黑"/>
          <w:color w:val="auto"/>
          <w:kern w:val="0"/>
          <w:sz w:val="22"/>
          <w:szCs w:val="22"/>
          <w:highlight w:val="none"/>
        </w:rPr>
      </w:pPr>
    </w:p>
    <w:p>
      <w:pPr>
        <w:pStyle w:val="5"/>
        <w:ind w:firstLine="422"/>
        <w:rPr>
          <w:color w:val="auto"/>
          <w:highlight w:val="none"/>
        </w:rPr>
      </w:pPr>
      <w:bookmarkStart w:id="196" w:name="_Toc316375620"/>
      <w:bookmarkStart w:id="197" w:name="_Toc25030"/>
      <w:bookmarkStart w:id="198" w:name="_Toc20328"/>
      <w:bookmarkStart w:id="199" w:name="_Toc30573"/>
      <w:bookmarkStart w:id="200" w:name="_Toc30865"/>
      <w:bookmarkStart w:id="201" w:name="_Toc382049120"/>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202" w:name="_Toc508284011"/>
      <w:bookmarkStart w:id="203" w:name="_Toc21265"/>
      <w:bookmarkStart w:id="204" w:name="_Toc27383"/>
      <w:bookmarkStart w:id="205" w:name="_Toc21560"/>
      <w:r>
        <w:rPr>
          <w:rFonts w:hint="eastAsia"/>
          <w:color w:val="auto"/>
          <w:highlight w:val="none"/>
        </w:rPr>
        <w:t>28.</w:t>
      </w:r>
      <w:bookmarkEnd w:id="202"/>
      <w:r>
        <w:rPr>
          <w:rFonts w:hint="eastAsia"/>
          <w:color w:val="auto"/>
          <w:highlight w:val="none"/>
        </w:rPr>
        <w:t>确定成交</w:t>
      </w:r>
      <w:bookmarkEnd w:id="203"/>
      <w:bookmarkEnd w:id="204"/>
      <w:bookmarkEnd w:id="205"/>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206" w:name="_Toc508284013"/>
      <w:bookmarkStart w:id="207" w:name="_Toc2468"/>
      <w:bookmarkStart w:id="208" w:name="_Toc24851"/>
      <w:bookmarkStart w:id="209" w:name="_Toc6459"/>
      <w:r>
        <w:rPr>
          <w:rFonts w:hint="eastAsia"/>
          <w:color w:val="auto"/>
          <w:highlight w:val="none"/>
        </w:rPr>
        <w:t>29.发布采购结果</w:t>
      </w:r>
      <w:bookmarkEnd w:id="206"/>
      <w:bookmarkEnd w:id="207"/>
      <w:bookmarkEnd w:id="208"/>
      <w:bookmarkEnd w:id="209"/>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原件核查</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pPr>
        <w:keepNext w:val="0"/>
        <w:keepLines w:val="0"/>
        <w:pageBreakBefore w:val="0"/>
        <w:widowControl w:val="0"/>
        <w:numPr>
          <w:ilvl w:val="0"/>
          <w:numId w:val="9"/>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9"/>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9"/>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pPr>
        <w:keepNext w:val="0"/>
        <w:keepLines w:val="0"/>
        <w:pageBreakBefore w:val="0"/>
        <w:widowControl w:val="0"/>
        <w:numPr>
          <w:ilvl w:val="0"/>
          <w:numId w:val="9"/>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9"/>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keepNext w:val="0"/>
        <w:keepLines w:val="0"/>
        <w:pageBreakBefore w:val="0"/>
        <w:widowControl w:val="0"/>
        <w:numPr>
          <w:ilvl w:val="0"/>
          <w:numId w:val="10"/>
        </w:numPr>
        <w:tabs>
          <w:tab w:val="left" w:pos="567"/>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pPr>
        <w:keepNext w:val="0"/>
        <w:keepLines w:val="0"/>
        <w:pageBreakBefore w:val="0"/>
        <w:widowControl w:val="0"/>
        <w:numPr>
          <w:ilvl w:val="2"/>
          <w:numId w:val="5"/>
        </w:numPr>
        <w:tabs>
          <w:tab w:val="left" w:pos="567"/>
          <w:tab w:val="left" w:pos="907"/>
          <w:tab w:val="clear" w:pos="794"/>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pPr>
        <w:widowControl/>
        <w:adjustRightInd w:val="0"/>
        <w:snapToGrid w:val="0"/>
        <w:spacing w:after="200" w:line="400" w:lineRule="exact"/>
        <w:ind w:firstLine="440"/>
        <w:rPr>
          <w:rFonts w:ascii="Tahoma" w:hAnsi="Tahoma" w:eastAsia="微软雅黑"/>
          <w:color w:val="auto"/>
          <w:kern w:val="0"/>
          <w:sz w:val="22"/>
          <w:szCs w:val="22"/>
          <w:highlight w:val="none"/>
        </w:rPr>
      </w:pPr>
    </w:p>
    <w:p>
      <w:pPr>
        <w:pStyle w:val="5"/>
        <w:ind w:firstLine="422"/>
        <w:rPr>
          <w:color w:val="auto"/>
          <w:highlight w:val="none"/>
        </w:rPr>
      </w:pPr>
      <w:bookmarkStart w:id="210" w:name="_Toc7001"/>
      <w:bookmarkStart w:id="211" w:name="_Toc1555"/>
      <w:bookmarkStart w:id="212" w:name="_Toc18733"/>
      <w:r>
        <w:rPr>
          <w:rFonts w:hint="eastAsia"/>
          <w:color w:val="auto"/>
          <w:highlight w:val="none"/>
        </w:rPr>
        <w:t>30.合同的签订与履行</w:t>
      </w:r>
      <w:bookmarkEnd w:id="210"/>
      <w:bookmarkEnd w:id="211"/>
      <w:bookmarkEnd w:id="212"/>
    </w:p>
    <w:p>
      <w:pPr>
        <w:numPr>
          <w:ilvl w:val="0"/>
          <w:numId w:val="5"/>
        </w:numPr>
        <w:tabs>
          <w:tab w:val="left" w:pos="907"/>
        </w:tabs>
        <w:spacing w:line="400" w:lineRule="exact"/>
        <w:ind w:firstLine="420"/>
        <w:jc w:val="both"/>
        <w:rPr>
          <w:rFonts w:ascii="宋体" w:hAnsi="宋体"/>
          <w:vanish/>
          <w:color w:val="auto"/>
          <w:szCs w:val="21"/>
          <w:highlight w:val="none"/>
        </w:rPr>
      </w:pP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2" w:hangingChars="300"/>
        <w:jc w:val="both"/>
        <w:textAlignment w:val="auto"/>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line="400" w:lineRule="exact"/>
        <w:ind w:left="630" w:hanging="630" w:hangingChars="300"/>
        <w:jc w:val="both"/>
        <w:textAlignment w:val="auto"/>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pPr>
        <w:adjustRightInd w:val="0"/>
        <w:snapToGrid w:val="0"/>
        <w:spacing w:before="161" w:after="200" w:line="400" w:lineRule="exact"/>
        <w:ind w:left="120" w:firstLine="480"/>
        <w:rPr>
          <w:rFonts w:ascii="宋体" w:hAnsi="宋体" w:cs="宋体"/>
          <w:color w:val="auto"/>
          <w:sz w:val="24"/>
          <w:szCs w:val="22"/>
          <w:highlight w:val="none"/>
          <w:lang w:val="zh-CN" w:bidi="zh-CN"/>
        </w:rPr>
      </w:pPr>
    </w:p>
    <w:p>
      <w:pPr>
        <w:pStyle w:val="5"/>
        <w:ind w:firstLine="422"/>
        <w:rPr>
          <w:color w:val="auto"/>
          <w:highlight w:val="none"/>
        </w:rPr>
      </w:pPr>
      <w:bookmarkStart w:id="213" w:name="_Toc9041"/>
      <w:bookmarkStart w:id="214" w:name="_Toc26547"/>
      <w:r>
        <w:rPr>
          <w:rFonts w:hint="eastAsia"/>
          <w:color w:val="auto"/>
          <w:highlight w:val="none"/>
        </w:rPr>
        <w:t>31.履约保证金</w:t>
      </w:r>
      <w:bookmarkEnd w:id="213"/>
      <w:bookmarkEnd w:id="214"/>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pPr>
        <w:pStyle w:val="3"/>
        <w:numPr>
          <w:ilvl w:val="0"/>
          <w:numId w:val="1"/>
        </w:numPr>
        <w:ind w:firstLine="602"/>
        <w:rPr>
          <w:color w:val="auto"/>
          <w:highlight w:val="none"/>
        </w:rPr>
      </w:pPr>
      <w:bookmarkStart w:id="215" w:name="_Toc8191"/>
      <w:r>
        <w:rPr>
          <w:rFonts w:hint="eastAsia"/>
          <w:color w:val="auto"/>
          <w:highlight w:val="none"/>
        </w:rPr>
        <w:t>用户需求书</w:t>
      </w:r>
      <w:bookmarkEnd w:id="215"/>
    </w:p>
    <w:p>
      <w:pPr>
        <w:ind w:firstLine="562"/>
        <w:jc w:val="center"/>
        <w:outlineLvl w:val="1"/>
        <w:rPr>
          <w:b/>
          <w:bCs/>
          <w:color w:val="auto"/>
          <w:sz w:val="28"/>
          <w:szCs w:val="36"/>
          <w:highlight w:val="none"/>
        </w:rPr>
      </w:pPr>
      <w:bookmarkStart w:id="216" w:name="_Toc18002"/>
      <w:bookmarkStart w:id="217" w:name="_Toc16006"/>
      <w:bookmarkStart w:id="218" w:name="_Toc7855"/>
      <w:bookmarkStart w:id="219" w:name="_Toc27180"/>
      <w:r>
        <w:rPr>
          <w:rFonts w:hint="eastAsia"/>
          <w:b/>
          <w:bCs/>
          <w:color w:val="auto"/>
          <w:sz w:val="28"/>
          <w:szCs w:val="36"/>
          <w:highlight w:val="none"/>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★完工期</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自合同签定后，检测工作分不同检测项目完成时间进行，等采购人正式通知入场开始检测。每项检测项目在采购人正式通知后，成交人</w:t>
            </w:r>
            <w:r>
              <w:rPr>
                <w:rFonts w:hint="eastAsia"/>
                <w:color w:val="auto"/>
                <w:highlight w:val="none"/>
              </w:rPr>
              <w:t>应于到现场检测或现场取样后15个工作日内完成检测，并于完成检测后15个工作日内出具检测报告。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pPr>
              <w:jc w:val="center"/>
              <w:rPr>
                <w:rFonts w:ascii="宋体" w:hAnsi="宋体"/>
                <w:color w:val="auto"/>
                <w:szCs w:val="21"/>
                <w:highlight w:val="none"/>
              </w:rPr>
            </w:pPr>
            <w:r>
              <w:rPr>
                <w:rFonts w:hint="eastAsia" w:ascii="宋体" w:hAnsi="宋体"/>
                <w:color w:val="auto"/>
                <w:szCs w:val="21"/>
                <w:highlight w:val="none"/>
              </w:rPr>
              <w:t>报价要求</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1、有效报价范围：0≤响应检测服务收费系数≤1。供应商所报的检测服务收费系数须在有效的报价范围内，否则视为无效响应。检测服务收费系数必须为固定的报价（如0.5），不得存在区间值（如0.5～1）。</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2、统一对本项目《检测项目清单》</w:t>
            </w:r>
            <w:r>
              <w:rPr>
                <w:rFonts w:hint="eastAsia" w:ascii="宋体" w:hAnsi="宋体" w:cs="宋体"/>
                <w:color w:val="auto"/>
                <w:szCs w:val="21"/>
                <w:highlight w:val="none"/>
                <w:lang w:val="en-US" w:eastAsia="zh-CN"/>
              </w:rPr>
              <w:t>收费标准下浮25%</w:t>
            </w:r>
            <w:r>
              <w:rPr>
                <w:rFonts w:hint="eastAsia" w:ascii="宋体" w:hAnsi="宋体" w:cs="宋体"/>
                <w:color w:val="auto"/>
                <w:szCs w:val="21"/>
                <w:highlight w:val="none"/>
              </w:rPr>
              <w:t>报固定检测服务收费系数，不接受有选择性报价。供应商考虑自身企业实力，项目实际情况，市场因素及其它不可预见等因素自行报价。</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3、检测费参照《东莞市建设工程检测行业参考收费标准（2023版）》收费标准</w:t>
            </w:r>
            <w:r>
              <w:rPr>
                <w:rFonts w:hint="eastAsia" w:ascii="宋体" w:hAnsi="宋体" w:cs="宋体"/>
                <w:color w:val="auto"/>
                <w:szCs w:val="21"/>
                <w:highlight w:val="none"/>
                <w:lang w:val="en-US" w:eastAsia="zh-CN"/>
              </w:rPr>
              <w:t>下浮25%</w:t>
            </w:r>
            <w:r>
              <w:rPr>
                <w:rFonts w:hint="eastAsia" w:ascii="宋体" w:hAnsi="宋体" w:cs="宋体"/>
                <w:color w:val="auto"/>
                <w:szCs w:val="21"/>
                <w:highlight w:val="none"/>
              </w:rPr>
              <w:t>×成交检测服务收费系数×实际完成工程量进行计算，上述收费标准中未包含的部分参照《关于印发〈广东省房屋建筑和市政工程质量安全检测收费指导价（第一批）〉和〈广东省既有房屋建筑安全性鉴定收费指导价〉的通知》（粤建检协〔2015〕8 号），上述两个收费文件均未包含的按采购人委托第三方专业机构出具，并经采购人审核后的相应收费标准</w:t>
            </w:r>
            <w:r>
              <w:rPr>
                <w:rFonts w:hint="eastAsia" w:ascii="宋体" w:hAnsi="宋体" w:cs="宋体"/>
                <w:color w:val="auto"/>
                <w:szCs w:val="21"/>
                <w:highlight w:val="none"/>
                <w:lang w:val="en-US" w:eastAsia="zh-CN"/>
              </w:rPr>
              <w:t>下浮25%</w:t>
            </w:r>
            <w:r>
              <w:rPr>
                <w:rFonts w:hint="eastAsia" w:ascii="宋体" w:hAnsi="宋体" w:cs="宋体"/>
                <w:color w:val="auto"/>
                <w:szCs w:val="21"/>
                <w:highlight w:val="none"/>
              </w:rPr>
              <w:t>乘以成交检测服务收费系数计算。</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4、最终检测费用根据采购人审核确认的检测方案及最终结算按实际发生的检测数量×结算单价（相关收费标准下浮2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%）×成交检测服务收费系数结算，并以采购人审核后的结果为准。</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注：上述依据检测费用已包括成交人为完成该项任务所需的全部施工费用、利润、各项税费及一切不可预计费等全部费用。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服务地点</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pPr>
              <w:jc w:val="center"/>
              <w:rPr>
                <w:rFonts w:ascii="宋体" w:hAnsi="宋体"/>
                <w:color w:val="auto"/>
                <w:szCs w:val="21"/>
                <w:highlight w:val="none"/>
              </w:rPr>
            </w:pPr>
            <w:r>
              <w:rPr>
                <w:rFonts w:hint="eastAsia" w:hAnsi="宋体"/>
                <w:color w:val="auto"/>
                <w:szCs w:val="21"/>
                <w:highlight w:val="none"/>
              </w:rPr>
              <w:t>★付款方式</w:t>
            </w:r>
          </w:p>
        </w:tc>
        <w:tc>
          <w:tcPr>
            <w:tcW w:w="6728" w:type="dxa"/>
            <w:vAlign w:val="center"/>
          </w:tcPr>
          <w:p>
            <w:pPr>
              <w:widowControl/>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合同签订后，</w:t>
            </w:r>
            <w:r>
              <w:rPr>
                <w:rFonts w:hint="eastAsia" w:ascii="宋体" w:hAnsi="宋体" w:cs="宋体"/>
                <w:color w:val="auto"/>
                <w:szCs w:val="21"/>
                <w:highlight w:val="none"/>
              </w:rPr>
              <w:t>采购人</w:t>
            </w:r>
            <w:r>
              <w:rPr>
                <w:rFonts w:ascii="宋体" w:hAnsi="宋体" w:cs="宋体"/>
                <w:color w:val="auto"/>
                <w:szCs w:val="21"/>
                <w:highlight w:val="none"/>
              </w:rPr>
              <w:t>应向</w:t>
            </w:r>
            <w:r>
              <w:rPr>
                <w:rFonts w:hint="eastAsia" w:ascii="宋体" w:hAnsi="宋体" w:cs="宋体"/>
                <w:color w:val="auto"/>
                <w:szCs w:val="21"/>
                <w:highlight w:val="none"/>
              </w:rPr>
              <w:t>成交人</w:t>
            </w:r>
            <w:r>
              <w:rPr>
                <w:rFonts w:ascii="宋体" w:hAnsi="宋体" w:cs="宋体"/>
                <w:color w:val="auto"/>
                <w:szCs w:val="21"/>
                <w:highlight w:val="none"/>
              </w:rPr>
              <w:t>支付合同暂定金额30%的预付款；当</w:t>
            </w:r>
            <w:r>
              <w:rPr>
                <w:rFonts w:hint="eastAsia" w:ascii="宋体" w:hAnsi="宋体" w:cs="宋体"/>
                <w:color w:val="auto"/>
                <w:szCs w:val="21"/>
                <w:highlight w:val="none"/>
              </w:rPr>
              <w:t>成交人</w:t>
            </w:r>
            <w:r>
              <w:rPr>
                <w:rFonts w:ascii="宋体" w:hAnsi="宋体" w:cs="宋体"/>
                <w:color w:val="auto"/>
                <w:szCs w:val="21"/>
                <w:highlight w:val="none"/>
              </w:rPr>
              <w:t>累计完成的实际工作量超过预付款金额后，</w:t>
            </w:r>
            <w:r>
              <w:rPr>
                <w:rFonts w:hint="eastAsia" w:ascii="宋体" w:hAnsi="宋体" w:cs="宋体"/>
                <w:color w:val="auto"/>
                <w:szCs w:val="21"/>
                <w:highlight w:val="none"/>
              </w:rPr>
              <w:t>采购人</w:t>
            </w:r>
            <w:r>
              <w:rPr>
                <w:rFonts w:ascii="宋体" w:hAnsi="宋体" w:cs="宋体"/>
                <w:color w:val="auto"/>
                <w:szCs w:val="21"/>
                <w:highlight w:val="none"/>
              </w:rPr>
              <w:t>再向</w:t>
            </w:r>
            <w:r>
              <w:rPr>
                <w:rFonts w:hint="eastAsia" w:ascii="宋体" w:hAnsi="宋体" w:cs="宋体"/>
                <w:color w:val="auto"/>
                <w:szCs w:val="21"/>
                <w:highlight w:val="none"/>
              </w:rPr>
              <w:t>成交人</w:t>
            </w:r>
            <w:r>
              <w:rPr>
                <w:rFonts w:ascii="宋体" w:hAnsi="宋体" w:cs="宋体"/>
                <w:color w:val="auto"/>
                <w:szCs w:val="21"/>
                <w:highlight w:val="none"/>
              </w:rPr>
              <w:t>办理进度款支付。</w:t>
            </w:r>
            <w:r>
              <w:rPr>
                <w:rFonts w:hint="eastAsia" w:ascii="宋体" w:hAnsi="宋体" w:cs="宋体"/>
                <w:color w:val="auto"/>
                <w:szCs w:val="21"/>
                <w:highlight w:val="none"/>
              </w:rPr>
              <w:t>采购人</w:t>
            </w:r>
            <w:r>
              <w:rPr>
                <w:rFonts w:ascii="宋体" w:hAnsi="宋体" w:cs="宋体"/>
                <w:color w:val="auto"/>
                <w:szCs w:val="21"/>
                <w:highlight w:val="none"/>
              </w:rPr>
              <w:t>按</w:t>
            </w:r>
            <w:r>
              <w:rPr>
                <w:rFonts w:hint="eastAsia" w:ascii="宋体" w:hAnsi="宋体" w:cs="宋体"/>
                <w:color w:val="auto"/>
                <w:szCs w:val="21"/>
                <w:highlight w:val="none"/>
              </w:rPr>
              <w:t>成交人</w:t>
            </w:r>
            <w:r>
              <w:rPr>
                <w:rFonts w:ascii="宋体" w:hAnsi="宋体" w:cs="宋体"/>
                <w:color w:val="auto"/>
                <w:szCs w:val="21"/>
                <w:highlight w:val="none"/>
              </w:rPr>
              <w:t>实际完成检测工作量的80%支付检测费进度款，累计支付的进度款不超过合同暂定金额的80%；</w:t>
            </w:r>
            <w:r>
              <w:rPr>
                <w:rFonts w:hint="eastAsia" w:ascii="宋体" w:hAnsi="宋体" w:cs="宋体"/>
                <w:color w:val="auto"/>
                <w:szCs w:val="21"/>
                <w:highlight w:val="none"/>
              </w:rPr>
              <w:t>成交人</w:t>
            </w:r>
            <w:r>
              <w:rPr>
                <w:rFonts w:ascii="宋体" w:hAnsi="宋体" w:cs="宋体"/>
                <w:color w:val="auto"/>
                <w:szCs w:val="21"/>
                <w:highlight w:val="none"/>
              </w:rPr>
              <w:t>完成全部的检测项目并提交全部检测成果报告经</w:t>
            </w:r>
            <w:r>
              <w:rPr>
                <w:rFonts w:hint="eastAsia" w:ascii="宋体" w:hAnsi="宋体" w:cs="宋体"/>
                <w:color w:val="auto"/>
                <w:szCs w:val="21"/>
                <w:highlight w:val="none"/>
              </w:rPr>
              <w:t>采购人</w:t>
            </w:r>
            <w:r>
              <w:rPr>
                <w:rFonts w:ascii="宋体" w:hAnsi="宋体" w:cs="宋体"/>
                <w:color w:val="auto"/>
                <w:szCs w:val="21"/>
                <w:highlight w:val="none"/>
              </w:rPr>
              <w:t>审核通过，合同结算完毕，</w:t>
            </w:r>
            <w:r>
              <w:rPr>
                <w:rFonts w:hint="eastAsia" w:ascii="宋体" w:hAnsi="宋体" w:cs="宋体"/>
                <w:color w:val="auto"/>
                <w:szCs w:val="21"/>
                <w:highlight w:val="none"/>
              </w:rPr>
              <w:t>成交人</w:t>
            </w:r>
            <w:r>
              <w:rPr>
                <w:rFonts w:ascii="宋体" w:hAnsi="宋体" w:cs="宋体"/>
                <w:color w:val="auto"/>
                <w:szCs w:val="21"/>
                <w:highlight w:val="none"/>
              </w:rPr>
              <w:t>提交请款报告，</w:t>
            </w:r>
            <w:r>
              <w:rPr>
                <w:rFonts w:hint="eastAsia" w:ascii="宋体" w:hAnsi="宋体" w:cs="宋体"/>
                <w:color w:val="auto"/>
                <w:szCs w:val="21"/>
                <w:highlight w:val="none"/>
              </w:rPr>
              <w:t>采购人</w:t>
            </w:r>
            <w:r>
              <w:rPr>
                <w:rFonts w:ascii="宋体" w:hAnsi="宋体" w:cs="宋体"/>
                <w:color w:val="auto"/>
                <w:szCs w:val="21"/>
                <w:highlight w:val="none"/>
              </w:rPr>
              <w:t>完成审核后30个工作日内，</w:t>
            </w:r>
            <w:r>
              <w:rPr>
                <w:rFonts w:hint="eastAsia" w:ascii="宋体" w:hAnsi="宋体" w:cs="宋体"/>
                <w:color w:val="auto"/>
                <w:szCs w:val="21"/>
                <w:highlight w:val="none"/>
              </w:rPr>
              <w:t>采购人</w:t>
            </w:r>
            <w:r>
              <w:rPr>
                <w:rFonts w:ascii="宋体" w:hAnsi="宋体" w:cs="宋体"/>
                <w:color w:val="auto"/>
                <w:szCs w:val="21"/>
                <w:highlight w:val="none"/>
              </w:rPr>
              <w:t>按结算价一次支付余款。最终费用按实际结算，如检测范围或数量超出合同约定，需提前通知</w:t>
            </w:r>
            <w:r>
              <w:rPr>
                <w:rFonts w:hint="eastAsia" w:ascii="宋体" w:hAnsi="宋体" w:cs="宋体"/>
                <w:color w:val="auto"/>
                <w:szCs w:val="21"/>
                <w:highlight w:val="none"/>
              </w:rPr>
              <w:t>采购人</w:t>
            </w:r>
            <w:r>
              <w:rPr>
                <w:rFonts w:ascii="宋体" w:hAnsi="宋体" w:cs="宋体"/>
                <w:color w:val="auto"/>
                <w:szCs w:val="21"/>
                <w:highlight w:val="none"/>
              </w:rPr>
              <w:t>，经</w:t>
            </w:r>
            <w:r>
              <w:rPr>
                <w:rFonts w:hint="eastAsia" w:ascii="宋体" w:hAnsi="宋体" w:cs="宋体"/>
                <w:color w:val="auto"/>
                <w:szCs w:val="21"/>
                <w:highlight w:val="none"/>
              </w:rPr>
              <w:t>采购人</w:t>
            </w:r>
            <w:r>
              <w:rPr>
                <w:rFonts w:ascii="宋体" w:hAnsi="宋体" w:cs="宋体"/>
                <w:color w:val="auto"/>
                <w:szCs w:val="21"/>
                <w:highlight w:val="none"/>
              </w:rPr>
              <w:t>同意后才可以进行检测，</w:t>
            </w:r>
            <w:r>
              <w:rPr>
                <w:rFonts w:hint="eastAsia" w:ascii="宋体" w:hAnsi="宋体" w:cs="宋体"/>
                <w:color w:val="auto"/>
                <w:szCs w:val="21"/>
                <w:highlight w:val="none"/>
              </w:rPr>
              <w:t>成交人</w:t>
            </w:r>
            <w:r>
              <w:rPr>
                <w:rFonts w:ascii="宋体" w:hAnsi="宋体" w:cs="宋体"/>
                <w:color w:val="auto"/>
                <w:szCs w:val="21"/>
                <w:highlight w:val="none"/>
              </w:rPr>
              <w:t>每次进场前需通知</w:t>
            </w:r>
            <w:r>
              <w:rPr>
                <w:rFonts w:hint="eastAsia" w:ascii="宋体" w:hAnsi="宋体" w:cs="宋体"/>
                <w:color w:val="auto"/>
                <w:szCs w:val="21"/>
                <w:highlight w:val="none"/>
              </w:rPr>
              <w:t>采购人</w:t>
            </w:r>
            <w:r>
              <w:rPr>
                <w:rFonts w:ascii="宋体" w:hAnsi="宋体" w:cs="宋体"/>
                <w:color w:val="auto"/>
                <w:szCs w:val="21"/>
                <w:highlight w:val="none"/>
              </w:rPr>
              <w:t>进行监督。</w:t>
            </w:r>
          </w:p>
          <w:p>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成交人</w:t>
            </w:r>
            <w:r>
              <w:rPr>
                <w:rFonts w:ascii="宋体" w:hAnsi="宋体" w:cs="宋体"/>
                <w:color w:val="auto"/>
                <w:szCs w:val="21"/>
                <w:highlight w:val="none"/>
              </w:rPr>
              <w:t>收取每笔款项前，需提供6%增值税等额有效的发票，如</w:t>
            </w:r>
            <w:r>
              <w:rPr>
                <w:rFonts w:hint="eastAsia" w:ascii="宋体" w:hAnsi="宋体" w:cs="宋体"/>
                <w:color w:val="auto"/>
                <w:szCs w:val="21"/>
                <w:highlight w:val="none"/>
              </w:rPr>
              <w:t>成交人</w:t>
            </w:r>
            <w:r>
              <w:rPr>
                <w:rFonts w:ascii="宋体" w:hAnsi="宋体" w:cs="宋体"/>
                <w:color w:val="auto"/>
                <w:szCs w:val="21"/>
                <w:highlight w:val="none"/>
              </w:rPr>
              <w:t>延迟提供发票或提供的发票不合格，</w:t>
            </w:r>
            <w:r>
              <w:rPr>
                <w:rFonts w:hint="eastAsia" w:ascii="宋体" w:hAnsi="宋体" w:cs="宋体"/>
                <w:color w:val="auto"/>
                <w:szCs w:val="21"/>
                <w:highlight w:val="none"/>
              </w:rPr>
              <w:t>采购人</w:t>
            </w:r>
            <w:r>
              <w:rPr>
                <w:rFonts w:ascii="宋体" w:hAnsi="宋体" w:cs="宋体"/>
                <w:color w:val="auto"/>
                <w:szCs w:val="21"/>
                <w:highlight w:val="none"/>
              </w:rPr>
              <w:t>的付款时间可相应顺延，且不视为违约。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pPr>
              <w:widowControl/>
              <w:spacing w:line="400" w:lineRule="exact"/>
              <w:jc w:val="center"/>
              <w:rPr>
                <w:rFonts w:ascii="宋体" w:hAnsi="宋体"/>
                <w:color w:val="auto"/>
                <w:szCs w:val="21"/>
                <w:highlight w:val="none"/>
              </w:rPr>
            </w:pPr>
            <w:r>
              <w:rPr>
                <w:rFonts w:hint="eastAsia" w:ascii="宋体" w:hAnsi="宋体" w:cs="宋体"/>
                <w:color w:val="auto"/>
                <w:szCs w:val="21"/>
                <w:highlight w:val="none"/>
              </w:rPr>
              <w:t>其它要求</w:t>
            </w:r>
          </w:p>
        </w:tc>
        <w:tc>
          <w:tcPr>
            <w:tcW w:w="6728" w:type="dxa"/>
          </w:tcPr>
          <w:p>
            <w:pPr>
              <w:widowControl/>
              <w:spacing w:line="360" w:lineRule="auto"/>
              <w:ind w:firstLine="420" w:firstLineChars="200"/>
              <w:rPr>
                <w:rFonts w:ascii="宋体" w:hAnsi="宋体"/>
                <w:bCs/>
                <w:color w:val="auto"/>
                <w:szCs w:val="21"/>
                <w:highlight w:val="none"/>
              </w:rPr>
            </w:pPr>
            <w:r>
              <w:rPr>
                <w:rFonts w:hint="eastAsia" w:ascii="宋体" w:hAnsi="宋体" w:cs="宋体"/>
                <w:color w:val="auto"/>
                <w:szCs w:val="21"/>
                <w:highlight w:val="none"/>
              </w:rPr>
              <w:t>供应商实质响应合同各条款。</w:t>
            </w:r>
          </w:p>
        </w:tc>
      </w:tr>
    </w:tbl>
    <w:p>
      <w:pPr>
        <w:rPr>
          <w:color w:val="auto"/>
          <w:highlight w:val="none"/>
        </w:rPr>
      </w:pPr>
      <w:r>
        <w:rPr>
          <w:color w:val="auto"/>
          <w:highlight w:val="none"/>
        </w:rPr>
        <w:br w:type="page"/>
      </w:r>
    </w:p>
    <w:p>
      <w:pPr>
        <w:ind w:firstLine="562"/>
        <w:jc w:val="center"/>
        <w:outlineLvl w:val="1"/>
        <w:rPr>
          <w:b/>
          <w:bCs/>
          <w:color w:val="auto"/>
          <w:sz w:val="28"/>
          <w:szCs w:val="36"/>
          <w:highlight w:val="none"/>
        </w:rPr>
      </w:pPr>
      <w:bookmarkStart w:id="220" w:name="_Toc4445"/>
      <w:bookmarkStart w:id="221" w:name="_Toc4572"/>
      <w:bookmarkStart w:id="222" w:name="_Toc3714"/>
      <w:bookmarkStart w:id="223" w:name="_Toc16983"/>
      <w:r>
        <w:rPr>
          <w:rFonts w:hint="eastAsia"/>
          <w:b/>
          <w:bCs/>
          <w:color w:val="auto"/>
          <w:sz w:val="28"/>
          <w:szCs w:val="36"/>
          <w:highlight w:val="none"/>
        </w:rPr>
        <w:t>技术要求</w:t>
      </w:r>
      <w:bookmarkEnd w:id="220"/>
      <w:bookmarkEnd w:id="221"/>
      <w:bookmarkEnd w:id="222"/>
      <w:bookmarkEnd w:id="223"/>
    </w:p>
    <w:p>
      <w:pPr>
        <w:pStyle w:val="40"/>
        <w:ind w:firstLine="422"/>
        <w:jc w:val="left"/>
        <w:outlineLvl w:val="0"/>
        <w:rPr>
          <w:rFonts w:ascii="宋体" w:hAnsi="宋体"/>
          <w:b/>
          <w:color w:val="auto"/>
          <w:sz w:val="21"/>
          <w:szCs w:val="21"/>
          <w:highlight w:val="none"/>
        </w:rPr>
      </w:pPr>
      <w:bookmarkStart w:id="224" w:name="_Toc42033153"/>
      <w:bookmarkStart w:id="225" w:name="_Toc476901034"/>
      <w:bookmarkStart w:id="226" w:name="_Toc485835248"/>
      <w:bookmarkStart w:id="227" w:name="_Toc17699252"/>
      <w:r>
        <w:rPr>
          <w:rFonts w:hint="eastAsia" w:ascii="宋体" w:hAnsi="宋体"/>
          <w:b/>
          <w:color w:val="auto"/>
          <w:sz w:val="21"/>
          <w:szCs w:val="21"/>
          <w:highlight w:val="none"/>
        </w:rPr>
        <w:t>一、项目内容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成交人须根据国家标准及其它相关行业规程的要求，完成本项目检测所必须的质量检测项目及数量，出具合法有效且符合检测规范要求的检测报告，为工程进度控制提供依据；为保证工程质量提供保障。</w:t>
      </w:r>
    </w:p>
    <w:p>
      <w:pPr>
        <w:pStyle w:val="40"/>
        <w:ind w:firstLine="422"/>
        <w:jc w:val="left"/>
        <w:outlineLvl w:val="0"/>
        <w:rPr>
          <w:rFonts w:ascii="宋体" w:hAnsi="宋体"/>
          <w:b/>
          <w:color w:val="auto"/>
          <w:sz w:val="21"/>
          <w:szCs w:val="21"/>
          <w:highlight w:val="none"/>
        </w:rPr>
      </w:pPr>
      <w:r>
        <w:rPr>
          <w:rFonts w:hint="eastAsia" w:ascii="宋体" w:hAnsi="宋体"/>
          <w:b/>
          <w:color w:val="auto"/>
          <w:sz w:val="21"/>
          <w:szCs w:val="21"/>
          <w:highlight w:val="none"/>
        </w:rPr>
        <w:t>二、</w:t>
      </w:r>
      <w:bookmarkEnd w:id="224"/>
      <w:bookmarkEnd w:id="225"/>
      <w:r>
        <w:rPr>
          <w:rFonts w:hint="eastAsia" w:ascii="宋体" w:hAnsi="宋体"/>
          <w:b/>
          <w:color w:val="auto"/>
          <w:sz w:val="21"/>
          <w:szCs w:val="21"/>
          <w:highlight w:val="none"/>
        </w:rPr>
        <w:t>检测项目清单</w:t>
      </w:r>
    </w:p>
    <w:p>
      <w:pPr>
        <w:ind w:firstLine="422"/>
        <w:rPr>
          <w:rFonts w:ascii="宋体" w:hAnsi="宋体"/>
          <w:b/>
          <w:color w:val="auto"/>
          <w:szCs w:val="21"/>
          <w:highlight w:val="none"/>
        </w:rPr>
      </w:pPr>
      <w:r>
        <w:rPr>
          <w:rFonts w:hint="eastAsia" w:ascii="宋体" w:hAnsi="宋体"/>
          <w:b/>
          <w:color w:val="auto"/>
          <w:szCs w:val="21"/>
          <w:highlight w:val="none"/>
        </w:rPr>
        <w:t>（一）基坑支护</w:t>
      </w:r>
    </w:p>
    <w:tbl>
      <w:tblPr>
        <w:tblStyle w:val="17"/>
        <w:tblW w:w="4994" w:type="pct"/>
        <w:tblInd w:w="0" w:type="dxa"/>
        <w:tblLayout w:type="fixed"/>
        <w:tblCellMar>
          <w:top w:w="0" w:type="dxa"/>
          <w:left w:w="108" w:type="dxa"/>
          <w:bottom w:w="0" w:type="dxa"/>
          <w:right w:w="108" w:type="dxa"/>
        </w:tblCellMar>
      </w:tblPr>
      <w:tblGrid>
        <w:gridCol w:w="416"/>
        <w:gridCol w:w="743"/>
        <w:gridCol w:w="637"/>
        <w:gridCol w:w="1970"/>
        <w:gridCol w:w="543"/>
        <w:gridCol w:w="506"/>
        <w:gridCol w:w="468"/>
        <w:gridCol w:w="637"/>
        <w:gridCol w:w="1164"/>
        <w:gridCol w:w="1428"/>
      </w:tblGrid>
      <w:tr>
        <w:tblPrEx>
          <w:tblCellMar>
            <w:top w:w="0" w:type="dxa"/>
            <w:left w:w="108" w:type="dxa"/>
            <w:bottom w:w="0" w:type="dxa"/>
            <w:right w:w="108" w:type="dxa"/>
          </w:tblCellMar>
        </w:tblPrEx>
        <w:trPr>
          <w:trHeight w:val="67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检测部位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检测频率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总工程量</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检测依据</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CellMar>
            <w:top w:w="0" w:type="dxa"/>
            <w:left w:w="108" w:type="dxa"/>
            <w:bottom w:w="0" w:type="dxa"/>
            <w:right w:w="108" w:type="dxa"/>
          </w:tblCellMar>
        </w:tblPrEx>
        <w:trPr>
          <w:trHeight w:val="14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三轴搅拌桩</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（止水帷幕）</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钻芯法</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三轴水泥土搅拌桩抽检数量不应少于总桩数的1%，且不得少于3根；渠式切割水泥土连续墙抽检数量每50延米不应少于1个取芯点，且不得少于3个。</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196根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48</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米</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280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《建筑地基基础工程施工质量验收标准》GB50202-2018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抽检3根，桩长按15米计，每根桩抽1孔，持力层抽1米，单根桩检测米数：15+1=16米，共3*16=48米</w:t>
            </w:r>
          </w:p>
        </w:tc>
      </w:tr>
      <w:tr>
        <w:tblPrEx>
          <w:tblCellMar>
            <w:top w:w="0" w:type="dxa"/>
            <w:left w:w="108" w:type="dxa"/>
            <w:bottom w:w="0" w:type="dxa"/>
            <w:right w:w="108" w:type="dxa"/>
          </w:tblCellMar>
        </w:tblPrEx>
        <w:trPr>
          <w:trHeight w:val="1125"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土钉</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土钉抗拔力试验</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抽检土钉总数的1％，且同一岩土层中检测数量不少于10根。</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276根</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5000</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《建筑地基基础检测规范》DBJ/T15-60-2019</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r>
      <w:tr>
        <w:tblPrEx>
          <w:tblCellMar>
            <w:top w:w="0" w:type="dxa"/>
            <w:left w:w="108" w:type="dxa"/>
            <w:bottom w:w="0" w:type="dxa"/>
            <w:right w:w="108" w:type="dxa"/>
          </w:tblCellMar>
        </w:tblPrEx>
        <w:trPr>
          <w:trHeight w:val="117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436"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喷锚厚度</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钻孔法检测墙面混凝土厚度</w:t>
            </w:r>
          </w:p>
        </w:tc>
        <w:tc>
          <w:tcPr>
            <w:tcW w:w="1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每500㎡墙面积1组，每组不少于3点进行钻孔检测。</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708.8㎡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1350</w:t>
            </w: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r>
    </w:tbl>
    <w:p>
      <w:pPr>
        <w:rPr>
          <w:rFonts w:ascii="宋体" w:hAnsi="宋体"/>
          <w:b/>
          <w:color w:val="auto"/>
          <w:szCs w:val="21"/>
          <w:highlight w:val="none"/>
        </w:rPr>
      </w:pPr>
      <w:r>
        <w:rPr>
          <w:rFonts w:hint="eastAsia" w:ascii="宋体" w:hAnsi="宋体"/>
          <w:b/>
          <w:color w:val="auto"/>
          <w:szCs w:val="21"/>
          <w:highlight w:val="none"/>
        </w:rPr>
        <w:t>（二）工程基桩部分</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429"/>
        <w:gridCol w:w="416"/>
        <w:gridCol w:w="949"/>
        <w:gridCol w:w="1782"/>
        <w:gridCol w:w="485"/>
        <w:gridCol w:w="450"/>
        <w:gridCol w:w="487"/>
        <w:gridCol w:w="882"/>
        <w:gridCol w:w="120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25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检测部位</w:t>
            </w:r>
          </w:p>
        </w:tc>
        <w:tc>
          <w:tcPr>
            <w:tcW w:w="244"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基桩类型</w:t>
            </w:r>
          </w:p>
        </w:tc>
        <w:tc>
          <w:tcPr>
            <w:tcW w:w="55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1045"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检测频率</w:t>
            </w:r>
          </w:p>
        </w:tc>
        <w:tc>
          <w:tcPr>
            <w:tcW w:w="285"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总工程量</w:t>
            </w:r>
          </w:p>
        </w:tc>
        <w:tc>
          <w:tcPr>
            <w:tcW w:w="264"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检测数量</w:t>
            </w:r>
          </w:p>
        </w:tc>
        <w:tc>
          <w:tcPr>
            <w:tcW w:w="28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517"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705"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检测依据</w:t>
            </w:r>
          </w:p>
        </w:tc>
        <w:tc>
          <w:tcPr>
            <w:tcW w:w="597"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25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试桩</w:t>
            </w:r>
          </w:p>
        </w:tc>
        <w:tc>
          <w:tcPr>
            <w:tcW w:w="5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桩竖向抗压静载试验</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（承载力）</w:t>
            </w:r>
          </w:p>
        </w:tc>
        <w:tc>
          <w:tcPr>
            <w:tcW w:w="1045"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抽检数量不应少于总桩数的1％，且不得少于3 根；当总桩数在50 根以内时，不得少于2根；</w:t>
            </w:r>
          </w:p>
        </w:tc>
        <w:tc>
          <w:tcPr>
            <w:tcW w:w="28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2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28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51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31500</w:t>
            </w:r>
          </w:p>
        </w:tc>
        <w:tc>
          <w:tcPr>
            <w:tcW w:w="70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《建筑地基基础检测规范》DBJ/T15-60-2019</w:t>
            </w:r>
          </w:p>
        </w:tc>
        <w:tc>
          <w:tcPr>
            <w:tcW w:w="59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Q=4200kN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25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1号厂房</w:t>
            </w:r>
          </w:p>
        </w:tc>
        <w:tc>
          <w:tcPr>
            <w:tcW w:w="244"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管桩</w:t>
            </w:r>
          </w:p>
        </w:tc>
        <w:tc>
          <w:tcPr>
            <w:tcW w:w="5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低应变法</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（完整性）</w:t>
            </w:r>
          </w:p>
        </w:tc>
        <w:tc>
          <w:tcPr>
            <w:tcW w:w="1045"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1、每个柱下承台抽检桩数不得少于 1 根</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2、地基基础设计等级为甲级的桩基工程抽检数量不应少于总桩数的30%，其余桩基工程检测数量不少于总桩数的20％，且不少于10 根。</w:t>
            </w:r>
          </w:p>
        </w:tc>
        <w:tc>
          <w:tcPr>
            <w:tcW w:w="28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305根</w:t>
            </w:r>
          </w:p>
        </w:tc>
        <w:tc>
          <w:tcPr>
            <w:tcW w:w="2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61</w:t>
            </w:r>
          </w:p>
        </w:tc>
        <w:tc>
          <w:tcPr>
            <w:tcW w:w="28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51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250</w:t>
            </w:r>
          </w:p>
        </w:tc>
        <w:tc>
          <w:tcPr>
            <w:tcW w:w="70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①《建筑地基基础工程施工质量验收标准》GB50202-2018</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②《建筑基桩检测技术规范》JGJ106-2014</w:t>
            </w:r>
          </w:p>
        </w:tc>
        <w:tc>
          <w:tcPr>
            <w:tcW w:w="59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基础设计等级：乙级48个承台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252" w:type="pct"/>
            <w:vMerge w:val="continue"/>
            <w:shd w:val="clear" w:color="auto" w:fill="auto"/>
            <w:vAlign w:val="center"/>
          </w:tcPr>
          <w:p>
            <w:pPr>
              <w:jc w:val="center"/>
              <w:rPr>
                <w:rFonts w:ascii="宋体" w:hAnsi="宋体" w:cs="宋体"/>
                <w:color w:val="auto"/>
                <w:sz w:val="21"/>
                <w:szCs w:val="21"/>
                <w:highlight w:val="none"/>
              </w:rPr>
            </w:pPr>
          </w:p>
        </w:tc>
        <w:tc>
          <w:tcPr>
            <w:tcW w:w="244" w:type="pct"/>
            <w:vMerge w:val="continue"/>
            <w:shd w:val="clear" w:color="auto" w:fill="auto"/>
            <w:vAlign w:val="center"/>
          </w:tcPr>
          <w:p>
            <w:pPr>
              <w:jc w:val="center"/>
              <w:rPr>
                <w:rFonts w:ascii="宋体" w:hAnsi="宋体" w:cs="宋体"/>
                <w:color w:val="auto"/>
                <w:sz w:val="21"/>
                <w:szCs w:val="21"/>
                <w:highlight w:val="none"/>
              </w:rPr>
            </w:pPr>
          </w:p>
        </w:tc>
        <w:tc>
          <w:tcPr>
            <w:tcW w:w="5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桩竖向抗压静载试验</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（承载力）</w:t>
            </w:r>
          </w:p>
        </w:tc>
        <w:tc>
          <w:tcPr>
            <w:tcW w:w="1045"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抽检数量不应少于总桩数的1％，且不得少于3 根；当总桩数在50 根以内时，不得少于2根；</w:t>
            </w:r>
          </w:p>
        </w:tc>
        <w:tc>
          <w:tcPr>
            <w:tcW w:w="28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305根</w:t>
            </w:r>
          </w:p>
        </w:tc>
        <w:tc>
          <w:tcPr>
            <w:tcW w:w="2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28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51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31500</w:t>
            </w:r>
          </w:p>
        </w:tc>
        <w:tc>
          <w:tcPr>
            <w:tcW w:w="70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《建筑地基基础检测规范》DBJ/T15-60-2019</w:t>
            </w:r>
          </w:p>
        </w:tc>
        <w:tc>
          <w:tcPr>
            <w:tcW w:w="59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Q=4200kN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25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2号宿舍</w:t>
            </w:r>
          </w:p>
        </w:tc>
        <w:tc>
          <w:tcPr>
            <w:tcW w:w="244"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管桩</w:t>
            </w:r>
          </w:p>
        </w:tc>
        <w:tc>
          <w:tcPr>
            <w:tcW w:w="5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低应变法</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（完整性）</w:t>
            </w:r>
          </w:p>
        </w:tc>
        <w:tc>
          <w:tcPr>
            <w:tcW w:w="1045"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1、每个柱下承台抽检桩数不得少于 1 根</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2、地基基础设计等级为甲级的桩基工程抽检数量不应少于总桩数的30%，其余桩基工程检测数量不少于总桩数的20％，且不少于10 根。</w:t>
            </w:r>
          </w:p>
        </w:tc>
        <w:tc>
          <w:tcPr>
            <w:tcW w:w="28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65根</w:t>
            </w:r>
          </w:p>
        </w:tc>
        <w:tc>
          <w:tcPr>
            <w:tcW w:w="2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28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51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250</w:t>
            </w:r>
          </w:p>
        </w:tc>
        <w:tc>
          <w:tcPr>
            <w:tcW w:w="70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①《建筑地基基础工程施工质量验收标准》GB50202-2018</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②《建筑基桩检测技术规范》JGJ106-2014</w:t>
            </w:r>
          </w:p>
        </w:tc>
        <w:tc>
          <w:tcPr>
            <w:tcW w:w="59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基础设计等级：乙级20个承台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4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252" w:type="pct"/>
            <w:vMerge w:val="continue"/>
            <w:shd w:val="clear" w:color="auto" w:fill="auto"/>
            <w:vAlign w:val="center"/>
          </w:tcPr>
          <w:p>
            <w:pPr>
              <w:jc w:val="center"/>
              <w:rPr>
                <w:rFonts w:ascii="宋体" w:hAnsi="宋体" w:cs="宋体"/>
                <w:color w:val="auto"/>
                <w:sz w:val="21"/>
                <w:szCs w:val="21"/>
                <w:highlight w:val="none"/>
              </w:rPr>
            </w:pPr>
          </w:p>
        </w:tc>
        <w:tc>
          <w:tcPr>
            <w:tcW w:w="244" w:type="pct"/>
            <w:vMerge w:val="continue"/>
            <w:shd w:val="clear" w:color="auto" w:fill="auto"/>
            <w:vAlign w:val="center"/>
          </w:tcPr>
          <w:p>
            <w:pPr>
              <w:jc w:val="center"/>
              <w:rPr>
                <w:rFonts w:ascii="宋体" w:hAnsi="宋体" w:cs="宋体"/>
                <w:color w:val="auto"/>
                <w:sz w:val="21"/>
                <w:szCs w:val="21"/>
                <w:highlight w:val="none"/>
              </w:rPr>
            </w:pPr>
          </w:p>
        </w:tc>
        <w:tc>
          <w:tcPr>
            <w:tcW w:w="55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桩竖向抗压静载试验</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（承载力）</w:t>
            </w:r>
          </w:p>
        </w:tc>
        <w:tc>
          <w:tcPr>
            <w:tcW w:w="1045"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抽检数量不应少于总桩数的1％，且不得少于3 根；当总桩数在50根以内时，不得少于2根；</w:t>
            </w:r>
          </w:p>
        </w:tc>
        <w:tc>
          <w:tcPr>
            <w:tcW w:w="28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65根</w:t>
            </w:r>
          </w:p>
        </w:tc>
        <w:tc>
          <w:tcPr>
            <w:tcW w:w="264"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28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根</w:t>
            </w:r>
          </w:p>
        </w:tc>
        <w:tc>
          <w:tcPr>
            <w:tcW w:w="51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31500</w:t>
            </w:r>
          </w:p>
        </w:tc>
        <w:tc>
          <w:tcPr>
            <w:tcW w:w="705"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《建筑地基基础检测规范》DBJ/T15-60-2019</w:t>
            </w:r>
          </w:p>
        </w:tc>
        <w:tc>
          <w:tcPr>
            <w:tcW w:w="59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Q=4200kN</w:t>
            </w:r>
          </w:p>
        </w:tc>
      </w:tr>
    </w:tbl>
    <w:p>
      <w:pPr>
        <w:rPr>
          <w:rFonts w:ascii="宋体" w:hAnsi="宋体"/>
          <w:b/>
          <w:color w:val="auto"/>
          <w:szCs w:val="21"/>
          <w:highlight w:val="none"/>
        </w:rPr>
      </w:pPr>
      <w:r>
        <w:rPr>
          <w:rFonts w:hint="eastAsia" w:ascii="宋体" w:hAnsi="宋体"/>
          <w:b/>
          <w:color w:val="auto"/>
          <w:szCs w:val="21"/>
          <w:highlight w:val="none"/>
        </w:rPr>
        <w:t>（三）主体结构</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6"/>
        <w:gridCol w:w="635"/>
        <w:gridCol w:w="2315"/>
        <w:gridCol w:w="689"/>
        <w:gridCol w:w="426"/>
        <w:gridCol w:w="426"/>
        <w:gridCol w:w="650"/>
        <w:gridCol w:w="144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0"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250"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检测部位</w:t>
            </w:r>
          </w:p>
        </w:tc>
        <w:tc>
          <w:tcPr>
            <w:tcW w:w="373"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检测项目</w:t>
            </w:r>
          </w:p>
        </w:tc>
        <w:tc>
          <w:tcPr>
            <w:tcW w:w="1359"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检测频率</w:t>
            </w:r>
          </w:p>
        </w:tc>
        <w:tc>
          <w:tcPr>
            <w:tcW w:w="405"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总工程量</w:t>
            </w:r>
          </w:p>
        </w:tc>
        <w:tc>
          <w:tcPr>
            <w:tcW w:w="250"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检测数量</w:t>
            </w:r>
          </w:p>
        </w:tc>
        <w:tc>
          <w:tcPr>
            <w:tcW w:w="250"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382"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单价（元）</w:t>
            </w:r>
          </w:p>
        </w:tc>
        <w:tc>
          <w:tcPr>
            <w:tcW w:w="848"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检测依据</w:t>
            </w:r>
          </w:p>
        </w:tc>
        <w:tc>
          <w:tcPr>
            <w:tcW w:w="629" w:type="pct"/>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50" w:type="pct"/>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1号厂房</w:t>
            </w: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钻芯法检测混凝土强度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每个单位工程抽测竖向构件1 组，水平构件1 组（每组3 个芯样，下同）。房建工程中层数超过20 层（含）或者建筑面积超过20000 m2 的，每个单位工程抽测竖向构件2组，水平构件2 组。财政投资项目和保障性住房项目，每个单位工程竖向构件的每个混凝土设计强度等级抽测1 组，对应楼层水平构件抽测1 组。</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22530.02㎡</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①《钻芯法检测混凝土强度技术规程》（JGJ/T 384-2016）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②《钻芯法检测混凝土强度技术规程》（CECS 03：2007）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③《关于开展建设工程混凝土结构实体质量监督抽测工作的通知》（东建质安〔2016〕62 号）</w:t>
            </w:r>
          </w:p>
        </w:tc>
        <w:tc>
          <w:tcPr>
            <w:tcW w:w="629"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C30、C35、C40、C45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楼板厚度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每个单位工程抽测竖向构件1 组，水平构件1 组（每组3 个芯样，下同）。房建工程中层数超过20 层（含）或者建筑面积超过20000 m2 的，每个单位工程抽测竖向构件2组，水平构件2 组。财政投资项目和保障性住房项目，每个单位工程竖向构件的每个混凝土设计强度等级抽测1 组，对应楼层水平构件抽测1 组。</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22530.02㎡</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《关于开展建设工程混凝土结构实体质量监督抽测工作的通知》（东建质安〔2016〕262 号）</w:t>
            </w:r>
          </w:p>
        </w:tc>
        <w:tc>
          <w:tcPr>
            <w:tcW w:w="629" w:type="pct"/>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饰面砖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粘结强度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现场粘贴饰面砖粘结强度检验应以每500m2 同类基体饰面砖为一个检验批，不足500m2 应为一个检验批。每批应取不少于一组3个试样，每连续三个楼层应取不少于一组试样，取样宜均匀分布。</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1074m</w:t>
            </w:r>
            <w:r>
              <w:rPr>
                <w:rFonts w:hint="eastAsia" w:ascii="宋体" w:hAnsi="宋体" w:cs="宋体"/>
                <w:color w:val="auto"/>
                <w:kern w:val="0"/>
                <w:szCs w:val="21"/>
                <w:highlight w:val="none"/>
                <w:vertAlign w:val="superscript"/>
                <w:lang w:bidi="ar"/>
              </w:rPr>
              <w:t>2</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《建筑工程饰面砖粘结强度检验标准》JGJ/T 110-2017</w:t>
            </w:r>
          </w:p>
        </w:tc>
        <w:tc>
          <w:tcPr>
            <w:tcW w:w="629"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3组为实体墙的饰面砖，1组为样板墙。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抗拔检测</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植筋锚固质量的非破损检验：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对重要结构构件及生命线工程的非结构构件，应取每一检验批植筋总数的3％且不少于5 件进行检验；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对一般结构构件，应取每一检验批植筋总数的1％且不少于3 件进行检验；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对非生命线工程的非结构构件，应取每一检验批锚固件总数的0．1％且不少于3 件进行检验。</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《混凝土结构后锚固技术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规程》JGJ 145-2013</w:t>
            </w:r>
          </w:p>
        </w:tc>
        <w:tc>
          <w:tcPr>
            <w:tcW w:w="629" w:type="pct"/>
            <w:shd w:val="clear" w:color="auto" w:fill="auto"/>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250" w:type="pct"/>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2号宿舍</w:t>
            </w: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钻芯法检测混凝土强度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每个单位工程抽测竖向构件1 组，水平构件1 组（每组3 个芯样，下同）。房建工程中层数超过20 层（含）或者建筑面积超过20000 m2 的，每个单位工程抽测竖向构件2组，水平构件2 组。财政投资项目和保障性住房项目，每个单位工程竖向构件的每个混凝土设计强度等级抽测1 组，对应楼层水平构件抽测1 组。</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3721.4㎡</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①《钻芯法检测混凝土强度技术规程》（JGJ/T 384-2016）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②《钻芯法检测混凝土强度技术规程》（CECS 03：2007）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③《关于开展建设工程混凝土结构实体质量监督抽测工作的通知》（东建质安〔2016〕62 号）</w:t>
            </w:r>
          </w:p>
        </w:tc>
        <w:tc>
          <w:tcPr>
            <w:tcW w:w="629"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C35、C40、C45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楼板厚度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每个单位工程抽测竖向构件1 组，水平构件1 组（每组3 个芯样，下同）。房建工程中层数超过20 层（含）或者建筑面积超过20000 m2 的，每个单位工程抽测竖向构件2组，水平构件2 组。财政投资项目和保障性住房项目，每个单位工程竖向构件的每个混凝土设计强度等级抽测1 组，对应楼层水平构件抽测1 组。</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3721.4㎡</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个</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《关于开展建设工程混凝土结构实体质量监督抽测工作的通知》（东建质安〔2016〕262 号）</w:t>
            </w:r>
          </w:p>
        </w:tc>
        <w:tc>
          <w:tcPr>
            <w:tcW w:w="629" w:type="pct"/>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饰面砖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粘结强度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现场粘贴饰面砖粘结强度检验应以每500m2 同类基体饰面砖为一个检验批，不足500m2 应为一个检验批。每批应取不少于一组3个试样，每连续三个楼层应取不少于一组试样，取样宜均匀分布。</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392m</w:t>
            </w:r>
            <w:r>
              <w:rPr>
                <w:rFonts w:hint="eastAsia" w:ascii="宋体" w:hAnsi="宋体" w:cs="宋体"/>
                <w:color w:val="auto"/>
                <w:kern w:val="0"/>
                <w:szCs w:val="21"/>
                <w:highlight w:val="none"/>
                <w:vertAlign w:val="superscript"/>
                <w:lang w:bidi="ar"/>
              </w:rPr>
              <w:t>2</w:t>
            </w:r>
          </w:p>
        </w:tc>
        <w:tc>
          <w:tcPr>
            <w:tcW w:w="250" w:type="pct"/>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《建筑工程饰面砖粘结强度检验标准》JGJ/T 110-2017</w:t>
            </w:r>
          </w:p>
        </w:tc>
        <w:tc>
          <w:tcPr>
            <w:tcW w:w="629"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1的饰面砖，1组为样板墙。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外墙节能构造钻芯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（保温层厚度）</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外墙取样数量为一个单位工程每种节能保温做法至少取3个芯样。取样部位宜均匀分布，不宜在同一个房间外墙上取2个或2个以上芯样。</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组</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《建筑节能工程施工质量验收标准》GB50411-2019</w:t>
            </w:r>
          </w:p>
        </w:tc>
        <w:tc>
          <w:tcPr>
            <w:tcW w:w="629" w:type="pct"/>
            <w:shd w:val="clear" w:color="auto" w:fill="auto"/>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250" w:type="pct"/>
            <w:vMerge w:val="continue"/>
            <w:shd w:val="clear" w:color="auto" w:fill="auto"/>
            <w:vAlign w:val="center"/>
          </w:tcPr>
          <w:p>
            <w:pPr>
              <w:jc w:val="center"/>
              <w:rPr>
                <w:rFonts w:ascii="宋体" w:hAnsi="宋体" w:cs="宋体"/>
                <w:color w:val="auto"/>
                <w:szCs w:val="21"/>
                <w:highlight w:val="none"/>
              </w:rPr>
            </w:pPr>
          </w:p>
        </w:tc>
        <w:tc>
          <w:tcPr>
            <w:tcW w:w="373"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抗拔检测</w:t>
            </w:r>
          </w:p>
        </w:tc>
        <w:tc>
          <w:tcPr>
            <w:tcW w:w="1359" w:type="pct"/>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植筋锚固质量的非破损检验：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对重要结构构件及生命线工程的非结构构件，应取每一检验批植筋总数的3％且不少于5 件进行检验；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对一般结构构件，应取每一检验批植筋总数的1％且不少于3 件进行检验；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对非生命线工程的非结构构件，应取每一检验批锚固件总数的0．1％且不少于3 件进行检验。</w:t>
            </w:r>
          </w:p>
        </w:tc>
        <w:tc>
          <w:tcPr>
            <w:tcW w:w="405"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250"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根</w:t>
            </w:r>
          </w:p>
        </w:tc>
        <w:tc>
          <w:tcPr>
            <w:tcW w:w="382"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1800.00</w:t>
            </w:r>
          </w:p>
        </w:tc>
        <w:tc>
          <w:tcPr>
            <w:tcW w:w="848" w:type="pc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《混凝土结构后锚固技术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规程》JGJ 145-2013</w:t>
            </w:r>
          </w:p>
        </w:tc>
        <w:tc>
          <w:tcPr>
            <w:tcW w:w="629" w:type="pct"/>
            <w:shd w:val="clear" w:color="auto" w:fill="auto"/>
            <w:noWrap/>
            <w:vAlign w:val="center"/>
          </w:tcPr>
          <w:p>
            <w:pPr>
              <w:jc w:val="center"/>
              <w:rPr>
                <w:rFonts w:ascii="宋体" w:hAnsi="宋体" w:cs="宋体"/>
                <w:color w:val="auto"/>
                <w:szCs w:val="21"/>
                <w:highlight w:val="none"/>
              </w:rPr>
            </w:pPr>
          </w:p>
        </w:tc>
      </w:tr>
    </w:tbl>
    <w:p>
      <w:pPr>
        <w:rPr>
          <w:rFonts w:ascii="宋体" w:hAnsi="宋体"/>
          <w:b/>
          <w:color w:val="auto"/>
          <w:szCs w:val="21"/>
          <w:highlight w:val="none"/>
        </w:rPr>
      </w:pPr>
      <w:r>
        <w:rPr>
          <w:rFonts w:hint="eastAsia" w:ascii="宋体" w:hAnsi="宋体"/>
          <w:b/>
          <w:color w:val="auto"/>
          <w:szCs w:val="21"/>
          <w:highlight w:val="none"/>
        </w:rPr>
        <w:t>（四）钢结构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466"/>
        <w:gridCol w:w="725"/>
        <w:gridCol w:w="1305"/>
        <w:gridCol w:w="465"/>
        <w:gridCol w:w="615"/>
        <w:gridCol w:w="375"/>
        <w:gridCol w:w="720"/>
        <w:gridCol w:w="118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40"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466"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检测部位</w:t>
            </w:r>
          </w:p>
        </w:tc>
        <w:tc>
          <w:tcPr>
            <w:tcW w:w="72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检测项目</w:t>
            </w:r>
          </w:p>
        </w:tc>
        <w:tc>
          <w:tcPr>
            <w:tcW w:w="130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检测频率</w:t>
            </w:r>
          </w:p>
        </w:tc>
        <w:tc>
          <w:tcPr>
            <w:tcW w:w="46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总工程量</w:t>
            </w:r>
          </w:p>
        </w:tc>
        <w:tc>
          <w:tcPr>
            <w:tcW w:w="61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检测数量</w:t>
            </w:r>
          </w:p>
        </w:tc>
        <w:tc>
          <w:tcPr>
            <w:tcW w:w="37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720"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单价（元）</w:t>
            </w:r>
          </w:p>
        </w:tc>
        <w:tc>
          <w:tcPr>
            <w:tcW w:w="1185"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检测依据</w:t>
            </w:r>
          </w:p>
        </w:tc>
        <w:tc>
          <w:tcPr>
            <w:tcW w:w="2220" w:type="dxa"/>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66" w:type="dxa"/>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1号厂房</w:t>
            </w:r>
          </w:p>
        </w:tc>
        <w:tc>
          <w:tcPr>
            <w:tcW w:w="725" w:type="dxa"/>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钢构件焊缝超声波检测</w:t>
            </w:r>
          </w:p>
        </w:tc>
        <w:tc>
          <w:tcPr>
            <w:tcW w:w="1305" w:type="dxa"/>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一级焊缝按不少于被检测焊缝处数的20%抽检，二级焊缝按不少于被检测焊缝处数的5%抽检</w:t>
            </w:r>
          </w:p>
        </w:tc>
        <w:tc>
          <w:tcPr>
            <w:tcW w:w="46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5" w:type="dxa"/>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3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米</w:t>
            </w:r>
          </w:p>
        </w:tc>
        <w:tc>
          <w:tcPr>
            <w:tcW w:w="72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150</w:t>
            </w:r>
          </w:p>
        </w:tc>
        <w:tc>
          <w:tcPr>
            <w:tcW w:w="1185" w:type="dxa"/>
            <w:vMerge w:val="restart"/>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《钢结构工程施工质量验收标准》（GB50205-2020）</w:t>
            </w:r>
          </w:p>
        </w:tc>
        <w:tc>
          <w:tcPr>
            <w:tcW w:w="2220" w:type="dxa"/>
            <w:shd w:val="clear" w:color="auto" w:fill="auto"/>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单次检测最低支付费用为3000元，此费用不作下浮。如实际检测数量大于20米，则按实结算。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0"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466" w:type="dxa"/>
            <w:vMerge w:val="continue"/>
            <w:shd w:val="clear" w:color="auto" w:fill="auto"/>
            <w:vAlign w:val="center"/>
          </w:tcPr>
          <w:p>
            <w:pPr>
              <w:jc w:val="center"/>
              <w:rPr>
                <w:rFonts w:ascii="宋体" w:hAnsi="宋体" w:cs="宋体"/>
                <w:color w:val="auto"/>
                <w:szCs w:val="21"/>
                <w:highlight w:val="none"/>
              </w:rPr>
            </w:pPr>
          </w:p>
        </w:tc>
        <w:tc>
          <w:tcPr>
            <w:tcW w:w="725" w:type="dxa"/>
            <w:vMerge w:val="continue"/>
            <w:shd w:val="clear" w:color="auto" w:fill="auto"/>
            <w:vAlign w:val="center"/>
          </w:tcPr>
          <w:p>
            <w:pPr>
              <w:jc w:val="center"/>
              <w:rPr>
                <w:rFonts w:ascii="宋体" w:hAnsi="宋体" w:cs="宋体"/>
                <w:color w:val="auto"/>
                <w:szCs w:val="21"/>
                <w:highlight w:val="none"/>
              </w:rPr>
            </w:pPr>
          </w:p>
        </w:tc>
        <w:tc>
          <w:tcPr>
            <w:tcW w:w="1305" w:type="dxa"/>
            <w:vMerge w:val="continue"/>
            <w:shd w:val="clear" w:color="auto" w:fill="auto"/>
            <w:vAlign w:val="center"/>
          </w:tcPr>
          <w:p>
            <w:pPr>
              <w:jc w:val="center"/>
              <w:rPr>
                <w:rFonts w:ascii="宋体" w:hAnsi="宋体" w:cs="宋体"/>
                <w:color w:val="auto"/>
                <w:szCs w:val="21"/>
                <w:highlight w:val="none"/>
              </w:rPr>
            </w:pPr>
          </w:p>
        </w:tc>
        <w:tc>
          <w:tcPr>
            <w:tcW w:w="465" w:type="dxa"/>
            <w:shd w:val="clear" w:color="auto" w:fill="auto"/>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w:t>
            </w:r>
          </w:p>
        </w:tc>
        <w:tc>
          <w:tcPr>
            <w:tcW w:w="615" w:type="dxa"/>
            <w:shd w:val="clear" w:color="auto" w:fill="auto"/>
            <w:noWrap/>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20</w:t>
            </w:r>
          </w:p>
        </w:tc>
        <w:tc>
          <w:tcPr>
            <w:tcW w:w="375" w:type="dxa"/>
            <w:shd w:val="clear" w:color="auto" w:fill="auto"/>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米</w:t>
            </w:r>
          </w:p>
        </w:tc>
        <w:tc>
          <w:tcPr>
            <w:tcW w:w="720" w:type="dxa"/>
            <w:shd w:val="clear" w:color="auto" w:fill="auto"/>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150</w:t>
            </w:r>
          </w:p>
        </w:tc>
        <w:tc>
          <w:tcPr>
            <w:tcW w:w="1185" w:type="dxa"/>
            <w:vMerge w:val="continue"/>
            <w:shd w:val="clear" w:color="auto" w:fill="auto"/>
            <w:vAlign w:val="center"/>
          </w:tcPr>
          <w:p>
            <w:pPr>
              <w:jc w:val="center"/>
              <w:rPr>
                <w:rFonts w:ascii="宋体" w:hAnsi="宋体" w:cs="宋体"/>
                <w:color w:val="auto"/>
                <w:szCs w:val="21"/>
                <w:highlight w:val="none"/>
              </w:rPr>
            </w:pPr>
          </w:p>
        </w:tc>
        <w:tc>
          <w:tcPr>
            <w:tcW w:w="2220" w:type="dxa"/>
            <w:shd w:val="clear" w:color="auto" w:fill="auto"/>
            <w:vAlign w:val="center"/>
          </w:tcPr>
          <w:p>
            <w:pPr>
              <w:widowControl/>
              <w:jc w:val="left"/>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平行检测</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单次检测最低支付费用为3000元，此费用不作下浮。如实际检测数量大于20米，则按实结算。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66" w:type="dxa"/>
            <w:vMerge w:val="continue"/>
            <w:shd w:val="clear" w:color="auto" w:fill="auto"/>
            <w:vAlign w:val="center"/>
          </w:tcPr>
          <w:p>
            <w:pPr>
              <w:jc w:val="center"/>
              <w:rPr>
                <w:rFonts w:ascii="宋体" w:hAnsi="宋体" w:cs="宋体"/>
                <w:color w:val="auto"/>
                <w:szCs w:val="21"/>
                <w:highlight w:val="none"/>
              </w:rPr>
            </w:pPr>
          </w:p>
        </w:tc>
        <w:tc>
          <w:tcPr>
            <w:tcW w:w="72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钢构件防腐涂层厚度检测</w:t>
            </w:r>
          </w:p>
        </w:tc>
        <w:tc>
          <w:tcPr>
            <w:tcW w:w="1305" w:type="dxa"/>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同类构件数的10%不应少于3件</w:t>
            </w:r>
          </w:p>
        </w:tc>
        <w:tc>
          <w:tcPr>
            <w:tcW w:w="46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5" w:type="dxa"/>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3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构件</w:t>
            </w:r>
          </w:p>
        </w:tc>
        <w:tc>
          <w:tcPr>
            <w:tcW w:w="72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118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《钢结构工程施工质量验收标准》（GB50205-2020）</w:t>
            </w:r>
          </w:p>
        </w:tc>
        <w:tc>
          <w:tcPr>
            <w:tcW w:w="222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单次检测最低支付费用为3000元，此费用不作下浮。如实际检测数量大于12构件，则按实结算。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4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466" w:type="dxa"/>
            <w:vMerge w:val="continue"/>
            <w:shd w:val="clear" w:color="auto" w:fill="auto"/>
            <w:vAlign w:val="center"/>
          </w:tcPr>
          <w:p>
            <w:pPr>
              <w:jc w:val="center"/>
              <w:rPr>
                <w:rFonts w:ascii="宋体" w:hAnsi="宋体" w:cs="宋体"/>
                <w:color w:val="auto"/>
                <w:szCs w:val="21"/>
                <w:highlight w:val="none"/>
              </w:rPr>
            </w:pPr>
          </w:p>
        </w:tc>
        <w:tc>
          <w:tcPr>
            <w:tcW w:w="72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钢构件防火涂层厚度检测</w:t>
            </w:r>
          </w:p>
        </w:tc>
        <w:tc>
          <w:tcPr>
            <w:tcW w:w="1305" w:type="dxa"/>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同类构件数的10%不应少于3件</w:t>
            </w:r>
          </w:p>
        </w:tc>
        <w:tc>
          <w:tcPr>
            <w:tcW w:w="46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w:t>
            </w:r>
          </w:p>
        </w:tc>
        <w:tc>
          <w:tcPr>
            <w:tcW w:w="615" w:type="dxa"/>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3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构件</w:t>
            </w:r>
          </w:p>
        </w:tc>
        <w:tc>
          <w:tcPr>
            <w:tcW w:w="72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250</w:t>
            </w:r>
          </w:p>
        </w:tc>
        <w:tc>
          <w:tcPr>
            <w:tcW w:w="118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《钢结构工程施工质量验收标准》（GB50205-2020）</w:t>
            </w:r>
          </w:p>
        </w:tc>
        <w:tc>
          <w:tcPr>
            <w:tcW w:w="2220"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单次检测最低支付费用为3000元，此费用不作下浮。如实际检测数量大于12构件，则按实结算。</w:t>
            </w:r>
          </w:p>
        </w:tc>
      </w:tr>
    </w:tbl>
    <w:p>
      <w:pPr>
        <w:rPr>
          <w:rFonts w:ascii="宋体" w:hAnsi="宋体"/>
          <w:b/>
          <w:color w:val="auto"/>
          <w:szCs w:val="21"/>
          <w:highlight w:val="none"/>
        </w:rPr>
      </w:pPr>
      <w:r>
        <w:rPr>
          <w:rFonts w:hint="eastAsia" w:ascii="宋体" w:hAnsi="宋体"/>
          <w:b/>
          <w:color w:val="auto"/>
          <w:szCs w:val="21"/>
          <w:highlight w:val="none"/>
        </w:rPr>
        <w:t>（五）市政基础设施</w:t>
      </w:r>
    </w:p>
    <w:tbl>
      <w:tblPr>
        <w:tblStyle w:val="17"/>
        <w:tblW w:w="4997" w:type="pct"/>
        <w:tblInd w:w="0" w:type="dxa"/>
        <w:tblLayout w:type="autofit"/>
        <w:tblCellMar>
          <w:top w:w="0" w:type="dxa"/>
          <w:left w:w="108" w:type="dxa"/>
          <w:bottom w:w="0" w:type="dxa"/>
          <w:right w:w="108" w:type="dxa"/>
        </w:tblCellMar>
      </w:tblPr>
      <w:tblGrid>
        <w:gridCol w:w="427"/>
        <w:gridCol w:w="631"/>
        <w:gridCol w:w="741"/>
        <w:gridCol w:w="883"/>
        <w:gridCol w:w="1507"/>
        <w:gridCol w:w="1371"/>
        <w:gridCol w:w="591"/>
        <w:gridCol w:w="427"/>
        <w:gridCol w:w="849"/>
        <w:gridCol w:w="1090"/>
      </w:tblGrid>
      <w:tr>
        <w:tblPrEx>
          <w:tblCellMar>
            <w:top w:w="0" w:type="dxa"/>
            <w:left w:w="108" w:type="dxa"/>
            <w:bottom w:w="0" w:type="dxa"/>
            <w:right w:w="108" w:type="dxa"/>
          </w:tblCellMar>
        </w:tblPrEx>
        <w:trPr>
          <w:trHeight w:val="64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检测部位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检测频率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总工程量</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检测数量</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1号厂房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基础回填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压实度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每层每50-100m²检测1点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2792.71m²*6层</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168</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点</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承台标高约1.6m</w:t>
            </w:r>
          </w:p>
        </w:tc>
      </w:tr>
      <w:tr>
        <w:tblPrEx>
          <w:tblCellMar>
            <w:top w:w="0" w:type="dxa"/>
            <w:left w:w="108" w:type="dxa"/>
            <w:bottom w:w="0" w:type="dxa"/>
            <w:right w:w="108" w:type="dxa"/>
          </w:tblCellMar>
        </w:tblPrEx>
        <w:trPr>
          <w:trHeight w:val="600" w:hRule="atLeast"/>
        </w:trPr>
        <w:tc>
          <w:tcPr>
            <w:tcW w:w="26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2号宿舍</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基础回填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压实度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每层每50-100m²检测1点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441.08m²*16层</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点</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承台标高约4.8m</w:t>
            </w:r>
          </w:p>
        </w:tc>
      </w:tr>
      <w:tr>
        <w:tblPrEx>
          <w:tblCellMar>
            <w:top w:w="0" w:type="dxa"/>
            <w:left w:w="108" w:type="dxa"/>
            <w:bottom w:w="0" w:type="dxa"/>
            <w:right w:w="108" w:type="dxa"/>
          </w:tblCellMar>
        </w:tblPrEx>
        <w:trPr>
          <w:trHeight w:val="882" w:hRule="atLeast"/>
        </w:trPr>
        <w:tc>
          <w:tcPr>
            <w:tcW w:w="26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基坑</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基坑外墙回填</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压实度</w:t>
            </w:r>
          </w:p>
        </w:tc>
        <w:tc>
          <w:tcPr>
            <w:tcW w:w="9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每层每10-20m检测1点</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127m*16层</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112</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点</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300.00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基坑深度：4.8m</w:t>
            </w:r>
          </w:p>
        </w:tc>
      </w:tr>
    </w:tbl>
    <w:p>
      <w:pPr>
        <w:rPr>
          <w:rFonts w:ascii="宋体" w:hAnsi="宋体"/>
          <w:b/>
          <w:color w:val="auto"/>
          <w:szCs w:val="21"/>
          <w:highlight w:val="none"/>
        </w:rPr>
      </w:pPr>
      <w:r>
        <w:rPr>
          <w:rFonts w:hint="eastAsia" w:ascii="宋体" w:hAnsi="宋体"/>
          <w:b/>
          <w:color w:val="auto"/>
          <w:szCs w:val="21"/>
          <w:highlight w:val="none"/>
        </w:rPr>
        <w:t>（六）室内环境</w:t>
      </w:r>
    </w:p>
    <w:tbl>
      <w:tblPr>
        <w:tblStyle w:val="17"/>
        <w:tblW w:w="4996" w:type="pct"/>
        <w:tblInd w:w="0" w:type="dxa"/>
        <w:tblLayout w:type="autofit"/>
        <w:tblCellMar>
          <w:top w:w="0" w:type="dxa"/>
          <w:left w:w="108" w:type="dxa"/>
          <w:bottom w:w="0" w:type="dxa"/>
          <w:right w:w="108" w:type="dxa"/>
        </w:tblCellMar>
      </w:tblPr>
      <w:tblGrid>
        <w:gridCol w:w="515"/>
        <w:gridCol w:w="886"/>
        <w:gridCol w:w="1138"/>
        <w:gridCol w:w="1019"/>
        <w:gridCol w:w="849"/>
        <w:gridCol w:w="849"/>
        <w:gridCol w:w="849"/>
        <w:gridCol w:w="1150"/>
        <w:gridCol w:w="1260"/>
      </w:tblGrid>
      <w:tr>
        <w:trPr>
          <w:trHeight w:val="91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检测项目</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面积（㎡）</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房间户型/用途</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房间总数（间）</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抽检数量（间）</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检测数量（点）</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单价（元/点）</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tblPrEx>
          <w:tblCellMar>
            <w:top w:w="0" w:type="dxa"/>
            <w:left w:w="108" w:type="dxa"/>
            <w:bottom w:w="0" w:type="dxa"/>
            <w:right w:w="108" w:type="dxa"/>
          </w:tblCellMar>
        </w:tblPrEx>
        <w:trPr>
          <w:trHeight w:val="15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2号宿舍</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宿舍、无障碍宿舍、套间宿舍、宿舍管理用房</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检测点数：1个</w:t>
            </w:r>
          </w:p>
        </w:tc>
      </w:tr>
      <w:tr>
        <w:tblPrEx>
          <w:tblCellMar>
            <w:top w:w="0" w:type="dxa"/>
            <w:left w:w="108" w:type="dxa"/>
            <w:bottom w:w="0" w:type="dxa"/>
            <w:right w:w="108" w:type="dxa"/>
          </w:tblCellMar>
        </w:tblPrEx>
        <w:trPr>
          <w:trHeight w:val="94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≥100，＜500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餐厅、公共活动空间</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3200.00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检测点数：不少于3个</w:t>
            </w:r>
          </w:p>
        </w:tc>
      </w:tr>
    </w:tbl>
    <w:p>
      <w:pPr>
        <w:rPr>
          <w:rFonts w:ascii="宋体" w:hAnsi="宋体"/>
          <w:b/>
          <w:color w:val="auto"/>
          <w:szCs w:val="21"/>
          <w:highlight w:val="none"/>
        </w:rPr>
      </w:pPr>
      <w:r>
        <w:rPr>
          <w:rFonts w:hint="eastAsia" w:ascii="宋体" w:hAnsi="宋体"/>
          <w:b/>
          <w:color w:val="auto"/>
          <w:szCs w:val="21"/>
          <w:highlight w:val="none"/>
        </w:rPr>
        <w:t>（七）防雷检测</w:t>
      </w:r>
    </w:p>
    <w:tbl>
      <w:tblPr>
        <w:tblStyle w:val="17"/>
        <w:tblW w:w="4998" w:type="pct"/>
        <w:tblInd w:w="0" w:type="dxa"/>
        <w:tblLayout w:type="autofit"/>
        <w:tblCellMar>
          <w:top w:w="0" w:type="dxa"/>
          <w:left w:w="108" w:type="dxa"/>
          <w:bottom w:w="0" w:type="dxa"/>
          <w:right w:w="108" w:type="dxa"/>
        </w:tblCellMar>
      </w:tblPr>
      <w:tblGrid>
        <w:gridCol w:w="857"/>
        <w:gridCol w:w="2318"/>
        <w:gridCol w:w="1701"/>
        <w:gridCol w:w="1866"/>
        <w:gridCol w:w="1777"/>
      </w:tblGrid>
      <w:tr>
        <w:tblPrEx>
          <w:tblCellMar>
            <w:top w:w="0" w:type="dxa"/>
            <w:left w:w="108" w:type="dxa"/>
            <w:bottom w:w="0" w:type="dxa"/>
            <w:right w:w="108" w:type="dxa"/>
          </w:tblCellMar>
        </w:tblPrEx>
        <w:trPr>
          <w:trHeight w:val="79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建筑面积（㎡）</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CellMar>
            <w:top w:w="0" w:type="dxa"/>
            <w:left w:w="108" w:type="dxa"/>
            <w:bottom w:w="0" w:type="dxa"/>
            <w:right w:w="108" w:type="dxa"/>
          </w:tblCellMar>
        </w:tblPrEx>
        <w:trPr>
          <w:trHeight w:val="94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1号厂房</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22530.02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94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2号宿舍楼</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3721.4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r>
    </w:tbl>
    <w:p>
      <w:pPr>
        <w:rPr>
          <w:rFonts w:ascii="宋体" w:hAnsi="宋体"/>
          <w:b/>
          <w:color w:val="auto"/>
          <w:sz w:val="21"/>
          <w:szCs w:val="21"/>
          <w:highlight w:val="none"/>
        </w:rPr>
      </w:pPr>
      <w:r>
        <w:rPr>
          <w:rFonts w:hint="eastAsia" w:ascii="宋体" w:hAnsi="宋体"/>
          <w:b/>
          <w:color w:val="auto"/>
          <w:sz w:val="21"/>
          <w:szCs w:val="21"/>
          <w:highlight w:val="none"/>
        </w:rPr>
        <w:t>（八）消防检测</w:t>
      </w:r>
    </w:p>
    <w:tbl>
      <w:tblPr>
        <w:tblStyle w:val="17"/>
        <w:tblW w:w="4998" w:type="pct"/>
        <w:tblInd w:w="0" w:type="dxa"/>
        <w:tblLayout w:type="autofit"/>
        <w:tblCellMar>
          <w:top w:w="0" w:type="dxa"/>
          <w:left w:w="108" w:type="dxa"/>
          <w:bottom w:w="0" w:type="dxa"/>
          <w:right w:w="108" w:type="dxa"/>
        </w:tblCellMar>
      </w:tblPr>
      <w:tblGrid>
        <w:gridCol w:w="968"/>
        <w:gridCol w:w="2219"/>
        <w:gridCol w:w="1641"/>
        <w:gridCol w:w="1892"/>
        <w:gridCol w:w="1799"/>
      </w:tblGrid>
      <w:tr>
        <w:tblPrEx>
          <w:tblCellMar>
            <w:top w:w="0" w:type="dxa"/>
            <w:left w:w="108" w:type="dxa"/>
            <w:bottom w:w="0" w:type="dxa"/>
            <w:right w:w="108" w:type="dxa"/>
          </w:tblCellMar>
        </w:tblPrEx>
        <w:trPr>
          <w:trHeight w:val="735"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建筑面积</w:t>
            </w:r>
            <w:r>
              <w:rPr>
                <w:rFonts w:hint="eastAsia" w:ascii="宋体" w:hAnsi="宋体" w:cs="宋体"/>
                <w:b/>
                <w:bCs/>
                <w:color w:val="auto"/>
                <w:kern w:val="0"/>
                <w:sz w:val="21"/>
                <w:szCs w:val="21"/>
                <w:highlight w:val="none"/>
                <w:lang w:bidi="ar"/>
              </w:rPr>
              <w:br w:type="textWrapping"/>
            </w:r>
            <w:r>
              <w:rPr>
                <w:rFonts w:hint="eastAsia" w:ascii="宋体" w:hAnsi="宋体" w:cs="宋体"/>
                <w:b/>
                <w:bCs/>
                <w:color w:val="auto"/>
                <w:kern w:val="0"/>
                <w:sz w:val="21"/>
                <w:szCs w:val="21"/>
                <w:highlight w:val="none"/>
                <w:lang w:bidi="ar"/>
              </w:rPr>
              <w:t>（㎡）</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w:t>
            </w:r>
            <w:r>
              <w:rPr>
                <w:rFonts w:hint="eastAsia" w:ascii="宋体" w:hAnsi="宋体" w:cs="宋体"/>
                <w:b/>
                <w:bCs/>
                <w:color w:val="auto"/>
                <w:kern w:val="0"/>
                <w:sz w:val="21"/>
                <w:szCs w:val="21"/>
                <w:highlight w:val="none"/>
                <w:lang w:bidi="ar"/>
              </w:rPr>
              <w:br w:type="textWrapping"/>
            </w:r>
            <w:r>
              <w:rPr>
                <w:rFonts w:hint="eastAsia" w:ascii="宋体" w:hAnsi="宋体" w:cs="宋体"/>
                <w:b/>
                <w:bCs/>
                <w:color w:val="auto"/>
                <w:kern w:val="0"/>
                <w:sz w:val="21"/>
                <w:szCs w:val="21"/>
                <w:highlight w:val="none"/>
                <w:lang w:bidi="ar"/>
              </w:rPr>
              <w:t>（元/㎡）</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CellMar>
            <w:top w:w="0" w:type="dxa"/>
            <w:left w:w="108" w:type="dxa"/>
            <w:bottom w:w="0" w:type="dxa"/>
            <w:right w:w="108" w:type="dxa"/>
          </w:tblCellMar>
        </w:tblPrEx>
        <w:trPr>
          <w:trHeight w:val="102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1号厂房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22530.02</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r>
      <w:tr>
        <w:tblPrEx>
          <w:tblCellMar>
            <w:top w:w="0" w:type="dxa"/>
            <w:left w:w="108" w:type="dxa"/>
            <w:bottom w:w="0" w:type="dxa"/>
            <w:right w:w="108" w:type="dxa"/>
          </w:tblCellMar>
        </w:tblPrEx>
        <w:trPr>
          <w:trHeight w:val="102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1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2号宿舍楼</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3721.4</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1"/>
                <w:szCs w:val="21"/>
                <w:highlight w:val="none"/>
              </w:rPr>
            </w:pPr>
          </w:p>
        </w:tc>
      </w:tr>
    </w:tbl>
    <w:p>
      <w:pPr>
        <w:rPr>
          <w:rFonts w:ascii="宋体" w:hAnsi="宋体"/>
          <w:b/>
          <w:color w:val="auto"/>
          <w:szCs w:val="21"/>
          <w:highlight w:val="none"/>
        </w:rPr>
      </w:pPr>
      <w:r>
        <w:rPr>
          <w:rFonts w:hint="eastAsia" w:ascii="宋体" w:hAnsi="宋体"/>
          <w:b/>
          <w:color w:val="auto"/>
          <w:szCs w:val="21"/>
          <w:highlight w:val="none"/>
        </w:rPr>
        <w:t>（九）原材料检测</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476"/>
        <w:gridCol w:w="1707"/>
        <w:gridCol w:w="2378"/>
        <w:gridCol w:w="676"/>
        <w:gridCol w:w="504"/>
        <w:gridCol w:w="850"/>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630"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检测项目类别</w:t>
            </w:r>
          </w:p>
        </w:tc>
        <w:tc>
          <w:tcPr>
            <w:tcW w:w="1041"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样品种类</w:t>
            </w:r>
          </w:p>
        </w:tc>
        <w:tc>
          <w:tcPr>
            <w:tcW w:w="143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检测项目参数（元）</w:t>
            </w:r>
          </w:p>
        </w:tc>
        <w:tc>
          <w:tcPr>
            <w:tcW w:w="437"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检测数量</w:t>
            </w:r>
          </w:p>
        </w:tc>
        <w:tc>
          <w:tcPr>
            <w:tcW w:w="336"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单位</w:t>
            </w:r>
          </w:p>
        </w:tc>
        <w:tc>
          <w:tcPr>
            <w:tcW w:w="493"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单价（元）</w:t>
            </w:r>
          </w:p>
        </w:tc>
        <w:tc>
          <w:tcPr>
            <w:tcW w:w="321"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一</w:t>
            </w:r>
          </w:p>
        </w:tc>
        <w:tc>
          <w:tcPr>
            <w:tcW w:w="4697" w:type="pct"/>
            <w:gridSpan w:val="7"/>
            <w:shd w:val="clear" w:color="auto" w:fill="auto"/>
            <w:vAlign w:val="center"/>
          </w:tcPr>
          <w:p>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水泥</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硅酸盐水泥、普通硅酸盐水泥</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比表面积(200)、用水量(100)、凝结时间（100）、安定性（100）、强度（400）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both"/>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复合硅酸盐水泥、矿渣硅酸盐水泥、火山灰质硅酸盐水泥、粉煤灰硅酸盐水泥、白色硅酸盐水泥、砌筑水泥</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细度(150)、用水量(100)、凝结时间（100）、安定性（100）、强度（400）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建筑用砂</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河砂</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表观密度（100）、堆积密度（100）、紧密密度（100）、含泥量（150）、泥块含量（150）、颗粒级配（200）、氯离子含量（300）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建筑用石</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表观密度（100）、堆积密度（100）、紧密密度（100）、含泥量（150）、泥块含量（150）、颗粒级配（200）、针片状颗粒含量（200）、压碎指标（300）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钢材及钢筋</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热轧光圆钢筋、热轧带肋钢筋、冷轧带肋钢筋</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拉伸、弯曲（反向弯曲）（150）、重量偏差（50）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电弧焊、电渣压力焊、埋弧压力焊、搭接焊、帮条焊</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拉伸（100）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钢筋机械连接</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抗拉强度</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机械连接</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钢管</w:t>
            </w: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直缝电焊钢管、结构用无缝钢管、输送流体用无缝钢管</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拉伸、弯曲（500）、压扁（500）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镀锌层检测：</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尺寸（100）、外观(100)、镀锌层重量（300）、镀锌层均匀性（200）、镀锌层的附着力（200）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混凝土外加剂</w:t>
            </w: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混凝土外加剂</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水剂：</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减水率(200)、泌水率比（600）、凝结时间差(500)、抗压强度比(800)、含固量(200)、氯离子含量（300）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粉剂：</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减水率(200)、泌水率比（600）、凝结时间差(500)、抗压强度比(800)、含水率（150）、氯离子含量（300）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混凝土膨胀剂</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细度（150）、凝结时间（200）、限制膨胀率（1000）、抗压强度（300）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混凝土掺合料</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粉煤灰</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需水量比（200）、含水量（150）、细度（150）、三氧化硫（300）、烧失量（300）、强度活性指数（800）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矿渣粉</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比表面积（350）、含水量（150）、活性指数（800）、三氧化硫（300）、烧失量（300）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砂浆</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普通砂浆试块</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抗压强度</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w:t>
            </w: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混凝土抗压</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混凝土抗渗</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混凝土配合比</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墙体材料</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混凝土实心砖</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抗压强度（300）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蒸压加气混凝土砌块、蒸压泡沫混凝土砌块</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抗压强度（500）、干密度（300）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路面砖</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抗压强度（抗折强度）（300）、吸水率（200）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陶瓷砖</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薄型陶瓷砖、外墙砖</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尺寸偏差（300）、表面质量（300）、吸水率（300）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地砖、内墙砖</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尺寸偏差（300）、表面质量（300）、吸水率（300）、破坏强度（400）、断裂模数（200）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石材</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板材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吸水率（300）、体积密度（300）、干燥（水饱和）压缩强度（500）、干燥（水饱和）弯曲强度（500）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板石</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吸水率（300）、弯曲强度（破坏荷载）（500）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14</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预应力钢绞线</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预应力钢绞线</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规定非比例延伸力、整根钢绞线最大力、最大力总伸长率</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预应力筋用锚具、夹具和连接器</w:t>
            </w: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锚具、夹具、连接器</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锚固效率系数、组装件总应变</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孔</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硬度（洛氏、布氏、维氏）（50/个）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建筑涂料</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溶剂型外墙涂料</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容器中状态（100）、施工性（100）、耐洗刷性（250）、耐水性（200）、耐碱性（200）、干燥时间（200）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合成树脂乳液砂壁状建筑涂料</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主涂料：容器中状态（100）、施工性（100）、干燥时间（200）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涂层体系：耐碱性（200）、耐水性（200）、粘结强度（标准状态）（500）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面涂料：容器中状态（100）、施工性（100）、干燥时间（200）、耐碱性（200）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建筑室内腻子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容器中状态（100）、施工性（100）、耐水性（200）、打磨性（250）、粘结强度（标准状态）（500）、干燥时间（200）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建筑外墙用腻子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容器中状态（100）、施工性（100）、耐水性（200）、耐碱性（200）、打磨性（弹性不检）（250）、粘结强度（标准状态）（500）、干燥时间（200）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17</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防水涂料</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聚氨酯防水涂料</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固体含量（200）、拉伸强度（无处理）、伸长率（无处理）(500)、不透水性(300)、撕裂强度(300)、粘结强度（500）、表干时间、实干时间(100)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聚合物水泥防水涂料</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固体含量（200）、拉伸强度（无处理）、伸长率（无处理）(500)、不透水性(300)、粘结强度（无处理）（500）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聚合物乳液防水涂料</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固体含量（200）、拉伸强度（无处理）、伸长率（无处理）(500)、不透水性(300)、干燥时间(100)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18</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防水卷材</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湿铺防水卷材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纵横向拉力、延伸率（700）、不透水性（300）、耐热性（300）、纵横向撕裂强度（600）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建筑幕墙</w:t>
            </w:r>
          </w:p>
        </w:tc>
        <w:tc>
          <w:tcPr>
            <w:tcW w:w="1041"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建筑幕墙</w:t>
            </w:r>
          </w:p>
        </w:tc>
        <w:tc>
          <w:tcPr>
            <w:tcW w:w="1436" w:type="pct"/>
            <w:vMerge w:val="restar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气密性能、水密性能、抗风压性能、层间变形性能</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27200</w:t>
            </w:r>
          </w:p>
        </w:tc>
        <w:tc>
          <w:tcPr>
            <w:tcW w:w="321" w:type="pct"/>
            <w:vMerge w:val="restart"/>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vMerge w:val="continue"/>
            <w:shd w:val="clear" w:color="auto" w:fill="auto"/>
            <w:vAlign w:val="center"/>
          </w:tcPr>
          <w:p>
            <w:pPr>
              <w:jc w:val="center"/>
              <w:rPr>
                <w:rFonts w:ascii="宋体" w:hAnsi="宋体" w:cs="宋体"/>
                <w:color w:val="auto"/>
                <w:sz w:val="21"/>
                <w:szCs w:val="21"/>
                <w:highlight w:val="none"/>
              </w:rPr>
            </w:pPr>
          </w:p>
        </w:tc>
        <w:tc>
          <w:tcPr>
            <w:tcW w:w="1436" w:type="pct"/>
            <w:vMerge w:val="continue"/>
            <w:shd w:val="clear" w:color="auto" w:fill="auto"/>
            <w:vAlign w:val="center"/>
          </w:tcPr>
          <w:p>
            <w:pPr>
              <w:rPr>
                <w:rFonts w:ascii="宋体" w:hAnsi="宋体" w:cs="宋体"/>
                <w:color w:val="auto"/>
                <w:sz w:val="21"/>
                <w:szCs w:val="21"/>
                <w:highlight w:val="none"/>
              </w:rPr>
            </w:pP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36200</w:t>
            </w:r>
          </w:p>
        </w:tc>
        <w:tc>
          <w:tcPr>
            <w:tcW w:w="321" w:type="pct"/>
            <w:vMerge w:val="continue"/>
            <w:shd w:val="clear" w:color="auto" w:fill="auto"/>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建筑外窗</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气密性能、水密性能、抗风压性能</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件</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4000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21</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铝合金型材</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阳极氧化型材、喷粉型材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尺寸（厚度）（100）、膜厚（200）、基材硬度（200）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电泳涂漆型材、喷漆型材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尺寸（厚度）（100）、膜厚（200）、涂膜硬度（200）、基材硬度（200）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700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铝单板</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涂层厚度（200）、涂层干膜硬度（200）、涂层附着性（300）、抗拉强度、伸长率（500）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建筑用密封胶</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建筑用硅酮结构密封胶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附件与密封胶相容性3000）</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基材与密封胶粘结性1500）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二</w:t>
            </w:r>
          </w:p>
        </w:tc>
        <w:tc>
          <w:tcPr>
            <w:tcW w:w="4697" w:type="pct"/>
            <w:gridSpan w:val="7"/>
            <w:shd w:val="clear" w:color="auto" w:fill="auto"/>
            <w:vAlign w:val="center"/>
          </w:tcPr>
          <w:p>
            <w:pPr>
              <w:widowControl/>
              <w:jc w:val="both"/>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水电材料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电线电缆</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额定电压450/750V及以下橡皮绝缘电缆、聚氯乙烯绝缘电缆、</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结构尺寸(80)、标志检验（50）、导体电阻（150）、不延燃试验（1000）、电压试验（150）、绝缘电阻（150）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开关插座</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面板开关</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温升(200)、电气间隙（100）、爬电距离(100)、 防触电保护（150）、防潮（300）、绝缘电阻（150）、工频耐压（150）、标志检测 （50）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2300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插头插座</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温升(200)、电气间隙（100）、爬电距离(100)、 防触电保护（150）、防潮（300）、绝缘电阻（150）、工频耐压（150）、接地措施（150）、标志检测 （50）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低压电器</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断路器</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时间-（过）电流特性试验(600)、温升试验(200)、功耗测量（200）、耐潮（300）、绝缘电阻（150）、介电性能(500)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阀门管件产</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品</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阀门</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密封性能400、上密封试验400、强度试验400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1200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管材管件</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建筑排水用硬聚氯乙烯(PVC-U)管材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外观（50）、尺寸（100）、维卡软化温度（250）、纵向回缩率（200）、拉伸屈服强度及断裂伸长率（400）、落锤冲击试验（300）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建筑排水用硬聚氯乙烯(PVC-U)管件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外观（50）、尺寸（100）、维卡软化温度（250）、烘箱试验（200）、坠落试验（200）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冷热水用聚丙烯（PP-R）管材</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外观（50）、尺寸（100）、纵向回缩率（200）、简支梁冲击试验（200）、液压试验（20℃ 1h）（1000）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1550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冷热水用聚丙烯（PP-R）管件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外观（50）、尺寸（100）、液压试验（20℃ 1h）（1000）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电工套管线槽及配件</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PVC线管</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外观（50）、尺寸（100）、冲击性能（300）、弯曲性能（200）、绝缘强度（300）、绝缘电阻（200）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1150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PVC线管配件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外观（50）、耐热性能（100）、跌落性能（200）、绝缘强度（300）、绝缘电阻（200）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850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PVC线槽</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外观（50）、尺寸（100）、冲击性能（300）、耐电压（300）、绝缘电阻（200）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950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PVC线槽配件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外观（50）、耐热性能（200）、冲击性能（300）、耐电压（300）、绝缘电阻（200）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1050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胶粘剂</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PVC-U胶粘剂</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溶解性（100）、粘度（300）、粘结强度（300）、水压爆破强度（600）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1300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三</w:t>
            </w:r>
          </w:p>
        </w:tc>
        <w:tc>
          <w:tcPr>
            <w:tcW w:w="4697" w:type="pct"/>
            <w:gridSpan w:val="7"/>
            <w:shd w:val="clear" w:color="auto" w:fill="auto"/>
            <w:vAlign w:val="center"/>
          </w:tcPr>
          <w:p>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安全防护类用品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630"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钢管脚手架扣件GB15831-2006</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直角</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抗滑（200/个）、抗破坏（200/个）、扭转刚度（100/个）、扭力矩试压（100/个）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旋转</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抗滑（200/个）、抗破坏（200/个）、扭力矩试压（100/个）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500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630" w:type="pct"/>
            <w:vMerge w:val="continue"/>
            <w:shd w:val="clear" w:color="auto" w:fill="auto"/>
            <w:vAlign w:val="center"/>
          </w:tcPr>
          <w:p>
            <w:pPr>
              <w:jc w:val="center"/>
              <w:rPr>
                <w:rFonts w:ascii="宋体" w:hAnsi="宋体" w:cs="宋体"/>
                <w:color w:val="auto"/>
                <w:sz w:val="21"/>
                <w:szCs w:val="21"/>
                <w:highlight w:val="none"/>
              </w:rPr>
            </w:pP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对接</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抗拉性能（100/个）、扭力矩试压（100/个）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1672" w:type="pct"/>
            <w:gridSpan w:val="2"/>
            <w:vMerge w:val="restar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碗扣式钢管</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脚手架扣件</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上碗扣强度（220/个）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1672" w:type="pct"/>
            <w:gridSpan w:val="2"/>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下碗扣焊接强度（220/个）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1672" w:type="pct"/>
            <w:gridSpan w:val="2"/>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横杆接头强度（220/个）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1672" w:type="pct"/>
            <w:gridSpan w:val="2"/>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横杆接头焊接强度（220/个）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220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1672" w:type="pct"/>
            <w:gridSpan w:val="2"/>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可调底座抗压强度（100/个）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02" w:type="pct"/>
            <w:vMerge w:val="continue"/>
            <w:shd w:val="clear" w:color="auto" w:fill="auto"/>
            <w:vAlign w:val="center"/>
          </w:tcPr>
          <w:p>
            <w:pPr>
              <w:jc w:val="center"/>
              <w:rPr>
                <w:rFonts w:ascii="宋体" w:hAnsi="宋体" w:cs="宋体"/>
                <w:color w:val="auto"/>
                <w:sz w:val="21"/>
                <w:szCs w:val="21"/>
                <w:highlight w:val="none"/>
              </w:rPr>
            </w:pPr>
          </w:p>
        </w:tc>
        <w:tc>
          <w:tcPr>
            <w:tcW w:w="1672" w:type="pct"/>
            <w:gridSpan w:val="2"/>
            <w:vMerge w:val="continue"/>
            <w:shd w:val="clear" w:color="auto" w:fill="auto"/>
            <w:vAlign w:val="center"/>
          </w:tcPr>
          <w:p>
            <w:pPr>
              <w:jc w:val="center"/>
              <w:rPr>
                <w:rFonts w:ascii="宋体" w:hAnsi="宋体" w:cs="宋体"/>
                <w:color w:val="auto"/>
                <w:sz w:val="21"/>
                <w:szCs w:val="21"/>
                <w:highlight w:val="none"/>
              </w:rPr>
            </w:pP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可调托撑抗压强度（100/个）</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个</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安全网</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密目式安全网、安全立网</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耐贯穿性（800）、耐冲击性（800）、阻燃性能（400）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2000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 w:type="pct"/>
            <w:shd w:val="clear" w:color="auto" w:fill="auto"/>
            <w:vAlign w:val="center"/>
          </w:tcPr>
          <w:p>
            <w:pPr>
              <w:widowControl/>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四</w:t>
            </w:r>
          </w:p>
        </w:tc>
        <w:tc>
          <w:tcPr>
            <w:tcW w:w="4697" w:type="pct"/>
            <w:gridSpan w:val="7"/>
            <w:shd w:val="clear" w:color="auto" w:fill="auto"/>
            <w:vAlign w:val="center"/>
          </w:tcPr>
          <w:p>
            <w:pPr>
              <w:widowControl/>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建筑材料导热系数</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蒸压加气混凝土砌块、绝热用挤塑聚苯乙烯泡沫塑料、玻化微珠无机保温砂浆、蒸压粉煤灰砖、混凝土实心砖、绝热用岩棉、矿渣棉及其制品、泡沫玻璃绝热制品、膨胀珍珠岩绝热制品等</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导热系数</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1600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建筑材料及制品燃烧性能分级</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燃烧性能分级</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4900</w:t>
            </w:r>
          </w:p>
        </w:tc>
        <w:tc>
          <w:tcPr>
            <w:tcW w:w="321" w:type="pct"/>
            <w:shd w:val="clear" w:color="auto" w:fill="auto"/>
            <w:vAlign w:val="center"/>
          </w:tcPr>
          <w:p>
            <w:pPr>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1672" w:type="pct"/>
            <w:gridSpan w:val="2"/>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挤塑板</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阻燃性（B2E）（1000）、压缩强度（400）、表观密度/密度（200）、吸水率（300）</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1900</w:t>
            </w:r>
          </w:p>
        </w:tc>
        <w:tc>
          <w:tcPr>
            <w:tcW w:w="321" w:type="pct"/>
            <w:shd w:val="clear" w:color="auto" w:fill="auto"/>
            <w:noWrap/>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02"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4</w:t>
            </w:r>
          </w:p>
        </w:tc>
        <w:tc>
          <w:tcPr>
            <w:tcW w:w="630"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建筑玻璃</w:t>
            </w:r>
          </w:p>
        </w:tc>
        <w:tc>
          <w:tcPr>
            <w:tcW w:w="1041"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单片玻璃</w:t>
            </w:r>
          </w:p>
        </w:tc>
        <w:tc>
          <w:tcPr>
            <w:tcW w:w="1436" w:type="pct"/>
            <w:shd w:val="clear" w:color="auto" w:fill="auto"/>
            <w:vAlign w:val="center"/>
          </w:tcPr>
          <w:p>
            <w:pPr>
              <w:widowControl/>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可见光透射比、遮阳系数、传热系数、可见光反射比、太阳光直接透射比、太阳光直接反射比、太阳能总透射比、紫外线透射比、紫外线反射比、吸收比</w:t>
            </w:r>
          </w:p>
        </w:tc>
        <w:tc>
          <w:tcPr>
            <w:tcW w:w="437"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2</w:t>
            </w:r>
          </w:p>
        </w:tc>
        <w:tc>
          <w:tcPr>
            <w:tcW w:w="336"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组</w:t>
            </w:r>
          </w:p>
        </w:tc>
        <w:tc>
          <w:tcPr>
            <w:tcW w:w="493" w:type="pct"/>
            <w:shd w:val="clear" w:color="auto" w:fill="auto"/>
            <w:vAlign w:val="center"/>
          </w:tcPr>
          <w:p>
            <w:pPr>
              <w:widowControl/>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3000</w:t>
            </w:r>
          </w:p>
        </w:tc>
        <w:tc>
          <w:tcPr>
            <w:tcW w:w="321" w:type="pct"/>
            <w:shd w:val="clear" w:color="auto" w:fill="auto"/>
            <w:vAlign w:val="center"/>
          </w:tcPr>
          <w:p>
            <w:pPr>
              <w:jc w:val="center"/>
              <w:rPr>
                <w:rFonts w:ascii="宋体" w:hAnsi="宋体" w:cs="宋体"/>
                <w:color w:val="auto"/>
                <w:sz w:val="21"/>
                <w:szCs w:val="21"/>
                <w:highlight w:val="none"/>
              </w:rPr>
            </w:pPr>
          </w:p>
        </w:tc>
      </w:tr>
    </w:tbl>
    <w:p>
      <w:pPr>
        <w:ind w:firstLine="422"/>
        <w:rPr>
          <w:rFonts w:ascii="宋体" w:hAnsi="宋体"/>
          <w:b/>
          <w:color w:val="auto"/>
          <w:szCs w:val="21"/>
          <w:highlight w:val="none"/>
        </w:rPr>
      </w:pPr>
    </w:p>
    <w:p>
      <w:pPr>
        <w:ind w:firstLine="422"/>
        <w:rPr>
          <w:rFonts w:ascii="宋体" w:hAnsi="宋体"/>
          <w:b/>
          <w:color w:val="auto"/>
          <w:szCs w:val="21"/>
          <w:highlight w:val="none"/>
        </w:rPr>
      </w:pPr>
      <w:r>
        <w:rPr>
          <w:rFonts w:hint="eastAsia" w:ascii="宋体" w:hAnsi="宋体"/>
          <w:b/>
          <w:color w:val="auto"/>
          <w:szCs w:val="21"/>
          <w:highlight w:val="none"/>
        </w:rPr>
        <w:t>三、检测标准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检测标准应符合国家、省、市及行业主管部门颁发的有效的标准文件、规范文件及规程文件。</w:t>
      </w:r>
    </w:p>
    <w:p>
      <w:pPr>
        <w:ind w:firstLine="420" w:firstLineChars="200"/>
        <w:rPr>
          <w:rFonts w:ascii="宋体" w:hAnsi="宋体"/>
          <w:bCs/>
          <w:color w:val="auto"/>
          <w:szCs w:val="21"/>
          <w:highlight w:val="none"/>
        </w:rPr>
      </w:pPr>
    </w:p>
    <w:p>
      <w:pPr>
        <w:adjustRightInd w:val="0"/>
        <w:ind w:firstLine="422"/>
        <w:rPr>
          <w:rFonts w:ascii="宋体" w:hAnsi="宋体"/>
          <w:b/>
          <w:color w:val="auto"/>
          <w:szCs w:val="21"/>
          <w:highlight w:val="none"/>
        </w:rPr>
      </w:pPr>
      <w:r>
        <w:rPr>
          <w:rFonts w:hint="eastAsia" w:ascii="宋体" w:hAnsi="宋体"/>
          <w:b/>
          <w:color w:val="auto"/>
          <w:szCs w:val="21"/>
          <w:highlight w:val="none"/>
        </w:rPr>
        <w:t>四、检测报告的交付</w:t>
      </w:r>
    </w:p>
    <w:bookmarkEnd w:id="226"/>
    <w:bookmarkEnd w:id="227"/>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1、成交人交付检测报告数量为一式肆份，当采购人对检测报告份数有特殊需要时，可另行约定。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2、成交人应于到现场检测或现场取样后10个工作日内完成检测，并于完成检测后10个工作日内出具检测报告。</w:t>
      </w:r>
    </w:p>
    <w:p>
      <w:pPr>
        <w:ind w:firstLine="420" w:firstLineChars="200"/>
        <w:rPr>
          <w:rFonts w:ascii="宋体" w:hAnsi="宋体"/>
          <w:bCs/>
          <w:color w:val="auto"/>
          <w:szCs w:val="21"/>
          <w:highlight w:val="none"/>
        </w:rPr>
      </w:pPr>
    </w:p>
    <w:p>
      <w:pPr>
        <w:adjustRightInd w:val="0"/>
        <w:ind w:firstLine="422"/>
        <w:rPr>
          <w:rFonts w:ascii="宋体" w:hAnsi="宋体"/>
          <w:b/>
          <w:color w:val="auto"/>
          <w:szCs w:val="21"/>
          <w:highlight w:val="none"/>
        </w:rPr>
      </w:pPr>
      <w:r>
        <w:rPr>
          <w:rFonts w:hint="eastAsia" w:ascii="宋体" w:hAnsi="宋体"/>
          <w:b/>
          <w:color w:val="auto"/>
          <w:szCs w:val="21"/>
          <w:highlight w:val="none"/>
        </w:rPr>
        <w:t>五、检测样品的运输</w:t>
      </w:r>
    </w:p>
    <w:p>
      <w:pPr>
        <w:spacing w:line="360" w:lineRule="auto"/>
        <w:ind w:firstLine="420" w:firstLineChars="200"/>
        <w:rPr>
          <w:rFonts w:ascii="宋体" w:hAnsi="宋体"/>
          <w:bCs/>
          <w:color w:val="auto"/>
          <w:szCs w:val="21"/>
          <w:highlight w:val="none"/>
          <w:lang w:val="zh-CN"/>
        </w:rPr>
      </w:pPr>
      <w:r>
        <w:rPr>
          <w:rFonts w:hint="eastAsia" w:ascii="宋体" w:hAnsi="宋体"/>
          <w:bCs/>
          <w:color w:val="auto"/>
          <w:szCs w:val="21"/>
          <w:highlight w:val="none"/>
        </w:rPr>
        <w:t>成交人根据检测项目的需要到工程现场检测或工程现场收取检测样品（原材料除外），并由成交人承担因此产生的相关费用。成交人按有关规定对检测后的样品进行留样。</w:t>
      </w:r>
    </w:p>
    <w:p>
      <w:pPr>
        <w:ind w:firstLine="422" w:firstLineChars="2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en-US"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p>
    <w:p>
      <w:pPr>
        <w:ind w:firstLine="422"/>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pStyle w:val="3"/>
        <w:numPr>
          <w:ilvl w:val="0"/>
          <w:numId w:val="1"/>
        </w:numPr>
        <w:ind w:firstLine="602"/>
        <w:rPr>
          <w:color w:val="auto"/>
          <w:highlight w:val="none"/>
        </w:rPr>
      </w:pPr>
      <w:bookmarkStart w:id="228" w:name="_Toc29929"/>
      <w:r>
        <w:rPr>
          <w:rFonts w:hint="eastAsia"/>
          <w:color w:val="auto"/>
          <w:highlight w:val="none"/>
        </w:rPr>
        <w:t>详细评审</w:t>
      </w:r>
      <w:bookmarkEnd w:id="228"/>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16"/>
              <w:spacing w:beforeAutospacing="0" w:afterAutospacing="0"/>
              <w:jc w:val="center"/>
              <w:rPr>
                <w:rFonts w:ascii="宋体" w:hAnsi="宋体" w:cs="宋体"/>
                <w:color w:val="auto"/>
                <w:kern w:val="2"/>
                <w:sz w:val="21"/>
                <w:szCs w:val="21"/>
                <w:highlight w:val="none"/>
              </w:rPr>
            </w:pPr>
            <w:r>
              <w:rPr>
                <w:rFonts w:hint="eastAsia" w:ascii="宋体" w:hAnsi="宋体" w:cs="宋体"/>
                <w:color w:val="auto"/>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jc w:val="center"/>
              <w:rPr>
                <w:rFonts w:ascii="宋体" w:hAnsi="宋体" w:cs="宋体"/>
                <w:color w:val="auto"/>
                <w:kern w:val="2"/>
                <w:sz w:val="21"/>
                <w:szCs w:val="21"/>
                <w:highlight w:val="none"/>
              </w:rPr>
            </w:pPr>
            <w:r>
              <w:rPr>
                <w:rFonts w:hint="eastAsia" w:ascii="宋体" w:hAnsi="宋体" w:cs="宋体"/>
                <w:color w:val="auto"/>
                <w:sz w:val="21"/>
                <w:szCs w:val="21"/>
                <w:highlight w:val="none"/>
              </w:rPr>
              <w:t>5分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ind w:left="1"/>
              <w:jc w:val="both"/>
              <w:rPr>
                <w:rFonts w:ascii="宋体" w:hAnsi="宋体" w:cs="宋体"/>
                <w:bCs/>
                <w:color w:val="auto"/>
                <w:sz w:val="21"/>
                <w:szCs w:val="21"/>
                <w:highlight w:val="none"/>
                <w:lang w:val="zh-CN"/>
              </w:rPr>
            </w:pPr>
            <w:r>
              <w:rPr>
                <w:rFonts w:hint="eastAsia" w:ascii="宋体" w:hAnsi="宋体" w:cs="宋体"/>
                <w:bCs/>
                <w:color w:val="auto"/>
                <w:sz w:val="21"/>
                <w:szCs w:val="21"/>
                <w:highlight w:val="none"/>
              </w:rPr>
              <w:t>供应商自2021年1月1日以来承接</w:t>
            </w:r>
            <w:r>
              <w:rPr>
                <w:rFonts w:hint="eastAsia" w:ascii="宋体" w:hAnsi="宋体" w:cs="宋体"/>
                <w:bCs/>
                <w:color w:val="auto"/>
                <w:sz w:val="21"/>
                <w:szCs w:val="21"/>
                <w:highlight w:val="none"/>
                <w:lang w:val="zh-CN"/>
              </w:rPr>
              <w:t>的</w:t>
            </w:r>
            <w:r>
              <w:rPr>
                <w:rFonts w:hint="eastAsia" w:ascii="宋体" w:hAnsi="宋体" w:cs="宋体"/>
                <w:bCs/>
                <w:color w:val="auto"/>
                <w:sz w:val="21"/>
                <w:szCs w:val="21"/>
                <w:highlight w:val="none"/>
              </w:rPr>
              <w:t>检测</w:t>
            </w:r>
            <w:r>
              <w:rPr>
                <w:rFonts w:hint="eastAsia" w:ascii="宋体" w:hAnsi="宋体" w:cs="宋体"/>
                <w:bCs/>
                <w:color w:val="auto"/>
                <w:sz w:val="21"/>
                <w:szCs w:val="21"/>
                <w:highlight w:val="none"/>
                <w:lang w:val="zh-CN"/>
              </w:rPr>
              <w:t>类项目业绩，每提供一个合同业绩得</w:t>
            </w:r>
            <w:r>
              <w:rPr>
                <w:rFonts w:hint="eastAsia" w:ascii="宋体" w:hAnsi="宋体" w:cs="宋体"/>
                <w:bCs/>
                <w:color w:val="auto"/>
                <w:sz w:val="21"/>
                <w:szCs w:val="21"/>
                <w:highlight w:val="none"/>
              </w:rPr>
              <w:t>1</w:t>
            </w:r>
            <w:r>
              <w:rPr>
                <w:rFonts w:hint="eastAsia" w:ascii="宋体" w:hAnsi="宋体" w:cs="宋体"/>
                <w:bCs/>
                <w:color w:val="auto"/>
                <w:sz w:val="21"/>
                <w:szCs w:val="21"/>
                <w:highlight w:val="none"/>
                <w:lang w:val="zh-CN"/>
              </w:rPr>
              <w:t>分。本项最高得</w:t>
            </w:r>
            <w:r>
              <w:rPr>
                <w:rFonts w:hint="eastAsia" w:ascii="宋体" w:hAnsi="宋体" w:cs="宋体"/>
                <w:bCs/>
                <w:color w:val="auto"/>
                <w:sz w:val="21"/>
                <w:szCs w:val="21"/>
                <w:highlight w:val="none"/>
              </w:rPr>
              <w:t>5</w:t>
            </w:r>
            <w:r>
              <w:rPr>
                <w:rFonts w:hint="eastAsia" w:ascii="宋体" w:hAnsi="宋体" w:cs="宋体"/>
                <w:bCs/>
                <w:color w:val="auto"/>
                <w:sz w:val="21"/>
                <w:szCs w:val="21"/>
                <w:highlight w:val="none"/>
                <w:lang w:val="zh-CN"/>
              </w:rPr>
              <w:t>分。</w:t>
            </w:r>
          </w:p>
          <w:p>
            <w:pPr>
              <w:pStyle w:val="16"/>
              <w:spacing w:beforeAutospacing="0" w:afterAutospacing="0"/>
              <w:ind w:left="1"/>
              <w:jc w:val="both"/>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注：须提供合同复印件并同时加盖供应商公章，不符合以上要求得不得分。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企业荣誉</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color w:val="auto"/>
                <w:szCs w:val="21"/>
                <w:highlight w:val="none"/>
              </w:rPr>
            </w:pPr>
            <w:r>
              <w:rPr>
                <w:rFonts w:hint="eastAsia" w:ascii="宋体" w:hAnsi="宋体"/>
                <w:color w:val="auto"/>
                <w:szCs w:val="21"/>
                <w:highlight w:val="none"/>
              </w:rPr>
              <w:t>2分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ind w:left="1"/>
              <w:jc w:val="both"/>
              <w:rPr>
                <w:rFonts w:ascii="宋体" w:hAnsi="宋体" w:cs="宋体"/>
                <w:bCs/>
                <w:color w:val="auto"/>
                <w:sz w:val="21"/>
                <w:szCs w:val="21"/>
                <w:highlight w:val="none"/>
                <w:lang w:val="zh-CN"/>
              </w:rPr>
            </w:pPr>
            <w:r>
              <w:rPr>
                <w:rFonts w:hint="eastAsia" w:ascii="宋体" w:hAnsi="宋体" w:cs="宋体"/>
                <w:bCs/>
                <w:color w:val="auto"/>
                <w:sz w:val="21"/>
                <w:szCs w:val="21"/>
                <w:highlight w:val="none"/>
              </w:rPr>
              <w:t>供应商自2021年1月1日以来</w:t>
            </w:r>
            <w:r>
              <w:rPr>
                <w:rFonts w:hint="eastAsia" w:ascii="宋体" w:hAnsi="宋体" w:cs="宋体"/>
                <w:bCs/>
                <w:color w:val="auto"/>
                <w:sz w:val="21"/>
                <w:szCs w:val="21"/>
                <w:highlight w:val="none"/>
                <w:lang w:val="zh-CN"/>
              </w:rPr>
              <w:t>获得行政主管部门颁发的荣誉证书的，得2分；</w:t>
            </w:r>
          </w:p>
          <w:p>
            <w:pPr>
              <w:widowControl/>
              <w:rPr>
                <w:rFonts w:ascii="宋体" w:hAnsi="宋体" w:cs="宋体"/>
                <w:bCs/>
                <w:color w:val="auto"/>
                <w:szCs w:val="21"/>
                <w:highlight w:val="none"/>
                <w:lang w:val="zh-CN"/>
              </w:rPr>
            </w:pPr>
            <w:r>
              <w:rPr>
                <w:rFonts w:hint="eastAsia" w:ascii="宋体" w:hAnsi="宋体" w:cs="宋体"/>
                <w:color w:val="auto"/>
                <w:kern w:val="0"/>
                <w:szCs w:val="21"/>
                <w:highlight w:val="none"/>
              </w:rPr>
              <w:t>注：须提供相关有效证明文件</w:t>
            </w:r>
            <w:r>
              <w:rPr>
                <w:rFonts w:hint="eastAsia" w:ascii="宋体" w:hAnsi="宋体" w:cs="宋体"/>
                <w:bCs/>
                <w:color w:val="auto"/>
                <w:szCs w:val="21"/>
                <w:highlight w:val="none"/>
                <w:lang w:val="zh-CN"/>
              </w:rPr>
              <w:t>复印件</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restart"/>
            <w:tcBorders>
              <w:left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vMerge w:val="restart"/>
            <w:tcBorders>
              <w:left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拟投入人员情况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jc w:val="both"/>
              <w:rPr>
                <w:rFonts w:ascii="宋体" w:hAnsi="宋体" w:cs="宋体"/>
                <w:bCs/>
                <w:color w:val="auto"/>
                <w:sz w:val="21"/>
                <w:szCs w:val="21"/>
                <w:highlight w:val="none"/>
              </w:rPr>
            </w:pPr>
            <w:r>
              <w:rPr>
                <w:rFonts w:hint="eastAsia" w:ascii="宋体" w:hAnsi="宋体" w:cs="宋体"/>
                <w:bCs/>
                <w:color w:val="auto"/>
                <w:sz w:val="21"/>
                <w:szCs w:val="21"/>
                <w:highlight w:val="none"/>
              </w:rPr>
              <w:t>项目负责人：</w:t>
            </w:r>
          </w:p>
          <w:p>
            <w:pPr>
              <w:pStyle w:val="16"/>
              <w:spacing w:beforeAutospacing="0" w:afterAutospacing="0"/>
              <w:ind w:left="1"/>
              <w:jc w:val="both"/>
              <w:rPr>
                <w:rFonts w:hint="eastAsia" w:ascii="宋体" w:cs="宋体"/>
                <w:bCs/>
                <w:color w:val="auto"/>
                <w:sz w:val="21"/>
                <w:szCs w:val="21"/>
                <w:highlight w:val="none"/>
              </w:rPr>
            </w:pPr>
            <w:r>
              <w:rPr>
                <w:rFonts w:hint="eastAsia" w:ascii="宋体" w:hAnsi="宋体" w:cs="宋体"/>
                <w:bCs/>
                <w:color w:val="auto"/>
                <w:sz w:val="21"/>
                <w:szCs w:val="21"/>
                <w:highlight w:val="none"/>
              </w:rPr>
              <w:t>同时具有注册土木工程师（岩土）、一级注册结构工程师及高级工程师职称资质的，得6分；</w:t>
            </w:r>
            <w:r>
              <w:rPr>
                <w:rFonts w:hint="eastAsia" w:ascii="宋体" w:hAnsi="宋体" w:cs="宋体"/>
                <w:bCs/>
                <w:color w:val="auto"/>
                <w:sz w:val="21"/>
                <w:szCs w:val="21"/>
                <w:highlight w:val="none"/>
              </w:rPr>
              <w:br w:type="textWrapping"/>
            </w:r>
            <w:r>
              <w:rPr>
                <w:rFonts w:hint="eastAsia" w:ascii="宋体" w:hAnsi="宋体" w:cs="宋体"/>
                <w:bCs/>
                <w:color w:val="auto"/>
                <w:sz w:val="21"/>
                <w:szCs w:val="21"/>
                <w:highlight w:val="none"/>
              </w:rPr>
              <w:t>注：</w:t>
            </w:r>
            <w:r>
              <w:rPr>
                <w:rFonts w:hint="eastAsia" w:ascii="宋体" w:cs="宋体"/>
                <w:bCs/>
                <w:color w:val="auto"/>
                <w:sz w:val="21"/>
                <w:szCs w:val="21"/>
                <w:highlight w:val="none"/>
                <w:lang w:val="en-US" w:eastAsia="zh-CN"/>
              </w:rPr>
              <w:t>1</w:t>
            </w:r>
            <w:r>
              <w:rPr>
                <w:rFonts w:hint="eastAsia" w:ascii="宋体" w:cs="宋体"/>
                <w:bCs/>
                <w:color w:val="auto"/>
                <w:sz w:val="21"/>
                <w:szCs w:val="21"/>
                <w:highlight w:val="none"/>
              </w:rPr>
              <w:t>.</w:t>
            </w:r>
            <w:r>
              <w:rPr>
                <w:rFonts w:hint="eastAsia" w:ascii="宋体" w:hAnsi="宋体" w:cs="宋体"/>
                <w:bCs/>
                <w:color w:val="auto"/>
                <w:sz w:val="21"/>
                <w:szCs w:val="21"/>
                <w:highlight w:val="none"/>
              </w:rPr>
              <w:t>须提供</w:t>
            </w:r>
            <w:r>
              <w:rPr>
                <w:rFonts w:hint="eastAsia" w:ascii="宋体" w:cs="宋体"/>
                <w:bCs/>
                <w:color w:val="auto"/>
                <w:sz w:val="21"/>
                <w:szCs w:val="21"/>
                <w:highlight w:val="none"/>
              </w:rPr>
              <w:t>有效人员证书</w:t>
            </w:r>
            <w:r>
              <w:rPr>
                <w:rFonts w:hint="eastAsia" w:ascii="宋体" w:cs="宋体"/>
                <w:bCs/>
                <w:color w:val="auto"/>
                <w:sz w:val="21"/>
                <w:szCs w:val="21"/>
                <w:highlight w:val="none"/>
                <w:lang w:val="en-US" w:eastAsia="zh-CN"/>
              </w:rPr>
              <w:t>复印件</w:t>
            </w:r>
            <w:r>
              <w:rPr>
                <w:rFonts w:hint="eastAsia" w:ascii="宋体" w:hAnsi="宋体" w:cs="宋体"/>
                <w:bCs/>
                <w:color w:val="auto"/>
                <w:sz w:val="21"/>
                <w:szCs w:val="21"/>
                <w:highlight w:val="none"/>
              </w:rPr>
              <w:t>，注册类证书须注册于</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本单位。</w:t>
            </w:r>
          </w:p>
          <w:p>
            <w:pPr>
              <w:pStyle w:val="16"/>
              <w:spacing w:beforeAutospacing="0" w:afterAutospacing="0"/>
              <w:ind w:left="1"/>
              <w:jc w:val="both"/>
              <w:rPr>
                <w:rFonts w:ascii="宋体" w:hAnsi="宋体" w:cs="宋体"/>
                <w:bCs/>
                <w:color w:val="auto"/>
                <w:sz w:val="21"/>
                <w:szCs w:val="21"/>
                <w:highlight w:val="none"/>
              </w:rPr>
            </w:pPr>
            <w:r>
              <w:rPr>
                <w:rFonts w:hint="eastAsia" w:ascii="宋体" w:cs="宋体"/>
                <w:bCs/>
                <w:color w:val="auto"/>
                <w:sz w:val="21"/>
                <w:szCs w:val="21"/>
                <w:highlight w:val="none"/>
                <w:lang w:val="en-US" w:eastAsia="zh-CN"/>
              </w:rPr>
              <w:t>2.</w:t>
            </w:r>
            <w:r>
              <w:rPr>
                <w:rFonts w:hint="eastAsia" w:ascii="宋体" w:cs="宋体"/>
                <w:bCs/>
                <w:color w:val="auto"/>
                <w:sz w:val="21"/>
                <w:szCs w:val="21"/>
                <w:highlight w:val="none"/>
              </w:rPr>
              <w:t>须提供</w:t>
            </w:r>
            <w:r>
              <w:rPr>
                <w:rFonts w:hint="eastAsia" w:ascii="宋体" w:cs="宋体"/>
                <w:color w:val="auto"/>
                <w:sz w:val="21"/>
                <w:szCs w:val="21"/>
                <w:highlight w:val="none"/>
                <w:lang w:val="zh-CN"/>
              </w:rPr>
              <w:t>社会保障部门出具的近半年内任意</w:t>
            </w:r>
            <w:r>
              <w:rPr>
                <w:rFonts w:hint="eastAsia" w:ascii="宋体" w:cs="宋体"/>
                <w:color w:val="auto"/>
                <w:sz w:val="21"/>
                <w:szCs w:val="21"/>
                <w:highlight w:val="none"/>
              </w:rPr>
              <w:t>1</w:t>
            </w:r>
            <w:r>
              <w:rPr>
                <w:rFonts w:hint="eastAsia" w:ascii="宋体" w:cs="宋体"/>
                <w:color w:val="auto"/>
                <w:sz w:val="21"/>
                <w:szCs w:val="21"/>
                <w:highlight w:val="none"/>
                <w:lang w:val="zh-CN"/>
              </w:rPr>
              <w:t>个月（不含开标当月）在供应商单位缴纳社会养老保险的有效凭证的复印件。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p>
        </w:tc>
        <w:tc>
          <w:tcPr>
            <w:tcW w:w="1609" w:type="dxa"/>
            <w:vMerge w:val="continue"/>
            <w:tcBorders>
              <w:left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jc w:val="both"/>
              <w:rPr>
                <w:rFonts w:ascii="宋体" w:hAnsi="宋体" w:cs="宋体"/>
                <w:bCs/>
                <w:color w:val="auto"/>
                <w:sz w:val="21"/>
                <w:szCs w:val="21"/>
                <w:highlight w:val="none"/>
              </w:rPr>
            </w:pPr>
            <w:r>
              <w:rPr>
                <w:rFonts w:hint="eastAsia" w:ascii="宋体" w:hAnsi="宋体" w:cs="宋体"/>
                <w:bCs/>
                <w:color w:val="auto"/>
                <w:sz w:val="21"/>
                <w:szCs w:val="21"/>
                <w:highlight w:val="none"/>
              </w:rPr>
              <w:t>技术负责人：</w:t>
            </w:r>
          </w:p>
          <w:p>
            <w:pPr>
              <w:pStyle w:val="16"/>
              <w:spacing w:beforeAutospacing="0" w:afterAutospacing="0"/>
              <w:jc w:val="both"/>
              <w:rPr>
                <w:rFonts w:ascii="宋体" w:hAnsi="宋体" w:cs="宋体"/>
                <w:bCs/>
                <w:color w:val="auto"/>
                <w:sz w:val="21"/>
                <w:szCs w:val="21"/>
                <w:highlight w:val="none"/>
              </w:rPr>
            </w:pPr>
            <w:r>
              <w:rPr>
                <w:rFonts w:hint="eastAsia" w:ascii="宋体" w:hAnsi="宋体" w:cs="宋体"/>
                <w:bCs/>
                <w:color w:val="auto"/>
                <w:sz w:val="21"/>
                <w:szCs w:val="21"/>
                <w:highlight w:val="none"/>
              </w:rPr>
              <w:t>同时具有注册土木工程师（岩土）和一级注册结构工程师资质的，得4分；</w:t>
            </w:r>
          </w:p>
          <w:p>
            <w:pPr>
              <w:pStyle w:val="16"/>
              <w:spacing w:beforeAutospacing="0" w:afterAutospacing="0"/>
              <w:ind w:left="1"/>
              <w:jc w:val="both"/>
              <w:rPr>
                <w:rFonts w:hint="eastAsia" w:ascii="宋体" w:cs="宋体"/>
                <w:bCs/>
                <w:color w:val="auto"/>
                <w:sz w:val="21"/>
                <w:szCs w:val="21"/>
                <w:highlight w:val="none"/>
              </w:rPr>
            </w:pPr>
            <w:r>
              <w:rPr>
                <w:rFonts w:hint="eastAsia" w:ascii="宋体" w:hAnsi="宋体" w:cs="宋体"/>
                <w:bCs/>
                <w:color w:val="auto"/>
                <w:sz w:val="21"/>
                <w:szCs w:val="21"/>
                <w:highlight w:val="none"/>
              </w:rPr>
              <w:t>注：</w:t>
            </w:r>
            <w:r>
              <w:rPr>
                <w:rFonts w:hint="eastAsia" w:ascii="宋体" w:cs="宋体"/>
                <w:bCs/>
                <w:color w:val="auto"/>
                <w:sz w:val="21"/>
                <w:szCs w:val="21"/>
                <w:highlight w:val="none"/>
                <w:lang w:val="en-US" w:eastAsia="zh-CN"/>
              </w:rPr>
              <w:t>1</w:t>
            </w:r>
            <w:r>
              <w:rPr>
                <w:rFonts w:hint="eastAsia" w:ascii="宋体" w:cs="宋体"/>
                <w:bCs/>
                <w:color w:val="auto"/>
                <w:sz w:val="21"/>
                <w:szCs w:val="21"/>
                <w:highlight w:val="none"/>
              </w:rPr>
              <w:t>.</w:t>
            </w:r>
            <w:r>
              <w:rPr>
                <w:rFonts w:hint="eastAsia" w:ascii="宋体" w:hAnsi="宋体" w:cs="宋体"/>
                <w:bCs/>
                <w:color w:val="auto"/>
                <w:sz w:val="21"/>
                <w:szCs w:val="21"/>
                <w:highlight w:val="none"/>
              </w:rPr>
              <w:t>须提供</w:t>
            </w:r>
            <w:r>
              <w:rPr>
                <w:rFonts w:hint="eastAsia" w:ascii="宋体" w:cs="宋体"/>
                <w:bCs/>
                <w:color w:val="auto"/>
                <w:sz w:val="21"/>
                <w:szCs w:val="21"/>
                <w:highlight w:val="none"/>
              </w:rPr>
              <w:t>有效人员证书</w:t>
            </w:r>
            <w:r>
              <w:rPr>
                <w:rFonts w:hint="eastAsia" w:ascii="宋体" w:cs="宋体"/>
                <w:bCs/>
                <w:color w:val="auto"/>
                <w:sz w:val="21"/>
                <w:szCs w:val="21"/>
                <w:highlight w:val="none"/>
                <w:lang w:val="en-US" w:eastAsia="zh-CN"/>
              </w:rPr>
              <w:t>复印件</w:t>
            </w:r>
            <w:r>
              <w:rPr>
                <w:rFonts w:hint="eastAsia" w:ascii="宋体" w:hAnsi="宋体" w:cs="宋体"/>
                <w:bCs/>
                <w:color w:val="auto"/>
                <w:sz w:val="21"/>
                <w:szCs w:val="21"/>
                <w:highlight w:val="none"/>
              </w:rPr>
              <w:t>，注册类证书须注册于</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本单位。</w:t>
            </w:r>
          </w:p>
          <w:p>
            <w:pPr>
              <w:pStyle w:val="16"/>
              <w:spacing w:beforeAutospacing="0" w:afterAutospacing="0"/>
              <w:jc w:val="both"/>
              <w:rPr>
                <w:rFonts w:ascii="宋体" w:hAnsi="宋体" w:cs="宋体"/>
                <w:bCs/>
                <w:color w:val="auto"/>
                <w:sz w:val="21"/>
                <w:szCs w:val="21"/>
                <w:highlight w:val="none"/>
              </w:rPr>
            </w:pPr>
            <w:r>
              <w:rPr>
                <w:rFonts w:hint="eastAsia" w:ascii="宋体" w:cs="宋体"/>
                <w:bCs/>
                <w:color w:val="auto"/>
                <w:sz w:val="21"/>
                <w:szCs w:val="21"/>
                <w:highlight w:val="none"/>
                <w:lang w:val="en-US" w:eastAsia="zh-CN"/>
              </w:rPr>
              <w:t>2.</w:t>
            </w:r>
            <w:r>
              <w:rPr>
                <w:rFonts w:hint="eastAsia" w:ascii="宋体" w:cs="宋体"/>
                <w:bCs/>
                <w:color w:val="auto"/>
                <w:sz w:val="21"/>
                <w:szCs w:val="21"/>
                <w:highlight w:val="none"/>
              </w:rPr>
              <w:t>须提供</w:t>
            </w:r>
            <w:r>
              <w:rPr>
                <w:rFonts w:hint="eastAsia" w:ascii="宋体" w:cs="宋体"/>
                <w:color w:val="auto"/>
                <w:sz w:val="21"/>
                <w:szCs w:val="21"/>
                <w:highlight w:val="none"/>
                <w:lang w:val="zh-CN"/>
              </w:rPr>
              <w:t>社会保障部门出具的近半年内任意</w:t>
            </w:r>
            <w:r>
              <w:rPr>
                <w:rFonts w:hint="eastAsia" w:ascii="宋体" w:cs="宋体"/>
                <w:color w:val="auto"/>
                <w:sz w:val="21"/>
                <w:szCs w:val="21"/>
                <w:highlight w:val="none"/>
              </w:rPr>
              <w:t>1</w:t>
            </w:r>
            <w:r>
              <w:rPr>
                <w:rFonts w:hint="eastAsia" w:ascii="宋体" w:cs="宋体"/>
                <w:color w:val="auto"/>
                <w:sz w:val="21"/>
                <w:szCs w:val="21"/>
                <w:highlight w:val="none"/>
                <w:lang w:val="zh-CN"/>
              </w:rPr>
              <w:t>个月（不含开标当月）在供应商单位缴纳社会养老保险的有效凭证的复印件。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p>
        </w:tc>
        <w:tc>
          <w:tcPr>
            <w:tcW w:w="1609" w:type="dxa"/>
            <w:vMerge w:val="continue"/>
            <w:tcBorders>
              <w:left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13分</w:t>
            </w:r>
          </w:p>
        </w:tc>
        <w:tc>
          <w:tcPr>
            <w:tcW w:w="5461" w:type="dxa"/>
            <w:tcBorders>
              <w:top w:val="single" w:color="auto" w:sz="4" w:space="0"/>
              <w:left w:val="single" w:color="auto" w:sz="4" w:space="0"/>
              <w:bottom w:val="single" w:color="auto" w:sz="4" w:space="0"/>
              <w:right w:val="single" w:color="auto" w:sz="4" w:space="0"/>
            </w:tcBorders>
            <w:vAlign w:val="center"/>
          </w:tcPr>
          <w:p>
            <w:pPr>
              <w:pStyle w:val="16"/>
              <w:spacing w:beforeAutospacing="0" w:afterAutospacing="0"/>
              <w:jc w:val="both"/>
              <w:rPr>
                <w:rFonts w:ascii="宋体" w:hAnsi="宋体" w:cs="宋体"/>
                <w:bCs/>
                <w:color w:val="auto"/>
                <w:sz w:val="21"/>
                <w:szCs w:val="21"/>
                <w:highlight w:val="none"/>
              </w:rPr>
            </w:pPr>
            <w:r>
              <w:rPr>
                <w:rFonts w:hint="eastAsia" w:ascii="宋体" w:hAnsi="宋体" w:cs="宋体"/>
                <w:bCs/>
                <w:color w:val="auto"/>
                <w:sz w:val="21"/>
                <w:szCs w:val="21"/>
                <w:highlight w:val="none"/>
              </w:rPr>
              <w:t>其他投入人员（不含项目负责人、技术负责人）：</w:t>
            </w:r>
          </w:p>
          <w:p>
            <w:pPr>
              <w:pStyle w:val="16"/>
              <w:spacing w:beforeAutospacing="0" w:afterAutospacing="0"/>
              <w:ind w:left="1"/>
              <w:jc w:val="both"/>
              <w:rPr>
                <w:rFonts w:ascii="宋体" w:hAnsi="宋体" w:cs="宋体"/>
                <w:bCs/>
                <w:color w:val="auto"/>
                <w:sz w:val="21"/>
                <w:szCs w:val="21"/>
                <w:highlight w:val="none"/>
              </w:rPr>
            </w:pPr>
            <w:r>
              <w:rPr>
                <w:rFonts w:hint="eastAsia" w:ascii="宋体" w:hAnsi="宋体" w:cs="宋体"/>
                <w:bCs/>
                <w:color w:val="auto"/>
                <w:sz w:val="21"/>
                <w:szCs w:val="21"/>
                <w:highlight w:val="none"/>
              </w:rPr>
              <w:t>（1）拟投入人员具有一级注册结构师的每人得 3分，最高得3分。</w:t>
            </w:r>
          </w:p>
          <w:p>
            <w:pPr>
              <w:pStyle w:val="16"/>
              <w:spacing w:beforeAutospacing="0" w:afterAutospacing="0"/>
              <w:ind w:left="1"/>
              <w:jc w:val="both"/>
              <w:rPr>
                <w:rFonts w:ascii="宋体" w:hAnsi="宋体" w:cs="宋体"/>
                <w:bCs/>
                <w:color w:val="auto"/>
                <w:sz w:val="21"/>
                <w:szCs w:val="21"/>
                <w:highlight w:val="none"/>
              </w:rPr>
            </w:pPr>
            <w:r>
              <w:rPr>
                <w:rFonts w:hint="eastAsia" w:ascii="宋体" w:hAnsi="宋体" w:cs="宋体"/>
                <w:bCs/>
                <w:color w:val="auto"/>
                <w:sz w:val="21"/>
                <w:szCs w:val="21"/>
                <w:highlight w:val="none"/>
              </w:rPr>
              <w:t>（2）拟投入人员具有高级工程师职称的每人得2分，最高得 6分；</w:t>
            </w:r>
          </w:p>
          <w:p>
            <w:pPr>
              <w:pStyle w:val="16"/>
              <w:spacing w:beforeAutospacing="0" w:afterAutospacing="0"/>
              <w:ind w:left="1"/>
              <w:jc w:val="both"/>
              <w:rPr>
                <w:rFonts w:ascii="宋体" w:hAnsi="宋体" w:cs="宋体"/>
                <w:bCs/>
                <w:color w:val="auto"/>
                <w:sz w:val="21"/>
                <w:szCs w:val="21"/>
                <w:highlight w:val="none"/>
              </w:rPr>
            </w:pPr>
            <w:r>
              <w:rPr>
                <w:rFonts w:hint="eastAsia" w:ascii="宋体" w:hAnsi="宋体" w:cs="宋体"/>
                <w:bCs/>
                <w:color w:val="auto"/>
                <w:sz w:val="21"/>
                <w:szCs w:val="21"/>
                <w:highlight w:val="none"/>
              </w:rPr>
              <w:t>（3）拟投入人员具有中级工程师职称的每人得1分，最高得 4分；</w:t>
            </w:r>
            <w:r>
              <w:rPr>
                <w:rFonts w:hint="eastAsia" w:ascii="宋体" w:hAnsi="宋体" w:cs="宋体"/>
                <w:bCs/>
                <w:color w:val="auto"/>
                <w:sz w:val="21"/>
                <w:szCs w:val="21"/>
                <w:highlight w:val="none"/>
              </w:rPr>
              <w:br w:type="textWrapping"/>
            </w:r>
            <w:r>
              <w:rPr>
                <w:rFonts w:hint="eastAsia" w:ascii="宋体" w:hAnsi="宋体" w:cs="宋体"/>
                <w:bCs/>
                <w:color w:val="auto"/>
                <w:sz w:val="21"/>
                <w:szCs w:val="21"/>
                <w:highlight w:val="none"/>
              </w:rPr>
              <w:t>注：1.以上三项其他拟投入人员的得分不得重得计算，若同时满足上述三项得分要求，则按得分高的一项计算；</w:t>
            </w:r>
          </w:p>
          <w:p>
            <w:pPr>
              <w:pStyle w:val="16"/>
              <w:spacing w:beforeAutospacing="0" w:afterAutospacing="0"/>
              <w:ind w:left="1"/>
              <w:jc w:val="both"/>
              <w:rPr>
                <w:rFonts w:hint="eastAsia" w:ascii="宋体" w:cs="宋体"/>
                <w:bCs/>
                <w:color w:val="auto"/>
                <w:sz w:val="21"/>
                <w:szCs w:val="21"/>
                <w:highlight w:val="none"/>
              </w:rPr>
            </w:pPr>
            <w:r>
              <w:rPr>
                <w:rFonts w:hint="eastAsia" w:ascii="宋体" w:cs="宋体"/>
                <w:bCs/>
                <w:color w:val="auto"/>
                <w:sz w:val="21"/>
                <w:szCs w:val="21"/>
                <w:highlight w:val="none"/>
              </w:rPr>
              <w:t>2.</w:t>
            </w:r>
            <w:r>
              <w:rPr>
                <w:rFonts w:hint="eastAsia" w:ascii="宋体" w:hAnsi="宋体" w:cs="宋体"/>
                <w:bCs/>
                <w:color w:val="auto"/>
                <w:sz w:val="21"/>
                <w:szCs w:val="21"/>
                <w:highlight w:val="none"/>
              </w:rPr>
              <w:t>须提供</w:t>
            </w:r>
            <w:r>
              <w:rPr>
                <w:rFonts w:hint="eastAsia" w:ascii="宋体" w:cs="宋体"/>
                <w:bCs/>
                <w:color w:val="auto"/>
                <w:sz w:val="21"/>
                <w:szCs w:val="21"/>
                <w:highlight w:val="none"/>
              </w:rPr>
              <w:t>有效人员证书</w:t>
            </w:r>
            <w:r>
              <w:rPr>
                <w:rFonts w:hint="eastAsia" w:ascii="宋体" w:cs="宋体"/>
                <w:bCs/>
                <w:color w:val="auto"/>
                <w:sz w:val="21"/>
                <w:szCs w:val="21"/>
                <w:highlight w:val="none"/>
                <w:lang w:val="en-US" w:eastAsia="zh-CN"/>
              </w:rPr>
              <w:t>复印件</w:t>
            </w:r>
            <w:r>
              <w:rPr>
                <w:rFonts w:hint="eastAsia" w:ascii="宋体" w:hAnsi="宋体" w:cs="宋体"/>
                <w:bCs/>
                <w:color w:val="auto"/>
                <w:sz w:val="21"/>
                <w:szCs w:val="21"/>
                <w:highlight w:val="none"/>
              </w:rPr>
              <w:t>，注册类证书须注册于</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本单位。</w:t>
            </w:r>
          </w:p>
          <w:p>
            <w:pPr>
              <w:pStyle w:val="16"/>
              <w:spacing w:beforeAutospacing="0" w:afterAutospacing="0"/>
              <w:ind w:left="1"/>
              <w:jc w:val="both"/>
              <w:rPr>
                <w:rFonts w:ascii="宋体" w:hAnsi="宋体" w:cs="宋体"/>
                <w:bCs/>
                <w:color w:val="auto"/>
                <w:sz w:val="21"/>
                <w:szCs w:val="21"/>
                <w:highlight w:val="none"/>
              </w:rPr>
            </w:pPr>
            <w:r>
              <w:rPr>
                <w:rFonts w:hint="eastAsia" w:ascii="宋体" w:cs="宋体"/>
                <w:bCs/>
                <w:color w:val="auto"/>
                <w:sz w:val="21"/>
                <w:szCs w:val="21"/>
                <w:highlight w:val="none"/>
                <w:lang w:val="en-US" w:eastAsia="zh-CN"/>
              </w:rPr>
              <w:t>3.</w:t>
            </w:r>
            <w:r>
              <w:rPr>
                <w:rFonts w:hint="eastAsia" w:ascii="宋体" w:cs="宋体"/>
                <w:bCs/>
                <w:color w:val="auto"/>
                <w:sz w:val="21"/>
                <w:szCs w:val="21"/>
                <w:highlight w:val="none"/>
              </w:rPr>
              <w:t>须提供</w:t>
            </w:r>
            <w:r>
              <w:rPr>
                <w:rFonts w:hint="eastAsia" w:ascii="宋体" w:cs="宋体"/>
                <w:color w:val="auto"/>
                <w:sz w:val="21"/>
                <w:szCs w:val="21"/>
                <w:highlight w:val="none"/>
                <w:lang w:val="zh-CN"/>
              </w:rPr>
              <w:t>社会保障部门出具的近半年内任意</w:t>
            </w:r>
            <w:r>
              <w:rPr>
                <w:rFonts w:hint="eastAsia" w:ascii="宋体" w:cs="宋体"/>
                <w:color w:val="auto"/>
                <w:sz w:val="21"/>
                <w:szCs w:val="21"/>
                <w:highlight w:val="none"/>
              </w:rPr>
              <w:t>1</w:t>
            </w:r>
            <w:r>
              <w:rPr>
                <w:rFonts w:hint="eastAsia" w:ascii="宋体" w:cs="宋体"/>
                <w:color w:val="auto"/>
                <w:sz w:val="21"/>
                <w:szCs w:val="21"/>
                <w:highlight w:val="none"/>
                <w:lang w:val="zh-CN"/>
              </w:rPr>
              <w:t>个月（不含开标当月）在供应商单位缴纳社会养老保险的有效凭证的复印件。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对本检测项目的理解和分析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4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根据供应商对本检测项目的理解和分析进行评分：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（1）对本检测项目的理解和分析准确、透彻，基础资料调查详尽、清晰及完整的，得10分；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（2）对本检测项目的理解和分析正确、完整，基础资料调查齐全、基本清晰及完整的，得7分；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（3）对本检测项目的理解和分析基本正确，基础资料调查有缺漏、不完整的，得4分；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（4）对本检测项目的理解和分析不正确，未提供基础资料调查的，得1分。</w:t>
            </w:r>
          </w:p>
          <w:p>
            <w:pPr>
              <w:spacing w:line="360" w:lineRule="exact"/>
              <w:rPr>
                <w:rFonts w:ascii="宋体" w:hAnsi="宋体" w:cs="宋体"/>
                <w:bCs/>
                <w:color w:val="auto"/>
                <w:szCs w:val="21"/>
                <w:highlight w:val="none"/>
                <w:lang w:val="zh-CN"/>
              </w:rPr>
            </w:pPr>
            <w:r>
              <w:rPr>
                <w:rFonts w:hint="eastAsia" w:ascii="宋体" w:hAnsi="宋体" w:cs="宋体"/>
                <w:color w:val="auto"/>
                <w:szCs w:val="21"/>
                <w:highlight w:val="none"/>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检测方法、措施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根据供应商制定的检测方法、措施等综合评审：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（1）制定的检测方法、措施可行性、完备性高，方案所采用的设计思路、技术路线、措施先进，得10分；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（2）制定的检测方法、措施可行性、完备性较高，方案所采用的设计思路、技术路线、措施合理，得7分；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（3）制定的检测方法、措施可行性、完备性一般，得4分；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（4）制定的检测方法、措施可行性、完备性差，得1分；</w:t>
            </w:r>
          </w:p>
          <w:p>
            <w:pPr>
              <w:spacing w:line="360" w:lineRule="exact"/>
              <w:rPr>
                <w:rFonts w:ascii="宋体" w:hAnsi="宋体" w:cs="宋体"/>
                <w:bCs/>
                <w:color w:val="auto"/>
                <w:szCs w:val="21"/>
                <w:highlight w:val="none"/>
              </w:rPr>
            </w:pPr>
            <w:r>
              <w:rPr>
                <w:rFonts w:hint="eastAsia" w:ascii="宋体" w:hAnsi="宋体" w:cs="宋体"/>
                <w:color w:val="auto"/>
                <w:szCs w:val="21"/>
                <w:highlight w:val="none"/>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进度控制措施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根据供应商制定的进度措施控制措施综合评审：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（1）进度控制措施可行性、完备性高，进度保证高效，得10分；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（2）进度控制措施可行性、完备性较高，进度保证较高效，得7分；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（3）进度控制措施可行性、完备性一般，进度保证一般，得4分；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（4）进度控制措施可行性、完备性较差，进度保证较差，得1分；</w:t>
            </w:r>
          </w:p>
          <w:p>
            <w:pPr>
              <w:spacing w:line="360" w:lineRule="exact"/>
              <w:rPr>
                <w:rFonts w:ascii="宋体" w:hAnsi="宋体" w:cs="宋体"/>
                <w:bCs/>
                <w:color w:val="auto"/>
                <w:szCs w:val="21"/>
                <w:highlight w:val="none"/>
              </w:rPr>
            </w:pPr>
            <w:r>
              <w:rPr>
                <w:rFonts w:hint="eastAsia" w:ascii="宋体" w:hAnsi="宋体" w:cs="宋体"/>
                <w:color w:val="auto"/>
                <w:szCs w:val="21"/>
                <w:highlight w:val="none"/>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质量控制</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4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根据供应商制定的质量控制措施等综合评审：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（1）质量控制措施可行性、完备性高，质量要求高，得10分；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（2）质量控制措施可行性、完备性较高，质量要求较高，得7分；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（3）质量控制措施可行性、完备性一般，质量要求一般，得4分；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（4）质量控制措施可行性、完备性较差，质量要求较低，得1分；</w:t>
            </w:r>
          </w:p>
          <w:p>
            <w:pPr>
              <w:spacing w:line="360" w:lineRule="exact"/>
              <w:rPr>
                <w:rFonts w:ascii="宋体" w:hAnsi="宋体" w:cs="宋体"/>
                <w:bCs/>
                <w:color w:val="auto"/>
                <w:szCs w:val="21"/>
                <w:highlight w:val="none"/>
              </w:rPr>
            </w:pPr>
            <w:r>
              <w:rPr>
                <w:rFonts w:hint="eastAsia" w:ascii="宋体" w:hAnsi="宋体" w:cs="宋体"/>
                <w:color w:val="auto"/>
                <w:szCs w:val="21"/>
                <w:highlight w:val="none"/>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right w:val="single" w:color="auto" w:sz="4" w:space="0"/>
            </w:tcBorders>
            <w:vAlign w:val="center"/>
          </w:tcPr>
          <w:p>
            <w:pPr>
              <w:pStyle w:val="27"/>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信息管理</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10分</w:t>
            </w:r>
          </w:p>
        </w:tc>
        <w:tc>
          <w:tcPr>
            <w:tcW w:w="54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根据供应商提供的信息管理方案进行评分：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（1）信息管理规范完善，措施有力合理，得10分；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（2）信息管理较规范完善，措施较有力，得7分；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（3）信息管理规范性一般，完善性一般，措施合理性一般，得4分；</w:t>
            </w:r>
          </w:p>
          <w:p>
            <w:pPr>
              <w:spacing w:line="360" w:lineRule="exact"/>
              <w:rPr>
                <w:rFonts w:ascii="宋体" w:hAnsi="宋体" w:cs="宋体"/>
                <w:bCs/>
                <w:color w:val="auto"/>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609" w:type="dxa"/>
            <w:tcBorders>
              <w:top w:val="single" w:color="auto" w:sz="4" w:space="0"/>
              <w:left w:val="single" w:color="auto" w:sz="4" w:space="0"/>
              <w:right w:val="single" w:color="auto" w:sz="4" w:space="0"/>
            </w:tcBorders>
            <w:vAlign w:val="center"/>
          </w:tcPr>
          <w:p>
            <w:pPr>
              <w:pStyle w:val="27"/>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安全文明生产及环保措施</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7"/>
              <w:spacing w:line="3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10分</w:t>
            </w:r>
          </w:p>
        </w:tc>
        <w:tc>
          <w:tcPr>
            <w:tcW w:w="54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根据供应商提供的安全文明生产及环保措施进行评分：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（1）安全文明生产及环保措施完善，措施有力合理，责任分明，得10分；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（2）安全文明生产及环保措施基本完善，措施较有力，责任较明确，得7分；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（3）安全文明生产及环保措施完善性一般，措施合理性一般，责任划分模糊，得4分；</w:t>
            </w:r>
          </w:p>
          <w:p>
            <w:pPr>
              <w:spacing w:line="360" w:lineRule="exact"/>
              <w:rPr>
                <w:rFonts w:ascii="宋体" w:hAnsi="宋体" w:cs="宋体"/>
                <w:bCs/>
                <w:color w:val="auto"/>
                <w:szCs w:val="21"/>
                <w:highlight w:val="none"/>
                <w:lang w:val="zh-CN"/>
              </w:rPr>
            </w:pPr>
            <w:r>
              <w:rPr>
                <w:rFonts w:hint="eastAsia" w:ascii="宋体" w:hAnsi="宋体" w:cs="宋体"/>
                <w:color w:val="auto"/>
                <w:szCs w:val="21"/>
                <w:highlight w:val="none"/>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en-US" w:eastAsia="zh-CN"/>
              </w:rPr>
              <w:t>磋商</w:t>
            </w:r>
            <w:r>
              <w:rPr>
                <w:rFonts w:hint="eastAsia" w:ascii="宋体" w:hAnsi="宋体" w:cs="宋体"/>
                <w:color w:val="auto"/>
                <w:kern w:val="2"/>
                <w:sz w:val="21"/>
                <w:szCs w:val="21"/>
                <w:highlight w:val="none"/>
                <w:lang w:val="zh-CN"/>
              </w:rPr>
              <w:t>文件</w:t>
            </w:r>
            <w:r>
              <w:rPr>
                <w:rFonts w:hint="eastAsia" w:ascii="宋体" w:hAnsi="宋体" w:eastAsia="宋体" w:cs="宋体"/>
                <w:color w:val="auto"/>
                <w:kern w:val="2"/>
                <w:sz w:val="21"/>
                <w:szCs w:val="21"/>
                <w:highlight w:val="none"/>
                <w:lang w:val="zh-CN"/>
              </w:rPr>
              <w:t>要求且响应检测服务收费系数最低的为评标基准价，其价格分为满分。其他</w:t>
            </w:r>
            <w:r>
              <w:rPr>
                <w:rFonts w:hint="eastAsia" w:ascii="宋体" w:hAnsi="宋体" w:cs="宋体"/>
                <w:color w:val="auto"/>
                <w:kern w:val="2"/>
                <w:sz w:val="21"/>
                <w:szCs w:val="21"/>
                <w:highlight w:val="none"/>
                <w:lang w:val="zh-CN"/>
              </w:rPr>
              <w:t>投标人</w:t>
            </w:r>
            <w:r>
              <w:rPr>
                <w:rFonts w:hint="eastAsia" w:ascii="宋体" w:hAnsi="宋体" w:eastAsia="宋体" w:cs="宋体"/>
                <w:color w:val="auto"/>
                <w:kern w:val="2"/>
                <w:sz w:val="21"/>
                <w:szCs w:val="21"/>
                <w:highlight w:val="none"/>
                <w:lang w:val="zh-CN"/>
              </w:rPr>
              <w:t>的价格分统一按照下列公式计算：</w:t>
            </w:r>
          </w:p>
          <w:p>
            <w:pPr>
              <w:rPr>
                <w:rFonts w:ascii="宋体" w:hAnsi="宋体" w:cs="宋体"/>
                <w:color w:val="auto"/>
                <w:szCs w:val="21"/>
                <w:highlight w:val="none"/>
                <w:lang w:val="zh-CN"/>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报价得分=(评标基准价／响应检测服务收费系数)×价格权值</w:t>
            </w:r>
          </w:p>
        </w:tc>
      </w:tr>
    </w:tbl>
    <w:p>
      <w:pPr>
        <w:rPr>
          <w:color w:val="auto"/>
          <w:highlight w:val="none"/>
        </w:rPr>
      </w:pPr>
      <w:r>
        <w:rPr>
          <w:color w:val="auto"/>
          <w:highlight w:val="none"/>
        </w:rPr>
        <w:br w:type="page"/>
      </w:r>
    </w:p>
    <w:p>
      <w:pPr>
        <w:pStyle w:val="3"/>
        <w:numPr>
          <w:ilvl w:val="0"/>
          <w:numId w:val="1"/>
        </w:numPr>
        <w:ind w:firstLine="602"/>
        <w:rPr>
          <w:color w:val="auto"/>
          <w:highlight w:val="none"/>
        </w:rPr>
      </w:pPr>
      <w:bookmarkStart w:id="229" w:name="_Toc20102"/>
      <w:r>
        <w:rPr>
          <w:rFonts w:hint="eastAsia"/>
          <w:color w:val="auto"/>
          <w:highlight w:val="none"/>
        </w:rPr>
        <w:t>合同文本参考格式</w:t>
      </w:r>
      <w:bookmarkEnd w:id="229"/>
    </w:p>
    <w:p>
      <w:pPr>
        <w:ind w:firstLine="442"/>
        <w:jc w:val="center"/>
        <w:outlineLvl w:val="1"/>
        <w:rPr>
          <w:color w:val="auto"/>
          <w:sz w:val="18"/>
          <w:szCs w:val="21"/>
          <w:highlight w:val="none"/>
        </w:rPr>
      </w:pPr>
      <w:bookmarkStart w:id="230" w:name="_Toc1541"/>
      <w:bookmarkStart w:id="231" w:name="_Toc27897"/>
      <w:bookmarkStart w:id="232" w:name="_Toc25458"/>
      <w:bookmarkStart w:id="233" w:name="_Toc20453"/>
      <w:r>
        <w:rPr>
          <w:rFonts w:hint="eastAsia" w:ascii="宋体" w:hAnsi="宋体" w:cs="宋体"/>
          <w:b/>
          <w:bCs/>
          <w:color w:val="auto"/>
          <w:sz w:val="22"/>
          <w:szCs w:val="22"/>
          <w:highlight w:val="none"/>
        </w:rPr>
        <w:t>（本格式编排在磋商文件中，供供应商参考，响应时不需填写）</w:t>
      </w:r>
      <w:bookmarkEnd w:id="230"/>
      <w:bookmarkEnd w:id="231"/>
      <w:bookmarkEnd w:id="232"/>
      <w:bookmarkEnd w:id="233"/>
    </w:p>
    <w:p>
      <w:pPr>
        <w:ind w:firstLine="420"/>
        <w:rPr>
          <w:color w:val="auto"/>
          <w:highlight w:val="none"/>
        </w:rPr>
      </w:pPr>
    </w:p>
    <w:p>
      <w:pPr>
        <w:rPr>
          <w:color w:val="auto"/>
          <w:highlight w:val="none"/>
        </w:rPr>
      </w:pPr>
    </w:p>
    <w:p>
      <w:pPr>
        <w:rPr>
          <w:color w:val="auto"/>
          <w:highlight w:val="none"/>
        </w:rPr>
      </w:pPr>
    </w:p>
    <w:p>
      <w:pPr>
        <w:ind w:firstLine="1044"/>
        <w:jc w:val="center"/>
        <w:rPr>
          <w:b/>
          <w:color w:val="auto"/>
          <w:sz w:val="52"/>
          <w:highlight w:val="none"/>
        </w:rPr>
      </w:pPr>
      <w:r>
        <w:rPr>
          <w:rFonts w:hint="eastAsia"/>
          <w:b/>
          <w:color w:val="auto"/>
          <w:sz w:val="52"/>
          <w:highlight w:val="none"/>
        </w:rPr>
        <w:t>宏鹏精密零部件检测项目</w:t>
      </w:r>
    </w:p>
    <w:p>
      <w:pPr>
        <w:ind w:firstLine="1044"/>
        <w:jc w:val="center"/>
        <w:rPr>
          <w:b/>
          <w:color w:val="auto"/>
          <w:sz w:val="52"/>
          <w:highlight w:val="none"/>
        </w:rPr>
      </w:pPr>
    </w:p>
    <w:p>
      <w:pPr>
        <w:ind w:firstLine="1044"/>
        <w:jc w:val="center"/>
        <w:rPr>
          <w:b/>
          <w:color w:val="auto"/>
          <w:sz w:val="52"/>
          <w:highlight w:val="none"/>
        </w:rPr>
      </w:pPr>
    </w:p>
    <w:p>
      <w:pPr>
        <w:ind w:firstLine="1044"/>
        <w:jc w:val="center"/>
        <w:rPr>
          <w:color w:val="auto"/>
          <w:highlight w:val="none"/>
        </w:rPr>
      </w:pPr>
      <w:r>
        <w:rPr>
          <w:b/>
          <w:color w:val="auto"/>
          <w:sz w:val="52"/>
          <w:highlight w:val="none"/>
        </w:rPr>
        <w:t>合同文件</w:t>
      </w:r>
    </w:p>
    <w:p>
      <w:pPr>
        <w:ind w:firstLine="422"/>
        <w:jc w:val="center"/>
        <w:rPr>
          <w:color w:val="auto"/>
          <w:highlight w:val="none"/>
        </w:rPr>
      </w:pPr>
      <w:r>
        <w:rPr>
          <w:b/>
          <w:color w:val="auto"/>
          <w:highlight w:val="none"/>
        </w:rPr>
        <w:t>（合同编号：</w:t>
      </w:r>
      <w:r>
        <w:rPr>
          <w:b/>
          <w:color w:val="auto"/>
          <w:highlight w:val="none"/>
          <w:u w:val="single"/>
        </w:rPr>
        <w:t xml:space="preserve">         </w:t>
      </w:r>
      <w:r>
        <w:rPr>
          <w:b/>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75"/>
        <w:gridCol w:w="57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pPr>
              <w:ind w:firstLine="562"/>
              <w:rPr>
                <w:color w:val="auto"/>
                <w:highlight w:val="none"/>
              </w:rPr>
            </w:pPr>
            <w:r>
              <w:rPr>
                <w:b/>
                <w:color w:val="auto"/>
                <w:sz w:val="28"/>
                <w:highlight w:val="none"/>
              </w:rPr>
              <w:t>甲方：</w:t>
            </w:r>
          </w:p>
        </w:tc>
        <w:tc>
          <w:tcPr>
            <w:tcW w:w="6195" w:type="dxa"/>
            <w:tcBorders>
              <w:top w:val="nil"/>
              <w:left w:val="nil"/>
              <w:bottom w:val="nil"/>
              <w:right w:val="nil"/>
            </w:tcBorders>
          </w:tcPr>
          <w:p>
            <w:pPr>
              <w:ind w:firstLine="422"/>
              <w:rPr>
                <w:color w:val="auto"/>
                <w:highlight w:val="none"/>
              </w:rPr>
            </w:pPr>
            <w:r>
              <w:rPr>
                <w:b/>
                <w:color w:val="auto"/>
                <w:highlight w:val="none"/>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pPr>
              <w:ind w:firstLine="562"/>
              <w:rPr>
                <w:color w:val="auto"/>
                <w:highlight w:val="none"/>
              </w:rPr>
            </w:pPr>
            <w:r>
              <w:rPr>
                <w:b/>
                <w:color w:val="auto"/>
                <w:sz w:val="28"/>
                <w:highlight w:val="none"/>
              </w:rPr>
              <w:t>乙方：</w:t>
            </w:r>
          </w:p>
        </w:tc>
        <w:tc>
          <w:tcPr>
            <w:tcW w:w="6195" w:type="dxa"/>
            <w:tcBorders>
              <w:top w:val="nil"/>
              <w:left w:val="nil"/>
              <w:bottom w:val="nil"/>
              <w:right w:val="nil"/>
            </w:tcBorders>
          </w:tcPr>
          <w:p>
            <w:pPr>
              <w:ind w:firstLine="422"/>
              <w:rPr>
                <w:color w:val="auto"/>
                <w:highlight w:val="none"/>
              </w:rPr>
            </w:pPr>
            <w:r>
              <w:rPr>
                <w:b/>
                <w:color w:val="auto"/>
                <w:highlight w:val="none"/>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pPr>
              <w:ind w:firstLine="562"/>
              <w:rPr>
                <w:color w:val="auto"/>
                <w:highlight w:val="none"/>
              </w:rPr>
            </w:pPr>
            <w:r>
              <w:rPr>
                <w:b/>
                <w:color w:val="auto"/>
                <w:sz w:val="28"/>
                <w:highlight w:val="none"/>
              </w:rPr>
              <w:t>签订时间：</w:t>
            </w:r>
          </w:p>
        </w:tc>
        <w:tc>
          <w:tcPr>
            <w:tcW w:w="6195" w:type="dxa"/>
            <w:tcBorders>
              <w:top w:val="nil"/>
              <w:left w:val="nil"/>
              <w:bottom w:val="nil"/>
              <w:right w:val="nil"/>
            </w:tcBorders>
          </w:tcPr>
          <w:p>
            <w:pPr>
              <w:ind w:firstLine="422"/>
              <w:rPr>
                <w:color w:val="auto"/>
                <w:highlight w:val="none"/>
              </w:rPr>
            </w:pPr>
            <w:r>
              <w:rPr>
                <w:b/>
                <w:color w:val="auto"/>
                <w:highlight w:val="none"/>
                <w:u w:val="single"/>
              </w:rPr>
              <w:t xml:space="preserve">                                            </w:t>
            </w:r>
          </w:p>
        </w:tc>
      </w:tr>
    </w:tbl>
    <w:p>
      <w:pPr>
        <w:rPr>
          <w:color w:val="auto"/>
          <w:highlight w:val="none"/>
        </w:rPr>
      </w:pPr>
    </w:p>
    <w:p>
      <w:pPr>
        <w:rPr>
          <w:color w:val="auto"/>
          <w:highlight w:val="none"/>
        </w:rPr>
      </w:pPr>
    </w:p>
    <w:p>
      <w:pPr>
        <w:ind w:firstLine="560"/>
        <w:jc w:val="center"/>
        <w:rPr>
          <w:color w:val="auto"/>
          <w:highlight w:val="none"/>
        </w:rPr>
      </w:pPr>
      <w:r>
        <w:rPr>
          <w:color w:val="auto"/>
          <w:sz w:val="28"/>
          <w:highlight w:val="none"/>
        </w:rPr>
        <w:t>二〇二</w:t>
      </w:r>
      <w:r>
        <w:rPr>
          <w:rFonts w:hint="eastAsia"/>
          <w:color w:val="auto"/>
          <w:sz w:val="28"/>
          <w:highlight w:val="none"/>
        </w:rPr>
        <w:t>四</w:t>
      </w:r>
      <w:r>
        <w:rPr>
          <w:color w:val="auto"/>
          <w:sz w:val="28"/>
          <w:highlight w:val="none"/>
        </w:rPr>
        <w:t>年</w:t>
      </w:r>
      <w:r>
        <w:rPr>
          <w:color w:val="auto"/>
          <w:highlight w:val="none"/>
          <w:u w:val="single"/>
        </w:rPr>
        <w:t xml:space="preserve">   </w:t>
      </w:r>
      <w:r>
        <w:rPr>
          <w:color w:val="auto"/>
          <w:sz w:val="28"/>
          <w:highlight w:val="none"/>
        </w:rPr>
        <w:t>月于东莞</w:t>
      </w:r>
    </w:p>
    <w:p>
      <w:pPr>
        <w:rPr>
          <w:color w:val="auto"/>
          <w:highlight w:val="none"/>
        </w:rPr>
      </w:pPr>
      <w:r>
        <w:rPr>
          <w:color w:val="auto"/>
          <w:highlight w:val="none"/>
        </w:rPr>
        <w:br w:type="page"/>
      </w:r>
    </w:p>
    <w:p>
      <w:pPr>
        <w:pStyle w:val="42"/>
        <w:ind w:firstLine="420"/>
        <w:rPr>
          <w:color w:val="auto"/>
          <w:sz w:val="21"/>
          <w:szCs w:val="21"/>
          <w:highlight w:val="none"/>
        </w:rPr>
      </w:pPr>
      <w:r>
        <w:rPr>
          <w:rFonts w:hint="eastAsia"/>
          <w:color w:val="auto"/>
          <w:sz w:val="21"/>
          <w:szCs w:val="21"/>
          <w:highlight w:val="none"/>
        </w:rPr>
        <w:t>根据《中华人民共和国民法典》、《建设工程质量检测管理办法》、《房屋建筑和市政</w:t>
      </w:r>
      <w:r>
        <w:rPr>
          <w:color w:val="auto"/>
          <w:sz w:val="21"/>
          <w:szCs w:val="21"/>
          <w:highlight w:val="none"/>
        </w:rPr>
        <w:t>基础</w:t>
      </w:r>
      <w:r>
        <w:rPr>
          <w:rFonts w:hint="eastAsia"/>
          <w:color w:val="auto"/>
          <w:sz w:val="21"/>
          <w:szCs w:val="21"/>
          <w:highlight w:val="none"/>
        </w:rPr>
        <w:t>设施</w:t>
      </w:r>
      <w:r>
        <w:rPr>
          <w:color w:val="auto"/>
          <w:sz w:val="21"/>
          <w:szCs w:val="21"/>
          <w:highlight w:val="none"/>
        </w:rPr>
        <w:t>工程质量检测技术管理规范</w:t>
      </w:r>
      <w:r>
        <w:rPr>
          <w:rFonts w:hint="eastAsia"/>
          <w:color w:val="auto"/>
          <w:sz w:val="21"/>
          <w:szCs w:val="21"/>
          <w:highlight w:val="none"/>
        </w:rPr>
        <w:t>》、《广东省建设工程质量管理条例》等有关规定，在自愿、平等、公平和诚实守信的基础上，建设单位（甲方）与检测单位（乙方）就建设工程质量检测的有关事宜，协商签订本合同。</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第一章  项目概况</w:t>
      </w:r>
    </w:p>
    <w:p>
      <w:pPr>
        <w:pStyle w:val="42"/>
        <w:ind w:firstLine="420"/>
        <w:rPr>
          <w:color w:val="auto"/>
          <w:sz w:val="21"/>
          <w:szCs w:val="21"/>
          <w:highlight w:val="none"/>
        </w:rPr>
      </w:pPr>
      <w:r>
        <w:rPr>
          <w:rFonts w:hint="eastAsia"/>
          <w:color w:val="auto"/>
          <w:sz w:val="21"/>
          <w:szCs w:val="21"/>
          <w:highlight w:val="none"/>
        </w:rPr>
        <w:t xml:space="preserve">1.1 项目名称：                                                     </w:t>
      </w:r>
    </w:p>
    <w:p>
      <w:pPr>
        <w:pStyle w:val="42"/>
        <w:ind w:firstLine="420"/>
        <w:rPr>
          <w:color w:val="auto"/>
          <w:sz w:val="21"/>
          <w:szCs w:val="21"/>
          <w:highlight w:val="none"/>
        </w:rPr>
      </w:pPr>
      <w:r>
        <w:rPr>
          <w:rFonts w:hint="eastAsia"/>
          <w:color w:val="auto"/>
          <w:sz w:val="21"/>
          <w:szCs w:val="21"/>
          <w:highlight w:val="none"/>
        </w:rPr>
        <w:t xml:space="preserve">1.2 项目地址：东莞市石排镇                                      </w:t>
      </w:r>
    </w:p>
    <w:p>
      <w:pPr>
        <w:pStyle w:val="42"/>
        <w:ind w:firstLine="420"/>
        <w:rPr>
          <w:color w:val="auto"/>
          <w:sz w:val="21"/>
          <w:szCs w:val="21"/>
          <w:highlight w:val="none"/>
          <w:lang w:bidi="ar"/>
        </w:rPr>
      </w:pPr>
      <w:r>
        <w:rPr>
          <w:rFonts w:hint="eastAsia"/>
          <w:color w:val="auto"/>
          <w:sz w:val="21"/>
          <w:szCs w:val="21"/>
          <w:highlight w:val="none"/>
        </w:rPr>
        <w:t xml:space="preserve">1.3 项目概况：                                                    </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第二章  检测内容</w:t>
      </w:r>
    </w:p>
    <w:p>
      <w:pPr>
        <w:pStyle w:val="42"/>
        <w:ind w:firstLine="420"/>
        <w:rPr>
          <w:color w:val="auto"/>
          <w:sz w:val="21"/>
          <w:szCs w:val="21"/>
          <w:highlight w:val="none"/>
        </w:rPr>
      </w:pPr>
      <w:r>
        <w:rPr>
          <w:color w:val="auto"/>
          <w:sz w:val="21"/>
          <w:szCs w:val="21"/>
          <w:highlight w:val="none"/>
        </w:rPr>
        <w:t xml:space="preserve">乙方须根据国家标准及其它相关行业规程的要求，完成本项目检测所必须的质量检测项目及数量，出具合法有效且符合检测规范要求的检测报告，为工程进度控制提供依据；为保证工程质量提供保障。 </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第三章  检测标准</w:t>
      </w:r>
    </w:p>
    <w:p>
      <w:pPr>
        <w:pStyle w:val="42"/>
        <w:ind w:firstLine="420"/>
        <w:rPr>
          <w:color w:val="auto"/>
          <w:sz w:val="21"/>
          <w:szCs w:val="21"/>
          <w:highlight w:val="none"/>
        </w:rPr>
      </w:pPr>
      <w:r>
        <w:rPr>
          <w:color w:val="auto"/>
          <w:sz w:val="21"/>
          <w:szCs w:val="21"/>
          <w:highlight w:val="none"/>
        </w:rPr>
        <w:t>双方约定的检测标准应符合国家、省、市及行业主管部门颁发的有效的标准文件、规范文件及规程文件。</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第四章  结算方式</w:t>
      </w:r>
    </w:p>
    <w:p>
      <w:pPr>
        <w:pStyle w:val="42"/>
        <w:ind w:firstLine="420"/>
        <w:rPr>
          <w:color w:val="auto"/>
          <w:sz w:val="21"/>
          <w:szCs w:val="21"/>
          <w:highlight w:val="none"/>
        </w:rPr>
      </w:pPr>
      <w:r>
        <w:rPr>
          <w:rFonts w:hint="eastAsia"/>
          <w:color w:val="auto"/>
          <w:sz w:val="21"/>
          <w:szCs w:val="21"/>
          <w:highlight w:val="none"/>
        </w:rPr>
        <w:t>（一）检测费用</w:t>
      </w:r>
    </w:p>
    <w:p>
      <w:pPr>
        <w:spacing w:line="360" w:lineRule="auto"/>
        <w:ind w:left="57" w:leftChars="27" w:right="144" w:firstLine="451" w:firstLineChars="215"/>
        <w:rPr>
          <w:rFonts w:ascii="宋体" w:hAnsi="宋体" w:cs="宋体"/>
          <w:bCs/>
          <w:color w:val="auto"/>
          <w:szCs w:val="21"/>
          <w:highlight w:val="none"/>
        </w:rPr>
      </w:pPr>
      <w:r>
        <w:rPr>
          <w:rFonts w:hint="eastAsia" w:ascii="宋体" w:hAnsi="宋体" w:cs="宋体"/>
          <w:bCs/>
          <w:color w:val="auto"/>
          <w:szCs w:val="21"/>
          <w:highlight w:val="none"/>
        </w:rPr>
        <w:t>本合同暂定价款：检测服务收费系数为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，根据暂定检测工程量计算的合同暂定价为大写：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（小写：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元），其中不含税为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元，增值税税率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pStyle w:val="42"/>
        <w:ind w:firstLine="420"/>
        <w:rPr>
          <w:color w:val="auto"/>
          <w:sz w:val="21"/>
          <w:szCs w:val="21"/>
          <w:highlight w:val="none"/>
        </w:rPr>
      </w:pPr>
      <w:r>
        <w:rPr>
          <w:rFonts w:hint="eastAsia"/>
          <w:color w:val="auto"/>
          <w:sz w:val="21"/>
          <w:szCs w:val="21"/>
          <w:highlight w:val="none"/>
        </w:rPr>
        <w:t>检测费参照《东莞市建设工程检测行业参考收费标准（2023版）》收费标准</w:t>
      </w:r>
      <w:r>
        <w:rPr>
          <w:rFonts w:hint="eastAsia" w:ascii="宋体" w:hAnsi="宋体" w:cs="宋体"/>
          <w:color w:val="auto"/>
          <w:sz w:val="21"/>
          <w:szCs w:val="21"/>
          <w:highlight w:val="none"/>
          <w:lang w:val="en-US" w:eastAsia="zh-CN"/>
        </w:rPr>
        <w:t>下浮25%</w:t>
      </w:r>
      <w:r>
        <w:rPr>
          <w:rFonts w:hint="eastAsia"/>
          <w:color w:val="auto"/>
          <w:sz w:val="21"/>
          <w:szCs w:val="21"/>
          <w:highlight w:val="none"/>
        </w:rPr>
        <w:t>×成交检测服务收费系数×实际完成工程量进行计算，上述收费标准中未包含的部分参照《关于印发〈广东省房屋建筑和市政工程质量安全检测收费指导价（第一批）〉和〈广东省既有房屋建筑安全性鉴定收费指导价〉的通知》（粤建检协〔2015〕8 号），上述两个收费文件均未包含的按甲方委托第三方专业机构出具，并经甲方审核后的相应收费标准乘</w:t>
      </w:r>
      <w:r>
        <w:rPr>
          <w:rFonts w:hint="eastAsia" w:ascii="宋体" w:hAnsi="宋体" w:cs="宋体"/>
          <w:color w:val="auto"/>
          <w:sz w:val="21"/>
          <w:szCs w:val="21"/>
          <w:highlight w:val="none"/>
          <w:lang w:val="en-US" w:eastAsia="zh-CN"/>
        </w:rPr>
        <w:t>下浮25%</w:t>
      </w:r>
      <w:r>
        <w:rPr>
          <w:rFonts w:hint="eastAsia"/>
          <w:color w:val="auto"/>
          <w:sz w:val="21"/>
          <w:szCs w:val="21"/>
          <w:highlight w:val="none"/>
        </w:rPr>
        <w:t>以成交检测服务收费系数计算。</w:t>
      </w:r>
    </w:p>
    <w:p>
      <w:pPr>
        <w:pStyle w:val="42"/>
        <w:ind w:firstLine="420"/>
        <w:rPr>
          <w:color w:val="auto"/>
          <w:sz w:val="21"/>
          <w:szCs w:val="21"/>
          <w:highlight w:val="none"/>
        </w:rPr>
      </w:pPr>
      <w:r>
        <w:rPr>
          <w:rFonts w:hint="eastAsia" w:ascii="宋体" w:hAnsi="宋体" w:cs="宋体"/>
          <w:color w:val="auto"/>
          <w:sz w:val="21"/>
          <w:szCs w:val="21"/>
          <w:highlight w:val="none"/>
        </w:rPr>
        <w:t>最终检测费用根据</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审核确认的检测方案及最终结算按实际发生的检测数量×结算单价（相关收费标准下浮2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%）×成交检测服务收费系数结算，并以</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审核后的结果为准。</w:t>
      </w:r>
    </w:p>
    <w:p>
      <w:pPr>
        <w:pStyle w:val="42"/>
        <w:ind w:firstLine="420"/>
        <w:rPr>
          <w:color w:val="auto"/>
          <w:sz w:val="21"/>
          <w:szCs w:val="21"/>
          <w:highlight w:val="none"/>
        </w:rPr>
      </w:pPr>
      <w:r>
        <w:rPr>
          <w:rFonts w:hint="eastAsia"/>
          <w:color w:val="auto"/>
          <w:sz w:val="21"/>
          <w:szCs w:val="21"/>
          <w:highlight w:val="none"/>
        </w:rPr>
        <w:t>（二）支付方式</w:t>
      </w:r>
    </w:p>
    <w:p>
      <w:pPr>
        <w:pStyle w:val="42"/>
        <w:ind w:firstLine="420"/>
        <w:rPr>
          <w:color w:val="auto"/>
          <w:sz w:val="21"/>
          <w:szCs w:val="21"/>
          <w:highlight w:val="none"/>
        </w:rPr>
      </w:pPr>
      <w:r>
        <w:rPr>
          <w:rFonts w:hint="eastAsia"/>
          <w:color w:val="auto"/>
          <w:sz w:val="21"/>
          <w:szCs w:val="21"/>
          <w:highlight w:val="none"/>
        </w:rPr>
        <w:t>1、付款方式：</w:t>
      </w:r>
    </w:p>
    <w:p>
      <w:pPr>
        <w:pStyle w:val="42"/>
        <w:ind w:firstLine="420"/>
        <w:rPr>
          <w:color w:val="auto"/>
          <w:sz w:val="21"/>
          <w:szCs w:val="21"/>
          <w:highlight w:val="none"/>
        </w:rPr>
      </w:pPr>
      <w:r>
        <w:rPr>
          <w:rFonts w:hint="eastAsia"/>
          <w:color w:val="auto"/>
          <w:sz w:val="21"/>
          <w:szCs w:val="21"/>
          <w:highlight w:val="none"/>
        </w:rPr>
        <w:t>合同签订后，甲方应向乙方支付合同暂定金额30%的预付款；当乙方累计完成的实际工作量超过预付款金额后，甲方再向乙方办理进度款支付。甲方按乙方实际完成检测工作量的80%支付检测费进度款，累计支付的进度款不超过合同暂定金额的80%；乙方完成全部的检测项目并提交全部检测成果报告经甲方审核通过，合同结算完毕，乙方提交请款报告，甲方完成审核后30个工作日内，甲方按结算价一次支付余款。最终费用按实际结算，如检测范围或数量超出合同约定，需提前通知甲方，经甲方同意后才可以进行检测，乙方每次进场前需通知甲方进行监督。</w:t>
      </w:r>
    </w:p>
    <w:p>
      <w:pPr>
        <w:pStyle w:val="42"/>
        <w:ind w:firstLine="420"/>
        <w:rPr>
          <w:color w:val="auto"/>
          <w:sz w:val="21"/>
          <w:szCs w:val="21"/>
          <w:highlight w:val="none"/>
        </w:rPr>
      </w:pPr>
      <w:r>
        <w:rPr>
          <w:rFonts w:hint="eastAsia"/>
          <w:color w:val="auto"/>
          <w:sz w:val="21"/>
          <w:szCs w:val="21"/>
          <w:highlight w:val="none"/>
        </w:rPr>
        <w:t>乙方收取每笔款项前，需提供6%增值税等额有效的发票，如乙方延迟提供发票或提供的发票不合格，甲方的付款时间可相应顺延，且不视为违约。</w:t>
      </w:r>
    </w:p>
    <w:p>
      <w:pPr>
        <w:pStyle w:val="42"/>
        <w:ind w:firstLine="420"/>
        <w:rPr>
          <w:color w:val="auto"/>
          <w:sz w:val="21"/>
          <w:szCs w:val="21"/>
          <w:highlight w:val="none"/>
        </w:rPr>
      </w:pPr>
      <w:r>
        <w:rPr>
          <w:rFonts w:hint="eastAsia"/>
          <w:color w:val="auto"/>
          <w:sz w:val="21"/>
          <w:szCs w:val="21"/>
          <w:highlight w:val="none"/>
        </w:rPr>
        <w:t xml:space="preserve">2、收款方式：□ 现金支付    □ 支票   </w:t>
      </w:r>
      <w:r>
        <w:rPr>
          <w:rFonts w:hint="eastAsia" w:ascii="MS Gothic" w:hAnsi="MS Gothic" w:eastAsia="MS Gothic" w:cs="MS Gothic"/>
          <w:color w:val="auto"/>
          <w:sz w:val="21"/>
          <w:szCs w:val="21"/>
          <w:highlight w:val="none"/>
        </w:rPr>
        <w:t>☑</w:t>
      </w:r>
      <w:r>
        <w:rPr>
          <w:rFonts w:hint="eastAsia"/>
          <w:color w:val="auto"/>
          <w:sz w:val="21"/>
          <w:szCs w:val="21"/>
          <w:highlight w:val="none"/>
        </w:rPr>
        <w:t xml:space="preserve"> 银行转账</w:t>
      </w:r>
    </w:p>
    <w:p>
      <w:pPr>
        <w:pStyle w:val="42"/>
        <w:ind w:firstLine="420"/>
        <w:rPr>
          <w:color w:val="auto"/>
          <w:sz w:val="21"/>
          <w:szCs w:val="21"/>
          <w:highlight w:val="none"/>
        </w:rPr>
      </w:pPr>
      <w:r>
        <w:rPr>
          <w:rFonts w:hint="eastAsia"/>
          <w:color w:val="auto"/>
          <w:sz w:val="21"/>
          <w:szCs w:val="21"/>
          <w:highlight w:val="none"/>
        </w:rPr>
        <w:t>3、收款账号：</w:t>
      </w:r>
    </w:p>
    <w:p>
      <w:pPr>
        <w:pStyle w:val="42"/>
        <w:ind w:firstLine="420"/>
        <w:rPr>
          <w:color w:val="auto"/>
          <w:sz w:val="21"/>
          <w:szCs w:val="21"/>
          <w:highlight w:val="none"/>
        </w:rPr>
      </w:pPr>
      <w:r>
        <w:rPr>
          <w:rFonts w:hint="eastAsia"/>
          <w:color w:val="auto"/>
          <w:sz w:val="21"/>
          <w:szCs w:val="21"/>
          <w:highlight w:val="none"/>
        </w:rPr>
        <w:t>账户名称：</w:t>
      </w:r>
    </w:p>
    <w:p>
      <w:pPr>
        <w:pStyle w:val="42"/>
        <w:ind w:firstLine="420"/>
        <w:rPr>
          <w:color w:val="auto"/>
          <w:sz w:val="21"/>
          <w:szCs w:val="21"/>
          <w:highlight w:val="none"/>
        </w:rPr>
      </w:pPr>
      <w:r>
        <w:rPr>
          <w:rFonts w:hint="eastAsia"/>
          <w:color w:val="auto"/>
          <w:sz w:val="21"/>
          <w:szCs w:val="21"/>
          <w:highlight w:val="none"/>
        </w:rPr>
        <w:t>开户行：</w:t>
      </w:r>
    </w:p>
    <w:p>
      <w:pPr>
        <w:pStyle w:val="42"/>
        <w:ind w:firstLine="420"/>
        <w:rPr>
          <w:color w:val="auto"/>
          <w:sz w:val="21"/>
          <w:szCs w:val="21"/>
          <w:highlight w:val="none"/>
        </w:rPr>
      </w:pPr>
      <w:r>
        <w:rPr>
          <w:rFonts w:hint="eastAsia"/>
          <w:color w:val="auto"/>
          <w:sz w:val="21"/>
          <w:szCs w:val="21"/>
          <w:highlight w:val="none"/>
        </w:rPr>
        <w:t>账</w:t>
      </w:r>
      <w:r>
        <w:rPr>
          <w:color w:val="auto"/>
          <w:sz w:val="21"/>
          <w:szCs w:val="21"/>
          <w:highlight w:val="none"/>
        </w:rPr>
        <w:t xml:space="preserve">  号：</w:t>
      </w:r>
    </w:p>
    <w:p>
      <w:pPr>
        <w:pStyle w:val="42"/>
        <w:ind w:firstLine="420"/>
        <w:rPr>
          <w:color w:val="auto"/>
          <w:sz w:val="21"/>
          <w:szCs w:val="21"/>
          <w:highlight w:val="none"/>
        </w:rPr>
      </w:pPr>
      <w:r>
        <w:rPr>
          <w:rFonts w:hint="eastAsia"/>
          <w:color w:val="auto"/>
          <w:sz w:val="21"/>
          <w:szCs w:val="21"/>
          <w:highlight w:val="none"/>
        </w:rPr>
        <w:t>（三）开票内容</w:t>
      </w:r>
    </w:p>
    <w:p>
      <w:pPr>
        <w:pStyle w:val="42"/>
        <w:ind w:firstLine="420"/>
        <w:rPr>
          <w:color w:val="auto"/>
          <w:sz w:val="21"/>
          <w:szCs w:val="21"/>
          <w:highlight w:val="none"/>
        </w:rPr>
      </w:pPr>
      <w:r>
        <w:rPr>
          <w:rFonts w:hint="eastAsia"/>
          <w:color w:val="auto"/>
          <w:sz w:val="21"/>
          <w:szCs w:val="21"/>
          <w:highlight w:val="none"/>
        </w:rPr>
        <w:t xml:space="preserve">1、发票类型： </w:t>
      </w:r>
    </w:p>
    <w:p>
      <w:pPr>
        <w:pStyle w:val="42"/>
        <w:ind w:firstLine="420"/>
        <w:rPr>
          <w:color w:val="auto"/>
          <w:sz w:val="21"/>
          <w:szCs w:val="21"/>
          <w:highlight w:val="none"/>
        </w:rPr>
      </w:pPr>
      <w:r>
        <w:rPr>
          <w:rFonts w:hint="eastAsia" w:ascii="MS Gothic" w:hAnsi="MS Gothic" w:eastAsia="MS Gothic" w:cs="MS Gothic"/>
          <w:color w:val="auto"/>
          <w:sz w:val="21"/>
          <w:szCs w:val="21"/>
          <w:highlight w:val="none"/>
        </w:rPr>
        <w:t>☑</w:t>
      </w:r>
      <w:r>
        <w:rPr>
          <w:rFonts w:hint="eastAsia"/>
          <w:color w:val="auto"/>
          <w:sz w:val="21"/>
          <w:szCs w:val="21"/>
          <w:highlight w:val="none"/>
        </w:rPr>
        <w:t xml:space="preserve"> 增值税专用发票（纸质发票）   □ 增值税普通发票（纸质发票）</w:t>
      </w:r>
    </w:p>
    <w:p>
      <w:pPr>
        <w:pStyle w:val="42"/>
        <w:ind w:firstLine="420"/>
        <w:rPr>
          <w:color w:val="auto"/>
          <w:sz w:val="21"/>
          <w:szCs w:val="21"/>
          <w:highlight w:val="none"/>
        </w:rPr>
      </w:pPr>
      <w:r>
        <w:rPr>
          <w:rFonts w:hint="eastAsia"/>
          <w:color w:val="auto"/>
          <w:sz w:val="21"/>
          <w:szCs w:val="21"/>
          <w:highlight w:val="none"/>
        </w:rPr>
        <w:t>□ 增值税专用发票（全电发票）   □ 增值税普通发票（全电发票）</w:t>
      </w:r>
    </w:p>
    <w:p>
      <w:pPr>
        <w:pStyle w:val="42"/>
        <w:ind w:firstLine="420"/>
        <w:rPr>
          <w:color w:val="auto"/>
          <w:sz w:val="21"/>
          <w:szCs w:val="21"/>
          <w:highlight w:val="none"/>
        </w:rPr>
      </w:pPr>
      <w:r>
        <w:rPr>
          <w:rFonts w:hint="eastAsia"/>
          <w:color w:val="auto"/>
          <w:sz w:val="21"/>
          <w:szCs w:val="21"/>
          <w:highlight w:val="none"/>
        </w:rPr>
        <w:t>2、开票信息</w:t>
      </w:r>
    </w:p>
    <w:p>
      <w:pPr>
        <w:pStyle w:val="42"/>
        <w:ind w:firstLine="420"/>
        <w:rPr>
          <w:color w:val="auto"/>
          <w:sz w:val="21"/>
          <w:szCs w:val="21"/>
          <w:highlight w:val="none"/>
        </w:rPr>
      </w:pPr>
      <w:r>
        <w:rPr>
          <w:rFonts w:hint="eastAsia"/>
          <w:color w:val="auto"/>
          <w:sz w:val="21"/>
          <w:szCs w:val="21"/>
          <w:highlight w:val="none"/>
        </w:rPr>
        <w:t xml:space="preserve">单位名称：                        </w:t>
      </w:r>
    </w:p>
    <w:p>
      <w:pPr>
        <w:pStyle w:val="42"/>
        <w:ind w:firstLine="420"/>
        <w:rPr>
          <w:color w:val="auto"/>
          <w:sz w:val="21"/>
          <w:szCs w:val="21"/>
          <w:highlight w:val="none"/>
        </w:rPr>
      </w:pPr>
      <w:r>
        <w:rPr>
          <w:rFonts w:hint="eastAsia"/>
          <w:color w:val="auto"/>
          <w:sz w:val="21"/>
          <w:szCs w:val="21"/>
          <w:highlight w:val="none"/>
        </w:rPr>
        <w:t xml:space="preserve">纳税识别号：                      </w:t>
      </w:r>
    </w:p>
    <w:p>
      <w:pPr>
        <w:pStyle w:val="42"/>
        <w:ind w:firstLine="420"/>
        <w:rPr>
          <w:color w:val="auto"/>
          <w:sz w:val="21"/>
          <w:szCs w:val="21"/>
          <w:highlight w:val="none"/>
        </w:rPr>
      </w:pPr>
      <w:r>
        <w:rPr>
          <w:rFonts w:hint="eastAsia"/>
          <w:color w:val="auto"/>
          <w:sz w:val="21"/>
          <w:szCs w:val="21"/>
          <w:highlight w:val="none"/>
        </w:rPr>
        <w:t xml:space="preserve">开户行及账号：                    </w:t>
      </w:r>
    </w:p>
    <w:p>
      <w:pPr>
        <w:pStyle w:val="42"/>
        <w:ind w:firstLine="420"/>
        <w:rPr>
          <w:color w:val="auto"/>
          <w:sz w:val="21"/>
          <w:szCs w:val="21"/>
          <w:highlight w:val="none"/>
        </w:rPr>
      </w:pPr>
      <w:r>
        <w:rPr>
          <w:rFonts w:hint="eastAsia"/>
          <w:color w:val="auto"/>
          <w:sz w:val="21"/>
          <w:szCs w:val="21"/>
          <w:highlight w:val="none"/>
        </w:rPr>
        <w:t xml:space="preserve">地址、电话：                      </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第五章  检测报告的交付</w:t>
      </w:r>
    </w:p>
    <w:p>
      <w:pPr>
        <w:pStyle w:val="42"/>
        <w:ind w:firstLine="420"/>
        <w:rPr>
          <w:color w:val="auto"/>
          <w:sz w:val="21"/>
          <w:szCs w:val="21"/>
          <w:highlight w:val="none"/>
        </w:rPr>
      </w:pPr>
      <w:r>
        <w:rPr>
          <w:rFonts w:hint="eastAsia"/>
          <w:color w:val="auto"/>
          <w:sz w:val="21"/>
          <w:szCs w:val="21"/>
          <w:highlight w:val="none"/>
        </w:rPr>
        <w:t xml:space="preserve">5.1 </w:t>
      </w:r>
      <w:r>
        <w:rPr>
          <w:color w:val="auto"/>
          <w:sz w:val="21"/>
          <w:szCs w:val="21"/>
          <w:highlight w:val="none"/>
        </w:rPr>
        <w:t>乙方交付检测报告数量为一式</w:t>
      </w:r>
      <w:r>
        <w:rPr>
          <w:color w:val="auto"/>
          <w:sz w:val="21"/>
          <w:szCs w:val="21"/>
          <w:highlight w:val="none"/>
          <w:u w:val="single"/>
        </w:rPr>
        <w:t xml:space="preserve"> </w:t>
      </w:r>
      <w:r>
        <w:rPr>
          <w:rFonts w:hint="eastAsia"/>
          <w:color w:val="auto"/>
          <w:sz w:val="21"/>
          <w:szCs w:val="21"/>
          <w:highlight w:val="none"/>
          <w:u w:val="single"/>
        </w:rPr>
        <w:t xml:space="preserve"> 肆  </w:t>
      </w:r>
      <w:r>
        <w:rPr>
          <w:color w:val="auto"/>
          <w:sz w:val="21"/>
          <w:szCs w:val="21"/>
          <w:highlight w:val="none"/>
        </w:rPr>
        <w:t>份，</w:t>
      </w:r>
      <w:r>
        <w:rPr>
          <w:rFonts w:hint="eastAsia"/>
          <w:color w:val="auto"/>
          <w:sz w:val="21"/>
          <w:szCs w:val="21"/>
          <w:highlight w:val="none"/>
        </w:rPr>
        <w:t>当</w:t>
      </w:r>
      <w:r>
        <w:rPr>
          <w:color w:val="auto"/>
          <w:sz w:val="21"/>
          <w:szCs w:val="21"/>
          <w:highlight w:val="none"/>
        </w:rPr>
        <w:t>甲方对检测报告份数有特殊需要时，可另行约定。</w:t>
      </w:r>
    </w:p>
    <w:p>
      <w:pPr>
        <w:pStyle w:val="42"/>
        <w:ind w:firstLine="420"/>
        <w:rPr>
          <w:rFonts w:eastAsiaTheme="minorEastAsia"/>
          <w:color w:val="auto"/>
          <w:sz w:val="21"/>
          <w:szCs w:val="21"/>
          <w:highlight w:val="none"/>
        </w:rPr>
      </w:pPr>
      <w:r>
        <w:rPr>
          <w:rFonts w:hint="eastAsia"/>
          <w:color w:val="auto"/>
          <w:sz w:val="21"/>
          <w:szCs w:val="21"/>
          <w:highlight w:val="none"/>
        </w:rPr>
        <w:t>5.2 乙方应于到现场检测或现场取样后</w:t>
      </w:r>
      <w:r>
        <w:rPr>
          <w:rFonts w:hint="eastAsia"/>
          <w:color w:val="auto"/>
          <w:sz w:val="21"/>
          <w:szCs w:val="21"/>
          <w:highlight w:val="none"/>
          <w:u w:val="single"/>
        </w:rPr>
        <w:t xml:space="preserve">  10  </w:t>
      </w:r>
      <w:r>
        <w:rPr>
          <w:rFonts w:hint="eastAsia"/>
          <w:color w:val="auto"/>
          <w:sz w:val="21"/>
          <w:szCs w:val="21"/>
          <w:highlight w:val="none"/>
        </w:rPr>
        <w:t>个工作日内完成检测，并于完成检测后10个工作日内出具检测报告。</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第六章  检测样品的运输</w:t>
      </w:r>
    </w:p>
    <w:p>
      <w:pPr>
        <w:pStyle w:val="42"/>
        <w:ind w:firstLine="420"/>
        <w:rPr>
          <w:color w:val="auto"/>
          <w:sz w:val="21"/>
          <w:szCs w:val="21"/>
          <w:highlight w:val="none"/>
        </w:rPr>
      </w:pPr>
      <w:r>
        <w:rPr>
          <w:color w:val="auto"/>
          <w:sz w:val="21"/>
          <w:szCs w:val="21"/>
          <w:highlight w:val="none"/>
        </w:rPr>
        <w:t>双方约定</w:t>
      </w:r>
      <w:r>
        <w:rPr>
          <w:rFonts w:hint="eastAsia"/>
          <w:color w:val="auto"/>
          <w:sz w:val="21"/>
          <w:szCs w:val="21"/>
          <w:highlight w:val="none"/>
        </w:rPr>
        <w:t>：乙方根据检测项目的需要到工程现场检测或工程现场收取检测样品（原材料除外），并由乙方承担因此产生的相关费用</w:t>
      </w:r>
      <w:r>
        <w:rPr>
          <w:color w:val="auto"/>
          <w:sz w:val="21"/>
          <w:szCs w:val="21"/>
          <w:highlight w:val="none"/>
        </w:rPr>
        <w:t>。乙方按有关规定对检测后的样品进行留样。</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第七章  甲方的权利义务</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7.1 根据建设主管部门有关规定，建设单位为委托工程质量检测的主体。甲方应与施工、监理、设计等责任单位按照有关规定并结合项目实际情况，共同编制工程检测方案。</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7.2 甲方应向乙方提供完善的工程资料、工程检测方案及工程材料取样和送检见证人资料，见证人员应符合有关规定并对取样和送检样品的代表性和真实性负责。</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7.3 甲方应按检测有关标准要求和双方约定做好现场检测的准备工作。</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7.4 甲方应做好现场检测的安保工作，确保检测期间仪器设备的安全，保证检测工作不受外界利因素影响。</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7.5 甲方不得以任何方式要求乙方修改检测数据出具虚假检测报告。</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7.6 双方签订本合同后，当本合同工程概况中所列信息以及委托的检测项目等发生变化时，甲方应当与乙方及时办理本合同变更手续。</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7.7 甲方应当按合同约定及时支付相应检测费用，由于甲方原因造成的停工、返工，不得向乙方收取费用。</w:t>
      </w:r>
    </w:p>
    <w:p>
      <w:pPr>
        <w:shd w:val="solid" w:color="FFFFFF" w:fill="auto"/>
        <w:autoSpaceDN w:val="0"/>
        <w:adjustRightInd w:val="0"/>
        <w:snapToGrid w:val="0"/>
        <w:spacing w:line="360" w:lineRule="auto"/>
        <w:ind w:firstLine="420"/>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7.8 甲方有权对乙方未按标准要求或合同约定进行检测的行为和违法违规的行为向相关执法部门举报。</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第八章  乙方的权利义务</w:t>
      </w:r>
    </w:p>
    <w:p>
      <w:pPr>
        <w:pStyle w:val="42"/>
        <w:ind w:firstLine="420"/>
        <w:rPr>
          <w:color w:val="auto"/>
          <w:sz w:val="21"/>
          <w:szCs w:val="21"/>
          <w:highlight w:val="none"/>
        </w:rPr>
      </w:pPr>
      <w:r>
        <w:rPr>
          <w:rFonts w:hint="eastAsia"/>
          <w:color w:val="auto"/>
          <w:sz w:val="21"/>
          <w:szCs w:val="21"/>
          <w:highlight w:val="none"/>
        </w:rPr>
        <w:t xml:space="preserve">8.1 </w:t>
      </w:r>
      <w:r>
        <w:rPr>
          <w:color w:val="auto"/>
          <w:sz w:val="21"/>
          <w:szCs w:val="21"/>
          <w:highlight w:val="none"/>
        </w:rPr>
        <w:t>乙方应向甲方提供与本工程检测业务有关的资料，</w:t>
      </w:r>
      <w:r>
        <w:rPr>
          <w:rFonts w:hint="eastAsia"/>
          <w:color w:val="auto"/>
          <w:sz w:val="21"/>
          <w:szCs w:val="21"/>
          <w:highlight w:val="none"/>
        </w:rPr>
        <w:t>包括但不限于营业执照、</w:t>
      </w:r>
      <w:r>
        <w:rPr>
          <w:color w:val="auto"/>
          <w:sz w:val="21"/>
          <w:szCs w:val="21"/>
          <w:highlight w:val="none"/>
        </w:rPr>
        <w:t xml:space="preserve">建设工程检测资质证书、办事指南等。 </w:t>
      </w:r>
    </w:p>
    <w:p>
      <w:pPr>
        <w:pStyle w:val="42"/>
        <w:ind w:firstLine="420"/>
        <w:rPr>
          <w:color w:val="auto"/>
          <w:sz w:val="21"/>
          <w:szCs w:val="21"/>
          <w:highlight w:val="none"/>
        </w:rPr>
      </w:pPr>
      <w:r>
        <w:rPr>
          <w:rFonts w:hint="eastAsia"/>
          <w:color w:val="auto"/>
          <w:sz w:val="21"/>
          <w:szCs w:val="21"/>
          <w:highlight w:val="none"/>
        </w:rPr>
        <w:t xml:space="preserve">8.2 </w:t>
      </w:r>
      <w:r>
        <w:rPr>
          <w:color w:val="auto"/>
          <w:sz w:val="21"/>
          <w:szCs w:val="21"/>
          <w:highlight w:val="none"/>
        </w:rPr>
        <w:t>乙方承诺与行政机关、法律法规授权的具有管理公共事务职能的组织以及本工程相关的设计单位、施工单位、监理单位无隶属关系或者其他利害关系。</w:t>
      </w:r>
    </w:p>
    <w:p>
      <w:pPr>
        <w:pStyle w:val="42"/>
        <w:ind w:firstLine="420"/>
        <w:rPr>
          <w:color w:val="auto"/>
          <w:sz w:val="21"/>
          <w:szCs w:val="21"/>
          <w:highlight w:val="none"/>
        </w:rPr>
      </w:pPr>
      <w:r>
        <w:rPr>
          <w:rFonts w:hint="eastAsia"/>
          <w:color w:val="auto"/>
          <w:sz w:val="21"/>
          <w:szCs w:val="21"/>
          <w:highlight w:val="none"/>
        </w:rPr>
        <w:t>8.3 乙方应当按照国家规定的检测规范进行检测，并对检测数据和检测报告的及时性、真实性、准确性负责。</w:t>
      </w:r>
    </w:p>
    <w:p>
      <w:pPr>
        <w:pStyle w:val="42"/>
        <w:ind w:firstLine="420"/>
        <w:rPr>
          <w:color w:val="auto"/>
          <w:sz w:val="21"/>
          <w:szCs w:val="21"/>
          <w:highlight w:val="none"/>
        </w:rPr>
      </w:pPr>
      <w:r>
        <w:rPr>
          <w:rFonts w:hint="eastAsia"/>
          <w:color w:val="auto"/>
          <w:sz w:val="21"/>
          <w:szCs w:val="21"/>
          <w:highlight w:val="none"/>
        </w:rPr>
        <w:t>8.4 乙方应在双方约定的时间或甲方另行通知的日期进场开展检测活动，检测过程中如出现异常情况时，应立即通知甲方。</w:t>
      </w:r>
    </w:p>
    <w:p>
      <w:pPr>
        <w:pStyle w:val="42"/>
        <w:ind w:firstLine="420"/>
        <w:rPr>
          <w:color w:val="auto"/>
          <w:sz w:val="21"/>
          <w:szCs w:val="21"/>
          <w:highlight w:val="none"/>
        </w:rPr>
      </w:pPr>
      <w:r>
        <w:rPr>
          <w:rFonts w:hint="eastAsia"/>
          <w:color w:val="auto"/>
          <w:sz w:val="21"/>
          <w:szCs w:val="21"/>
          <w:highlight w:val="none"/>
        </w:rPr>
        <w:t xml:space="preserve">8.5 </w:t>
      </w:r>
      <w:r>
        <w:rPr>
          <w:color w:val="auto"/>
          <w:sz w:val="21"/>
          <w:szCs w:val="21"/>
          <w:highlight w:val="none"/>
        </w:rPr>
        <w:t>检测结果不合格的，乙方应在获得检测结果后2日内通知甲方。</w:t>
      </w:r>
    </w:p>
    <w:p>
      <w:pPr>
        <w:pStyle w:val="42"/>
        <w:ind w:firstLine="420"/>
        <w:rPr>
          <w:color w:val="auto"/>
          <w:sz w:val="21"/>
          <w:szCs w:val="21"/>
          <w:highlight w:val="none"/>
        </w:rPr>
      </w:pPr>
      <w:r>
        <w:rPr>
          <w:rFonts w:hint="eastAsia"/>
          <w:color w:val="auto"/>
          <w:sz w:val="21"/>
          <w:szCs w:val="21"/>
          <w:highlight w:val="none"/>
        </w:rPr>
        <w:t>8.6 乙方现场检测时应遵守工程安全管理及其他工程现场管理制度。</w:t>
      </w:r>
    </w:p>
    <w:p>
      <w:pPr>
        <w:pStyle w:val="42"/>
        <w:ind w:firstLine="420"/>
        <w:rPr>
          <w:color w:val="auto"/>
          <w:sz w:val="21"/>
          <w:szCs w:val="21"/>
          <w:highlight w:val="none"/>
        </w:rPr>
      </w:pPr>
      <w:r>
        <w:rPr>
          <w:rFonts w:hint="eastAsia"/>
          <w:color w:val="auto"/>
          <w:sz w:val="21"/>
          <w:szCs w:val="21"/>
          <w:highlight w:val="none"/>
        </w:rPr>
        <w:t>8.7 乙方应现场工作人员建立合法劳动关系，并承担工作人员的薪酬、保险、福利、补贴等；检测过程中，乙方自行对本单位的仪器、设备安全负责，若因乙方原因导致安全事故或造成损失由乙方承担责任。</w:t>
      </w:r>
    </w:p>
    <w:p>
      <w:pPr>
        <w:pStyle w:val="42"/>
        <w:ind w:firstLine="420"/>
        <w:rPr>
          <w:color w:val="auto"/>
          <w:sz w:val="21"/>
          <w:szCs w:val="21"/>
          <w:highlight w:val="none"/>
        </w:rPr>
      </w:pPr>
      <w:r>
        <w:rPr>
          <w:rFonts w:hint="eastAsia"/>
          <w:color w:val="auto"/>
          <w:sz w:val="21"/>
          <w:szCs w:val="21"/>
          <w:highlight w:val="none"/>
        </w:rPr>
        <w:t>8.8 乙方对检测工作中涉及国家机密、商业机密、个人隐私的应当承担保密义务。</w:t>
      </w:r>
    </w:p>
    <w:p>
      <w:pPr>
        <w:pStyle w:val="42"/>
        <w:ind w:firstLine="420"/>
        <w:rPr>
          <w:color w:val="auto"/>
          <w:sz w:val="21"/>
          <w:szCs w:val="21"/>
          <w:highlight w:val="none"/>
        </w:rPr>
      </w:pPr>
      <w:r>
        <w:rPr>
          <w:rFonts w:hint="eastAsia"/>
          <w:color w:val="auto"/>
          <w:sz w:val="21"/>
          <w:szCs w:val="21"/>
          <w:highlight w:val="none"/>
        </w:rPr>
        <w:t>8.9 乙方不具备相应资质的检测内容，或按相关规定需要由两家不同检测单位实施检测的内容，乙方可以委托有资质的第三方单位进行检测。</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第九章  对检测结论异议的处理</w:t>
      </w:r>
    </w:p>
    <w:p>
      <w:pPr>
        <w:pStyle w:val="42"/>
        <w:ind w:firstLine="420"/>
        <w:rPr>
          <w:color w:val="auto"/>
          <w:sz w:val="21"/>
          <w:szCs w:val="21"/>
          <w:highlight w:val="none"/>
        </w:rPr>
      </w:pPr>
      <w:r>
        <w:rPr>
          <w:rFonts w:hint="eastAsia"/>
          <w:color w:val="auto"/>
          <w:sz w:val="21"/>
          <w:szCs w:val="21"/>
          <w:highlight w:val="none"/>
        </w:rPr>
        <w:t>双方对甲方提出的异议无法达成一致意见的，可由双方共同指定检测机构进行复检，复检结论与原检测结论相同的，由甲方支付复检费用；反之，则由乙方承担复检费用。</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第十章  保密责任</w:t>
      </w:r>
    </w:p>
    <w:p>
      <w:pPr>
        <w:pStyle w:val="42"/>
        <w:ind w:firstLine="420"/>
        <w:rPr>
          <w:color w:val="auto"/>
          <w:sz w:val="21"/>
          <w:szCs w:val="21"/>
          <w:highlight w:val="none"/>
        </w:rPr>
      </w:pPr>
      <w:r>
        <w:rPr>
          <w:rFonts w:hint="eastAsia"/>
          <w:color w:val="auto"/>
          <w:sz w:val="21"/>
          <w:szCs w:val="21"/>
          <w:highlight w:val="none"/>
        </w:rPr>
        <w:t xml:space="preserve">10.1 </w:t>
      </w:r>
      <w:r>
        <w:rPr>
          <w:color w:val="auto"/>
          <w:sz w:val="21"/>
          <w:szCs w:val="21"/>
          <w:highlight w:val="none"/>
        </w:rPr>
        <w:t>甲乙双方同意未经对方书面许可，任何一方不得向第三方提供或披露本合同的具体内容，另有关法律法规和监管规定需要披露的除外。当需要对外披露时，</w:t>
      </w:r>
      <w:r>
        <w:rPr>
          <w:rFonts w:hint="eastAsia"/>
          <w:color w:val="auto"/>
          <w:sz w:val="21"/>
          <w:szCs w:val="21"/>
          <w:highlight w:val="none"/>
        </w:rPr>
        <w:t>在法律允许的范围内，</w:t>
      </w:r>
      <w:r>
        <w:rPr>
          <w:color w:val="auto"/>
          <w:sz w:val="21"/>
          <w:szCs w:val="21"/>
          <w:highlight w:val="none"/>
        </w:rPr>
        <w:t>双方应共同协商，</w:t>
      </w:r>
      <w:r>
        <w:rPr>
          <w:rFonts w:hint="eastAsia"/>
          <w:color w:val="auto"/>
          <w:sz w:val="21"/>
          <w:szCs w:val="21"/>
          <w:highlight w:val="none"/>
        </w:rPr>
        <w:t>确定披露的范围</w:t>
      </w:r>
      <w:r>
        <w:rPr>
          <w:color w:val="auto"/>
          <w:sz w:val="21"/>
          <w:szCs w:val="21"/>
          <w:highlight w:val="none"/>
        </w:rPr>
        <w:t>。</w:t>
      </w:r>
    </w:p>
    <w:p>
      <w:pPr>
        <w:pStyle w:val="42"/>
        <w:ind w:firstLine="420"/>
        <w:rPr>
          <w:color w:val="auto"/>
          <w:sz w:val="21"/>
          <w:szCs w:val="21"/>
          <w:highlight w:val="none"/>
        </w:rPr>
      </w:pPr>
      <w:r>
        <w:rPr>
          <w:rFonts w:hint="eastAsia"/>
          <w:color w:val="auto"/>
          <w:sz w:val="21"/>
          <w:szCs w:val="21"/>
          <w:highlight w:val="none"/>
        </w:rPr>
        <w:t xml:space="preserve">10.2 </w:t>
      </w:r>
      <w:r>
        <w:rPr>
          <w:color w:val="auto"/>
          <w:sz w:val="21"/>
          <w:szCs w:val="21"/>
          <w:highlight w:val="none"/>
        </w:rPr>
        <w:t>本合同的保密条款为持续性条款，且无论本合作合同</w:t>
      </w:r>
      <w:r>
        <w:rPr>
          <w:rFonts w:hint="eastAsia"/>
          <w:color w:val="auto"/>
          <w:sz w:val="21"/>
          <w:szCs w:val="21"/>
          <w:highlight w:val="none"/>
        </w:rPr>
        <w:t>是否</w:t>
      </w:r>
      <w:r>
        <w:rPr>
          <w:color w:val="auto"/>
          <w:sz w:val="21"/>
          <w:szCs w:val="21"/>
          <w:highlight w:val="none"/>
        </w:rPr>
        <w:t>无效、解除</w:t>
      </w:r>
      <w:r>
        <w:rPr>
          <w:rFonts w:hint="eastAsia"/>
          <w:color w:val="auto"/>
          <w:sz w:val="21"/>
          <w:szCs w:val="21"/>
          <w:highlight w:val="none"/>
        </w:rPr>
        <w:t>、终止</w:t>
      </w:r>
      <w:r>
        <w:rPr>
          <w:color w:val="auto"/>
          <w:sz w:val="21"/>
          <w:szCs w:val="21"/>
          <w:highlight w:val="none"/>
        </w:rPr>
        <w:t>或废止，均不影响保密条款的有效性。</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第十一章  违约责任</w:t>
      </w:r>
    </w:p>
    <w:p>
      <w:pPr>
        <w:pStyle w:val="42"/>
        <w:ind w:firstLine="420"/>
        <w:rPr>
          <w:color w:val="auto"/>
          <w:sz w:val="21"/>
          <w:szCs w:val="21"/>
          <w:highlight w:val="none"/>
        </w:rPr>
      </w:pPr>
      <w:r>
        <w:rPr>
          <w:rFonts w:hint="eastAsia"/>
          <w:color w:val="auto"/>
          <w:sz w:val="21"/>
          <w:szCs w:val="21"/>
          <w:highlight w:val="none"/>
        </w:rPr>
        <w:t>11.1 因甲方未履行义务而造成乙方无法按时保质地完成检测业务的，甲方应承担相应的经济损失，并赔偿由此给乙方造成的损失，包括误工损失、材料损失（以乙方账册记载为准）、交通费损失等。完成检测业务的时限由双方另行约定。</w:t>
      </w:r>
    </w:p>
    <w:p>
      <w:pPr>
        <w:pStyle w:val="42"/>
        <w:ind w:firstLine="420"/>
        <w:rPr>
          <w:color w:val="auto"/>
          <w:sz w:val="21"/>
          <w:szCs w:val="21"/>
          <w:highlight w:val="none"/>
        </w:rPr>
      </w:pPr>
      <w:r>
        <w:rPr>
          <w:rFonts w:hint="eastAsia"/>
          <w:color w:val="auto"/>
          <w:sz w:val="21"/>
          <w:szCs w:val="21"/>
          <w:highlight w:val="none"/>
        </w:rPr>
        <w:t xml:space="preserve">11.2 </w:t>
      </w:r>
      <w:r>
        <w:rPr>
          <w:color w:val="auto"/>
          <w:sz w:val="21"/>
          <w:szCs w:val="21"/>
          <w:highlight w:val="none"/>
        </w:rPr>
        <w:t>因乙方原因导致检测报告信息错误、未按照约定检测依据进行检测、检测结论判断错误的，乙方应进行更正或免费重新进行检测，并在甲方指定期限内重新向甲方提交符合本合同要求的检测报告，因前述乙方原因造成甲方的损失由乙方承担赔偿责任，如因甲方原因导致上述错误的除外</w:t>
      </w:r>
      <w:r>
        <w:rPr>
          <w:rFonts w:hint="eastAsia"/>
          <w:color w:val="auto"/>
          <w:sz w:val="21"/>
          <w:szCs w:val="21"/>
          <w:highlight w:val="none"/>
        </w:rPr>
        <w:t>。</w:t>
      </w:r>
    </w:p>
    <w:p>
      <w:pPr>
        <w:pStyle w:val="42"/>
        <w:ind w:firstLine="420"/>
        <w:rPr>
          <w:color w:val="auto"/>
          <w:sz w:val="21"/>
          <w:szCs w:val="21"/>
          <w:highlight w:val="none"/>
        </w:rPr>
      </w:pPr>
      <w:r>
        <w:rPr>
          <w:rFonts w:hint="eastAsia"/>
          <w:color w:val="auto"/>
          <w:sz w:val="21"/>
          <w:szCs w:val="21"/>
          <w:highlight w:val="none"/>
        </w:rPr>
        <w:t>11.3 合同期内，双方需严格遵守合同约定，不得单方解除合同，否则应承担合同总价款</w:t>
      </w:r>
      <w:r>
        <w:rPr>
          <w:color w:val="auto"/>
          <w:sz w:val="21"/>
          <w:szCs w:val="21"/>
          <w:highlight w:val="none"/>
        </w:rPr>
        <w:t>20%</w:t>
      </w:r>
      <w:r>
        <w:rPr>
          <w:rFonts w:hint="eastAsia"/>
          <w:color w:val="auto"/>
          <w:sz w:val="21"/>
          <w:szCs w:val="21"/>
          <w:highlight w:val="none"/>
        </w:rPr>
        <w:t>的违约金，如给一方造成损失的，应赔偿另一方全部损失。</w:t>
      </w:r>
    </w:p>
    <w:p>
      <w:pPr>
        <w:pStyle w:val="42"/>
        <w:ind w:firstLine="420"/>
        <w:rPr>
          <w:color w:val="auto"/>
          <w:sz w:val="21"/>
          <w:szCs w:val="21"/>
          <w:highlight w:val="none"/>
        </w:rPr>
      </w:pPr>
      <w:r>
        <w:rPr>
          <w:rFonts w:hint="eastAsia"/>
          <w:color w:val="auto"/>
          <w:sz w:val="21"/>
          <w:szCs w:val="21"/>
          <w:highlight w:val="none"/>
        </w:rPr>
        <w:t>11.4 如一方因违约而导致仲裁、诉讼或申请强制执行的，违约方须向守约方支付实现债权的全部费用，包括但不限于调查取证费、差旅费、诉讼费、误工费、公证费、律师费、鉴定费、保全费/保全保险费等费用。</w:t>
      </w:r>
    </w:p>
    <w:p>
      <w:pPr>
        <w:pStyle w:val="42"/>
        <w:ind w:firstLine="420"/>
        <w:rPr>
          <w:color w:val="auto"/>
          <w:sz w:val="21"/>
          <w:szCs w:val="21"/>
          <w:highlight w:val="none"/>
        </w:rPr>
      </w:pPr>
      <w:r>
        <w:rPr>
          <w:rFonts w:hint="eastAsia"/>
          <w:color w:val="auto"/>
          <w:sz w:val="21"/>
          <w:szCs w:val="21"/>
          <w:highlight w:val="none"/>
        </w:rPr>
        <w:t>11.5 如因不可抗力的原因，则双方根据不可抗力的影响，部分或全部免除赔偿责任。</w:t>
      </w:r>
    </w:p>
    <w:p>
      <w:pPr>
        <w:spacing w:before="312" w:beforeLines="100" w:after="156" w:afterLines="50" w:line="360" w:lineRule="auto"/>
        <w:ind w:firstLine="422"/>
        <w:rPr>
          <w:rFonts w:asciiTheme="minorEastAsia" w:hAnsiTheme="minorEastAsia"/>
          <w:b/>
          <w:color w:val="auto"/>
          <w:szCs w:val="21"/>
          <w:highlight w:val="none"/>
        </w:rPr>
      </w:pPr>
      <w:r>
        <w:rPr>
          <w:rFonts w:hint="eastAsia" w:asciiTheme="minorEastAsia" w:hAnsiTheme="minorEastAsia"/>
          <w:b/>
          <w:color w:val="auto"/>
          <w:szCs w:val="21"/>
          <w:highlight w:val="none"/>
        </w:rPr>
        <w:t>第十二章  其他</w:t>
      </w:r>
    </w:p>
    <w:p>
      <w:pPr>
        <w:pStyle w:val="42"/>
        <w:ind w:firstLine="420"/>
        <w:rPr>
          <w:color w:val="auto"/>
          <w:sz w:val="21"/>
          <w:szCs w:val="21"/>
          <w:highlight w:val="none"/>
        </w:rPr>
      </w:pPr>
      <w:r>
        <w:rPr>
          <w:rFonts w:hint="eastAsia"/>
          <w:color w:val="auto"/>
          <w:sz w:val="21"/>
          <w:szCs w:val="21"/>
          <w:highlight w:val="none"/>
        </w:rPr>
        <w:t>12.1 对本合同条款及附件的任何变更、修改或增减，须签署书面文件，成为本合同的组成部分，并具有同等法律效力。</w:t>
      </w:r>
    </w:p>
    <w:p>
      <w:pPr>
        <w:pStyle w:val="42"/>
        <w:ind w:firstLine="420"/>
        <w:rPr>
          <w:color w:val="auto"/>
          <w:sz w:val="21"/>
          <w:szCs w:val="21"/>
          <w:highlight w:val="none"/>
        </w:rPr>
      </w:pPr>
      <w:r>
        <w:rPr>
          <w:rFonts w:hint="eastAsia"/>
          <w:color w:val="auto"/>
          <w:sz w:val="21"/>
          <w:szCs w:val="21"/>
          <w:highlight w:val="none"/>
        </w:rPr>
        <w:t>12.2 因本合同而引起的或与其有关的任何争议，甲乙双方应首先通过友好协商解决；如协商不能解决，</w:t>
      </w:r>
      <w:r>
        <w:rPr>
          <w:rFonts w:hint="eastAsia" w:ascii="宋体" w:hAnsi="宋体"/>
          <w:color w:val="auto"/>
          <w:sz w:val="21"/>
          <w:szCs w:val="21"/>
          <w:highlight w:val="none"/>
          <w:shd w:val="clear" w:color="auto" w:fill="FFFFFF"/>
        </w:rPr>
        <w:t>可向当地建设行政主管部门申请调解；调解不成的，可向甲方所在地人民法院提起诉讼。</w:t>
      </w:r>
    </w:p>
    <w:p>
      <w:pPr>
        <w:pStyle w:val="42"/>
        <w:ind w:firstLine="420"/>
        <w:rPr>
          <w:color w:val="auto"/>
          <w:sz w:val="21"/>
          <w:szCs w:val="21"/>
          <w:highlight w:val="none"/>
        </w:rPr>
      </w:pPr>
      <w:r>
        <w:rPr>
          <w:rFonts w:hint="eastAsia"/>
          <w:color w:val="auto"/>
          <w:sz w:val="21"/>
          <w:szCs w:val="21"/>
          <w:highlight w:val="none"/>
        </w:rPr>
        <w:t>12.3 任何一方向对方发出的通知、文件，应送达至签署页约定的地址，采用邮寄的，一方将相关文件、通知递交快递机构后2个工作日视为有效送达，无论对方是否签收、退件或拒收。</w:t>
      </w:r>
    </w:p>
    <w:p>
      <w:pPr>
        <w:pStyle w:val="42"/>
        <w:ind w:firstLine="420"/>
        <w:rPr>
          <w:color w:val="auto"/>
          <w:sz w:val="21"/>
          <w:szCs w:val="21"/>
          <w:highlight w:val="none"/>
        </w:rPr>
      </w:pPr>
      <w:r>
        <w:rPr>
          <w:rFonts w:hint="eastAsia"/>
          <w:color w:val="auto"/>
          <w:sz w:val="21"/>
          <w:szCs w:val="21"/>
          <w:highlight w:val="none"/>
        </w:rPr>
        <w:t>12.4本合同经双方</w:t>
      </w:r>
      <w:r>
        <w:rPr>
          <w:rFonts w:hint="eastAsia" w:ascii="宋体" w:hAnsi="宋体"/>
          <w:color w:val="auto"/>
          <w:sz w:val="21"/>
          <w:szCs w:val="21"/>
          <w:highlight w:val="none"/>
          <w:shd w:val="clear" w:color="auto" w:fill="FFFFFF"/>
        </w:rPr>
        <w:t>单位负责人或委托代理人</w:t>
      </w:r>
      <w:r>
        <w:rPr>
          <w:rFonts w:hint="eastAsia"/>
          <w:color w:val="auto"/>
          <w:sz w:val="21"/>
          <w:szCs w:val="21"/>
          <w:highlight w:val="none"/>
        </w:rPr>
        <w:t>签字盖章后生效。本合同一式    陆份，甲方执贰份，乙方执贰份，采购代理机构执贰份，具有同等法律效力。合同自双方签字盖章之日起生效。</w:t>
      </w:r>
    </w:p>
    <w:p>
      <w:pPr>
        <w:pStyle w:val="42"/>
        <w:ind w:firstLine="420"/>
        <w:rPr>
          <w:color w:val="auto"/>
          <w:sz w:val="21"/>
          <w:szCs w:val="21"/>
          <w:highlight w:val="none"/>
        </w:rPr>
      </w:pPr>
    </w:p>
    <w:p>
      <w:pPr>
        <w:pStyle w:val="42"/>
        <w:ind w:firstLine="420"/>
        <w:rPr>
          <w:color w:val="auto"/>
          <w:sz w:val="21"/>
          <w:szCs w:val="21"/>
          <w:highlight w:val="none"/>
        </w:rPr>
      </w:pPr>
      <w:r>
        <w:rPr>
          <w:rFonts w:hint="eastAsia"/>
          <w:color w:val="auto"/>
          <w:sz w:val="21"/>
          <w:szCs w:val="21"/>
          <w:highlight w:val="none"/>
        </w:rPr>
        <w:t>附件一：用户需求书</w:t>
      </w:r>
    </w:p>
    <w:p>
      <w:pPr>
        <w:pStyle w:val="42"/>
        <w:ind w:firstLine="420"/>
        <w:rPr>
          <w:color w:val="auto"/>
          <w:sz w:val="21"/>
          <w:szCs w:val="21"/>
          <w:highlight w:val="none"/>
        </w:rPr>
      </w:pPr>
      <w:r>
        <w:rPr>
          <w:rFonts w:hint="eastAsia"/>
          <w:color w:val="auto"/>
          <w:sz w:val="21"/>
          <w:szCs w:val="21"/>
          <w:highlight w:val="none"/>
        </w:rPr>
        <w:t>附件二：成交通知书</w:t>
      </w:r>
    </w:p>
    <w:p>
      <w:pP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br w:type="page"/>
      </w:r>
    </w:p>
    <w:p>
      <w:pPr>
        <w:pStyle w:val="43"/>
        <w:spacing w:before="0" w:beforeAutospacing="0" w:after="0" w:afterAutospacing="0" w:line="360" w:lineRule="auto"/>
        <w:ind w:firstLine="422"/>
        <w:jc w:val="center"/>
        <w:rPr>
          <w:rStyle w:val="44"/>
          <w:rFonts w:asciiTheme="minorEastAsia" w:hAnsiTheme="minorEastAsia" w:eastAsiaTheme="minorEastAsia"/>
          <w:b/>
          <w:color w:val="auto"/>
          <w:sz w:val="21"/>
          <w:szCs w:val="21"/>
          <w:highlight w:val="none"/>
        </w:rPr>
      </w:pPr>
      <w:r>
        <w:rPr>
          <w:rStyle w:val="44"/>
          <w:rFonts w:asciiTheme="minorEastAsia" w:hAnsiTheme="minorEastAsia" w:eastAsiaTheme="minorEastAsia"/>
          <w:b/>
          <w:color w:val="auto"/>
          <w:sz w:val="21"/>
          <w:szCs w:val="21"/>
          <w:highlight w:val="none"/>
        </w:rPr>
        <w:t>以下无正文，为签字盖章页</w:t>
      </w:r>
    </w:p>
    <w:p>
      <w:pPr>
        <w:spacing w:line="360" w:lineRule="auto"/>
        <w:ind w:firstLine="422"/>
        <w:rPr>
          <w:rStyle w:val="44"/>
          <w:rFonts w:asciiTheme="minorEastAsia" w:hAnsiTheme="minorEastAsia"/>
          <w:b/>
          <w:color w:val="auto"/>
          <w:szCs w:val="21"/>
          <w:highlight w:val="none"/>
        </w:rPr>
      </w:pP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 xml:space="preserve">甲方（盖章）： </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统一社会信用代码：</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地     址：</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电     话：</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甲方代表：</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开户行：</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账  号：</w:t>
      </w:r>
    </w:p>
    <w:p>
      <w:pPr>
        <w:spacing w:before="156" w:beforeLines="50" w:after="156" w:afterLines="50" w:line="360" w:lineRule="auto"/>
        <w:rPr>
          <w:rStyle w:val="44"/>
          <w:rFonts w:cs="Times New Roman" w:asciiTheme="minorEastAsia" w:hAnsiTheme="minorEastAsia"/>
          <w:color w:val="auto"/>
          <w:szCs w:val="21"/>
          <w:highlight w:val="none"/>
        </w:rPr>
      </w:pPr>
      <w:r>
        <w:rPr>
          <w:rStyle w:val="44"/>
          <w:rFonts w:hint="eastAsia" w:cs="Times New Roman" w:asciiTheme="minorEastAsia" w:hAnsiTheme="minorEastAsia"/>
          <w:color w:val="auto"/>
          <w:szCs w:val="21"/>
          <w:highlight w:val="none"/>
        </w:rPr>
        <w:t>日  期：     年    月    日</w:t>
      </w:r>
    </w:p>
    <w:p>
      <w:pPr>
        <w:pStyle w:val="23"/>
        <w:ind w:firstLine="460"/>
        <w:rPr>
          <w:rStyle w:val="44"/>
          <w:rFonts w:cs="Times New Roman" w:asciiTheme="minorEastAsia" w:hAnsiTheme="minorEastAsia"/>
          <w:color w:val="auto"/>
          <w:sz w:val="21"/>
          <w:szCs w:val="21"/>
          <w:highlight w:val="none"/>
        </w:rPr>
      </w:pPr>
    </w:p>
    <w:p>
      <w:pPr>
        <w:pStyle w:val="23"/>
        <w:ind w:firstLine="460"/>
        <w:rPr>
          <w:rStyle w:val="44"/>
          <w:rFonts w:cs="Times New Roman" w:asciiTheme="minorEastAsia" w:hAnsiTheme="minorEastAsia"/>
          <w:color w:val="auto"/>
          <w:sz w:val="21"/>
          <w:szCs w:val="21"/>
          <w:highlight w:val="none"/>
        </w:rPr>
      </w:pP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乙方（盖章）：</w:t>
      </w:r>
      <w:r>
        <w:rPr>
          <w:rStyle w:val="44"/>
          <w:rFonts w:asciiTheme="minorEastAsia" w:hAnsiTheme="minorEastAsia"/>
          <w:color w:val="auto"/>
          <w:szCs w:val="21"/>
          <w:highlight w:val="none"/>
        </w:rPr>
        <w:t xml:space="preserve"> </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统一社会信用代码：</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地     址：</w:t>
      </w:r>
      <w:r>
        <w:rPr>
          <w:rStyle w:val="44"/>
          <w:rFonts w:asciiTheme="minorEastAsia" w:hAnsiTheme="minorEastAsia"/>
          <w:color w:val="auto"/>
          <w:szCs w:val="21"/>
          <w:highlight w:val="none"/>
        </w:rPr>
        <w:t xml:space="preserve"> </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电</w:t>
      </w:r>
      <w:r>
        <w:rPr>
          <w:rStyle w:val="44"/>
          <w:rFonts w:asciiTheme="minorEastAsia" w:hAnsiTheme="minorEastAsia"/>
          <w:color w:val="auto"/>
          <w:szCs w:val="21"/>
          <w:highlight w:val="none"/>
        </w:rPr>
        <w:t xml:space="preserve">     </w:t>
      </w:r>
      <w:r>
        <w:rPr>
          <w:rStyle w:val="44"/>
          <w:rFonts w:hint="eastAsia" w:asciiTheme="minorEastAsia" w:hAnsiTheme="minorEastAsia"/>
          <w:color w:val="auto"/>
          <w:szCs w:val="21"/>
          <w:highlight w:val="none"/>
        </w:rPr>
        <w:t>话：</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乙方代表：</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开户行：</w:t>
      </w:r>
      <w:r>
        <w:rPr>
          <w:rStyle w:val="44"/>
          <w:rFonts w:asciiTheme="minorEastAsia" w:hAnsiTheme="minorEastAsia"/>
          <w:color w:val="auto"/>
          <w:szCs w:val="21"/>
          <w:highlight w:val="none"/>
        </w:rPr>
        <w:t xml:space="preserve"> </w:t>
      </w:r>
    </w:p>
    <w:p>
      <w:pPr>
        <w:spacing w:before="156" w:beforeLines="50" w:after="156" w:afterLines="50" w:line="360" w:lineRule="auto"/>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账</w:t>
      </w:r>
      <w:r>
        <w:rPr>
          <w:rStyle w:val="44"/>
          <w:rFonts w:asciiTheme="minorEastAsia" w:hAnsiTheme="minorEastAsia"/>
          <w:color w:val="auto"/>
          <w:szCs w:val="21"/>
          <w:highlight w:val="none"/>
        </w:rPr>
        <w:t xml:space="preserve">  号：</w:t>
      </w:r>
    </w:p>
    <w:p>
      <w:pPr>
        <w:rPr>
          <w:rStyle w:val="44"/>
          <w:rFonts w:asciiTheme="minorEastAsia" w:hAnsiTheme="minorEastAsia"/>
          <w:color w:val="auto"/>
          <w:szCs w:val="21"/>
          <w:highlight w:val="none"/>
        </w:rPr>
      </w:pPr>
      <w:r>
        <w:rPr>
          <w:rStyle w:val="44"/>
          <w:rFonts w:hint="eastAsia" w:asciiTheme="minorEastAsia" w:hAnsiTheme="minorEastAsia"/>
          <w:color w:val="auto"/>
          <w:szCs w:val="21"/>
          <w:highlight w:val="none"/>
        </w:rPr>
        <w:t>日</w:t>
      </w:r>
      <w:r>
        <w:rPr>
          <w:rStyle w:val="44"/>
          <w:rFonts w:asciiTheme="minorEastAsia" w:hAnsiTheme="minorEastAsia"/>
          <w:color w:val="auto"/>
          <w:szCs w:val="21"/>
          <w:highlight w:val="none"/>
        </w:rPr>
        <w:t xml:space="preserve">  </w:t>
      </w:r>
      <w:r>
        <w:rPr>
          <w:rStyle w:val="44"/>
          <w:rFonts w:hint="eastAsia" w:asciiTheme="minorEastAsia" w:hAnsiTheme="minorEastAsia"/>
          <w:color w:val="auto"/>
          <w:szCs w:val="21"/>
          <w:highlight w:val="none"/>
        </w:rPr>
        <w:t>期：</w:t>
      </w:r>
      <w:r>
        <w:rPr>
          <w:rStyle w:val="44"/>
          <w:rFonts w:asciiTheme="minorEastAsia" w:hAnsiTheme="minorEastAsia"/>
          <w:color w:val="auto"/>
          <w:szCs w:val="21"/>
          <w:highlight w:val="none"/>
        </w:rPr>
        <w:t xml:space="preserve">    </w:t>
      </w:r>
      <w:r>
        <w:rPr>
          <w:rStyle w:val="44"/>
          <w:rFonts w:hint="eastAsia" w:asciiTheme="minorEastAsia" w:hAnsiTheme="minorEastAsia"/>
          <w:color w:val="auto"/>
          <w:szCs w:val="21"/>
          <w:highlight w:val="none"/>
        </w:rPr>
        <w:t xml:space="preserve"> 年</w:t>
      </w:r>
      <w:r>
        <w:rPr>
          <w:rStyle w:val="44"/>
          <w:rFonts w:asciiTheme="minorEastAsia" w:hAnsiTheme="minorEastAsia"/>
          <w:color w:val="auto"/>
          <w:szCs w:val="21"/>
          <w:highlight w:val="none"/>
        </w:rPr>
        <w:t xml:space="preserve">   </w:t>
      </w:r>
      <w:r>
        <w:rPr>
          <w:rStyle w:val="44"/>
          <w:rFonts w:hint="eastAsia" w:asciiTheme="minorEastAsia" w:hAnsiTheme="minorEastAsia"/>
          <w:color w:val="auto"/>
          <w:szCs w:val="21"/>
          <w:highlight w:val="none"/>
        </w:rPr>
        <w:t xml:space="preserve"> 月</w:t>
      </w:r>
      <w:r>
        <w:rPr>
          <w:rStyle w:val="44"/>
          <w:rFonts w:asciiTheme="minorEastAsia" w:hAnsiTheme="minorEastAsia"/>
          <w:color w:val="auto"/>
          <w:szCs w:val="21"/>
          <w:highlight w:val="none"/>
        </w:rPr>
        <w:t xml:space="preserve">   </w:t>
      </w:r>
      <w:r>
        <w:rPr>
          <w:rStyle w:val="44"/>
          <w:rFonts w:hint="eastAsia" w:asciiTheme="minorEastAsia" w:hAnsiTheme="minorEastAsia"/>
          <w:color w:val="auto"/>
          <w:szCs w:val="21"/>
          <w:highlight w:val="none"/>
        </w:rPr>
        <w:t xml:space="preserve"> 日</w:t>
      </w:r>
    </w:p>
    <w:p>
      <w:pPr>
        <w:ind w:firstLine="480"/>
        <w:rPr>
          <w:rStyle w:val="44"/>
          <w:rFonts w:asciiTheme="minorEastAsia" w:hAnsiTheme="minorEastAsia"/>
          <w:color w:val="auto"/>
          <w:sz w:val="24"/>
          <w:highlight w:val="none"/>
        </w:rPr>
      </w:pPr>
    </w:p>
    <w:p>
      <w:pPr>
        <w:ind w:firstLine="480"/>
        <w:jc w:val="center"/>
        <w:rPr>
          <w:rStyle w:val="44"/>
          <w:rFonts w:cs="Times New Roman" w:asciiTheme="minorEastAsia" w:hAnsiTheme="minorEastAsia"/>
          <w:color w:val="auto"/>
          <w:sz w:val="24"/>
          <w:highlight w:val="none"/>
        </w:rPr>
      </w:pPr>
      <w:r>
        <w:rPr>
          <w:rStyle w:val="44"/>
          <w:rFonts w:hint="eastAsia" w:cs="Times New Roman" w:asciiTheme="minorEastAsia" w:hAnsiTheme="minorEastAsia"/>
          <w:color w:val="auto"/>
          <w:sz w:val="24"/>
          <w:highlight w:val="none"/>
        </w:rPr>
        <w:t xml:space="preserve"> </w:t>
      </w:r>
    </w:p>
    <w:p>
      <w:pPr>
        <w:rPr>
          <w:color w:val="auto"/>
          <w:highlight w:val="none"/>
        </w:rPr>
      </w:pPr>
    </w:p>
    <w:p>
      <w:pPr>
        <w:spacing w:line="360" w:lineRule="auto"/>
        <w:rPr>
          <w:color w:val="auto"/>
          <w:highlight w:val="none"/>
        </w:rPr>
      </w:pPr>
    </w:p>
    <w:p>
      <w:pPr>
        <w:rPr>
          <w:color w:val="auto"/>
          <w:highlight w:val="none"/>
        </w:rPr>
      </w:pPr>
      <w:r>
        <w:rPr>
          <w:rFonts w:hint="eastAsia"/>
          <w:color w:val="auto"/>
          <w:highlight w:val="none"/>
        </w:rPr>
        <w:br w:type="page"/>
      </w:r>
    </w:p>
    <w:p>
      <w:pPr>
        <w:pStyle w:val="3"/>
        <w:ind w:firstLine="602"/>
        <w:rPr>
          <w:color w:val="auto"/>
          <w:highlight w:val="none"/>
        </w:rPr>
      </w:pPr>
      <w:bookmarkStart w:id="234" w:name="_Toc2896"/>
      <w:r>
        <w:rPr>
          <w:rFonts w:hint="eastAsia"/>
          <w:color w:val="auto"/>
          <w:highlight w:val="none"/>
        </w:rPr>
        <w:t>第六篇 响应文件格式</w:t>
      </w:r>
      <w:bookmarkEnd w:id="234"/>
    </w:p>
    <w:p>
      <w:pPr>
        <w:ind w:firstLine="422"/>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供应商应提交证明其有资格参加投标（响应）和中标后有能力履行合同的相关文件，并作为其响应文件的一部分，所有文件必须真实可靠、不得伪造，否则将按相关规定予以处罚。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pPr>
        <w:ind w:firstLine="422"/>
        <w:jc w:val="center"/>
        <w:outlineLvl w:val="1"/>
        <w:rPr>
          <w:b/>
          <w:bCs/>
          <w:color w:val="auto"/>
          <w:highlight w:val="none"/>
        </w:rPr>
      </w:pPr>
      <w:bookmarkStart w:id="235" w:name="_Toc23380"/>
      <w:bookmarkStart w:id="236" w:name="_Toc7065"/>
      <w:bookmarkStart w:id="237" w:name="_Toc712"/>
      <w:bookmarkStart w:id="238" w:name="_Toc32213"/>
      <w:r>
        <w:rPr>
          <w:rFonts w:hint="eastAsia"/>
          <w:b/>
          <w:bCs/>
          <w:color w:val="auto"/>
          <w:highlight w:val="none"/>
        </w:rPr>
        <w:t>（封面格式仅供参考）</w:t>
      </w:r>
      <w:bookmarkEnd w:id="235"/>
      <w:bookmarkEnd w:id="236"/>
      <w:bookmarkEnd w:id="237"/>
      <w:bookmarkEnd w:id="238"/>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outlineLvl w:val="2"/>
        <w:rPr>
          <w:rFonts w:ascii="宋体" w:hAnsi="宋体" w:cs="宋体"/>
          <w:b/>
          <w:color w:val="auto"/>
          <w:kern w:val="0"/>
          <w:sz w:val="38"/>
          <w:szCs w:val="38"/>
          <w:highlight w:val="none"/>
          <w:lang w:val="zh-CN" w:bidi="zh-CN"/>
        </w:rPr>
      </w:pPr>
      <w:bookmarkStart w:id="239" w:name="_Toc4650"/>
      <w:bookmarkStart w:id="240" w:name="_Toc14748"/>
      <w:bookmarkStart w:id="241" w:name="_Toc24171"/>
      <w:bookmarkStart w:id="242" w:name="_Toc2668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9"/>
      <w:bookmarkEnd w:id="240"/>
      <w:bookmarkEnd w:id="241"/>
      <w:bookmarkEnd w:id="242"/>
    </w:p>
    <w:p>
      <w:pPr>
        <w:autoSpaceDE w:val="0"/>
        <w:autoSpaceDN w:val="0"/>
        <w:spacing w:before="11"/>
        <w:ind w:firstLine="924"/>
        <w:jc w:val="center"/>
        <w:rPr>
          <w:rFonts w:ascii="宋体" w:hAnsi="宋体" w:cs="宋体"/>
          <w:b/>
          <w:color w:val="auto"/>
          <w:sz w:val="46"/>
          <w:szCs w:val="19"/>
          <w:highlight w:val="none"/>
          <w:lang w:val="zh-CN" w:bidi="zh-CN"/>
        </w:rPr>
      </w:pPr>
    </w:p>
    <w:p>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43" w:name="_Toc25136"/>
      <w:bookmarkStart w:id="244" w:name="_Toc302"/>
      <w:bookmarkStart w:id="245" w:name="_Toc6353"/>
      <w:bookmarkStart w:id="246"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3"/>
      <w:bookmarkEnd w:id="244"/>
      <w:bookmarkEnd w:id="245"/>
      <w:bookmarkEnd w:id="246"/>
    </w:p>
    <w:p>
      <w:pPr>
        <w:autoSpaceDE w:val="0"/>
        <w:autoSpaceDN w:val="0"/>
        <w:spacing w:line="479" w:lineRule="exact"/>
        <w:ind w:firstLine="482"/>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spacing w:before="8"/>
        <w:ind w:firstLine="763"/>
        <w:jc w:val="center"/>
        <w:rPr>
          <w:rFonts w:ascii="宋体" w:hAnsi="宋体" w:cs="宋体"/>
          <w:b/>
          <w:color w:val="auto"/>
          <w:sz w:val="38"/>
          <w:szCs w:val="19"/>
          <w:highlight w:val="none"/>
          <w:lang w:val="zh-CN" w:bidi="zh-CN"/>
        </w:rPr>
      </w:pPr>
    </w:p>
    <w:p>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ind w:firstLine="482"/>
        <w:rPr>
          <w:b/>
          <w:color w:val="auto"/>
          <w:sz w:val="24"/>
          <w:highlight w:val="none"/>
        </w:rPr>
      </w:pPr>
      <w:r>
        <w:rPr>
          <w:b/>
          <w:color w:val="auto"/>
          <w:sz w:val="24"/>
          <w:highlight w:val="none"/>
        </w:rPr>
        <w:br w:type="page"/>
      </w:r>
    </w:p>
    <w:p>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pPr>
        <w:pStyle w:val="2"/>
        <w:spacing w:before="8"/>
        <w:ind w:firstLine="241"/>
        <w:rPr>
          <w:b/>
          <w:color w:val="auto"/>
          <w:sz w:val="12"/>
          <w:highlight w:val="none"/>
        </w:rPr>
      </w:pPr>
    </w:p>
    <w:p>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pPr>
        <w:spacing w:line="360" w:lineRule="auto"/>
        <w:rPr>
          <w:color w:val="auto"/>
          <w:highlight w:val="none"/>
        </w:rPr>
      </w:pPr>
      <w:r>
        <w:rPr>
          <w:color w:val="auto"/>
          <w:highlight w:val="none"/>
        </w:rPr>
        <w:t>二、</w:t>
      </w:r>
      <w:r>
        <w:rPr>
          <w:rFonts w:hint="eastAsia"/>
          <w:color w:val="auto"/>
          <w:highlight w:val="none"/>
        </w:rPr>
        <w:t>首轮报价表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响应保证金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供应商业绩情况表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需要采购人提供的附加条件</w:t>
      </w:r>
    </w:p>
    <w:p>
      <w:pPr>
        <w:ind w:firstLine="482"/>
        <w:rPr>
          <w:b/>
          <w:bCs/>
          <w:color w:val="auto"/>
          <w:sz w:val="24"/>
          <w:szCs w:val="32"/>
          <w:highlight w:val="none"/>
        </w:rPr>
      </w:pPr>
      <w:r>
        <w:rPr>
          <w:b/>
          <w:bCs/>
          <w:color w:val="auto"/>
          <w:sz w:val="24"/>
          <w:szCs w:val="32"/>
          <w:highlight w:val="none"/>
        </w:rPr>
        <w:br w:type="page"/>
      </w:r>
    </w:p>
    <w:p>
      <w:pPr>
        <w:ind w:firstLine="482"/>
        <w:rPr>
          <w:b/>
          <w:bCs/>
          <w:color w:val="auto"/>
          <w:sz w:val="24"/>
          <w:szCs w:val="32"/>
          <w:highlight w:val="none"/>
        </w:rPr>
      </w:pPr>
      <w:r>
        <w:rPr>
          <w:b/>
          <w:bCs/>
          <w:color w:val="auto"/>
          <w:sz w:val="24"/>
          <w:szCs w:val="32"/>
          <w:highlight w:val="none"/>
        </w:rPr>
        <w:t>格式一：</w:t>
      </w:r>
    </w:p>
    <w:p>
      <w:pPr>
        <w:pStyle w:val="2"/>
        <w:ind w:firstLine="482"/>
        <w:jc w:val="center"/>
        <w:rPr>
          <w:b/>
          <w:color w:val="auto"/>
          <w:sz w:val="12"/>
          <w:highlight w:val="none"/>
        </w:rPr>
      </w:pPr>
      <w:r>
        <w:rPr>
          <w:rFonts w:hint="eastAsia"/>
          <w:b/>
          <w:color w:val="auto"/>
          <w:highlight w:val="none"/>
          <w:lang w:val="en-US"/>
        </w:rPr>
        <w:t>响应承诺</w:t>
      </w:r>
      <w:r>
        <w:rPr>
          <w:b/>
          <w:color w:val="auto"/>
          <w:highlight w:val="none"/>
        </w:rPr>
        <w:t>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中标，有效期将延至合同终止日为止。在此提交的资格证明文件均至响应截止日有效，如有在响应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（三）我方明白并同意，在规定的开标日之后，响应有效期之内撤回响应或中标后不按规定与采购人签订合同或不提交履约保证金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（六）我方如果中标，将保证履行磋商文件及其澄清、修改文件（如果有）中的全部责任和义务，按质、按量、按期完成《用户需求书》及合同中的全部任务。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（九）我方接受采购人委托向贵方支付代理服务费，项目总报价已包含代理服务费，如果被确定为中标供应商，承诺向贵方足额支付。（若采购人支付代理服务费，则此条不适用）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4"/>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ind w:firstLine="400"/>
        <w:rPr>
          <w:color w:val="auto"/>
          <w:sz w:val="20"/>
          <w:szCs w:val="20"/>
          <w:highlight w:val="none"/>
        </w:rPr>
      </w:pPr>
      <w:r>
        <w:rPr>
          <w:color w:val="auto"/>
          <w:sz w:val="20"/>
          <w:szCs w:val="20"/>
          <w:highlight w:val="none"/>
        </w:rPr>
        <w:br w:type="page"/>
      </w:r>
    </w:p>
    <w:p>
      <w:pPr>
        <w:ind w:firstLine="482"/>
        <w:rPr>
          <w:b/>
          <w:bCs/>
          <w:color w:val="auto"/>
          <w:sz w:val="24"/>
          <w:szCs w:val="32"/>
          <w:highlight w:val="none"/>
        </w:rPr>
      </w:pPr>
      <w:r>
        <w:rPr>
          <w:rFonts w:hint="eastAsia"/>
          <w:b/>
          <w:bCs/>
          <w:color w:val="auto"/>
          <w:sz w:val="24"/>
          <w:szCs w:val="32"/>
          <w:highlight w:val="none"/>
        </w:rPr>
        <w:t>格式二：</w:t>
      </w:r>
    </w:p>
    <w:p>
      <w:pPr>
        <w:pStyle w:val="2"/>
        <w:ind w:firstLine="480"/>
        <w:rPr>
          <w:color w:val="auto"/>
          <w:highlight w:val="none"/>
          <w:lang w:val="en-US"/>
        </w:rPr>
      </w:pPr>
    </w:p>
    <w:p>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响应检测服务收费系数</w:t>
            </w:r>
          </w:p>
        </w:tc>
        <w:tc>
          <w:tcPr>
            <w:tcW w:w="69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pPr>
        <w:pStyle w:val="24"/>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ind w:firstLine="482"/>
        <w:rPr>
          <w:b/>
          <w:bCs/>
          <w:color w:val="auto"/>
          <w:sz w:val="24"/>
          <w:szCs w:val="32"/>
          <w:highlight w:val="none"/>
        </w:rPr>
      </w:pPr>
      <w:r>
        <w:rPr>
          <w:rFonts w:hint="eastAsia"/>
          <w:b/>
          <w:bCs/>
          <w:color w:val="auto"/>
          <w:sz w:val="24"/>
          <w:szCs w:val="32"/>
          <w:highlight w:val="none"/>
        </w:rPr>
        <w:t>格式三：</w:t>
      </w:r>
    </w:p>
    <w:p>
      <w:pPr>
        <w:ind w:firstLine="482"/>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ind w:firstLine="422"/>
        <w:jc w:val="center"/>
        <w:rPr>
          <w:rFonts w:ascii="宋体" w:hAnsi="宋体" w:cs="宋体"/>
          <w:b/>
          <w:color w:val="auto"/>
          <w:szCs w:val="21"/>
          <w:highlight w:val="none"/>
        </w:rPr>
      </w:pPr>
    </w:p>
    <w:p>
      <w:pPr>
        <w:spacing w:line="360" w:lineRule="auto"/>
        <w:ind w:firstLine="422"/>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pPr>
        <w:ind w:firstLine="400"/>
        <w:rPr>
          <w:color w:val="auto"/>
          <w:sz w:val="20"/>
          <w:szCs w:val="20"/>
          <w:highlight w:val="none"/>
        </w:rPr>
      </w:pPr>
      <w:r>
        <w:rPr>
          <w:color w:val="auto"/>
          <w:sz w:val="20"/>
          <w:szCs w:val="20"/>
          <w:highlight w:val="none"/>
        </w:rPr>
        <w:br w:type="page"/>
      </w:r>
    </w:p>
    <w:p>
      <w:pPr>
        <w:pStyle w:val="2"/>
        <w:ind w:firstLine="482"/>
        <w:rPr>
          <w:b/>
          <w:bCs/>
          <w:color w:val="auto"/>
          <w:highlight w:val="none"/>
          <w:lang w:val="en-US"/>
        </w:rPr>
      </w:pPr>
      <w:r>
        <w:rPr>
          <w:rFonts w:hint="eastAsia"/>
          <w:b/>
          <w:bCs/>
          <w:color w:val="auto"/>
          <w:highlight w:val="none"/>
          <w:lang w:val="en-US"/>
        </w:rPr>
        <w:t>格式四：</w:t>
      </w:r>
    </w:p>
    <w:p>
      <w:pPr>
        <w:pStyle w:val="4"/>
        <w:spacing w:before="0" w:after="0" w:line="360" w:lineRule="auto"/>
        <w:ind w:firstLine="482"/>
        <w:rPr>
          <w:color w:val="auto"/>
          <w:sz w:val="24"/>
          <w:highlight w:val="none"/>
        </w:rPr>
      </w:pPr>
      <w:bookmarkStart w:id="247" w:name="_Toc19106"/>
      <w:bookmarkStart w:id="248" w:name="_Toc17533"/>
      <w:bookmarkStart w:id="249" w:name="_Toc4452"/>
      <w:bookmarkStart w:id="250" w:name="_Toc23039"/>
      <w:r>
        <w:rPr>
          <w:color w:val="auto"/>
          <w:sz w:val="24"/>
          <w:highlight w:val="none"/>
        </w:rPr>
        <w:t>法定代表人证明书</w:t>
      </w:r>
      <w:bookmarkEnd w:id="247"/>
      <w:bookmarkEnd w:id="248"/>
      <w:bookmarkEnd w:id="249"/>
      <w:bookmarkEnd w:id="250"/>
    </w:p>
    <w:p>
      <w:pPr>
        <w:pStyle w:val="2"/>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ind w:firstLine="480"/>
        <w:rPr>
          <w:color w:val="auto"/>
          <w:highlight w:val="none"/>
          <w:lang w:val="en-US"/>
        </w:rPr>
      </w:pPr>
    </w:p>
    <w:p>
      <w:pPr>
        <w:rPr>
          <w:color w:val="auto"/>
          <w:highlight w:val="none"/>
        </w:rPr>
      </w:pPr>
    </w:p>
    <w:p>
      <w:pPr>
        <w:pStyle w:val="2"/>
        <w:ind w:firstLine="480"/>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ind w:firstLine="482"/>
        <w:rPr>
          <w:b/>
          <w:bCs/>
          <w:color w:val="auto"/>
          <w:highlight w:val="none"/>
          <w:lang w:val="en-US"/>
        </w:rPr>
      </w:pPr>
      <w:r>
        <w:rPr>
          <w:rFonts w:hint="eastAsia"/>
          <w:b/>
          <w:bCs/>
          <w:color w:val="auto"/>
          <w:highlight w:val="none"/>
          <w:lang w:val="en-US"/>
        </w:rPr>
        <w:t>格式五：</w:t>
      </w:r>
    </w:p>
    <w:p>
      <w:pPr>
        <w:ind w:firstLine="482"/>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7"/>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firstLine="400"/>
        <w:rPr>
          <w:color w:val="auto"/>
          <w:sz w:val="20"/>
          <w:szCs w:val="20"/>
          <w:highlight w:val="none"/>
          <w:lang w:val="en-US"/>
        </w:rPr>
      </w:pPr>
    </w:p>
    <w:p>
      <w:pPr>
        <w:ind w:firstLine="482"/>
        <w:rPr>
          <w:b/>
          <w:bCs/>
          <w:color w:val="auto"/>
          <w:sz w:val="24"/>
          <w:highlight w:val="none"/>
        </w:rPr>
      </w:pPr>
      <w:r>
        <w:rPr>
          <w:rFonts w:hint="eastAsia"/>
          <w:b/>
          <w:bCs/>
          <w:color w:val="auto"/>
          <w:sz w:val="24"/>
          <w:highlight w:val="none"/>
        </w:rPr>
        <w:br w:type="page"/>
      </w:r>
    </w:p>
    <w:p>
      <w:pPr>
        <w:ind w:firstLine="482"/>
        <w:rPr>
          <w:b/>
          <w:bCs/>
          <w:color w:val="auto"/>
          <w:sz w:val="24"/>
          <w:highlight w:val="none"/>
        </w:rPr>
      </w:pPr>
      <w:r>
        <w:rPr>
          <w:rFonts w:hint="eastAsia"/>
          <w:b/>
          <w:bCs/>
          <w:color w:val="auto"/>
          <w:sz w:val="24"/>
          <w:highlight w:val="none"/>
        </w:rPr>
        <w:t>格式六：</w:t>
      </w:r>
    </w:p>
    <w:p>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pPr>
        <w:ind w:firstLine="482"/>
        <w:jc w:val="center"/>
        <w:rPr>
          <w:b/>
          <w:bCs/>
          <w:color w:val="auto"/>
          <w:sz w:val="24"/>
          <w:highlight w:val="none"/>
        </w:rPr>
      </w:pPr>
      <w:r>
        <w:rPr>
          <w:rFonts w:hint="eastAsia"/>
          <w:b/>
          <w:bCs/>
          <w:color w:val="auto"/>
          <w:sz w:val="24"/>
          <w:highlight w:val="none"/>
        </w:rPr>
        <w:t>响应保证金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格式七：</w:t>
      </w:r>
    </w:p>
    <w:p>
      <w:pPr>
        <w:pStyle w:val="2"/>
        <w:ind w:firstLine="48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ind w:firstLine="422"/>
        <w:rPr>
          <w:b/>
          <w:bCs/>
          <w:color w:val="auto"/>
          <w:highlight w:val="none"/>
        </w:rPr>
      </w:pPr>
      <w:r>
        <w:rPr>
          <w:b/>
          <w:bCs/>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格式八：</w:t>
      </w:r>
    </w:p>
    <w:p>
      <w:pPr>
        <w:pStyle w:val="2"/>
        <w:ind w:firstLine="48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2022年度财务状况报告或基本开户行出具的资信证明）。（提供相关证明资料或参考响应文件格式“资格条件声明函”作相关承诺）</w:t>
      </w:r>
    </w:p>
    <w:p>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pPr>
        <w:rPr>
          <w:rFonts w:ascii="宋体" w:hAnsi="宋体"/>
          <w:color w:val="auto"/>
          <w:szCs w:val="21"/>
          <w:highlight w:val="none"/>
        </w:rPr>
      </w:pPr>
      <w:r>
        <w:rPr>
          <w:rFonts w:hint="eastAsia" w:ascii="宋体" w:hAnsi="宋体"/>
          <w:color w:val="auto"/>
          <w:szCs w:val="21"/>
          <w:highlight w:val="none"/>
        </w:rPr>
        <w:br w:type="page"/>
      </w:r>
    </w:p>
    <w:p>
      <w:pPr>
        <w:pStyle w:val="2"/>
        <w:ind w:firstLine="482"/>
        <w:jc w:val="center"/>
        <w:rPr>
          <w:b/>
          <w:color w:val="auto"/>
          <w:highlight w:val="none"/>
        </w:rPr>
      </w:pPr>
      <w:r>
        <w:rPr>
          <w:rFonts w:hint="eastAsia"/>
          <w:b/>
          <w:color w:val="auto"/>
          <w:highlight w:val="none"/>
        </w:rPr>
        <w:t>资格条件声明函</w:t>
      </w:r>
    </w:p>
    <w:p>
      <w:pPr>
        <w:ind w:firstLine="640"/>
        <w:rPr>
          <w:rFonts w:ascii="仿宋_GB2312" w:hAnsi="仿宋_GB2312" w:eastAsia="仿宋_GB2312" w:cs="仿宋_GB2312"/>
          <w:color w:val="auto"/>
          <w:sz w:val="32"/>
          <w:szCs w:val="32"/>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pPr>
        <w:pStyle w:val="4"/>
        <w:ind w:firstLine="562"/>
        <w:rPr>
          <w:color w:val="auto"/>
          <w:highlight w:val="none"/>
        </w:rPr>
      </w:pPr>
    </w:p>
    <w:p>
      <w:pPr>
        <w:ind w:firstLine="400"/>
        <w:rPr>
          <w:color w:val="auto"/>
          <w:sz w:val="20"/>
          <w:highlight w:val="none"/>
        </w:rPr>
      </w:pPr>
      <w:r>
        <w:rPr>
          <w:rFonts w:hint="eastAsia"/>
          <w:color w:val="auto"/>
          <w:sz w:val="20"/>
          <w:highlight w:val="none"/>
        </w:rPr>
        <w:br w:type="page"/>
      </w:r>
    </w:p>
    <w:p>
      <w:pPr>
        <w:pStyle w:val="2"/>
        <w:ind w:firstLine="482"/>
        <w:rPr>
          <w:color w:val="auto"/>
          <w:highlight w:val="none"/>
        </w:rPr>
      </w:pPr>
      <w:r>
        <w:rPr>
          <w:rFonts w:hint="eastAsia"/>
          <w:b/>
          <w:bCs/>
          <w:color w:val="auto"/>
          <w:highlight w:val="none"/>
        </w:rPr>
        <w:t>格式九：</w:t>
      </w:r>
    </w:p>
    <w:p>
      <w:pPr>
        <w:rPr>
          <w:color w:val="auto"/>
          <w:highlight w:val="none"/>
        </w:rPr>
      </w:pPr>
    </w:p>
    <w:p>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ind w:firstLine="482"/>
        <w:rPr>
          <w:b/>
          <w:bCs/>
          <w:color w:val="auto"/>
          <w:sz w:val="24"/>
          <w:szCs w:val="32"/>
          <w:highlight w:val="none"/>
        </w:rPr>
      </w:pPr>
      <w:r>
        <w:rPr>
          <w:rFonts w:hint="eastAsia"/>
          <w:b/>
          <w:bCs/>
          <w:color w:val="auto"/>
          <w:sz w:val="24"/>
          <w:szCs w:val="32"/>
          <w:highlight w:val="none"/>
        </w:rPr>
        <w:t>格式十：</w:t>
      </w:r>
    </w:p>
    <w:p>
      <w:pPr>
        <w:pStyle w:val="2"/>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pPr>
        <w:pStyle w:val="2"/>
        <w:spacing w:before="2" w:after="1"/>
        <w:ind w:firstLine="34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6"/>
              <w:spacing w:line="360" w:lineRule="auto"/>
              <w:rPr>
                <w:rFonts w:ascii="宋体" w:hAnsi="宋体" w:cs="宋体"/>
                <w:color w:val="auto"/>
                <w:szCs w:val="21"/>
                <w:highlight w:val="none"/>
              </w:rPr>
            </w:pPr>
          </w:p>
        </w:tc>
        <w:tc>
          <w:tcPr>
            <w:tcW w:w="1553" w:type="pct"/>
            <w:shd w:val="clear" w:color="auto" w:fill="FFFFFF" w:themeFill="background1"/>
          </w:tcPr>
          <w:p>
            <w:pPr>
              <w:pStyle w:val="26"/>
              <w:spacing w:line="360" w:lineRule="auto"/>
              <w:rPr>
                <w:rFonts w:ascii="宋体" w:hAnsi="宋体" w:cs="宋体"/>
                <w:color w:val="auto"/>
                <w:szCs w:val="21"/>
                <w:highlight w:val="none"/>
              </w:rPr>
            </w:pPr>
          </w:p>
        </w:tc>
        <w:tc>
          <w:tcPr>
            <w:tcW w:w="779" w:type="pct"/>
            <w:shd w:val="clear" w:color="auto" w:fill="FFFFFF" w:themeFill="background1"/>
          </w:tcPr>
          <w:p>
            <w:pPr>
              <w:pStyle w:val="26"/>
              <w:spacing w:line="360" w:lineRule="auto"/>
              <w:rPr>
                <w:rFonts w:ascii="宋体" w:hAnsi="宋体" w:cs="宋体"/>
                <w:color w:val="auto"/>
                <w:szCs w:val="21"/>
                <w:highlight w:val="none"/>
              </w:rPr>
            </w:pPr>
          </w:p>
        </w:tc>
        <w:tc>
          <w:tcPr>
            <w:tcW w:w="1001" w:type="pct"/>
            <w:shd w:val="clear" w:color="auto" w:fill="FFFFFF" w:themeFill="background1"/>
          </w:tcPr>
          <w:p>
            <w:pPr>
              <w:pStyle w:val="26"/>
              <w:spacing w:line="360" w:lineRule="auto"/>
              <w:rPr>
                <w:rFonts w:ascii="宋体" w:hAnsi="宋体" w:cs="宋体"/>
                <w:color w:val="auto"/>
                <w:szCs w:val="21"/>
                <w:highlight w:val="none"/>
              </w:rPr>
            </w:pPr>
          </w:p>
        </w:tc>
        <w:tc>
          <w:tcPr>
            <w:tcW w:w="785"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6"/>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6"/>
              <w:spacing w:line="360" w:lineRule="auto"/>
              <w:rPr>
                <w:rFonts w:ascii="宋体" w:hAnsi="宋体" w:cs="宋体"/>
                <w:color w:val="auto"/>
                <w:szCs w:val="21"/>
                <w:highlight w:val="none"/>
              </w:rPr>
            </w:pPr>
          </w:p>
        </w:tc>
        <w:tc>
          <w:tcPr>
            <w:tcW w:w="1553" w:type="pct"/>
          </w:tcPr>
          <w:p>
            <w:pPr>
              <w:pStyle w:val="26"/>
              <w:spacing w:line="360" w:lineRule="auto"/>
              <w:rPr>
                <w:rFonts w:ascii="宋体" w:hAnsi="宋体" w:cs="宋体"/>
                <w:color w:val="auto"/>
                <w:szCs w:val="21"/>
                <w:highlight w:val="none"/>
              </w:rPr>
            </w:pPr>
          </w:p>
        </w:tc>
        <w:tc>
          <w:tcPr>
            <w:tcW w:w="779" w:type="pct"/>
          </w:tcPr>
          <w:p>
            <w:pPr>
              <w:pStyle w:val="26"/>
              <w:spacing w:line="360" w:lineRule="auto"/>
              <w:rPr>
                <w:rFonts w:ascii="宋体" w:hAnsi="宋体" w:cs="宋体"/>
                <w:color w:val="auto"/>
                <w:szCs w:val="21"/>
                <w:highlight w:val="none"/>
              </w:rPr>
            </w:pPr>
          </w:p>
        </w:tc>
        <w:tc>
          <w:tcPr>
            <w:tcW w:w="1001" w:type="pct"/>
          </w:tcPr>
          <w:p>
            <w:pPr>
              <w:pStyle w:val="26"/>
              <w:spacing w:line="360" w:lineRule="auto"/>
              <w:rPr>
                <w:rFonts w:ascii="宋体" w:hAnsi="宋体" w:cs="宋体"/>
                <w:color w:val="auto"/>
                <w:szCs w:val="21"/>
                <w:highlight w:val="none"/>
              </w:rPr>
            </w:pPr>
          </w:p>
        </w:tc>
        <w:tc>
          <w:tcPr>
            <w:tcW w:w="785" w:type="pct"/>
          </w:tcPr>
          <w:p>
            <w:pPr>
              <w:pStyle w:val="26"/>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ind w:firstLine="482"/>
        <w:rPr>
          <w:b/>
          <w:bCs/>
          <w:color w:val="auto"/>
          <w:highlight w:val="none"/>
          <w:lang w:val="en-US"/>
        </w:rPr>
      </w:pPr>
      <w:r>
        <w:rPr>
          <w:rFonts w:hint="eastAsia"/>
          <w:b/>
          <w:bCs/>
          <w:color w:val="auto"/>
          <w:highlight w:val="none"/>
          <w:lang w:val="en-US"/>
        </w:rPr>
        <w:t>格式十一：</w:t>
      </w:r>
    </w:p>
    <w:p>
      <w:pPr>
        <w:ind w:firstLine="482"/>
        <w:jc w:val="center"/>
        <w:rPr>
          <w:b/>
          <w:bCs/>
          <w:color w:val="auto"/>
          <w:sz w:val="24"/>
          <w:szCs w:val="32"/>
          <w:highlight w:val="none"/>
        </w:rPr>
      </w:pPr>
      <w:r>
        <w:rPr>
          <w:b/>
          <w:bCs/>
          <w:color w:val="auto"/>
          <w:sz w:val="24"/>
          <w:szCs w:val="32"/>
          <w:highlight w:val="none"/>
        </w:rPr>
        <w:t>技术要求响应表</w:t>
      </w:r>
    </w:p>
    <w:p>
      <w:pPr>
        <w:pStyle w:val="2"/>
        <w:ind w:firstLine="480"/>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ind w:firstLine="482"/>
        <w:rPr>
          <w:b/>
          <w:bCs/>
          <w:color w:val="auto"/>
          <w:sz w:val="24"/>
          <w:highlight w:val="none"/>
        </w:rPr>
      </w:pPr>
      <w:r>
        <w:rPr>
          <w:rFonts w:hint="eastAsia"/>
          <w:b/>
          <w:bCs/>
          <w:color w:val="auto"/>
          <w:sz w:val="24"/>
          <w:highlight w:val="none"/>
        </w:rPr>
        <w:t>格式十二：</w:t>
      </w:r>
    </w:p>
    <w:p>
      <w:pPr>
        <w:pStyle w:val="2"/>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ind w:firstLine="482"/>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ind w:firstLine="422"/>
              <w:rPr>
                <w:rFonts w:ascii="宋体" w:hAnsi="宋体"/>
                <w:b/>
                <w:color w:val="auto"/>
                <w:szCs w:val="21"/>
                <w:highlight w:val="none"/>
              </w:rPr>
            </w:pPr>
          </w:p>
        </w:tc>
        <w:tc>
          <w:tcPr>
            <w:tcW w:w="2907" w:type="dxa"/>
          </w:tcPr>
          <w:p>
            <w:pPr>
              <w:spacing w:line="360" w:lineRule="auto"/>
              <w:ind w:firstLine="422"/>
              <w:rPr>
                <w:rFonts w:ascii="宋体" w:hAnsi="宋体"/>
                <w:b/>
                <w:color w:val="auto"/>
                <w:szCs w:val="21"/>
                <w:highlight w:val="none"/>
              </w:rPr>
            </w:pPr>
          </w:p>
        </w:tc>
        <w:tc>
          <w:tcPr>
            <w:tcW w:w="2551" w:type="dxa"/>
          </w:tcPr>
          <w:p>
            <w:pPr>
              <w:spacing w:line="360" w:lineRule="auto"/>
              <w:ind w:firstLine="422"/>
              <w:rPr>
                <w:rFonts w:ascii="宋体" w:hAnsi="宋体"/>
                <w:b/>
                <w:color w:val="auto"/>
                <w:szCs w:val="21"/>
                <w:highlight w:val="none"/>
              </w:rPr>
            </w:pPr>
          </w:p>
        </w:tc>
        <w:tc>
          <w:tcPr>
            <w:tcW w:w="1418" w:type="dxa"/>
          </w:tcPr>
          <w:p>
            <w:pPr>
              <w:spacing w:line="360" w:lineRule="auto"/>
              <w:ind w:firstLine="422"/>
              <w:rPr>
                <w:rFonts w:ascii="宋体" w:hAnsi="宋体"/>
                <w:b/>
                <w:color w:val="auto"/>
                <w:szCs w:val="21"/>
                <w:highlight w:val="none"/>
              </w:rPr>
            </w:pPr>
          </w:p>
        </w:tc>
        <w:tc>
          <w:tcPr>
            <w:tcW w:w="851" w:type="dxa"/>
          </w:tcPr>
          <w:p>
            <w:pPr>
              <w:spacing w:line="360" w:lineRule="auto"/>
              <w:ind w:firstLine="422"/>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ind w:firstLine="482"/>
        <w:rPr>
          <w:b/>
          <w:bCs/>
          <w:color w:val="auto"/>
          <w:sz w:val="24"/>
          <w:highlight w:val="none"/>
        </w:rPr>
      </w:pPr>
      <w:r>
        <w:rPr>
          <w:rFonts w:hint="eastAsia"/>
          <w:b/>
          <w:bCs/>
          <w:color w:val="auto"/>
          <w:sz w:val="24"/>
          <w:highlight w:val="none"/>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pStyle w:val="2"/>
        <w:spacing w:before="8"/>
        <w:ind w:firstLine="260"/>
        <w:rPr>
          <w:color w:val="auto"/>
          <w:sz w:val="13"/>
          <w:highlight w:val="none"/>
        </w:rPr>
      </w:pPr>
    </w:p>
    <w:p>
      <w:pPr>
        <w:pStyle w:val="4"/>
        <w:ind w:firstLine="562"/>
        <w:rPr>
          <w:color w:val="auto"/>
          <w:highlight w:val="none"/>
        </w:rPr>
      </w:pPr>
      <w:bookmarkStart w:id="251" w:name="_Toc27833"/>
      <w:bookmarkStart w:id="252" w:name="_Toc10424"/>
      <w:bookmarkStart w:id="253" w:name="_Toc20098"/>
      <w:bookmarkStart w:id="254" w:name="_Toc16713"/>
      <w:r>
        <w:rPr>
          <w:color w:val="auto"/>
          <w:highlight w:val="none"/>
        </w:rPr>
        <w:t>履约进度计划表</w:t>
      </w:r>
      <w:bookmarkEnd w:id="251"/>
      <w:bookmarkEnd w:id="252"/>
      <w:bookmarkEnd w:id="253"/>
      <w:bookmarkEnd w:id="254"/>
    </w:p>
    <w:p>
      <w:pPr>
        <w:pStyle w:val="2"/>
        <w:spacing w:before="2" w:after="1"/>
        <w:ind w:firstLine="34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6"/>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6"/>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6"/>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6"/>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6"/>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6"/>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6"/>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ind w:firstLine="482"/>
        <w:outlineLvl w:val="1"/>
        <w:rPr>
          <w:b/>
          <w:bCs/>
          <w:color w:val="auto"/>
          <w:sz w:val="24"/>
          <w:szCs w:val="32"/>
          <w:highlight w:val="none"/>
        </w:rPr>
      </w:pPr>
      <w:bookmarkStart w:id="255" w:name="_Toc26415"/>
      <w:bookmarkStart w:id="256" w:name="_Toc6564"/>
      <w:bookmarkStart w:id="257" w:name="_Toc2912"/>
      <w:bookmarkStart w:id="258" w:name="_Toc7867"/>
      <w:r>
        <w:rPr>
          <w:rFonts w:hint="eastAsia"/>
          <w:b/>
          <w:bCs/>
          <w:color w:val="auto"/>
          <w:sz w:val="24"/>
          <w:szCs w:val="32"/>
          <w:highlight w:val="none"/>
        </w:rPr>
        <w:t>格式十四：</w:t>
      </w:r>
      <w:bookmarkEnd w:id="255"/>
      <w:bookmarkEnd w:id="256"/>
      <w:bookmarkEnd w:id="257"/>
      <w:bookmarkEnd w:id="258"/>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ind w:firstLine="400"/>
        <w:rPr>
          <w:color w:val="auto"/>
          <w:sz w:val="20"/>
          <w:szCs w:val="20"/>
          <w:highlight w:val="none"/>
        </w:rPr>
      </w:pPr>
    </w:p>
    <w:p>
      <w:pPr>
        <w:pStyle w:val="2"/>
        <w:ind w:firstLine="482"/>
        <w:jc w:val="center"/>
        <w:rPr>
          <w:b/>
          <w:bCs/>
          <w:color w:val="auto"/>
          <w:highlight w:val="none"/>
        </w:rPr>
      </w:pPr>
      <w:r>
        <w:rPr>
          <w:b/>
          <w:bCs/>
          <w:color w:val="auto"/>
          <w:highlight w:val="none"/>
        </w:rPr>
        <w:t>各类证明材料</w:t>
      </w:r>
    </w:p>
    <w:p>
      <w:pPr>
        <w:pStyle w:val="24"/>
        <w:tabs>
          <w:tab w:val="left" w:pos="673"/>
        </w:tabs>
        <w:spacing w:line="360" w:lineRule="auto"/>
        <w:ind w:firstLine="0" w:firstLineChars="0"/>
        <w:outlineLvl w:val="1"/>
        <w:rPr>
          <w:rFonts w:ascii="宋体" w:hAnsi="宋体" w:cs="宋体"/>
          <w:color w:val="auto"/>
          <w:szCs w:val="21"/>
          <w:highlight w:val="none"/>
        </w:rPr>
      </w:pPr>
      <w:bookmarkStart w:id="259" w:name="_Toc10497"/>
      <w:bookmarkStart w:id="260" w:name="_Toc3436"/>
      <w:bookmarkStart w:id="261" w:name="_Toc14919"/>
      <w:bookmarkStart w:id="262" w:name="_Toc3338"/>
      <w:r>
        <w:rPr>
          <w:rFonts w:hint="eastAsia" w:ascii="宋体" w:hAnsi="宋体" w:cs="宋体"/>
          <w:color w:val="auto"/>
          <w:szCs w:val="21"/>
          <w:highlight w:val="none"/>
        </w:rPr>
        <w:t>1、磋商文件要求提供的其他资料。</w:t>
      </w:r>
      <w:bookmarkEnd w:id="259"/>
      <w:bookmarkEnd w:id="260"/>
      <w:bookmarkEnd w:id="261"/>
      <w:bookmarkEnd w:id="262"/>
    </w:p>
    <w:p>
      <w:pPr>
        <w:pStyle w:val="24"/>
        <w:tabs>
          <w:tab w:val="left" w:pos="673"/>
        </w:tabs>
        <w:spacing w:line="360" w:lineRule="auto"/>
        <w:ind w:firstLine="0" w:firstLineChars="0"/>
        <w:outlineLvl w:val="1"/>
        <w:rPr>
          <w:rFonts w:ascii="宋体" w:hAnsi="宋体" w:cs="宋体"/>
          <w:color w:val="auto"/>
          <w:szCs w:val="21"/>
          <w:highlight w:val="none"/>
        </w:rPr>
      </w:pPr>
      <w:bookmarkStart w:id="263" w:name="_Toc26846"/>
      <w:bookmarkStart w:id="264" w:name="_Toc26572"/>
      <w:bookmarkStart w:id="265" w:name="_Toc7938"/>
      <w:bookmarkStart w:id="266" w:name="_Toc2429"/>
      <w:r>
        <w:rPr>
          <w:rFonts w:hint="eastAsia" w:ascii="宋体" w:hAnsi="宋体" w:cs="宋体"/>
          <w:color w:val="auto"/>
          <w:szCs w:val="21"/>
          <w:highlight w:val="none"/>
        </w:rPr>
        <w:t>2、供应商认为需提供的其他资料。</w:t>
      </w:r>
      <w:bookmarkEnd w:id="263"/>
      <w:bookmarkEnd w:id="264"/>
      <w:bookmarkEnd w:id="265"/>
      <w:bookmarkEnd w:id="2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267" w:name="_Toc2436"/>
      <w:bookmarkStart w:id="268" w:name="_Toc25195"/>
      <w:bookmarkStart w:id="269" w:name="_Toc27193"/>
      <w:bookmarkStart w:id="270" w:name="_Toc30382"/>
      <w:r>
        <w:rPr>
          <w:rFonts w:hint="eastAsia" w:ascii="宋体" w:hAnsi="宋体" w:cs="宋体"/>
          <w:b/>
          <w:bCs/>
          <w:color w:val="auto"/>
          <w:sz w:val="24"/>
          <w:highlight w:val="none"/>
        </w:rPr>
        <w:t>格式十五：</w:t>
      </w:r>
      <w:bookmarkEnd w:id="267"/>
      <w:bookmarkEnd w:id="268"/>
      <w:bookmarkEnd w:id="269"/>
      <w:bookmarkEnd w:id="270"/>
    </w:p>
    <w:p>
      <w:pPr>
        <w:pStyle w:val="24"/>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pPr>
        <w:pStyle w:val="24"/>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供应商法定名称（公章）：</w:t>
      </w:r>
    </w:p>
    <w:p>
      <w:pPr>
        <w:spacing w:line="480" w:lineRule="auto"/>
        <w:ind w:firstLine="420" w:firstLineChars="200"/>
        <w:rPr>
          <w:color w:val="auto"/>
          <w:highlight w:val="none"/>
        </w:rPr>
      </w:pPr>
      <w:r>
        <w:rPr>
          <w:rFonts w:hint="eastAsia"/>
          <w:color w:val="auto"/>
          <w:highlight w:val="none"/>
        </w:rPr>
        <w:t>供应商法定地址：</w:t>
      </w:r>
    </w:p>
    <w:p>
      <w:pPr>
        <w:spacing w:line="480" w:lineRule="auto"/>
        <w:ind w:firstLine="420" w:firstLineChars="200"/>
        <w:rPr>
          <w:color w:val="auto"/>
          <w:highlight w:val="none"/>
        </w:rPr>
      </w:pPr>
      <w:r>
        <w:rPr>
          <w:rFonts w:hint="eastAsia"/>
          <w:color w:val="auto"/>
          <w:highlight w:val="none"/>
        </w:rPr>
        <w:t>供应商授权代表（签字或盖章）：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4"/>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4"/>
        <w:tabs>
          <w:tab w:val="left" w:pos="673"/>
        </w:tabs>
        <w:spacing w:line="360" w:lineRule="auto"/>
        <w:ind w:firstLine="0" w:firstLineChars="0"/>
        <w:outlineLvl w:val="1"/>
        <w:rPr>
          <w:rFonts w:ascii="宋体" w:hAnsi="宋体" w:cs="宋体"/>
          <w:b/>
          <w:bCs/>
          <w:color w:val="auto"/>
          <w:sz w:val="24"/>
          <w:highlight w:val="none"/>
        </w:rPr>
      </w:pPr>
      <w:bookmarkStart w:id="271" w:name="_Toc3970"/>
      <w:bookmarkStart w:id="272" w:name="_Toc7693"/>
      <w:bookmarkStart w:id="273" w:name="_Toc28801"/>
      <w:bookmarkStart w:id="274" w:name="_Toc32108"/>
      <w:r>
        <w:rPr>
          <w:rFonts w:hint="eastAsia" w:ascii="宋体" w:hAnsi="宋体" w:cs="宋体"/>
          <w:b/>
          <w:bCs/>
          <w:color w:val="auto"/>
          <w:sz w:val="24"/>
          <w:highlight w:val="none"/>
        </w:rPr>
        <w:t>格式十五：</w:t>
      </w:r>
      <w:bookmarkEnd w:id="271"/>
      <w:bookmarkEnd w:id="272"/>
      <w:bookmarkEnd w:id="273"/>
      <w:bookmarkEnd w:id="274"/>
    </w:p>
    <w:p>
      <w:pPr>
        <w:pStyle w:val="2"/>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pPr>
        <w:pStyle w:val="2"/>
        <w:spacing w:before="8"/>
        <w:rPr>
          <w:color w:val="auto"/>
          <w:sz w:val="21"/>
          <w:szCs w:val="21"/>
          <w:highlight w:val="none"/>
        </w:rPr>
      </w:pPr>
    </w:p>
    <w:p>
      <w:pPr>
        <w:ind w:firstLine="422"/>
        <w:jc w:val="center"/>
        <w:outlineLvl w:val="1"/>
        <w:rPr>
          <w:rFonts w:ascii="宋体" w:hAnsi="宋体" w:cs="宋体"/>
          <w:b/>
          <w:bCs/>
          <w:color w:val="auto"/>
          <w:szCs w:val="21"/>
          <w:highlight w:val="none"/>
        </w:rPr>
      </w:pPr>
      <w:bookmarkStart w:id="275" w:name="_Toc4401"/>
      <w:bookmarkStart w:id="276" w:name="_Toc17430"/>
      <w:bookmarkStart w:id="277" w:name="_Toc31849"/>
      <w:bookmarkStart w:id="278" w:name="_Toc11855"/>
      <w:r>
        <w:rPr>
          <w:rFonts w:hint="eastAsia" w:ascii="宋体" w:hAnsi="宋体" w:cs="宋体"/>
          <w:b/>
          <w:bCs/>
          <w:color w:val="auto"/>
          <w:szCs w:val="21"/>
          <w:highlight w:val="none"/>
        </w:rPr>
        <w:t>需要采购人提供的附加条件</w:t>
      </w:r>
      <w:bookmarkEnd w:id="275"/>
      <w:bookmarkEnd w:id="276"/>
      <w:bookmarkEnd w:id="277"/>
      <w:bookmarkEnd w:id="278"/>
    </w:p>
    <w:p>
      <w:pPr>
        <w:pStyle w:val="2"/>
        <w:autoSpaceDE w:val="0"/>
        <w:autoSpaceDN w:val="0"/>
        <w:spacing w:before="0" w:line="360" w:lineRule="auto"/>
        <w:ind w:left="0" w:firstLine="422"/>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6"/>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6"/>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6"/>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6"/>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6"/>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pPr>
        <w:ind w:firstLine="400"/>
        <w:rPr>
          <w:color w:val="auto"/>
          <w:sz w:val="20"/>
          <w:szCs w:val="20"/>
          <w:highlight w:val="none"/>
        </w:rPr>
      </w:pPr>
      <w:r>
        <w:rPr>
          <w:color w:val="auto"/>
          <w:sz w:val="20"/>
          <w:szCs w:val="20"/>
          <w:highlight w:val="none"/>
        </w:rPr>
        <w:br w:type="page"/>
      </w:r>
    </w:p>
    <w:p>
      <w:pPr>
        <w:pStyle w:val="2"/>
        <w:ind w:firstLine="482"/>
        <w:outlineLvl w:val="1"/>
        <w:rPr>
          <w:b/>
          <w:bCs/>
          <w:color w:val="auto"/>
          <w:highlight w:val="none"/>
          <w:lang w:val="en-US"/>
        </w:rPr>
      </w:pPr>
      <w:bookmarkStart w:id="279" w:name="_Toc2879"/>
      <w:bookmarkStart w:id="280" w:name="_Toc29916"/>
      <w:bookmarkStart w:id="281" w:name="_Toc25747"/>
      <w:bookmarkStart w:id="282" w:name="_Toc29664"/>
      <w:r>
        <w:rPr>
          <w:rFonts w:hint="eastAsia"/>
          <w:b/>
          <w:bCs/>
          <w:color w:val="auto"/>
          <w:highlight w:val="none"/>
          <w:lang w:val="en-US"/>
        </w:rPr>
        <w:t>格式十六：</w:t>
      </w:r>
      <w:bookmarkEnd w:id="279"/>
      <w:bookmarkEnd w:id="280"/>
      <w:bookmarkEnd w:id="281"/>
      <w:bookmarkEnd w:id="282"/>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ind w:firstLine="602"/>
        <w:rPr>
          <w:color w:val="auto"/>
          <w:highlight w:val="none"/>
        </w:rPr>
      </w:pPr>
      <w:bookmarkStart w:id="283" w:name="_Toc12503"/>
      <w:r>
        <w:rPr>
          <w:rFonts w:hint="eastAsia"/>
          <w:color w:val="auto"/>
          <w:highlight w:val="none"/>
        </w:rPr>
        <w:t>第七篇 报价文件格式</w:t>
      </w:r>
      <w:bookmarkEnd w:id="283"/>
    </w:p>
    <w:p>
      <w:pPr>
        <w:ind w:firstLine="422"/>
        <w:jc w:val="center"/>
        <w:outlineLvl w:val="1"/>
        <w:rPr>
          <w:b/>
          <w:bCs/>
          <w:color w:val="auto"/>
          <w:highlight w:val="none"/>
        </w:rPr>
      </w:pPr>
      <w:bookmarkStart w:id="284" w:name="_Toc32249"/>
      <w:bookmarkStart w:id="285" w:name="_Toc29643"/>
      <w:bookmarkStart w:id="286" w:name="_Toc23654"/>
      <w:bookmarkStart w:id="287" w:name="_Toc11568"/>
      <w:r>
        <w:rPr>
          <w:rFonts w:hint="eastAsia"/>
          <w:b/>
          <w:bCs/>
          <w:color w:val="auto"/>
          <w:highlight w:val="none"/>
        </w:rPr>
        <w:t>（封面格式仅供参考）</w:t>
      </w:r>
      <w:bookmarkEnd w:id="284"/>
      <w:bookmarkEnd w:id="285"/>
      <w:bookmarkEnd w:id="286"/>
      <w:bookmarkEnd w:id="287"/>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rPr>
          <w:rFonts w:ascii="宋体" w:hAnsi="宋体" w:cs="宋体"/>
          <w:b/>
          <w:color w:val="auto"/>
          <w:spacing w:val="10"/>
          <w:kern w:val="0"/>
          <w:sz w:val="38"/>
          <w:szCs w:val="38"/>
          <w:highlight w:val="none"/>
          <w:lang w:val="zh-CN" w:bidi="zh-CN"/>
        </w:rPr>
      </w:pPr>
    </w:p>
    <w:p>
      <w:pPr>
        <w:ind w:firstLine="803"/>
        <w:jc w:val="center"/>
        <w:outlineLvl w:val="2"/>
        <w:rPr>
          <w:rFonts w:ascii="宋体" w:hAnsi="宋体" w:cs="宋体"/>
          <w:b/>
          <w:color w:val="auto"/>
          <w:kern w:val="0"/>
          <w:sz w:val="38"/>
          <w:szCs w:val="38"/>
          <w:highlight w:val="none"/>
          <w:lang w:val="zh-CN" w:bidi="zh-CN"/>
        </w:rPr>
      </w:pPr>
      <w:bookmarkStart w:id="288" w:name="_Toc10015"/>
      <w:bookmarkStart w:id="289" w:name="_Toc5561"/>
      <w:bookmarkStart w:id="290" w:name="_Toc24898"/>
      <w:bookmarkStart w:id="291" w:name="_Toc31076"/>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8"/>
      <w:bookmarkEnd w:id="289"/>
      <w:bookmarkEnd w:id="290"/>
      <w:bookmarkEnd w:id="291"/>
    </w:p>
    <w:p>
      <w:pPr>
        <w:autoSpaceDE w:val="0"/>
        <w:autoSpaceDN w:val="0"/>
        <w:spacing w:before="11"/>
        <w:ind w:firstLine="924"/>
        <w:jc w:val="center"/>
        <w:rPr>
          <w:rFonts w:ascii="宋体" w:hAnsi="宋体" w:cs="宋体"/>
          <w:b/>
          <w:color w:val="auto"/>
          <w:sz w:val="46"/>
          <w:szCs w:val="19"/>
          <w:highlight w:val="none"/>
          <w:lang w:val="zh-CN" w:bidi="zh-CN"/>
        </w:rPr>
      </w:pPr>
    </w:p>
    <w:p>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92" w:name="_Toc18186"/>
      <w:bookmarkStart w:id="293" w:name="_Toc28515"/>
      <w:bookmarkStart w:id="294" w:name="_Toc77"/>
      <w:bookmarkStart w:id="295"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2"/>
      <w:bookmarkEnd w:id="293"/>
      <w:bookmarkEnd w:id="294"/>
      <w:bookmarkEnd w:id="295"/>
    </w:p>
    <w:p>
      <w:pPr>
        <w:autoSpaceDE w:val="0"/>
        <w:autoSpaceDN w:val="0"/>
        <w:spacing w:line="479" w:lineRule="exact"/>
        <w:ind w:firstLine="482"/>
        <w:jc w:val="center"/>
        <w:rPr>
          <w:rFonts w:ascii="宋体" w:hAnsi="宋体" w:cs="宋体"/>
          <w:b/>
          <w:bCs/>
          <w:color w:val="auto"/>
          <w:sz w:val="24"/>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ind w:firstLine="562"/>
        <w:jc w:val="center"/>
        <w:rPr>
          <w:rFonts w:ascii="宋体" w:hAnsi="宋体" w:cs="宋体"/>
          <w:b/>
          <w:color w:val="auto"/>
          <w:sz w:val="28"/>
          <w:szCs w:val="19"/>
          <w:highlight w:val="none"/>
          <w:lang w:val="zh-CN" w:bidi="zh-CN"/>
        </w:rPr>
      </w:pPr>
    </w:p>
    <w:p>
      <w:pPr>
        <w:autoSpaceDE w:val="0"/>
        <w:autoSpaceDN w:val="0"/>
        <w:spacing w:before="8"/>
        <w:ind w:firstLine="763"/>
        <w:jc w:val="center"/>
        <w:rPr>
          <w:rFonts w:ascii="宋体" w:hAnsi="宋体" w:cs="宋体"/>
          <w:b/>
          <w:color w:val="auto"/>
          <w:sz w:val="38"/>
          <w:szCs w:val="19"/>
          <w:highlight w:val="none"/>
          <w:lang w:val="zh-CN" w:bidi="zh-CN"/>
        </w:rPr>
      </w:pPr>
    </w:p>
    <w:p>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autoSpaceDE w:val="0"/>
        <w:autoSpaceDN w:val="0"/>
        <w:ind w:firstLine="482"/>
        <w:jc w:val="center"/>
        <w:rPr>
          <w:rFonts w:ascii="宋体" w:hAnsi="宋体" w:cs="宋体"/>
          <w:b/>
          <w:color w:val="auto"/>
          <w:sz w:val="24"/>
          <w:szCs w:val="19"/>
          <w:highlight w:val="none"/>
          <w:lang w:val="zh-CN" w:bidi="zh-CN"/>
        </w:rPr>
      </w:pP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pPr>
        <w:pStyle w:val="2"/>
        <w:spacing w:before="0" w:line="360" w:lineRule="auto"/>
        <w:ind w:left="0" w:firstLine="422"/>
        <w:outlineLvl w:val="1"/>
        <w:rPr>
          <w:b/>
          <w:bCs/>
          <w:color w:val="auto"/>
          <w:sz w:val="21"/>
          <w:szCs w:val="21"/>
          <w:highlight w:val="none"/>
          <w:lang w:val="en-US"/>
        </w:rPr>
      </w:pPr>
      <w:bookmarkStart w:id="296" w:name="_Toc24484"/>
      <w:bookmarkStart w:id="297" w:name="_Toc31505"/>
      <w:bookmarkStart w:id="298" w:name="_Toc7980"/>
      <w:bookmarkStart w:id="299" w:name="_Toc32100"/>
      <w:r>
        <w:rPr>
          <w:rFonts w:hint="eastAsia"/>
          <w:b/>
          <w:bCs/>
          <w:color w:val="auto"/>
          <w:sz w:val="21"/>
          <w:szCs w:val="21"/>
          <w:highlight w:val="none"/>
          <w:lang w:val="en-US"/>
        </w:rPr>
        <w:t>1、</w:t>
      </w:r>
      <w:bookmarkEnd w:id="296"/>
      <w:bookmarkEnd w:id="297"/>
      <w:bookmarkEnd w:id="298"/>
      <w:bookmarkEnd w:id="299"/>
      <w:r>
        <w:rPr>
          <w:rFonts w:hint="eastAsia"/>
          <w:b/>
          <w:bCs/>
          <w:color w:val="auto"/>
          <w:sz w:val="21"/>
          <w:szCs w:val="21"/>
          <w:highlight w:val="none"/>
          <w:lang w:val="en-US"/>
        </w:rPr>
        <w:t>首轮报价表</w:t>
      </w:r>
    </w:p>
    <w:p>
      <w:pPr>
        <w:spacing w:line="360" w:lineRule="auto"/>
        <w:ind w:firstLine="422"/>
        <w:outlineLvl w:val="1"/>
        <w:rPr>
          <w:rFonts w:ascii="宋体" w:hAnsi="宋体" w:cs="宋体"/>
          <w:b/>
          <w:bCs/>
          <w:color w:val="auto"/>
          <w:szCs w:val="21"/>
          <w:highlight w:val="none"/>
        </w:rPr>
      </w:pPr>
      <w:bookmarkStart w:id="300" w:name="_Toc20806"/>
      <w:bookmarkStart w:id="301" w:name="_Toc29661"/>
      <w:bookmarkStart w:id="302" w:name="_Toc8054"/>
      <w:bookmarkStart w:id="303" w:name="_Toc6563"/>
      <w:r>
        <w:rPr>
          <w:rFonts w:hint="eastAsia" w:ascii="宋体" w:hAnsi="宋体" w:cs="宋体"/>
          <w:b/>
          <w:bCs/>
          <w:color w:val="auto"/>
          <w:szCs w:val="21"/>
          <w:highlight w:val="none"/>
        </w:rPr>
        <w:t>2、分项报价表</w:t>
      </w:r>
      <w:bookmarkEnd w:id="300"/>
      <w:bookmarkEnd w:id="301"/>
      <w:bookmarkEnd w:id="302"/>
      <w:bookmarkEnd w:id="303"/>
    </w:p>
    <w:p>
      <w:pPr>
        <w:pStyle w:val="2"/>
        <w:spacing w:before="0" w:line="360" w:lineRule="auto"/>
        <w:ind w:left="0" w:firstLine="422"/>
        <w:outlineLvl w:val="1"/>
        <w:rPr>
          <w:b/>
          <w:bCs/>
          <w:color w:val="auto"/>
          <w:sz w:val="21"/>
          <w:szCs w:val="21"/>
          <w:highlight w:val="none"/>
          <w:lang w:val="en-US"/>
        </w:rPr>
      </w:pPr>
      <w:bookmarkStart w:id="304" w:name="_Toc3142"/>
      <w:bookmarkStart w:id="305" w:name="_Toc20631"/>
      <w:bookmarkStart w:id="306" w:name="_Toc5011"/>
      <w:bookmarkStart w:id="307" w:name="_Toc13609"/>
      <w:r>
        <w:rPr>
          <w:rFonts w:hint="eastAsia"/>
          <w:b/>
          <w:bCs/>
          <w:color w:val="auto"/>
          <w:sz w:val="21"/>
          <w:szCs w:val="21"/>
          <w:highlight w:val="none"/>
          <w:lang w:val="en-US"/>
        </w:rPr>
        <w:t>3、法定代表人证明书</w:t>
      </w:r>
      <w:bookmarkEnd w:id="304"/>
      <w:bookmarkEnd w:id="305"/>
      <w:bookmarkEnd w:id="306"/>
      <w:bookmarkEnd w:id="307"/>
    </w:p>
    <w:p>
      <w:pPr>
        <w:pStyle w:val="2"/>
        <w:spacing w:before="0" w:line="360" w:lineRule="auto"/>
        <w:ind w:left="0" w:firstLine="422"/>
        <w:outlineLvl w:val="1"/>
        <w:rPr>
          <w:b/>
          <w:bCs/>
          <w:color w:val="auto"/>
          <w:sz w:val="21"/>
          <w:szCs w:val="21"/>
          <w:highlight w:val="none"/>
          <w:lang w:val="en-US"/>
        </w:rPr>
      </w:pPr>
      <w:bookmarkStart w:id="308" w:name="_Toc31054"/>
      <w:bookmarkStart w:id="309" w:name="_Toc27439"/>
      <w:bookmarkStart w:id="310" w:name="_Toc17346"/>
      <w:bookmarkStart w:id="311" w:name="_Toc31223"/>
      <w:r>
        <w:rPr>
          <w:rFonts w:hint="eastAsia"/>
          <w:b/>
          <w:bCs/>
          <w:color w:val="auto"/>
          <w:sz w:val="21"/>
          <w:szCs w:val="21"/>
          <w:highlight w:val="none"/>
          <w:lang w:val="en-US"/>
        </w:rPr>
        <w:t>4、法定代表人授权书</w:t>
      </w:r>
      <w:bookmarkEnd w:id="308"/>
      <w:bookmarkEnd w:id="309"/>
      <w:bookmarkEnd w:id="310"/>
      <w:bookmarkEnd w:id="311"/>
    </w:p>
    <w:p>
      <w:pPr>
        <w:spacing w:line="360" w:lineRule="auto"/>
        <w:ind w:firstLine="422"/>
        <w:outlineLvl w:val="1"/>
        <w:rPr>
          <w:rFonts w:ascii="宋体" w:hAnsi="宋体" w:cs="宋体"/>
          <w:b/>
          <w:bCs/>
          <w:color w:val="auto"/>
          <w:szCs w:val="21"/>
          <w:highlight w:val="none"/>
        </w:rPr>
      </w:pPr>
      <w:bookmarkStart w:id="312" w:name="_Toc16304"/>
      <w:bookmarkStart w:id="313" w:name="_Toc29210"/>
      <w:bookmarkStart w:id="314" w:name="_Toc20213"/>
      <w:bookmarkStart w:id="315" w:name="_Toc23814"/>
      <w:r>
        <w:rPr>
          <w:rFonts w:hint="eastAsia" w:ascii="宋体" w:hAnsi="宋体" w:cs="宋体"/>
          <w:b/>
          <w:bCs/>
          <w:color w:val="auto"/>
          <w:szCs w:val="21"/>
          <w:highlight w:val="none"/>
        </w:rPr>
        <w:t>5、</w:t>
      </w:r>
      <w:bookmarkEnd w:id="312"/>
      <w:r>
        <w:rPr>
          <w:rFonts w:hint="eastAsia" w:ascii="宋体" w:hAnsi="宋体" w:cs="宋体"/>
          <w:b/>
          <w:bCs/>
          <w:color w:val="auto"/>
          <w:szCs w:val="21"/>
          <w:highlight w:val="none"/>
        </w:rPr>
        <w:t>响应保证金</w:t>
      </w:r>
      <w:bookmarkEnd w:id="313"/>
      <w:bookmarkEnd w:id="314"/>
      <w:bookmarkEnd w:id="315"/>
    </w:p>
    <w:p>
      <w:pPr>
        <w:rPr>
          <w:color w:val="auto"/>
          <w:highlight w:val="none"/>
        </w:rPr>
      </w:pPr>
    </w:p>
    <w:p>
      <w:pPr>
        <w:pStyle w:val="2"/>
        <w:ind w:firstLine="480"/>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ind w:firstLine="602"/>
        <w:rPr>
          <w:color w:val="auto"/>
          <w:highlight w:val="none"/>
        </w:rPr>
      </w:pPr>
      <w:bookmarkStart w:id="316" w:name="_Toc30888"/>
      <w:r>
        <w:rPr>
          <w:rFonts w:hint="eastAsia"/>
          <w:color w:val="auto"/>
          <w:highlight w:val="none"/>
        </w:rPr>
        <w:t>第八篇 其它文件格式（如有需要）</w:t>
      </w:r>
      <w:bookmarkEnd w:id="316"/>
    </w:p>
    <w:p>
      <w:pPr>
        <w:ind w:firstLine="422"/>
        <w:rPr>
          <w:b/>
          <w:bCs/>
          <w:color w:val="auto"/>
          <w:highlight w:val="none"/>
        </w:rPr>
      </w:pPr>
      <w:r>
        <w:rPr>
          <w:rFonts w:hint="eastAsia"/>
          <w:b/>
          <w:bCs/>
          <w:color w:val="auto"/>
          <w:highlight w:val="none"/>
        </w:rPr>
        <w:t>格式一：</w:t>
      </w:r>
    </w:p>
    <w:p>
      <w:pPr>
        <w:ind w:firstLine="422"/>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pPr>
        <w:ind w:firstLine="422"/>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4"/>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ind w:firstLine="422"/>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4"/>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4"/>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ind w:firstLine="482"/>
        <w:rPr>
          <w:b/>
          <w:bCs/>
          <w:color w:val="auto"/>
          <w:highlight w:val="none"/>
        </w:rPr>
      </w:pPr>
      <w:r>
        <w:rPr>
          <w:rFonts w:hint="eastAsia"/>
          <w:b/>
          <w:bCs/>
          <w:color w:val="auto"/>
          <w:highlight w:val="none"/>
        </w:rPr>
        <w:t>格式二：</w:t>
      </w:r>
    </w:p>
    <w:p>
      <w:pPr>
        <w:ind w:firstLine="422"/>
        <w:jc w:val="center"/>
        <w:rPr>
          <w:b/>
          <w:bCs/>
          <w:color w:val="auto"/>
          <w:highlight w:val="none"/>
        </w:rPr>
      </w:pPr>
      <w:r>
        <w:rPr>
          <w:rFonts w:hint="eastAsia"/>
          <w:b/>
          <w:bCs/>
          <w:color w:val="auto"/>
          <w:highlight w:val="none"/>
        </w:rPr>
        <w:t>响应担保函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1．中标后供应商无正当理由不与采购人或者采购代理机构签订合同；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ind w:firstLine="482"/>
        <w:rPr>
          <w:b/>
          <w:bCs/>
          <w:color w:val="auto"/>
          <w:highlight w:val="none"/>
        </w:rPr>
      </w:pPr>
      <w:r>
        <w:rPr>
          <w:rFonts w:hint="eastAsia"/>
          <w:b/>
          <w:bCs/>
          <w:color w:val="auto"/>
          <w:highlight w:val="none"/>
        </w:rPr>
        <w:t>格式三：</w:t>
      </w:r>
    </w:p>
    <w:p>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1.将中标项目转让给他人，或者在响应文件中未说明，且未经采购招标机构人同意，将中标项目分包给他人的；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ind w:firstLine="482"/>
        <w:rPr>
          <w:b/>
          <w:bCs/>
          <w:color w:val="auto"/>
          <w:highlight w:val="none"/>
        </w:rPr>
      </w:pPr>
      <w:r>
        <w:rPr>
          <w:rFonts w:hint="eastAsia"/>
          <w:b/>
          <w:bCs/>
          <w:color w:val="auto"/>
          <w:highlight w:val="none"/>
        </w:rPr>
        <w:t>格式四：</w:t>
      </w:r>
    </w:p>
    <w:p>
      <w:pPr>
        <w:ind w:firstLine="422"/>
        <w:jc w:val="center"/>
        <w:rPr>
          <w:b/>
          <w:bCs/>
          <w:color w:val="auto"/>
          <w:highlight w:val="none"/>
        </w:rPr>
      </w:pPr>
      <w:r>
        <w:rPr>
          <w:rFonts w:hint="eastAsia"/>
          <w:b/>
          <w:bCs/>
          <w:color w:val="auto"/>
          <w:highlight w:val="none"/>
        </w:rPr>
        <w:t>联合体共同响应协议书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pPr>
    <w:r>
      <w:rPr>
        <w:rFonts w:hint="eastAsia"/>
      </w:rPr>
      <w:t>宏鹏精密零部件检测项目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0256BC7"/>
    <w:rsid w:val="00257367"/>
    <w:rsid w:val="00443811"/>
    <w:rsid w:val="004E208A"/>
    <w:rsid w:val="006C3F18"/>
    <w:rsid w:val="006D6834"/>
    <w:rsid w:val="009244B1"/>
    <w:rsid w:val="00A03383"/>
    <w:rsid w:val="00F00213"/>
    <w:rsid w:val="01BE7323"/>
    <w:rsid w:val="024829A0"/>
    <w:rsid w:val="02880AAC"/>
    <w:rsid w:val="03C618A1"/>
    <w:rsid w:val="043807E7"/>
    <w:rsid w:val="0548041A"/>
    <w:rsid w:val="074100C5"/>
    <w:rsid w:val="08DB5114"/>
    <w:rsid w:val="094A084B"/>
    <w:rsid w:val="0A4036B4"/>
    <w:rsid w:val="0A7C54A8"/>
    <w:rsid w:val="0AA575BB"/>
    <w:rsid w:val="0B696582"/>
    <w:rsid w:val="0BE32B7B"/>
    <w:rsid w:val="0C545EC4"/>
    <w:rsid w:val="0CB21F77"/>
    <w:rsid w:val="0EF11ED0"/>
    <w:rsid w:val="0FA75340"/>
    <w:rsid w:val="13256801"/>
    <w:rsid w:val="134F24D1"/>
    <w:rsid w:val="13EB22ED"/>
    <w:rsid w:val="1415573E"/>
    <w:rsid w:val="152E568B"/>
    <w:rsid w:val="18C65899"/>
    <w:rsid w:val="19BB08C0"/>
    <w:rsid w:val="19C92056"/>
    <w:rsid w:val="1B046FEA"/>
    <w:rsid w:val="1B5A74F3"/>
    <w:rsid w:val="1CE123EB"/>
    <w:rsid w:val="1CEE19EB"/>
    <w:rsid w:val="217C5431"/>
    <w:rsid w:val="23445606"/>
    <w:rsid w:val="23A522AA"/>
    <w:rsid w:val="28CE4B49"/>
    <w:rsid w:val="29A20A66"/>
    <w:rsid w:val="2A213986"/>
    <w:rsid w:val="2AC4758F"/>
    <w:rsid w:val="2BA946EA"/>
    <w:rsid w:val="2C250F65"/>
    <w:rsid w:val="2D112132"/>
    <w:rsid w:val="2E69728F"/>
    <w:rsid w:val="2EF83FF0"/>
    <w:rsid w:val="304A47CF"/>
    <w:rsid w:val="3320692B"/>
    <w:rsid w:val="339D5B51"/>
    <w:rsid w:val="33E12E57"/>
    <w:rsid w:val="341076F7"/>
    <w:rsid w:val="35C12CD7"/>
    <w:rsid w:val="387469A3"/>
    <w:rsid w:val="39C27E7C"/>
    <w:rsid w:val="3A123017"/>
    <w:rsid w:val="3CEB14FD"/>
    <w:rsid w:val="3F53097E"/>
    <w:rsid w:val="414A030F"/>
    <w:rsid w:val="460F2D8E"/>
    <w:rsid w:val="466D59AC"/>
    <w:rsid w:val="494E7FD2"/>
    <w:rsid w:val="4A706EBA"/>
    <w:rsid w:val="4B5B3ECB"/>
    <w:rsid w:val="4C22418B"/>
    <w:rsid w:val="4DD477D5"/>
    <w:rsid w:val="4E6A7DE2"/>
    <w:rsid w:val="4E862B87"/>
    <w:rsid w:val="4E9C6EA6"/>
    <w:rsid w:val="51593AA1"/>
    <w:rsid w:val="51ED4F85"/>
    <w:rsid w:val="549178FF"/>
    <w:rsid w:val="55206652"/>
    <w:rsid w:val="57961A49"/>
    <w:rsid w:val="59F20A8D"/>
    <w:rsid w:val="5D427BFF"/>
    <w:rsid w:val="5DE26737"/>
    <w:rsid w:val="5DE85889"/>
    <w:rsid w:val="5E211F42"/>
    <w:rsid w:val="5E2A2E41"/>
    <w:rsid w:val="5F8F1E39"/>
    <w:rsid w:val="62CD3480"/>
    <w:rsid w:val="64677E69"/>
    <w:rsid w:val="648F7060"/>
    <w:rsid w:val="64D3048A"/>
    <w:rsid w:val="67520D2F"/>
    <w:rsid w:val="67880920"/>
    <w:rsid w:val="68402491"/>
    <w:rsid w:val="68803E14"/>
    <w:rsid w:val="6A7F3B49"/>
    <w:rsid w:val="6CA86921"/>
    <w:rsid w:val="6D3A2802"/>
    <w:rsid w:val="6DCB42B6"/>
    <w:rsid w:val="6E003853"/>
    <w:rsid w:val="6E662DA3"/>
    <w:rsid w:val="70C6177B"/>
    <w:rsid w:val="735656B0"/>
    <w:rsid w:val="739B0891"/>
    <w:rsid w:val="74951BFB"/>
    <w:rsid w:val="753B70DD"/>
    <w:rsid w:val="785C7CED"/>
    <w:rsid w:val="79533EEE"/>
    <w:rsid w:val="7AEF48EE"/>
    <w:rsid w:val="7C8313D5"/>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5"/>
    <w:autoRedefine/>
    <w:qFormat/>
    <w:uiPriority w:val="0"/>
    <w:pPr>
      <w:keepNext/>
      <w:keepLines/>
      <w:spacing w:before="340" w:after="330" w:line="576" w:lineRule="auto"/>
      <w:jc w:val="center"/>
      <w:outlineLvl w:val="0"/>
    </w:pPr>
    <w:rPr>
      <w:b/>
      <w:kern w:val="44"/>
      <w:sz w:val="30"/>
    </w:rPr>
  </w:style>
  <w:style w:type="paragraph" w:styleId="4">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table of authorities"/>
    <w:basedOn w:val="1"/>
    <w:next w:val="1"/>
    <w:autoRedefine/>
    <w:qFormat/>
    <w:uiPriority w:val="0"/>
    <w:pPr>
      <w:ind w:left="420" w:leftChars="200"/>
    </w:pPr>
  </w:style>
  <w:style w:type="paragraph" w:styleId="8">
    <w:name w:val="annotation text"/>
    <w:basedOn w:val="1"/>
    <w:autoRedefine/>
    <w:qFormat/>
    <w:uiPriority w:val="0"/>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45"/>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Autospacing="1" w:afterAutospacing="1"/>
    </w:pPr>
    <w:rPr>
      <w:rFonts w:cs="Times New Roman"/>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character" w:styleId="22">
    <w:name w:val="annotation reference"/>
    <w:basedOn w:val="19"/>
    <w:autoRedefine/>
    <w:qFormat/>
    <w:uiPriority w:val="0"/>
    <w:rPr>
      <w:sz w:val="21"/>
      <w:szCs w:val="21"/>
    </w:rPr>
  </w:style>
  <w:style w:type="paragraph" w:customStyle="1" w:styleId="23">
    <w:name w:val="表格文字"/>
    <w:basedOn w:val="1"/>
    <w:autoRedefine/>
    <w:qFormat/>
    <w:uiPriority w:val="0"/>
    <w:pPr>
      <w:spacing w:before="25" w:after="25" w:line="300" w:lineRule="auto"/>
    </w:pPr>
    <w:rPr>
      <w:rFonts w:ascii="Times" w:hAnsi="Times"/>
      <w:spacing w:val="10"/>
      <w:kern w:val="0"/>
      <w:sz w:val="24"/>
      <w:szCs w:val="20"/>
    </w:rPr>
  </w:style>
  <w:style w:type="paragraph" w:styleId="24">
    <w:name w:val="List Paragraph"/>
    <w:basedOn w:val="1"/>
    <w:autoRedefine/>
    <w:qFormat/>
    <w:uiPriority w:val="34"/>
    <w:pPr>
      <w:ind w:firstLine="420" w:firstLineChars="200"/>
    </w:pPr>
  </w:style>
  <w:style w:type="character" w:customStyle="1" w:styleId="25">
    <w:name w:val="标题 1 Char"/>
    <w:link w:val="3"/>
    <w:autoRedefine/>
    <w:qFormat/>
    <w:uiPriority w:val="0"/>
    <w:rPr>
      <w:b/>
      <w:kern w:val="44"/>
      <w:sz w:val="30"/>
    </w:rPr>
  </w:style>
  <w:style w:type="paragraph" w:customStyle="1" w:styleId="26">
    <w:name w:val="Table Paragraph"/>
    <w:basedOn w:val="1"/>
    <w:autoRedefine/>
    <w:qFormat/>
    <w:uiPriority w:val="1"/>
  </w:style>
  <w:style w:type="paragraph" w:customStyle="1" w:styleId="27">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 w:type="paragraph" w:customStyle="1" w:styleId="29">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1">
    <w:name w:val="_Style 4"/>
    <w:basedOn w:val="1"/>
    <w:autoRedefine/>
    <w:qFormat/>
    <w:uiPriority w:val="0"/>
    <w:pPr>
      <w:spacing w:line="360" w:lineRule="auto"/>
      <w:ind w:firstLine="420" w:firstLineChars="200"/>
    </w:pPr>
    <w:rPr>
      <w:rFonts w:ascii="Calibri" w:hAnsi="Calibri"/>
      <w:szCs w:val="22"/>
    </w:rPr>
  </w:style>
  <w:style w:type="character" w:customStyle="1" w:styleId="32">
    <w:name w:val="font61"/>
    <w:basedOn w:val="19"/>
    <w:autoRedefine/>
    <w:qFormat/>
    <w:uiPriority w:val="0"/>
    <w:rPr>
      <w:rFonts w:hint="default" w:ascii="Times New Roman" w:hAnsi="Times New Roman" w:cs="Times New Roman"/>
      <w:color w:val="000000"/>
      <w:sz w:val="20"/>
      <w:szCs w:val="20"/>
      <w:u w:val="none"/>
    </w:rPr>
  </w:style>
  <w:style w:type="character" w:customStyle="1" w:styleId="33">
    <w:name w:val="font41"/>
    <w:basedOn w:val="19"/>
    <w:autoRedefine/>
    <w:qFormat/>
    <w:uiPriority w:val="0"/>
    <w:rPr>
      <w:rFonts w:hint="eastAsia" w:ascii="宋体" w:hAnsi="宋体" w:eastAsia="宋体" w:cs="宋体"/>
      <w:color w:val="000000"/>
      <w:sz w:val="20"/>
      <w:szCs w:val="20"/>
      <w:u w:val="none"/>
    </w:rPr>
  </w:style>
  <w:style w:type="character" w:customStyle="1" w:styleId="34">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5">
    <w:name w:val="font31"/>
    <w:basedOn w:val="19"/>
    <w:autoRedefine/>
    <w:qFormat/>
    <w:uiPriority w:val="0"/>
    <w:rPr>
      <w:rFonts w:hint="eastAsia" w:ascii="宋体" w:hAnsi="宋体" w:eastAsia="宋体" w:cs="宋体"/>
      <w:color w:val="000000"/>
      <w:sz w:val="20"/>
      <w:szCs w:val="20"/>
      <w:u w:val="none"/>
    </w:rPr>
  </w:style>
  <w:style w:type="character" w:customStyle="1" w:styleId="36">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7">
    <w:name w:val="font11"/>
    <w:basedOn w:val="19"/>
    <w:autoRedefine/>
    <w:qFormat/>
    <w:uiPriority w:val="0"/>
    <w:rPr>
      <w:rFonts w:hint="eastAsia" w:ascii="宋体" w:hAnsi="宋体" w:eastAsia="宋体" w:cs="宋体"/>
      <w:color w:val="000000"/>
      <w:sz w:val="20"/>
      <w:szCs w:val="20"/>
      <w:u w:val="none"/>
    </w:rPr>
  </w:style>
  <w:style w:type="character" w:customStyle="1" w:styleId="38">
    <w:name w:val="font51"/>
    <w:basedOn w:val="19"/>
    <w:autoRedefine/>
    <w:qFormat/>
    <w:uiPriority w:val="0"/>
    <w:rPr>
      <w:rFonts w:hint="eastAsia" w:ascii="宋体" w:hAnsi="宋体" w:eastAsia="宋体" w:cs="宋体"/>
      <w:color w:val="000000"/>
      <w:sz w:val="20"/>
      <w:szCs w:val="20"/>
      <w:u w:val="none"/>
    </w:rPr>
  </w:style>
  <w:style w:type="character" w:customStyle="1" w:styleId="39">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4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Cs w:val="20"/>
    </w:rPr>
  </w:style>
  <w:style w:type="paragraph" w:customStyle="1" w:styleId="41">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2">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3">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4">
    <w:name w:val="NormalCharacter"/>
    <w:autoRedefine/>
    <w:qFormat/>
    <w:uiPriority w:val="0"/>
  </w:style>
  <w:style w:type="character" w:customStyle="1" w:styleId="45">
    <w:name w:val="批注框文本 Char"/>
    <w:basedOn w:val="19"/>
    <w:link w:val="11"/>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87</Pages>
  <Words>7227</Words>
  <Characters>41194</Characters>
  <Lines>343</Lines>
  <Paragraphs>96</Paragraphs>
  <TotalTime>2</TotalTime>
  <ScaleCrop>false</ScaleCrop>
  <LinksUpToDate>false</LinksUpToDate>
  <CharactersWithSpaces>48325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陈--JIN涛</cp:lastModifiedBy>
  <cp:lastPrinted>2024-02-02T09:42:00Z</cp:lastPrinted>
  <dcterms:modified xsi:type="dcterms:W3CDTF">2024-02-18T07:06:34Z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C726D2609F7A4DA3BFC5B308B84A36B3_13</vt:lpwstr>
  </property>
</Properties>
</file>