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outlineLvl w:val="0"/>
        <w:rPr>
          <w:b/>
          <w:bCs/>
          <w:color w:val="auto"/>
          <w:sz w:val="52"/>
          <w:szCs w:val="72"/>
          <w:highlight w:val="none"/>
        </w:rPr>
      </w:pPr>
      <w:bookmarkStart w:id="0" w:name="_Toc7942"/>
      <w:bookmarkStart w:id="1" w:name="_Toc7243"/>
      <w:bookmarkStart w:id="2" w:name="_Toc16489"/>
      <w:bookmarkStart w:id="3" w:name="_Toc25865"/>
      <w:r>
        <w:rPr>
          <w:rFonts w:hint="eastAsia"/>
          <w:b/>
          <w:bCs/>
          <w:color w:val="auto"/>
          <w:sz w:val="52"/>
          <w:szCs w:val="72"/>
          <w:highlight w:val="none"/>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outlineLvl w:val="0"/>
        <w:rPr>
          <w:b/>
          <w:bCs/>
          <w:color w:val="auto"/>
          <w:sz w:val="52"/>
          <w:szCs w:val="72"/>
          <w:highlight w:val="none"/>
        </w:rPr>
      </w:pPr>
      <w:bookmarkStart w:id="4" w:name="_Toc8734"/>
      <w:bookmarkStart w:id="5" w:name="_Toc20638"/>
      <w:bookmarkStart w:id="6" w:name="_Toc9385"/>
      <w:bookmarkStart w:id="7" w:name="_Toc15158"/>
      <w:r>
        <w:rPr>
          <w:rFonts w:hint="eastAsia"/>
          <w:b/>
          <w:bCs/>
          <w:color w:val="auto"/>
          <w:sz w:val="52"/>
          <w:szCs w:val="72"/>
          <w:highlight w:val="none"/>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东莞市常平镇司马联围排站管涌修复工程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GSDG2024-004B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东莞市常平镇水务工程运营中心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ind w:firstLine="480"/>
        <w:jc w:val="center"/>
        <w:rPr>
          <w:color w:val="auto"/>
          <w:sz w:val="24"/>
          <w:szCs w:val="32"/>
          <w:highlight w:val="none"/>
        </w:rPr>
      </w:pPr>
    </w:p>
    <w:p>
      <w:pPr>
        <w:ind w:firstLine="480"/>
        <w:jc w:val="center"/>
        <w:rPr>
          <w:color w:val="auto"/>
          <w:sz w:val="24"/>
          <w:szCs w:val="32"/>
          <w:highlight w:val="none"/>
        </w:rPr>
      </w:pPr>
    </w:p>
    <w:p>
      <w:pPr>
        <w:ind w:firstLine="600"/>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18278"/>
      <w:bookmarkStart w:id="9" w:name="_Toc4164"/>
      <w:bookmarkStart w:id="10" w:name="_Toc5265"/>
      <w:bookmarkStart w:id="11" w:name="_Toc17050"/>
      <w:r>
        <w:rPr>
          <w:rFonts w:hint="eastAsia" w:ascii="黑体" w:hAnsi="黑体" w:eastAsia="黑体" w:cs="黑体"/>
          <w:color w:val="auto"/>
          <w:sz w:val="30"/>
          <w:szCs w:val="30"/>
          <w:highlight w:val="none"/>
        </w:rPr>
        <w:t>2024年</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ind w:firstLine="482"/>
            <w:jc w:val="center"/>
            <w:rPr>
              <w:b/>
              <w:bCs/>
              <w:color w:val="auto"/>
              <w:sz w:val="24"/>
              <w:szCs w:val="32"/>
              <w:highlight w:val="none"/>
            </w:rPr>
          </w:pPr>
          <w:r>
            <w:rPr>
              <w:rFonts w:ascii="宋体" w:hAnsi="宋体"/>
              <w:b/>
              <w:bCs/>
              <w:color w:val="auto"/>
              <w:sz w:val="24"/>
              <w:szCs w:val="32"/>
              <w:highlight w:val="none"/>
            </w:rPr>
            <w:t>目录</w:t>
          </w:r>
        </w:p>
        <w:p>
          <w:pPr>
            <w:pStyle w:val="15"/>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5"/>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2"/>
        </w:numPr>
        <w:ind w:firstLine="602"/>
        <w:rPr>
          <w:color w:val="auto"/>
          <w:highlight w:val="none"/>
        </w:rPr>
      </w:pPr>
      <w:bookmarkStart w:id="12" w:name="_Toc27497"/>
      <w:r>
        <w:rPr>
          <w:rFonts w:hint="eastAsia"/>
          <w:color w:val="auto"/>
          <w:highlight w:val="none"/>
        </w:rPr>
        <w:t>磋商邀请</w:t>
      </w:r>
      <w:bookmarkEnd w:id="1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东莞市常平镇司马联围排站管涌修复工程</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2024年</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pPr>
        <w:pStyle w:val="2"/>
        <w:spacing w:before="0" w:after="0" w:line="360" w:lineRule="auto"/>
        <w:ind w:firstLine="422"/>
        <w:jc w:val="left"/>
        <w:rPr>
          <w:rFonts w:ascii="宋体" w:hAnsi="宋体" w:cs="宋体"/>
          <w:bCs/>
          <w:color w:val="auto"/>
          <w:sz w:val="21"/>
          <w:szCs w:val="21"/>
          <w:highlight w:val="none"/>
        </w:rPr>
      </w:pPr>
      <w:bookmarkStart w:id="13" w:name="_Toc31624"/>
      <w:bookmarkStart w:id="14" w:name="_Toc13782"/>
      <w:bookmarkStart w:id="15" w:name="_Toc26796"/>
      <w:bookmarkStart w:id="16" w:name="_Toc2169"/>
      <w:bookmarkStart w:id="17" w:name="_Toc35393621"/>
      <w:bookmarkStart w:id="18" w:name="_Toc28359079"/>
      <w:bookmarkStart w:id="19" w:name="_Toc28359002"/>
      <w:bookmarkStart w:id="20" w:name="_Toc35393790"/>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GSDG2024-004B</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东莞市常平镇司马联围排站管涌修复工程</w:t>
      </w:r>
    </w:p>
    <w:bookmarkEnd w:id="2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292,716.48</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033" w:type="pct"/>
            <w:vAlign w:val="center"/>
          </w:tcPr>
          <w:p>
            <w:pPr>
              <w:spacing w:line="360" w:lineRule="auto"/>
              <w:ind w:firstLine="422"/>
              <w:jc w:val="center"/>
              <w:rPr>
                <w:rFonts w:hAnsi="宋体"/>
                <w:color w:val="auto"/>
                <w:szCs w:val="21"/>
                <w:highlight w:val="none"/>
              </w:rPr>
            </w:pPr>
            <w:r>
              <w:rPr>
                <w:rFonts w:hint="eastAsia" w:hAnsi="宋体"/>
                <w:b/>
                <w:color w:val="auto"/>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033" w:type="pct"/>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东莞市常平镇司马联围排站管涌修复工程</w:t>
            </w:r>
            <w:r>
              <w:rPr>
                <w:rFonts w:hint="eastAsia" w:hAnsi="宋体"/>
                <w:color w:val="auto"/>
                <w:szCs w:val="21"/>
                <w:highlight w:val="none"/>
              </w:rPr>
              <w:t>采购一项</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pPr>
        <w:pStyle w:val="2"/>
        <w:spacing w:before="0" w:after="0" w:line="360" w:lineRule="auto"/>
        <w:ind w:firstLine="422"/>
        <w:jc w:val="left"/>
        <w:rPr>
          <w:rFonts w:ascii="宋体" w:hAnsi="宋体" w:cs="宋体"/>
          <w:b w:val="0"/>
          <w:color w:val="auto"/>
          <w:sz w:val="21"/>
          <w:szCs w:val="21"/>
          <w:highlight w:val="none"/>
        </w:rPr>
      </w:pPr>
      <w:bookmarkStart w:id="22" w:name="_Toc31691"/>
      <w:bookmarkStart w:id="23" w:name="_Toc25198"/>
      <w:bookmarkStart w:id="24" w:name="_Toc35393791"/>
      <w:bookmarkStart w:id="25" w:name="_Toc28359080"/>
      <w:bookmarkStart w:id="26" w:name="_Toc28625"/>
      <w:bookmarkStart w:id="27" w:name="_Toc28359003"/>
      <w:bookmarkStart w:id="28" w:name="_Toc35393622"/>
      <w:bookmarkStart w:id="29" w:name="_Toc13371"/>
      <w:r>
        <w:rPr>
          <w:rFonts w:hint="eastAsia" w:ascii="宋体" w:hAnsi="宋体" w:cs="宋体"/>
          <w:bCs/>
          <w:color w:val="auto"/>
          <w:sz w:val="21"/>
          <w:szCs w:val="21"/>
          <w:highlight w:val="none"/>
        </w:rPr>
        <w:t>二、申请人的资格要求：</w:t>
      </w:r>
      <w:bookmarkEnd w:id="22"/>
      <w:bookmarkEnd w:id="23"/>
      <w:bookmarkEnd w:id="24"/>
      <w:bookmarkEnd w:id="25"/>
      <w:bookmarkEnd w:id="26"/>
      <w:bookmarkEnd w:id="27"/>
      <w:bookmarkEnd w:id="28"/>
      <w:bookmarkEnd w:id="29"/>
    </w:p>
    <w:p>
      <w:pPr>
        <w:widowControl/>
        <w:spacing w:line="360" w:lineRule="auto"/>
        <w:ind w:firstLine="420" w:firstLineChars="200"/>
        <w:outlineLvl w:val="2"/>
        <w:rPr>
          <w:rFonts w:ascii="宋体" w:hAnsi="宋体"/>
          <w:color w:val="auto"/>
          <w:szCs w:val="21"/>
          <w:highlight w:val="none"/>
        </w:rPr>
      </w:pPr>
      <w:bookmarkStart w:id="30" w:name="_Toc29919"/>
      <w:bookmarkStart w:id="31" w:name="_Toc8265"/>
      <w:bookmarkStart w:id="32" w:name="_Toc7315"/>
      <w:bookmarkStart w:id="33" w:name="_Toc16211"/>
      <w:bookmarkStart w:id="34" w:name="_Toc28359004"/>
      <w:bookmarkStart w:id="35" w:name="_Toc28359081"/>
      <w:r>
        <w:rPr>
          <w:rFonts w:hint="eastAsia" w:ascii="宋体" w:hAnsi="宋体"/>
          <w:color w:val="auto"/>
          <w:szCs w:val="21"/>
          <w:highlight w:val="none"/>
        </w:rPr>
        <w:t>1.供应商应具备《政府采购法》第二十二条规定的条件，提供下列材料：</w:t>
      </w:r>
      <w:bookmarkEnd w:id="30"/>
      <w:bookmarkEnd w:id="31"/>
      <w:bookmarkEnd w:id="32"/>
      <w:bookmarkEnd w:id="33"/>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pPr>
        <w:widowControl/>
        <w:spacing w:line="360" w:lineRule="auto"/>
        <w:ind w:firstLine="420" w:firstLineChars="200"/>
        <w:outlineLvl w:val="2"/>
        <w:rPr>
          <w:rFonts w:ascii="宋体" w:hAnsi="宋体"/>
          <w:color w:val="auto"/>
          <w:szCs w:val="21"/>
          <w:highlight w:val="none"/>
        </w:rPr>
      </w:pPr>
      <w:bookmarkStart w:id="36" w:name="_Toc26119"/>
      <w:bookmarkStart w:id="37" w:name="_Toc18344"/>
      <w:bookmarkStart w:id="38" w:name="_Toc4071"/>
      <w:bookmarkStart w:id="39" w:name="_Toc16617"/>
      <w:r>
        <w:rPr>
          <w:rFonts w:hint="eastAsia" w:ascii="宋体" w:hAnsi="宋体"/>
          <w:color w:val="auto"/>
          <w:szCs w:val="21"/>
          <w:highlight w:val="none"/>
        </w:rPr>
        <w:t>2.本项目的特定资格要求：</w:t>
      </w:r>
      <w:bookmarkEnd w:id="36"/>
      <w:bookmarkEnd w:id="37"/>
      <w:bookmarkEnd w:id="38"/>
      <w:bookmarkEnd w:id="39"/>
    </w:p>
    <w:p>
      <w:pPr>
        <w:widowControl/>
        <w:spacing w:line="400" w:lineRule="exact"/>
        <w:ind w:firstLine="420" w:firstLineChars="200"/>
        <w:rPr>
          <w:rFonts w:ascii="宋体" w:hAnsi="宋体"/>
          <w:color w:val="auto"/>
          <w:szCs w:val="21"/>
          <w:highlight w:val="none"/>
        </w:rPr>
      </w:pPr>
      <w:bookmarkStart w:id="40" w:name="_Toc35393792"/>
      <w:bookmarkStart w:id="41" w:name="_Toc35393623"/>
      <w:bookmarkStart w:id="42" w:name="_Toc173"/>
      <w:bookmarkStart w:id="43" w:name="_Toc27443"/>
      <w:bookmarkStart w:id="44" w:name="_Toc18578"/>
      <w:bookmarkStart w:id="45" w:name="_Toc2137"/>
      <w:r>
        <w:rPr>
          <w:rFonts w:hint="eastAsia" w:ascii="宋体" w:hAnsi="宋体"/>
          <w:color w:val="auto"/>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w:t>
      </w:r>
      <w:r>
        <w:rPr>
          <w:rFonts w:hint="eastAsia" w:ascii="宋体" w:hAnsi="宋体" w:eastAsia="宋体"/>
          <w:color w:val="auto"/>
          <w:sz w:val="21"/>
          <w:szCs w:val="21"/>
          <w:highlight w:val="none"/>
          <w:lang w:eastAsia="zh-CN"/>
        </w:rPr>
        <w:t>具有水利水电工程施工总承包三级或以上资质</w:t>
      </w:r>
      <w:r>
        <w:rPr>
          <w:rFonts w:hint="eastAsia" w:ascii="宋体" w:hAnsi="宋体"/>
          <w:color w:val="auto"/>
          <w:sz w:val="21"/>
          <w:szCs w:val="21"/>
          <w:highlight w:val="none"/>
          <w:lang w:eastAsia="zh-CN"/>
        </w:rPr>
        <w:t>，且资质证书应在有效期限范围内。</w:t>
      </w:r>
      <w:r>
        <w:rPr>
          <w:rFonts w:hint="eastAsia" w:ascii="宋体" w:hAnsi="宋体" w:eastAsia="宋体"/>
          <w:color w:val="auto"/>
          <w:sz w:val="21"/>
          <w:szCs w:val="21"/>
          <w:highlight w:val="none"/>
          <w:lang w:eastAsia="zh-CN"/>
        </w:rPr>
        <w:t>（提供相应资质证书）</w:t>
      </w:r>
      <w:r>
        <w:rPr>
          <w:rFonts w:hint="eastAsia" w:ascii="宋体" w:hAnsi="宋体"/>
          <w:color w:val="auto"/>
          <w:sz w:val="21"/>
          <w:szCs w:val="21"/>
          <w:highlight w:val="none"/>
          <w:lang w:eastAsia="zh-CN"/>
        </w:rPr>
        <w:t>。</w:t>
      </w:r>
    </w:p>
    <w:p>
      <w:pPr>
        <w:pStyle w:val="2"/>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日（节假日除外），上午9：00～12：00，下午14：30～17：30（北京时间）； </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5"/>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pPr>
        <w:pStyle w:val="2"/>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35393793"/>
      <w:bookmarkStart w:id="49" w:name="_Toc10322"/>
      <w:bookmarkStart w:id="50" w:name="_Toc28585"/>
      <w:bookmarkStart w:id="51" w:name="_Toc35393624"/>
      <w:bookmarkStart w:id="52" w:name="_Toc28435"/>
      <w:bookmarkStart w:id="53" w:name="_Toc27404"/>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截止时间：</w:t>
      </w:r>
      <w:r>
        <w:rPr>
          <w:rFonts w:hint="eastAsia" w:ascii="宋体" w:hAnsi="宋体" w:cs="宋体"/>
          <w:bCs/>
          <w:color w:val="auto"/>
          <w:szCs w:val="21"/>
          <w:highlight w:val="none"/>
          <w:u w:val="single"/>
        </w:rPr>
        <w:t xml:space="preserve"> 2024年</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bCs/>
          <w:color w:val="auto"/>
          <w:szCs w:val="21"/>
          <w:highlight w:val="none"/>
        </w:rPr>
        <w:t>。</w:t>
      </w:r>
    </w:p>
    <w:p>
      <w:pPr>
        <w:pStyle w:val="2"/>
        <w:spacing w:before="0" w:after="0" w:line="360" w:lineRule="auto"/>
        <w:ind w:firstLine="422"/>
        <w:jc w:val="left"/>
        <w:rPr>
          <w:rFonts w:ascii="宋体" w:hAnsi="宋体" w:cs="宋体"/>
          <w:bCs/>
          <w:color w:val="auto"/>
          <w:sz w:val="21"/>
          <w:szCs w:val="21"/>
          <w:highlight w:val="none"/>
        </w:rPr>
      </w:pPr>
      <w:bookmarkStart w:id="54" w:name="_Toc1202"/>
      <w:bookmarkStart w:id="55" w:name="_Toc28359007"/>
      <w:bookmarkStart w:id="56" w:name="_Toc17857"/>
      <w:bookmarkStart w:id="57" w:name="_Toc35393625"/>
      <w:bookmarkStart w:id="58" w:name="_Toc25695"/>
      <w:bookmarkStart w:id="59" w:name="_Toc28359084"/>
      <w:bookmarkStart w:id="60" w:name="_Toc26299"/>
      <w:bookmarkStart w:id="61" w:name="_Toc35393794"/>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2"/>
        <w:spacing w:before="0" w:after="0" w:line="360" w:lineRule="auto"/>
        <w:ind w:firstLine="422"/>
        <w:jc w:val="left"/>
        <w:rPr>
          <w:rFonts w:ascii="宋体" w:hAnsi="宋体" w:cs="宋体"/>
          <w:bCs/>
          <w:color w:val="auto"/>
          <w:sz w:val="21"/>
          <w:szCs w:val="21"/>
          <w:highlight w:val="none"/>
        </w:rPr>
      </w:pPr>
      <w:bookmarkStart w:id="62" w:name="_Toc35393626"/>
      <w:bookmarkStart w:id="63" w:name="_Toc9116"/>
      <w:bookmarkStart w:id="64" w:name="_Toc1519"/>
      <w:bookmarkStart w:id="65" w:name="_Toc6612"/>
      <w:bookmarkStart w:id="66" w:name="_Toc25010"/>
      <w:bookmarkStart w:id="67" w:name="_Toc35393795"/>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pPr>
        <w:widowControl/>
        <w:spacing w:line="360" w:lineRule="auto"/>
        <w:ind w:firstLine="420" w:firstLineChars="200"/>
        <w:rPr>
          <w:rFonts w:ascii="宋体" w:hAnsi="宋体"/>
          <w:color w:val="auto"/>
          <w:szCs w:val="21"/>
          <w:highlight w:val="none"/>
        </w:rPr>
      </w:pPr>
      <w:bookmarkStart w:id="68" w:name="_Toc28359085"/>
      <w:bookmarkStart w:id="69" w:name="_Toc35393796"/>
      <w:bookmarkStart w:id="70" w:name="_Toc35393627"/>
      <w:bookmarkStart w:id="71" w:name="_Toc28359008"/>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pPr>
        <w:pStyle w:val="2"/>
        <w:spacing w:before="0" w:after="0" w:line="360" w:lineRule="auto"/>
        <w:ind w:firstLine="422"/>
        <w:jc w:val="left"/>
        <w:rPr>
          <w:rFonts w:ascii="宋体" w:hAnsi="宋体" w:cs="宋体"/>
          <w:bCs/>
          <w:color w:val="auto"/>
          <w:sz w:val="21"/>
          <w:szCs w:val="21"/>
          <w:highlight w:val="none"/>
        </w:rPr>
      </w:pPr>
      <w:bookmarkStart w:id="72" w:name="_Toc8358"/>
      <w:bookmarkStart w:id="73" w:name="_Toc12281"/>
      <w:bookmarkStart w:id="74" w:name="_Toc22586"/>
      <w:bookmarkStart w:id="75" w:name="_Toc5139"/>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76" w:name="_Toc30277"/>
      <w:bookmarkStart w:id="77" w:name="_Toc7403"/>
      <w:bookmarkStart w:id="78" w:name="_Toc31577"/>
      <w:bookmarkStart w:id="79" w:name="_Toc30615"/>
      <w:r>
        <w:rPr>
          <w:rFonts w:hint="eastAsia" w:ascii="宋体" w:hAnsi="宋体" w:cs="宋体"/>
          <w:b/>
          <w:bCs/>
          <w:color w:val="auto"/>
          <w:szCs w:val="21"/>
          <w:highlight w:val="none"/>
        </w:rPr>
        <w:t>1.采购人信息</w:t>
      </w:r>
      <w:bookmarkEnd w:id="76"/>
      <w:bookmarkEnd w:id="77"/>
      <w:bookmarkEnd w:id="78"/>
      <w:bookmarkEnd w:id="79"/>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东莞市常平镇水务工程运营中心</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eastAsia="宋体" w:cs="宋体"/>
          <w:i w:val="0"/>
          <w:iCs w:val="0"/>
          <w:caps w:val="0"/>
          <w:color w:val="auto"/>
          <w:spacing w:val="0"/>
          <w:sz w:val="21"/>
          <w:szCs w:val="21"/>
          <w:highlight w:val="none"/>
          <w:shd w:val="clear" w:fill="FFFFFF"/>
        </w:rPr>
        <w:t>东莞市常平镇桔园街二巷1号</w:t>
      </w:r>
      <w:bookmarkStart w:id="317" w:name="_GoBack"/>
      <w:bookmarkEnd w:id="317"/>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蔡先生</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cs="宋体"/>
          <w:i w:val="0"/>
          <w:iCs w:val="0"/>
          <w:caps w:val="0"/>
          <w:color w:val="auto"/>
          <w:spacing w:val="0"/>
          <w:sz w:val="21"/>
          <w:szCs w:val="21"/>
          <w:highlight w:val="none"/>
          <w:shd w:val="clear" w:fill="FFFFFF"/>
        </w:rPr>
        <w:t>0769-83399970</w:t>
      </w:r>
      <w:bookmarkStart w:id="80" w:name="_Toc28359086"/>
      <w:bookmarkStart w:id="81" w:name="_Toc28359009"/>
    </w:p>
    <w:p>
      <w:pPr>
        <w:spacing w:line="360" w:lineRule="auto"/>
        <w:ind w:left="264" w:hanging="264" w:hangingChars="125"/>
        <w:outlineLvl w:val="2"/>
        <w:rPr>
          <w:rFonts w:ascii="宋体" w:hAnsi="宋体" w:cs="宋体"/>
          <w:b/>
          <w:bCs/>
          <w:color w:val="auto"/>
          <w:szCs w:val="21"/>
          <w:highlight w:val="none"/>
        </w:rPr>
      </w:pPr>
      <w:bookmarkStart w:id="82" w:name="_Toc25259"/>
      <w:bookmarkStart w:id="83" w:name="_Toc10880"/>
      <w:bookmarkStart w:id="84" w:name="_Toc11561"/>
      <w:bookmarkStart w:id="85" w:name="_Toc4580"/>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87"/>
      <w:bookmarkStart w:id="87" w:name="_Toc28359010"/>
      <w:r>
        <w:rPr>
          <w:rFonts w:hint="eastAsia" w:ascii="宋体" w:hAnsi="宋体" w:cs="宋体"/>
          <w:color w:val="auto"/>
          <w:szCs w:val="21"/>
          <w:highlight w:val="none"/>
        </w:rPr>
        <w:t>0769-22980090</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88" w:name="_Toc28659"/>
      <w:bookmarkStart w:id="89" w:name="_Toc18257"/>
      <w:bookmarkStart w:id="90" w:name="_Toc15543"/>
      <w:bookmarkStart w:id="91" w:name="_Toc9440"/>
      <w:r>
        <w:rPr>
          <w:rFonts w:hint="eastAsia" w:ascii="宋体" w:hAnsi="宋体" w:cs="宋体"/>
          <w:b/>
          <w:bCs/>
          <w:color w:val="auto"/>
          <w:szCs w:val="21"/>
          <w:highlight w:val="none"/>
        </w:rPr>
        <w:t>3.项目联系方式</w:t>
      </w:r>
      <w:bookmarkEnd w:id="86"/>
      <w:bookmarkEnd w:id="87"/>
      <w:bookmarkEnd w:id="88"/>
      <w:bookmarkEnd w:id="89"/>
      <w:bookmarkEnd w:id="90"/>
      <w:bookmarkEnd w:id="91"/>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pStyle w:val="3"/>
        <w:numPr>
          <w:ilvl w:val="0"/>
          <w:numId w:val="2"/>
        </w:numPr>
        <w:spacing w:before="0" w:after="0" w:line="360" w:lineRule="auto"/>
        <w:ind w:firstLine="602"/>
        <w:rPr>
          <w:color w:val="auto"/>
          <w:highlight w:val="none"/>
        </w:rPr>
      </w:pPr>
      <w:bookmarkStart w:id="92" w:name="_Toc26573"/>
      <w:r>
        <w:rPr>
          <w:rFonts w:hint="eastAsia"/>
          <w:color w:val="auto"/>
          <w:highlight w:val="none"/>
        </w:rPr>
        <w:t>供应商须知</w:t>
      </w:r>
      <w:bookmarkEnd w:id="92"/>
    </w:p>
    <w:p>
      <w:pPr>
        <w:pStyle w:val="2"/>
        <w:spacing w:before="0" w:after="0" w:line="360" w:lineRule="auto"/>
        <w:ind w:firstLine="562"/>
        <w:rPr>
          <w:color w:val="auto"/>
          <w:highlight w:val="none"/>
          <w:lang w:val="zh-CN"/>
        </w:rPr>
      </w:pPr>
      <w:bookmarkStart w:id="93" w:name="_Toc413402429"/>
      <w:bookmarkStart w:id="94" w:name="_Toc30510"/>
      <w:bookmarkStart w:id="95" w:name="_Toc396137231"/>
      <w:bookmarkStart w:id="96" w:name="_Toc497983494"/>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pPr>
              <w:spacing w:line="360" w:lineRule="auto"/>
              <w:jc w:val="both"/>
              <w:rPr>
                <w:color w:val="auto"/>
                <w:highlight w:val="none"/>
              </w:rPr>
            </w:pPr>
            <w:r>
              <w:rPr>
                <w:rFonts w:hint="eastAsia"/>
                <w:color w:val="auto"/>
                <w:highlight w:val="none"/>
              </w:rPr>
              <w:t>开户名称：国顺招标有限公司</w:t>
            </w:r>
          </w:p>
          <w:p>
            <w:pPr>
              <w:spacing w:line="360" w:lineRule="auto"/>
              <w:jc w:val="both"/>
              <w:rPr>
                <w:color w:val="auto"/>
                <w:highlight w:val="none"/>
              </w:rPr>
            </w:pPr>
            <w:r>
              <w:rPr>
                <w:rFonts w:hint="eastAsia"/>
                <w:color w:val="auto"/>
                <w:highlight w:val="none"/>
              </w:rPr>
              <w:t>开户银行：广发银行股份有限公司东莞城区支行</w:t>
            </w:r>
          </w:p>
          <w:p>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r>
              <w:rPr>
                <w:rFonts w:hint="eastAsia" w:ascii="宋体" w:hAnsi="宋体" w:cs="宋体"/>
                <w:bCs/>
                <w:color w:val="auto"/>
                <w:szCs w:val="21"/>
                <w:highlight w:val="none"/>
                <w:lang w:val="en-US" w:eastAsia="zh-CN"/>
              </w:rPr>
              <w:t>如有需要</w:t>
            </w:r>
            <w:r>
              <w:rPr>
                <w:rFonts w:hint="eastAsia" w:ascii="宋体" w:hAnsi="宋体" w:cs="宋体"/>
                <w:bCs/>
                <w:color w:val="auto"/>
                <w:szCs w:val="21"/>
                <w:highlight w:val="none"/>
              </w:rPr>
              <w:t>）</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陆仟元整。</w:t>
            </w:r>
          </w:p>
          <w:p>
            <w:pPr>
              <w:spacing w:line="360" w:lineRule="auto"/>
              <w:rPr>
                <w:color w:val="auto"/>
                <w:highlight w:val="none"/>
              </w:rPr>
            </w:pPr>
            <w:r>
              <w:rPr>
                <w:rFonts w:hint="eastAsia"/>
                <w:color w:val="auto"/>
                <w:highlight w:val="none"/>
              </w:rPr>
              <w:t>（2）成交服务费以转账或现金的形式支付。采购代理机构服务费汇入账号：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5"/>
        </w:numPr>
        <w:ind w:firstLine="562"/>
        <w:rPr>
          <w:color w:val="auto"/>
          <w:highlight w:val="none"/>
        </w:rPr>
      </w:pPr>
      <w:bookmarkStart w:id="97" w:name="_Toc32123"/>
      <w:r>
        <w:rPr>
          <w:rFonts w:hint="eastAsia"/>
          <w:color w:val="auto"/>
          <w:highlight w:val="none"/>
        </w:rPr>
        <w:t>供应商须知</w:t>
      </w:r>
      <w:bookmarkEnd w:id="97"/>
    </w:p>
    <w:p>
      <w:pPr>
        <w:pStyle w:val="4"/>
        <w:ind w:firstLine="422"/>
        <w:rPr>
          <w:color w:val="auto"/>
          <w:highlight w:val="none"/>
        </w:rPr>
      </w:pPr>
      <w:bookmarkStart w:id="98" w:name="_Toc8083"/>
      <w:bookmarkStart w:id="99" w:name="_Toc10658"/>
      <w:bookmarkStart w:id="100" w:name="_Toc30834"/>
      <w:r>
        <w:rPr>
          <w:rFonts w:hint="eastAsia"/>
          <w:color w:val="auto"/>
          <w:highlight w:val="none"/>
        </w:rPr>
        <w:t>1.适用范围</w:t>
      </w:r>
      <w:bookmarkEnd w:id="98"/>
      <w:bookmarkEnd w:id="99"/>
      <w:bookmarkEnd w:id="100"/>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01" w:name="_Toc7271"/>
      <w:bookmarkStart w:id="102" w:name="_Toc720"/>
      <w:bookmarkStart w:id="103" w:name="_Toc25237"/>
      <w:r>
        <w:rPr>
          <w:rFonts w:hint="eastAsia"/>
          <w:color w:val="auto"/>
          <w:highlight w:val="none"/>
        </w:rPr>
        <w:t>2.</w:t>
      </w:r>
      <w:bookmarkStart w:id="104" w:name="_Toc298847174"/>
      <w:bookmarkStart w:id="105" w:name="_Toc303084246"/>
      <w:bookmarkStart w:id="106" w:name="_Toc1530"/>
      <w:bookmarkStart w:id="107" w:name="_Toc382049092"/>
      <w:r>
        <w:rPr>
          <w:rFonts w:hint="eastAsia"/>
          <w:color w:val="auto"/>
          <w:highlight w:val="none"/>
        </w:rPr>
        <w:t>定义</w:t>
      </w:r>
      <w:bookmarkEnd w:id="101"/>
      <w:bookmarkEnd w:id="102"/>
      <w:bookmarkEnd w:id="103"/>
      <w:bookmarkEnd w:id="104"/>
      <w:bookmarkEnd w:id="105"/>
      <w:bookmarkEnd w:id="106"/>
      <w:bookmarkEnd w:id="10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采购代理机构：国顺招标有限公司。</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磋商小组：磋商小组是依据《中华人民共和国政府采购法》及其实施条例、《政府采购货物和服务招标投标管理办法》等组建的专门负责本次磋商其评审工作的临时性机构。</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08" w:name="_Toc24019"/>
      <w:bookmarkStart w:id="109" w:name="_Toc9030"/>
      <w:bookmarkStart w:id="110" w:name="_Toc30379"/>
      <w:r>
        <w:rPr>
          <w:rFonts w:hint="eastAsia"/>
          <w:color w:val="auto"/>
          <w:highlight w:val="none"/>
        </w:rPr>
        <w:t>3.货物和服务</w:t>
      </w:r>
      <w:bookmarkEnd w:id="108"/>
      <w:bookmarkEnd w:id="109"/>
      <w:bookmarkEnd w:id="11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应当获得财政部门核准。依据《政府采购进口产品管理办法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12" w:name="_Toc8119"/>
      <w:bookmarkStart w:id="113" w:name="_Toc14543"/>
      <w:bookmarkStart w:id="114" w:name="_Toc18277"/>
      <w:r>
        <w:rPr>
          <w:rFonts w:hint="eastAsia"/>
          <w:color w:val="auto"/>
          <w:highlight w:val="none"/>
        </w:rPr>
        <w:t>4.响应费用</w:t>
      </w:r>
      <w:bookmarkEnd w:id="112"/>
      <w:bookmarkEnd w:id="113"/>
      <w:bookmarkEnd w:id="114"/>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pPr>
        <w:spacing w:line="400" w:lineRule="exact"/>
        <w:jc w:val="both"/>
        <w:rPr>
          <w:rFonts w:ascii="宋体" w:hAnsi="宋体"/>
          <w:color w:val="auto"/>
          <w:kern w:val="0"/>
          <w:szCs w:val="21"/>
          <w:highlight w:val="none"/>
        </w:rPr>
      </w:pPr>
    </w:p>
    <w:p>
      <w:pPr>
        <w:pStyle w:val="4"/>
        <w:ind w:firstLine="422"/>
        <w:rPr>
          <w:color w:val="auto"/>
          <w:highlight w:val="none"/>
        </w:rPr>
      </w:pPr>
      <w:bookmarkStart w:id="115" w:name="_Toc25254"/>
      <w:bookmarkStart w:id="116" w:name="_Toc24793"/>
      <w:bookmarkStart w:id="117" w:name="_Toc32220"/>
      <w:r>
        <w:rPr>
          <w:rFonts w:hint="eastAsia"/>
          <w:color w:val="auto"/>
          <w:highlight w:val="none"/>
        </w:rPr>
        <w:t>5.知识产权</w:t>
      </w:r>
      <w:bookmarkEnd w:id="115"/>
      <w:bookmarkEnd w:id="116"/>
      <w:bookmarkEnd w:id="11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p>
    <w:p>
      <w:pPr>
        <w:pStyle w:val="4"/>
        <w:ind w:firstLine="422"/>
        <w:rPr>
          <w:color w:val="auto"/>
          <w:highlight w:val="none"/>
        </w:rPr>
      </w:pPr>
      <w:bookmarkStart w:id="118" w:name="_Toc13064"/>
      <w:bookmarkStart w:id="119" w:name="_Toc30779"/>
      <w:bookmarkStart w:id="120" w:name="_Toc31725"/>
      <w:r>
        <w:rPr>
          <w:rFonts w:hint="eastAsia"/>
          <w:color w:val="auto"/>
          <w:highlight w:val="none"/>
        </w:rPr>
        <w:t>6.关于联合体</w:t>
      </w:r>
      <w:bookmarkEnd w:id="118"/>
      <w:bookmarkEnd w:id="119"/>
      <w:bookmarkEnd w:id="12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olor w:val="auto"/>
          <w:kern w:val="0"/>
          <w:szCs w:val="21"/>
          <w:highlight w:val="none"/>
        </w:rPr>
      </w:pPr>
    </w:p>
    <w:p>
      <w:pPr>
        <w:pStyle w:val="4"/>
        <w:ind w:firstLine="422"/>
        <w:rPr>
          <w:color w:val="auto"/>
          <w:highlight w:val="none"/>
        </w:rPr>
      </w:pPr>
      <w:bookmarkStart w:id="121" w:name="_Toc18142"/>
      <w:bookmarkStart w:id="122" w:name="_Toc23688"/>
      <w:bookmarkStart w:id="123" w:name="_Toc27755"/>
      <w:r>
        <w:rPr>
          <w:rFonts w:hint="eastAsia"/>
          <w:color w:val="auto"/>
          <w:highlight w:val="none"/>
        </w:rPr>
        <w:t>7.关于分支机构响应</w:t>
      </w:r>
      <w:bookmarkEnd w:id="121"/>
      <w:bookmarkEnd w:id="122"/>
      <w:bookmarkEnd w:id="123"/>
    </w:p>
    <w:p>
      <w:pPr>
        <w:numPr>
          <w:ilvl w:val="0"/>
          <w:numId w:val="6"/>
        </w:numPr>
        <w:spacing w:line="400" w:lineRule="exact"/>
        <w:ind w:firstLine="420"/>
        <w:jc w:val="both"/>
        <w:rPr>
          <w:rFonts w:ascii="宋体" w:hAnsi="宋体"/>
          <w:vanish/>
          <w:color w:val="auto"/>
          <w:szCs w:val="21"/>
          <w:highlight w:val="none"/>
        </w:rPr>
      </w:pPr>
      <w:bookmarkStart w:id="124" w:name="EB389f116341dd4693875bc7987e7327f3"/>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25" w:name="_Toc5596"/>
      <w:bookmarkStart w:id="126" w:name="_Toc19660"/>
      <w:bookmarkStart w:id="127" w:name="_Toc29774"/>
      <w:r>
        <w:rPr>
          <w:rFonts w:hint="eastAsia"/>
          <w:color w:val="auto"/>
          <w:highlight w:val="none"/>
        </w:rPr>
        <w:t>8.磋商文件的组成</w:t>
      </w:r>
      <w:bookmarkEnd w:id="125"/>
      <w:bookmarkEnd w:id="126"/>
      <w:bookmarkEnd w:id="127"/>
    </w:p>
    <w:p>
      <w:pPr>
        <w:numPr>
          <w:ilvl w:val="0"/>
          <w:numId w:val="6"/>
        </w:numPr>
        <w:spacing w:line="400" w:lineRule="exact"/>
        <w:ind w:firstLine="420"/>
        <w:jc w:val="both"/>
        <w:rPr>
          <w:rFonts w:ascii="宋体" w:hAnsi="宋体"/>
          <w:vanish/>
          <w:color w:val="auto"/>
          <w:szCs w:val="21"/>
          <w:highlight w:val="none"/>
        </w:rPr>
      </w:pP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28" w:name="_Toc3812"/>
      <w:bookmarkStart w:id="129" w:name="_Toc28076"/>
      <w:bookmarkStart w:id="130" w:name="_Toc20046"/>
      <w:r>
        <w:rPr>
          <w:rFonts w:hint="eastAsia"/>
          <w:color w:val="auto"/>
          <w:highlight w:val="none"/>
        </w:rPr>
        <w:t>9.磋商文件的澄清或修改</w:t>
      </w:r>
      <w:bookmarkEnd w:id="128"/>
      <w:bookmarkEnd w:id="129"/>
      <w:bookmarkEnd w:id="13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pPr>
        <w:spacing w:line="360" w:lineRule="exact"/>
        <w:ind w:left="567"/>
        <w:jc w:val="both"/>
        <w:rPr>
          <w:rFonts w:ascii="宋体" w:hAnsi="宋体"/>
          <w:color w:val="auto"/>
          <w:kern w:val="0"/>
          <w:szCs w:val="21"/>
          <w:highlight w:val="none"/>
        </w:rPr>
      </w:pPr>
    </w:p>
    <w:p>
      <w:pPr>
        <w:pStyle w:val="4"/>
        <w:ind w:firstLine="422"/>
        <w:rPr>
          <w:color w:val="auto"/>
          <w:highlight w:val="none"/>
        </w:rPr>
      </w:pPr>
      <w:bookmarkStart w:id="131" w:name="_Toc17507"/>
      <w:bookmarkStart w:id="132" w:name="_Toc28595"/>
      <w:bookmarkStart w:id="133" w:name="_Toc5431"/>
      <w:r>
        <w:rPr>
          <w:rFonts w:hint="eastAsia"/>
          <w:color w:val="auto"/>
          <w:highlight w:val="none"/>
        </w:rPr>
        <w:t>10.响应文件的语言及度量衡单位</w:t>
      </w:r>
      <w:bookmarkEnd w:id="131"/>
      <w:bookmarkEnd w:id="132"/>
      <w:bookmarkEnd w:id="133"/>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pPr>
        <w:spacing w:line="400" w:lineRule="exact"/>
        <w:ind w:left="567"/>
        <w:jc w:val="both"/>
        <w:rPr>
          <w:rFonts w:ascii="宋体" w:hAnsi="宋体"/>
          <w:color w:val="auto"/>
          <w:kern w:val="0"/>
          <w:szCs w:val="21"/>
          <w:highlight w:val="none"/>
        </w:rPr>
      </w:pPr>
    </w:p>
    <w:p>
      <w:pPr>
        <w:pStyle w:val="4"/>
        <w:ind w:firstLine="422"/>
        <w:rPr>
          <w:color w:val="auto"/>
          <w:highlight w:val="none"/>
        </w:rPr>
      </w:pPr>
      <w:bookmarkStart w:id="134" w:name="_Toc21308"/>
      <w:bookmarkStart w:id="135" w:name="_Toc382049103"/>
      <w:bookmarkStart w:id="136" w:name="_Toc17694"/>
      <w:bookmarkStart w:id="137" w:name="_Toc25080"/>
      <w:bookmarkStart w:id="138" w:name="_Toc303084256"/>
      <w:bookmarkStart w:id="139" w:name="_Toc28866"/>
      <w:bookmarkStart w:id="140" w:name="_Toc307934854"/>
      <w:r>
        <w:rPr>
          <w:rFonts w:hint="eastAsia"/>
          <w:color w:val="auto"/>
          <w:highlight w:val="none"/>
        </w:rPr>
        <w:t>11.响应文件的组成</w:t>
      </w:r>
      <w:bookmarkEnd w:id="134"/>
      <w:bookmarkEnd w:id="135"/>
      <w:bookmarkEnd w:id="136"/>
      <w:bookmarkEnd w:id="137"/>
      <w:bookmarkEnd w:id="138"/>
      <w:bookmarkEnd w:id="139"/>
      <w:bookmarkEnd w:id="14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41" w:name="_Toc23396"/>
      <w:bookmarkStart w:id="142" w:name="_Toc28835"/>
      <w:bookmarkStart w:id="143" w:name="_Toc26322"/>
      <w:r>
        <w:rPr>
          <w:rFonts w:hint="eastAsia"/>
          <w:color w:val="auto"/>
          <w:highlight w:val="none"/>
        </w:rPr>
        <w:t>12.响应文件编制</w:t>
      </w:r>
      <w:bookmarkEnd w:id="141"/>
      <w:bookmarkEnd w:id="142"/>
      <w:bookmarkEnd w:id="143"/>
    </w:p>
    <w:p>
      <w:pPr>
        <w:numPr>
          <w:ilvl w:val="0"/>
          <w:numId w:val="6"/>
        </w:numPr>
        <w:spacing w:line="400" w:lineRule="exact"/>
        <w:ind w:firstLine="420"/>
        <w:jc w:val="both"/>
        <w:rPr>
          <w:rFonts w:ascii="宋体" w:hAnsi="宋体"/>
          <w:vanish/>
          <w:color w:val="auto"/>
          <w:szCs w:val="21"/>
          <w:highlight w:val="none"/>
        </w:rPr>
      </w:pPr>
      <w:bookmarkStart w:id="144" w:name="_Toc303084258"/>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pPr>
        <w:keepNext w:val="0"/>
        <w:keepLines w:val="0"/>
        <w:pageBreakBefore w:val="0"/>
        <w:widowControl w:val="0"/>
        <w:kinsoku/>
        <w:wordWrap/>
        <w:overflowPunct/>
        <w:topLinePunct w:val="0"/>
        <w:autoSpaceDE/>
        <w:autoSpaceDN/>
        <w:bidi w:val="0"/>
        <w:adjustRightInd/>
        <w:snapToGrid/>
        <w:spacing w:line="400" w:lineRule="exact"/>
        <w:ind w:left="1029" w:leftChars="190" w:hanging="630" w:hangingChars="300"/>
        <w:jc w:val="both"/>
        <w:textAlignment w:val="auto"/>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pPr>
        <w:keepNext w:val="0"/>
        <w:keepLines w:val="0"/>
        <w:pageBreakBefore w:val="0"/>
        <w:widowControl w:val="0"/>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pPr>
        <w:spacing w:line="400" w:lineRule="exact"/>
        <w:ind w:firstLine="440"/>
        <w:jc w:val="both"/>
        <w:rPr>
          <w:rFonts w:ascii="Tahoma" w:hAnsi="Tahoma" w:eastAsia="微软雅黑"/>
          <w:color w:val="auto"/>
          <w:kern w:val="0"/>
          <w:sz w:val="22"/>
          <w:szCs w:val="22"/>
          <w:highlight w:val="none"/>
        </w:rPr>
      </w:pPr>
    </w:p>
    <w:p>
      <w:pPr>
        <w:pStyle w:val="4"/>
        <w:ind w:firstLine="422"/>
        <w:rPr>
          <w:color w:val="auto"/>
          <w:highlight w:val="none"/>
        </w:rPr>
      </w:pPr>
      <w:bookmarkStart w:id="145" w:name="_Toc29388"/>
      <w:bookmarkStart w:id="146" w:name="_Toc11253"/>
      <w:bookmarkStart w:id="147" w:name="_Toc10449"/>
      <w:r>
        <w:rPr>
          <w:rFonts w:hint="eastAsia"/>
          <w:color w:val="auto"/>
          <w:highlight w:val="none"/>
        </w:rPr>
        <w:t>13.响应报价说明</w:t>
      </w:r>
      <w:bookmarkEnd w:id="145"/>
      <w:bookmarkEnd w:id="146"/>
      <w:bookmarkEnd w:id="147"/>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48" w:name="_Toc29860"/>
      <w:bookmarkStart w:id="149" w:name="_Toc28006"/>
      <w:bookmarkStart w:id="150" w:name="_Toc18749"/>
      <w:r>
        <w:rPr>
          <w:rFonts w:hint="eastAsia"/>
          <w:color w:val="auto"/>
          <w:highlight w:val="none"/>
        </w:rPr>
        <w:t>14.供应商所提供的服务或货物的证明文件</w:t>
      </w:r>
      <w:bookmarkEnd w:id="148"/>
      <w:bookmarkEnd w:id="149"/>
      <w:bookmarkEnd w:id="150"/>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pPr>
        <w:spacing w:line="400" w:lineRule="exact"/>
        <w:ind w:left="425" w:firstLine="440"/>
        <w:jc w:val="both"/>
        <w:rPr>
          <w:rFonts w:ascii="Tahoma" w:hAnsi="Tahoma" w:eastAsia="微软雅黑"/>
          <w:color w:val="auto"/>
          <w:sz w:val="22"/>
          <w:szCs w:val="22"/>
          <w:highlight w:val="none"/>
        </w:rPr>
      </w:pPr>
    </w:p>
    <w:p>
      <w:pPr>
        <w:pStyle w:val="4"/>
        <w:ind w:firstLine="422"/>
        <w:rPr>
          <w:color w:val="auto"/>
          <w:highlight w:val="none"/>
        </w:rPr>
      </w:pPr>
      <w:bookmarkStart w:id="153" w:name="_Toc20435"/>
      <w:bookmarkStart w:id="154" w:name="_Toc12457"/>
      <w:bookmarkStart w:id="155" w:name="_Toc4792"/>
      <w:r>
        <w:rPr>
          <w:rFonts w:hint="eastAsia"/>
          <w:color w:val="auto"/>
          <w:highlight w:val="none"/>
        </w:rPr>
        <w:t>15.★响应有效期</w:t>
      </w:r>
      <w:bookmarkEnd w:id="153"/>
      <w:bookmarkEnd w:id="154"/>
      <w:bookmarkEnd w:id="155"/>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pPr>
        <w:spacing w:line="400" w:lineRule="exact"/>
        <w:ind w:left="567" w:firstLine="440"/>
        <w:jc w:val="both"/>
        <w:rPr>
          <w:rFonts w:ascii="Tahoma" w:hAnsi="Tahoma" w:eastAsia="微软雅黑"/>
          <w:color w:val="auto"/>
          <w:kern w:val="0"/>
          <w:sz w:val="22"/>
          <w:szCs w:val="22"/>
          <w:highlight w:val="none"/>
        </w:rPr>
      </w:pPr>
    </w:p>
    <w:p>
      <w:pPr>
        <w:pStyle w:val="4"/>
        <w:ind w:firstLine="422"/>
        <w:rPr>
          <w:color w:val="auto"/>
          <w:highlight w:val="none"/>
        </w:rPr>
      </w:pPr>
      <w:bookmarkStart w:id="156" w:name="_Toc20804"/>
      <w:bookmarkStart w:id="157" w:name="_Toc28431"/>
      <w:bookmarkStart w:id="158" w:name="_Toc11339"/>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pPr>
        <w:numPr>
          <w:ilvl w:val="0"/>
          <w:numId w:val="6"/>
        </w:numPr>
        <w:spacing w:line="400" w:lineRule="exact"/>
        <w:ind w:firstLine="420"/>
        <w:jc w:val="both"/>
        <w:rPr>
          <w:rFonts w:ascii="宋体" w:hAnsi="宋体"/>
          <w:vanish/>
          <w:color w:val="auto"/>
          <w:szCs w:val="21"/>
          <w:highlight w:val="none"/>
        </w:rPr>
      </w:pPr>
      <w:bookmarkStart w:id="159" w:name="_Ref179619405"/>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pPr>
        <w:pageBreakBefore w:val="0"/>
        <w:numPr>
          <w:ilvl w:val="1"/>
          <w:numId w:val="6"/>
        </w:numPr>
        <w:kinsoku/>
        <w:wordWrap/>
        <w:overflowPunct/>
        <w:topLinePunct w:val="0"/>
        <w:autoSpaceDE/>
        <w:autoSpaceDN/>
        <w:bidi w:val="0"/>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pPr>
        <w:pageBreakBefore w:val="0"/>
        <w:widowControl/>
        <w:kinsoku/>
        <w:wordWrap/>
        <w:overflowPunct/>
        <w:topLinePunct w:val="0"/>
        <w:autoSpaceDE/>
        <w:autoSpaceDN/>
        <w:bidi w:val="0"/>
        <w:adjustRightInd w:val="0"/>
        <w:snapToGrid w:val="0"/>
        <w:spacing w:after="200"/>
        <w:ind w:left="630" w:hanging="660" w:hangingChars="300"/>
        <w:textAlignment w:val="auto"/>
        <w:rPr>
          <w:rFonts w:ascii="Tahoma" w:hAnsi="Tahoma" w:eastAsia="微软雅黑"/>
          <w:color w:val="auto"/>
          <w:kern w:val="0"/>
          <w:sz w:val="22"/>
          <w:szCs w:val="22"/>
          <w:highlight w:val="none"/>
        </w:rPr>
      </w:pPr>
    </w:p>
    <w:p>
      <w:pPr>
        <w:pStyle w:val="4"/>
        <w:pageBreakBefore w:val="0"/>
        <w:kinsoku/>
        <w:wordWrap/>
        <w:overflowPunct/>
        <w:topLinePunct w:val="0"/>
        <w:autoSpaceDE/>
        <w:autoSpaceDN/>
        <w:bidi w:val="0"/>
        <w:ind w:left="630" w:hanging="632" w:hangingChars="300"/>
        <w:textAlignment w:val="auto"/>
        <w:rPr>
          <w:color w:val="auto"/>
          <w:highlight w:val="none"/>
        </w:rPr>
      </w:pPr>
      <w:bookmarkStart w:id="160" w:name="_Toc24997"/>
      <w:bookmarkStart w:id="161" w:name="_Toc21699"/>
      <w:bookmarkStart w:id="162" w:name="_Toc17970"/>
      <w:bookmarkStart w:id="163" w:name="_Toc303084264"/>
      <w:bookmarkStart w:id="164" w:name="_Toc382049111"/>
      <w:bookmarkStart w:id="165" w:name="_Toc5055"/>
      <w:r>
        <w:rPr>
          <w:rFonts w:hint="eastAsia"/>
          <w:color w:val="auto"/>
          <w:highlight w:val="none"/>
        </w:rPr>
        <w:t>17.响应文件的装订，签署，密封和标记</w:t>
      </w:r>
      <w:bookmarkEnd w:id="160"/>
      <w:bookmarkEnd w:id="161"/>
      <w:bookmarkEnd w:id="162"/>
      <w:bookmarkEnd w:id="163"/>
      <w:bookmarkEnd w:id="164"/>
      <w:bookmarkEnd w:id="165"/>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项目编号：</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pPr>
        <w:pageBreakBefore w:val="0"/>
        <w:numPr>
          <w:ilvl w:val="1"/>
          <w:numId w:val="6"/>
        </w:numPr>
        <w:tabs>
          <w:tab w:val="left" w:pos="660"/>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66" w:name="_Toc1911"/>
      <w:bookmarkStart w:id="167" w:name="_Toc14913"/>
      <w:bookmarkStart w:id="168" w:name="_Toc3249"/>
      <w:r>
        <w:rPr>
          <w:rFonts w:hint="eastAsia"/>
          <w:color w:val="auto"/>
          <w:highlight w:val="none"/>
        </w:rPr>
        <w:t>18.迟交的响应文件</w:t>
      </w:r>
      <w:bookmarkEnd w:id="166"/>
      <w:bookmarkEnd w:id="167"/>
      <w:bookmarkEnd w:id="168"/>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69" w:name="_Toc8387"/>
      <w:bookmarkStart w:id="170" w:name="_Toc13946"/>
      <w:bookmarkStart w:id="171" w:name="_Toc22059"/>
      <w:r>
        <w:rPr>
          <w:rFonts w:hint="eastAsia"/>
          <w:color w:val="auto"/>
          <w:highlight w:val="none"/>
        </w:rPr>
        <w:t>19.磋商样品、磋商演示（如有要求）</w:t>
      </w:r>
      <w:bookmarkEnd w:id="169"/>
      <w:bookmarkEnd w:id="170"/>
      <w:bookmarkEnd w:id="171"/>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72" w:name="_Toc9777"/>
      <w:bookmarkStart w:id="173" w:name="_Toc24777"/>
      <w:bookmarkStart w:id="174" w:name="_Toc1364"/>
      <w:bookmarkStart w:id="175" w:name="_Toc382049112"/>
      <w:bookmarkStart w:id="176" w:name="_Toc303084265"/>
      <w:bookmarkStart w:id="177" w:name="_Toc518"/>
      <w:r>
        <w:rPr>
          <w:rFonts w:hint="eastAsia"/>
          <w:color w:val="auto"/>
          <w:highlight w:val="none"/>
        </w:rPr>
        <w:t>20.响应截止期</w:t>
      </w:r>
      <w:bookmarkEnd w:id="172"/>
      <w:bookmarkEnd w:id="173"/>
      <w:bookmarkEnd w:id="174"/>
      <w:bookmarkEnd w:id="175"/>
      <w:bookmarkEnd w:id="176"/>
      <w:bookmarkEnd w:id="17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78" w:name="_Toc4603"/>
      <w:bookmarkStart w:id="179" w:name="_Toc14390"/>
      <w:bookmarkStart w:id="180" w:name="_Toc28776"/>
      <w:r>
        <w:rPr>
          <w:rFonts w:hint="eastAsia"/>
          <w:color w:val="auto"/>
          <w:highlight w:val="none"/>
        </w:rPr>
        <w:t>21.响应文件的补充、修改与撤回</w:t>
      </w:r>
      <w:bookmarkEnd w:id="178"/>
      <w:bookmarkEnd w:id="179"/>
      <w:bookmarkEnd w:id="18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pPr>
        <w:widowControl/>
        <w:adjustRightInd w:val="0"/>
        <w:snapToGrid w:val="0"/>
        <w:ind w:left="119" w:firstLine="480"/>
        <w:rPr>
          <w:rFonts w:ascii="宋体" w:hAnsi="宋体" w:cs="宋体"/>
          <w:color w:val="auto"/>
          <w:sz w:val="24"/>
          <w:szCs w:val="22"/>
          <w:highlight w:val="none"/>
          <w:lang w:val="zh-CN" w:bidi="zh-CN"/>
        </w:rPr>
      </w:pPr>
    </w:p>
    <w:p>
      <w:pPr>
        <w:pStyle w:val="4"/>
        <w:ind w:firstLine="422"/>
        <w:rPr>
          <w:color w:val="auto"/>
          <w:highlight w:val="none"/>
        </w:rPr>
      </w:pPr>
      <w:bookmarkStart w:id="181" w:name="_Toc11914"/>
      <w:bookmarkStart w:id="182" w:name="_Toc14512"/>
      <w:bookmarkStart w:id="183" w:name="_Toc191"/>
      <w:r>
        <w:rPr>
          <w:rFonts w:hint="eastAsia"/>
          <w:color w:val="auto"/>
          <w:highlight w:val="none"/>
        </w:rPr>
        <w:t>22.磋商</w:t>
      </w:r>
      <w:bookmarkEnd w:id="181"/>
      <w:bookmarkEnd w:id="182"/>
      <w:bookmarkEnd w:id="183"/>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line="400" w:lineRule="exact"/>
        <w:ind w:left="630" w:hanging="630" w:hangingChars="300"/>
        <w:textAlignment w:val="auto"/>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pPr>
        <w:spacing w:line="400" w:lineRule="exact"/>
        <w:ind w:left="567" w:firstLine="440"/>
        <w:jc w:val="both"/>
        <w:rPr>
          <w:rFonts w:ascii="Tahoma" w:hAnsi="Tahoma" w:eastAsia="微软雅黑"/>
          <w:color w:val="auto"/>
          <w:kern w:val="0"/>
          <w:sz w:val="22"/>
          <w:szCs w:val="22"/>
          <w:highlight w:val="none"/>
        </w:rPr>
      </w:pPr>
    </w:p>
    <w:p>
      <w:pPr>
        <w:pStyle w:val="4"/>
        <w:ind w:firstLine="422"/>
        <w:rPr>
          <w:color w:val="auto"/>
          <w:highlight w:val="none"/>
        </w:rPr>
      </w:pPr>
      <w:bookmarkStart w:id="184" w:name="_Toc19811"/>
      <w:bookmarkStart w:id="185" w:name="_Toc13823"/>
      <w:bookmarkStart w:id="186" w:name="_Toc31198"/>
      <w:r>
        <w:rPr>
          <w:rFonts w:hint="eastAsia"/>
          <w:color w:val="auto"/>
          <w:highlight w:val="none"/>
        </w:rPr>
        <w:t>23.磋商小组及评审方法</w:t>
      </w:r>
      <w:bookmarkEnd w:id="184"/>
      <w:bookmarkEnd w:id="185"/>
      <w:bookmarkEnd w:id="186"/>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87" w:name="_Toc9540"/>
      <w:bookmarkStart w:id="188" w:name="_Toc20823"/>
      <w:bookmarkStart w:id="189" w:name="_Toc3525"/>
      <w:r>
        <w:rPr>
          <w:rFonts w:hint="eastAsia"/>
          <w:color w:val="auto"/>
          <w:highlight w:val="none"/>
        </w:rPr>
        <w:t>24.评审原则及评审过程的保密</w:t>
      </w:r>
      <w:bookmarkEnd w:id="187"/>
      <w:bookmarkEnd w:id="188"/>
      <w:bookmarkEnd w:id="189"/>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评审的基本原则：磋商小组将依据《中华人民共和国政府采购法》及国家和地方政府有关法规的规定，遵循“客观、公正、审慎”的原则进行评审工作。</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190" w:name="_Toc15479"/>
      <w:bookmarkStart w:id="191" w:name="_Toc7072"/>
      <w:bookmarkStart w:id="192" w:name="_Toc18014"/>
      <w:r>
        <w:rPr>
          <w:rFonts w:hint="eastAsia"/>
          <w:color w:val="auto"/>
          <w:highlight w:val="none"/>
        </w:rPr>
        <w:t>25.响应文件的初审</w:t>
      </w:r>
      <w:bookmarkEnd w:id="190"/>
      <w:bookmarkEnd w:id="191"/>
      <w:bookmarkEnd w:id="192"/>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1) 资格瑕疵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响应保证金瑕疵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技术响应瑕疵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hint="eastAsia"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3) 商务响应瑕疵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4）报价瑕疵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5）违规行为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pPr>
        <w:spacing w:line="400" w:lineRule="exact"/>
        <w:jc w:val="both"/>
        <w:rPr>
          <w:rFonts w:ascii="宋体" w:hAnsi="宋体"/>
          <w:color w:val="auto"/>
          <w:kern w:val="0"/>
          <w:szCs w:val="21"/>
          <w:highlight w:val="none"/>
        </w:rPr>
      </w:pPr>
    </w:p>
    <w:p>
      <w:pPr>
        <w:pStyle w:val="4"/>
        <w:ind w:firstLine="422"/>
        <w:rPr>
          <w:color w:val="auto"/>
          <w:highlight w:val="none"/>
        </w:rPr>
      </w:pPr>
      <w:bookmarkStart w:id="193" w:name="_Toc9736"/>
      <w:bookmarkStart w:id="194" w:name="_Toc16157"/>
      <w:bookmarkStart w:id="195" w:name="_Toc4041"/>
      <w:r>
        <w:rPr>
          <w:rFonts w:hint="eastAsia"/>
          <w:color w:val="auto"/>
          <w:highlight w:val="none"/>
        </w:rPr>
        <w:t>26.商务、技术、价格评审</w:t>
      </w:r>
      <w:bookmarkEnd w:id="193"/>
      <w:bookmarkEnd w:id="194"/>
      <w:bookmarkEnd w:id="195"/>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最终报价</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pPr>
        <w:numPr>
          <w:ilvl w:val="1"/>
          <w:numId w:val="6"/>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widowControl/>
        <w:numPr>
          <w:ilvl w:val="0"/>
          <w:numId w:val="9"/>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pPr>
        <w:spacing w:line="400" w:lineRule="exact"/>
        <w:ind w:firstLine="440"/>
        <w:jc w:val="both"/>
        <w:rPr>
          <w:rFonts w:ascii="Tahoma" w:hAnsi="Tahoma" w:eastAsia="微软雅黑"/>
          <w:color w:val="auto"/>
          <w:kern w:val="0"/>
          <w:sz w:val="22"/>
          <w:szCs w:val="22"/>
          <w:highlight w:val="none"/>
        </w:rPr>
      </w:pPr>
    </w:p>
    <w:p>
      <w:pPr>
        <w:pStyle w:val="4"/>
        <w:ind w:firstLine="422"/>
        <w:rPr>
          <w:color w:val="auto"/>
          <w:highlight w:val="none"/>
        </w:rPr>
      </w:pPr>
      <w:bookmarkStart w:id="196" w:name="_Toc316375620"/>
      <w:bookmarkStart w:id="197" w:name="_Toc30865"/>
      <w:bookmarkStart w:id="198" w:name="_Toc382049120"/>
      <w:bookmarkStart w:id="199" w:name="_Toc30573"/>
      <w:bookmarkStart w:id="200" w:name="_Toc25030"/>
      <w:bookmarkStart w:id="201" w:name="_Toc20328"/>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202" w:name="_Toc508284011"/>
      <w:bookmarkStart w:id="203" w:name="_Toc21560"/>
      <w:bookmarkStart w:id="204" w:name="_Toc27383"/>
      <w:bookmarkStart w:id="205" w:name="_Toc21265"/>
      <w:r>
        <w:rPr>
          <w:rFonts w:hint="eastAsia"/>
          <w:color w:val="auto"/>
          <w:highlight w:val="none"/>
        </w:rPr>
        <w:t>28.</w:t>
      </w:r>
      <w:bookmarkEnd w:id="202"/>
      <w:r>
        <w:rPr>
          <w:rFonts w:hint="eastAsia"/>
          <w:color w:val="auto"/>
          <w:highlight w:val="none"/>
        </w:rPr>
        <w:t>确定成交</w:t>
      </w:r>
      <w:bookmarkEnd w:id="203"/>
      <w:bookmarkEnd w:id="204"/>
      <w:bookmarkEnd w:id="205"/>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206" w:name="_Toc6459"/>
      <w:bookmarkStart w:id="207" w:name="_Toc508284013"/>
      <w:bookmarkStart w:id="208" w:name="_Toc24851"/>
      <w:bookmarkStart w:id="209" w:name="_Toc2468"/>
      <w:r>
        <w:rPr>
          <w:rFonts w:hint="eastAsia"/>
          <w:color w:val="auto"/>
          <w:highlight w:val="none"/>
        </w:rPr>
        <w:t>29.发布采购结果</w:t>
      </w:r>
      <w:bookmarkEnd w:id="206"/>
      <w:bookmarkEnd w:id="207"/>
      <w:bookmarkEnd w:id="208"/>
      <w:bookmarkEnd w:id="209"/>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原件核查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4"/>
        <w:ind w:firstLine="422"/>
        <w:rPr>
          <w:color w:val="auto"/>
          <w:highlight w:val="none"/>
        </w:rPr>
      </w:pPr>
      <w:bookmarkStart w:id="210" w:name="_Toc1555"/>
      <w:bookmarkStart w:id="211" w:name="_Toc7001"/>
      <w:bookmarkStart w:id="212" w:name="_Toc18733"/>
      <w:r>
        <w:rPr>
          <w:rFonts w:hint="eastAsia"/>
          <w:color w:val="auto"/>
          <w:highlight w:val="none"/>
        </w:rPr>
        <w:t>30.合同的签订与履行</w:t>
      </w:r>
      <w:bookmarkEnd w:id="210"/>
      <w:bookmarkEnd w:id="211"/>
      <w:bookmarkEnd w:id="212"/>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pPr>
        <w:adjustRightInd w:val="0"/>
        <w:snapToGrid w:val="0"/>
        <w:spacing w:before="161" w:after="200" w:line="400" w:lineRule="exact"/>
        <w:ind w:left="120" w:firstLine="480"/>
        <w:rPr>
          <w:rFonts w:ascii="宋体" w:hAnsi="宋体" w:cs="宋体"/>
          <w:color w:val="auto"/>
          <w:sz w:val="24"/>
          <w:szCs w:val="22"/>
          <w:highlight w:val="none"/>
          <w:lang w:val="zh-CN" w:bidi="zh-CN"/>
        </w:rPr>
      </w:pPr>
    </w:p>
    <w:p>
      <w:pPr>
        <w:pStyle w:val="4"/>
        <w:ind w:firstLine="422"/>
        <w:rPr>
          <w:color w:val="auto"/>
          <w:highlight w:val="none"/>
        </w:rPr>
      </w:pPr>
      <w:bookmarkStart w:id="213" w:name="_Toc9041"/>
      <w:bookmarkStart w:id="214" w:name="_Toc26547"/>
      <w:r>
        <w:rPr>
          <w:rFonts w:hint="eastAsia"/>
          <w:color w:val="auto"/>
          <w:highlight w:val="none"/>
        </w:rPr>
        <w:t>31.履约保证金</w:t>
      </w:r>
      <w:bookmarkEnd w:id="213"/>
      <w:bookmarkEnd w:id="214"/>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pPr>
        <w:pStyle w:val="3"/>
        <w:numPr>
          <w:ilvl w:val="0"/>
          <w:numId w:val="2"/>
        </w:numPr>
        <w:ind w:firstLine="602"/>
        <w:rPr>
          <w:color w:val="auto"/>
          <w:highlight w:val="none"/>
        </w:rPr>
      </w:pPr>
      <w:bookmarkStart w:id="215" w:name="_Toc8191"/>
      <w:r>
        <w:rPr>
          <w:rFonts w:hint="eastAsia"/>
          <w:color w:val="auto"/>
          <w:highlight w:val="none"/>
        </w:rPr>
        <w:t>用户需求书</w:t>
      </w:r>
      <w:bookmarkEnd w:id="215"/>
    </w:p>
    <w:p>
      <w:pPr>
        <w:ind w:firstLine="562"/>
        <w:jc w:val="center"/>
        <w:outlineLvl w:val="1"/>
        <w:rPr>
          <w:b/>
          <w:bCs/>
          <w:color w:val="auto"/>
          <w:sz w:val="28"/>
          <w:szCs w:val="36"/>
          <w:highlight w:val="none"/>
        </w:rPr>
      </w:pPr>
      <w:bookmarkStart w:id="216" w:name="_Toc27180"/>
      <w:bookmarkStart w:id="217" w:name="_Toc16006"/>
      <w:bookmarkStart w:id="218" w:name="_Toc18002"/>
      <w:bookmarkStart w:id="219" w:name="_Toc7855"/>
      <w:r>
        <w:rPr>
          <w:rFonts w:hint="eastAsia"/>
          <w:b/>
          <w:bCs/>
          <w:color w:val="auto"/>
          <w:sz w:val="28"/>
          <w:szCs w:val="36"/>
          <w:highlight w:val="none"/>
        </w:rPr>
        <w:t>商务要求</w:t>
      </w:r>
      <w:bookmarkEnd w:id="216"/>
      <w:bookmarkEnd w:id="217"/>
      <w:bookmarkEnd w:id="218"/>
      <w:bookmarkEnd w:id="219"/>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★完工期</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48天内完成</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宋体" w:hAnsi="宋体" w:cs="宋体"/>
                <w:color w:val="auto"/>
                <w:szCs w:val="21"/>
                <w:highlight w:val="none"/>
                <w:lang w:val="en-US"/>
              </w:rPr>
            </w:pPr>
            <w:r>
              <w:rPr>
                <w:rFonts w:hint="eastAsia" w:ascii="宋体" w:hAnsi="宋体" w:cs="宋体"/>
                <w:color w:val="auto"/>
                <w:sz w:val="21"/>
                <w:szCs w:val="21"/>
                <w:highlight w:val="none"/>
                <w:lang w:val="en-US" w:eastAsia="zh-CN"/>
              </w:rPr>
              <w:t>东莞市常平镇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cs="宋体"/>
                <w:color w:val="auto"/>
                <w:sz w:val="21"/>
                <w:szCs w:val="21"/>
                <w:highlight w:val="none"/>
                <w:lang w:eastAsia="zh-CN"/>
              </w:rPr>
              <w:t>响应有效期</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从提交投标（响应）文件的截止之日起90日历天</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cs="宋体"/>
                <w:color w:val="auto"/>
                <w:sz w:val="21"/>
                <w:szCs w:val="21"/>
                <w:highlight w:val="none"/>
                <w:lang w:val="en-US" w:eastAsia="zh-CN"/>
              </w:rPr>
              <w:t>质保期</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质保期1年，自项目验收合格之日算起。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pPr>
              <w:widowControl/>
              <w:spacing w:line="400" w:lineRule="exact"/>
              <w:jc w:val="center"/>
              <w:rPr>
                <w:rFonts w:ascii="宋体" w:hAnsi="宋体"/>
                <w:color w:val="auto"/>
                <w:szCs w:val="21"/>
                <w:highlight w:val="none"/>
              </w:rPr>
            </w:pPr>
            <w:r>
              <w:rPr>
                <w:rFonts w:hint="eastAsia" w:ascii="宋体" w:hAnsi="宋体" w:eastAsia="宋体" w:cs="宋体"/>
                <w:color w:val="auto"/>
                <w:sz w:val="21"/>
                <w:szCs w:val="21"/>
                <w:highlight w:val="none"/>
              </w:rPr>
              <w:t>付款方式</w:t>
            </w:r>
          </w:p>
        </w:tc>
        <w:tc>
          <w:tcPr>
            <w:tcW w:w="6728" w:type="dxa"/>
            <w:vAlign w:val="center"/>
          </w:tcPr>
          <w:p>
            <w:pPr>
              <w:widowControl/>
              <w:spacing w:line="360" w:lineRule="auto"/>
              <w:ind w:firstLine="420" w:firstLineChars="200"/>
              <w:jc w:val="both"/>
              <w:rPr>
                <w:rFonts w:ascii="宋体" w:hAnsi="宋体"/>
                <w:bCs/>
                <w:color w:val="auto"/>
                <w:szCs w:val="21"/>
                <w:highlight w:val="none"/>
              </w:rPr>
            </w:pPr>
            <w:r>
              <w:rPr>
                <w:rFonts w:hint="eastAsia" w:ascii="宋体" w:hAnsi="宋体" w:cs="宋体"/>
                <w:color w:val="auto"/>
                <w:szCs w:val="21"/>
                <w:highlight w:val="none"/>
                <w:lang w:val="zh-CN" w:bidi="zh-CN"/>
              </w:rPr>
              <w:t>合同签订后，采购人向成交供应商支付合同金额的10%作为预付款；项目竣工验收合格后，采购人向成交供应商支付至合同金额的80%；项目结算完成后，支付到结算价的97%，余3%作为质保金质保期满后支付。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cs="宋体"/>
                <w:color w:val="auto"/>
                <w:szCs w:val="21"/>
                <w:highlight w:val="none"/>
                <w:lang w:val="zh-CN" w:bidi="zh-CN"/>
              </w:rPr>
            </w:pPr>
            <w:r>
              <w:rPr>
                <w:rFonts w:hint="eastAsia" w:ascii="宋体" w:hAnsi="宋体" w:eastAsia="宋体" w:cs="宋体"/>
                <w:color w:val="auto"/>
                <w:sz w:val="21"/>
                <w:szCs w:val="21"/>
                <w:highlight w:val="none"/>
              </w:rPr>
              <w:t>按国家及行业相关标准验收。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其他</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预算金额为：292,716.48元，其中绿色施工安全防护措施费：9,303.37元。绿色施工安全防护措施费不作为竞争性费用，按照实际发生变化的措施项目调整，不得浮动；规费及税金不作为竞争性费用，按照实际发生调整。</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、报价采取打包报价的方式，报价包括材料、工具、人工、管理费、利润、税金、风险、招标代理费用等一切因素所有应该和可能发生的费用因素。 </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、投标人应充分结合本采购文件上下文了解项目需求、采购文件未尽事宜，将在合同签订或项目执行过程中双方协商确定，供应商须无条件满足采购单位的合理要求。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ind w:firstLine="562"/>
        <w:jc w:val="center"/>
        <w:outlineLvl w:val="1"/>
        <w:rPr>
          <w:b/>
          <w:bCs/>
          <w:color w:val="auto"/>
          <w:sz w:val="28"/>
          <w:szCs w:val="36"/>
          <w:highlight w:val="none"/>
        </w:rPr>
      </w:pPr>
      <w:bookmarkStart w:id="220" w:name="_Toc3714"/>
      <w:bookmarkStart w:id="221" w:name="_Toc4572"/>
      <w:bookmarkStart w:id="222" w:name="_Toc4445"/>
      <w:bookmarkStart w:id="223" w:name="_Toc16983"/>
      <w:r>
        <w:rPr>
          <w:rFonts w:hint="eastAsia"/>
          <w:b/>
          <w:bCs/>
          <w:color w:val="auto"/>
          <w:sz w:val="28"/>
          <w:szCs w:val="36"/>
          <w:highlight w:val="none"/>
        </w:rPr>
        <w:t>技术要求</w:t>
      </w:r>
      <w:bookmarkEnd w:id="220"/>
      <w:bookmarkEnd w:id="221"/>
      <w:bookmarkEnd w:id="222"/>
      <w:bookmarkEnd w:id="223"/>
    </w:p>
    <w:p>
      <w:pPr>
        <w:pStyle w:val="41"/>
        <w:ind w:firstLine="422"/>
        <w:jc w:val="left"/>
        <w:outlineLvl w:val="0"/>
        <w:rPr>
          <w:rFonts w:hint="default" w:ascii="宋体" w:hAnsi="宋体" w:eastAsia="宋体"/>
          <w:b/>
          <w:color w:val="auto"/>
          <w:sz w:val="21"/>
          <w:szCs w:val="21"/>
          <w:highlight w:val="none"/>
          <w:lang w:val="en-US" w:eastAsia="zh-CN"/>
        </w:rPr>
      </w:pPr>
      <w:bookmarkStart w:id="224" w:name="_Toc476901034"/>
      <w:bookmarkStart w:id="225" w:name="_Toc42033153"/>
      <w:bookmarkStart w:id="226" w:name="_Toc17699252"/>
      <w:bookmarkStart w:id="227" w:name="_Toc485835248"/>
      <w:r>
        <w:rPr>
          <w:rFonts w:hint="eastAsia" w:ascii="宋体" w:hAnsi="宋体"/>
          <w:b/>
          <w:color w:val="auto"/>
          <w:sz w:val="21"/>
          <w:szCs w:val="21"/>
          <w:highlight w:val="none"/>
        </w:rPr>
        <w:t>一、</w:t>
      </w:r>
      <w:r>
        <w:rPr>
          <w:rFonts w:hint="eastAsia" w:ascii="宋体" w:hAnsi="宋体"/>
          <w:b/>
          <w:color w:val="auto"/>
          <w:sz w:val="21"/>
          <w:szCs w:val="21"/>
          <w:highlight w:val="none"/>
          <w:lang w:val="en-US" w:eastAsia="zh-CN"/>
        </w:rPr>
        <w:t>项目清单</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6514"/>
        <w:gridCol w:w="581"/>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一、穿堤箱涵内部植筋,布置钢筋网,细石砼喷射护面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1.φ12钢筋植筋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钢筋加工及安装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1.钢筋加工与安装 钢筋网//换:钢筋φ8</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1.钢筋网面涂3mm厚超强高韧聚合物水泥基防涂料</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混凝土护面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1.平洞喷混凝土 有钢筋 喷射厚度 5～10cm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2.C30细石混凝土</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脚手架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1.混凝土用仓面脚手架 支架高度在1.5m以内</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二、拍门闸门维护(含除锈、涂漆、更换止水胶条等)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除锈、涂漆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1.金属面 喷环氧富锌底漆(封闭漆) 一遍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2.金属面 机喷环氧云铁防锈漆 一遍//换:喷涂银灰氯化橡胶漆 改:2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更换止水胶条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1.更换止水胶条</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拍门闸门拆除2.8*3.6m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1.拍门闸门拆除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2.止水胶条拆除</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拍门闸门安装2.8*3.6m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1.拍门闸门安装</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三、前池侧杂草清除,土方回填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前池侧杂草清除30cm厚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1.推土机清理表土 土类级别 Ⅰ～Ⅱ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2.挖掘机挖装土自卸汽车运输 1m³挖掘机 运距10km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一般土方填筑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推土机压实 土料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挖掘机挖装土自卸汽车运输 1m³挖掘机 运距10km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大叶油草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1.植草 平面植草 铺草皮 满铺//换:大叶油草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2.养护期：3个月</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诱杀白蚁的药物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1.诱杀白蚁的药物</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四、拆除及修复前池底板，前池下部填充无砂砼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挖装淤泥外运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1.挖掘机挖装一般淤泥自卸汽车运输 1m³挖掘机 运距10km//改:挖淤泥、流砂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2.余泥渣土消纳费</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拆除前池底板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1.混凝土拆除 一般拆除 液压岩石破碎机拆除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2.1m³挖掘机装石渣自卸汽车运输 露天 运距4km//改: 洞外运距(KM):10 洞内运距(KM):0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修复前池底板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1.底板 平均厚度 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2.混凝土等级：泵送C30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3.安装泄水孔 塑料管//换:塑料排水管 DN50PVC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4.土工布铺设 平铺</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钢筋加工及安装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1.钢筋加工与安装 一般钢筋//换:钢筋10以内</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前池底板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1.底板 平均厚度 30cm//换:C25无砂砼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2.泵送混凝土</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排水孔灌浆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1.水泥灌浆封堵自流排道的排水孔</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五、临时工程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临时土围堰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1.袋装土石围堰 填筑 编织袋装土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2.人力车运土方 运距 100m内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3.土工布铺设 斜铺 边坡 1:1.5//换:防渗土工膜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4.抽水</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围堰拆除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1.挖掘机挖装土自卸汽车运输 1m³挖掘机 运距10km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2.人力车运土方 运距 100m内</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临时施工道路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压路机压实 土料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挖掘机挖装土自卸汽车运输 1m³挖掘机 运距10km</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临时道路拆除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1.挖掘机挖装土自卸汽车运输 1m³挖掘机 运距10km</w:t>
            </w:r>
          </w:p>
        </w:tc>
        <w:tc>
          <w:tcPr>
            <w:tcW w:w="0" w:type="auto"/>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0" w:type="auto"/>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安全生产措施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其他临时工程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r>
      <w:bookmarkEnd w:id="224"/>
      <w:bookmarkEnd w:id="225"/>
      <w:bookmarkEnd w:id="226"/>
      <w:bookmarkEnd w:id="227"/>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3、严格服从管理要求，自觉接受履约评价。</w:t>
      </w:r>
    </w:p>
    <w:p>
      <w:pPr>
        <w:spacing w:line="360" w:lineRule="auto"/>
        <w:ind w:firstLine="420" w:firstLineChars="200"/>
        <w:rPr>
          <w:rFonts w:ascii="宋体" w:hAnsi="宋体"/>
          <w:bCs/>
          <w:color w:val="auto"/>
          <w:szCs w:val="21"/>
          <w:highlight w:val="none"/>
          <w:lang w:val="zh-CN"/>
        </w:rPr>
      </w:pPr>
    </w:p>
    <w:p>
      <w:pPr>
        <w:ind w:firstLine="422" w:firstLineChars="2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en-US"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p>
    <w:p>
      <w:pPr>
        <w:ind w:firstLine="422"/>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pStyle w:val="3"/>
        <w:numPr>
          <w:ilvl w:val="0"/>
          <w:numId w:val="2"/>
        </w:numPr>
        <w:ind w:firstLine="602"/>
        <w:rPr>
          <w:color w:val="auto"/>
          <w:highlight w:val="none"/>
        </w:rPr>
      </w:pPr>
      <w:bookmarkStart w:id="228" w:name="_Toc29929"/>
      <w:r>
        <w:rPr>
          <w:rFonts w:hint="eastAsia"/>
          <w:color w:val="auto"/>
          <w:highlight w:val="none"/>
        </w:rPr>
        <w:t>详细评审</w:t>
      </w:r>
      <w:bookmarkEnd w:id="22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17"/>
              <w:spacing w:beforeAutospacing="0" w:afterAutospacing="0"/>
              <w:jc w:val="center"/>
              <w:rPr>
                <w:rFonts w:ascii="宋体" w:hAnsi="宋体" w:cs="宋体"/>
                <w:color w:val="auto"/>
                <w:kern w:val="2"/>
                <w:sz w:val="21"/>
                <w:szCs w:val="21"/>
                <w:highlight w:val="none"/>
              </w:rPr>
            </w:pPr>
            <w:r>
              <w:rPr>
                <w:rFonts w:hint="eastAsia" w:ascii="宋体" w:hAnsi="宋体" w:cs="宋体"/>
                <w:color w:val="auto"/>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7"/>
              <w:spacing w:beforeAutospacing="0" w:afterAutospacing="0"/>
              <w:jc w:val="center"/>
              <w:rPr>
                <w:rFonts w:ascii="宋体" w:hAnsi="宋体" w:cs="宋体"/>
                <w:color w:val="auto"/>
                <w:kern w:val="2"/>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5分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水利工程</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pPr>
              <w:pStyle w:val="17"/>
              <w:spacing w:beforeAutospacing="0" w:afterAutospacing="0"/>
              <w:ind w:left="1"/>
              <w:jc w:val="both"/>
              <w:rPr>
                <w:rFonts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bCs/>
                <w:color w:val="auto"/>
                <w:sz w:val="21"/>
                <w:szCs w:val="21"/>
                <w:highlight w:val="none"/>
              </w:rPr>
              <w:t>服务响应</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5分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项目的理解</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1"/>
                <w:highlight w:val="none"/>
              </w:rPr>
              <w:t>1</w:t>
            </w:r>
            <w:r>
              <w:rPr>
                <w:rFonts w:hint="eastAsia" w:asci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bCs/>
                <w:color w:val="auto"/>
                <w:sz w:val="21"/>
                <w:szCs w:val="21"/>
                <w:highlight w:val="none"/>
              </w:rPr>
              <w:t>安全文明方案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eastAsia="宋体" w:cs="宋体" w:hAnsiTheme="minorHAnsi"/>
                <w:color w:val="auto"/>
                <w:kern w:val="2"/>
                <w:sz w:val="21"/>
                <w:szCs w:val="21"/>
                <w:highlight w:val="none"/>
                <w:lang w:val="en-US" w:eastAsia="zh-CN" w:bidi="ar-SA"/>
              </w:rPr>
            </w:pPr>
            <w:r>
              <w:rPr>
                <w:rFonts w:hint="eastAsia" w:ascii="宋体" w:hAnsi="宋体" w:eastAsia="宋体" w:cs="宋体"/>
                <w:bCs/>
                <w:color w:val="auto"/>
                <w:sz w:val="21"/>
                <w:szCs w:val="21"/>
                <w:highlight w:val="none"/>
              </w:rPr>
              <w:t>验收方案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bCs/>
                <w:color w:val="auto"/>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应急方案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5分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609" w:type="dxa"/>
            <w:tcBorders>
              <w:top w:val="single" w:color="auto" w:sz="4" w:space="0"/>
              <w:left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ascii="宋体" w:eastAsia="宋体" w:cs="宋体"/>
                <w:color w:val="auto"/>
                <w:sz w:val="21"/>
                <w:szCs w:val="21"/>
                <w:highlight w:val="none"/>
              </w:rPr>
            </w:pPr>
            <w:r>
              <w:rPr>
                <w:rFonts w:hint="eastAsia" w:ascii="宋体" w:hAnsi="宋体" w:eastAsia="宋体" w:cs="宋体"/>
                <w:bCs/>
                <w:color w:val="auto"/>
                <w:sz w:val="21"/>
                <w:szCs w:val="21"/>
                <w:highlight w:val="none"/>
              </w:rPr>
              <w:t>规章制度</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eastAsia="宋体" w:cs="宋体"/>
                <w:color w:val="auto"/>
                <w:sz w:val="21"/>
                <w:szCs w:val="21"/>
                <w:highlight w:val="none"/>
                <w:lang w:val="en-US"/>
              </w:rPr>
            </w:pPr>
            <w:r>
              <w:rPr>
                <w:rFonts w:hint="eastAsia" w:ascii="宋体" w:eastAsia="宋体" w:cs="宋体"/>
                <w:bCs/>
                <w:color w:val="auto"/>
                <w:sz w:val="21"/>
                <w:szCs w:val="21"/>
                <w:highlight w:val="none"/>
                <w:lang w:val="en-US" w:eastAsia="zh-CN"/>
              </w:rPr>
              <w:t>5分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ind w:firstLine="420" w:firstLineChars="200"/>
              <w:rPr>
                <w:rFonts w:ascii="宋体" w:hAnsi="宋体" w:cs="宋体"/>
                <w:color w:val="auto"/>
                <w:szCs w:val="21"/>
                <w:highlight w:val="none"/>
                <w:lang w:val="zh-CN"/>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2"/>
        </w:numPr>
        <w:ind w:firstLine="602"/>
        <w:rPr>
          <w:color w:val="auto"/>
          <w:highlight w:val="none"/>
        </w:rPr>
      </w:pPr>
      <w:bookmarkStart w:id="229" w:name="_Toc20102"/>
      <w:r>
        <w:rPr>
          <w:rFonts w:hint="eastAsia"/>
          <w:color w:val="auto"/>
          <w:highlight w:val="none"/>
        </w:rPr>
        <w:t>合同文本参考格式</w:t>
      </w:r>
      <w:bookmarkEnd w:id="229"/>
    </w:p>
    <w:p>
      <w:pPr>
        <w:ind w:firstLine="442"/>
        <w:jc w:val="center"/>
        <w:outlineLvl w:val="1"/>
        <w:rPr>
          <w:color w:val="auto"/>
          <w:sz w:val="18"/>
          <w:szCs w:val="21"/>
          <w:highlight w:val="none"/>
        </w:rPr>
      </w:pPr>
      <w:bookmarkStart w:id="230" w:name="_Toc20453"/>
      <w:bookmarkStart w:id="231" w:name="_Toc1541"/>
      <w:bookmarkStart w:id="232" w:name="_Toc27897"/>
      <w:bookmarkStart w:id="233" w:name="_Toc25458"/>
      <w:r>
        <w:rPr>
          <w:rFonts w:hint="eastAsia" w:ascii="宋体" w:hAnsi="宋体" w:cs="宋体"/>
          <w:b/>
          <w:bCs/>
          <w:color w:val="auto"/>
          <w:sz w:val="22"/>
          <w:szCs w:val="22"/>
          <w:highlight w:val="none"/>
        </w:rPr>
        <w:t>（本格式编排在磋商文件中，供供应商参考，响应时不需填写）</w:t>
      </w:r>
      <w:bookmarkEnd w:id="230"/>
      <w:bookmarkEnd w:id="231"/>
      <w:bookmarkEnd w:id="232"/>
      <w:bookmarkEnd w:id="233"/>
    </w:p>
    <w:p>
      <w:pPr>
        <w:pStyle w:val="28"/>
        <w:ind w:left="210" w:firstLine="0" w:firstLineChars="0"/>
        <w:jc w:val="center"/>
        <w:rPr>
          <w:rFonts w:ascii="宋体" w:eastAsia="宋体"/>
          <w:b/>
          <w:color w:val="auto"/>
          <w:sz w:val="32"/>
          <w:szCs w:val="32"/>
          <w:highlight w:val="none"/>
        </w:rPr>
      </w:pPr>
    </w:p>
    <w:p>
      <w:pPr>
        <w:pStyle w:val="28"/>
        <w:spacing w:line="240" w:lineRule="auto"/>
        <w:ind w:left="210" w:firstLine="0" w:firstLineChars="0"/>
        <w:jc w:val="center"/>
        <w:rPr>
          <w:rFonts w:hint="eastAsia" w:ascii="宋体" w:hAnsi="宋体" w:eastAsia="宋体" w:cs="宋体"/>
          <w:b/>
          <w:color w:val="auto"/>
          <w:sz w:val="48"/>
          <w:highlight w:val="none"/>
        </w:rPr>
      </w:pPr>
    </w:p>
    <w:p>
      <w:pPr>
        <w:pStyle w:val="28"/>
        <w:spacing w:line="240" w:lineRule="auto"/>
        <w:ind w:left="210" w:firstLine="0" w:firstLineChars="0"/>
        <w:jc w:val="center"/>
        <w:rPr>
          <w:rFonts w:hint="eastAsia" w:ascii="宋体" w:hAnsi="宋体" w:eastAsia="宋体" w:cs="宋体"/>
          <w:b/>
          <w:color w:val="auto"/>
          <w:sz w:val="48"/>
          <w:highlight w:val="none"/>
        </w:rPr>
      </w:pPr>
    </w:p>
    <w:p>
      <w:pPr>
        <w:pStyle w:val="28"/>
        <w:spacing w:line="240" w:lineRule="auto"/>
        <w:ind w:left="210" w:firstLine="0" w:firstLineChars="0"/>
        <w:jc w:val="center"/>
        <w:rPr>
          <w:rFonts w:hint="eastAsia" w:ascii="宋体" w:hAnsi="宋体" w:eastAsia="宋体" w:cs="宋体"/>
          <w:b/>
          <w:color w:val="auto"/>
          <w:sz w:val="48"/>
          <w:highlight w:val="none"/>
        </w:rPr>
      </w:pPr>
    </w:p>
    <w:p>
      <w:pPr>
        <w:pStyle w:val="28"/>
        <w:spacing w:line="240" w:lineRule="auto"/>
        <w:ind w:left="210" w:firstLine="0" w:firstLineChars="0"/>
        <w:jc w:val="center"/>
        <w:rPr>
          <w:rFonts w:hint="eastAsia" w:ascii="宋体" w:hAnsi="宋体" w:eastAsia="宋体" w:cs="宋体"/>
          <w:b/>
          <w:color w:val="auto"/>
          <w:sz w:val="48"/>
          <w:highlight w:val="none"/>
        </w:rPr>
      </w:pPr>
    </w:p>
    <w:p>
      <w:pPr>
        <w:pStyle w:val="28"/>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　同　书</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sz w:val="27"/>
          <w:highlight w:val="none"/>
        </w:rPr>
        <w:t xml:space="preserve"> </w:t>
      </w:r>
    </w:p>
    <w:p>
      <w:pPr>
        <w:ind w:left="0" w:leftChars="0" w:firstLine="1540" w:firstLineChars="550"/>
        <w:rPr>
          <w:rFonts w:hint="eastAsia" w:ascii="宋体" w:hAnsi="宋体" w:eastAsia="宋体" w:cs="宋体"/>
          <w:color w:val="auto"/>
          <w:sz w:val="28"/>
          <w:highlight w:val="none"/>
        </w:rPr>
      </w:pPr>
    </w:p>
    <w:p>
      <w:pPr>
        <w:ind w:left="0" w:leftChars="0" w:firstLine="1540" w:firstLineChars="550"/>
        <w:rPr>
          <w:rFonts w:hint="eastAsia" w:ascii="宋体" w:hAnsi="宋体" w:eastAsia="宋体" w:cs="宋体"/>
          <w:color w:val="auto"/>
          <w:sz w:val="28"/>
          <w:highlight w:val="none"/>
        </w:rPr>
      </w:pP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采购计划编号：</w:t>
      </w:r>
      <w:r>
        <w:rPr>
          <w:rFonts w:hint="eastAsia" w:ascii="宋体" w:hAnsi="宋体" w:eastAsia="宋体" w:cs="宋体"/>
          <w:color w:val="auto"/>
          <w:highlight w:val="none"/>
          <w:u w:val="single"/>
        </w:rPr>
        <w:t xml:space="preserve">                          </w:t>
      </w:r>
    </w:p>
    <w:p>
      <w:pPr>
        <w:ind w:left="0" w:leftChars="0" w:firstLine="1155" w:firstLineChars="550"/>
        <w:rPr>
          <w:rFonts w:hint="eastAsia" w:ascii="宋体" w:hAnsi="宋体" w:eastAsia="宋体" w:cs="宋体"/>
          <w:color w:val="auto"/>
          <w:highlight w:val="none"/>
        </w:rPr>
      </w:pP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pPr>
        <w:jc w:val="center"/>
        <w:rPr>
          <w:rFonts w:hint="eastAsia" w:ascii="宋体" w:hAnsi="宋体" w:eastAsia="宋体" w:cs="宋体"/>
          <w:color w:val="auto"/>
          <w:highlight w:val="none"/>
        </w:rPr>
      </w:pPr>
      <w:r>
        <w:rPr>
          <w:rFonts w:hint="eastAsia" w:ascii="宋体" w:hAnsi="宋体" w:eastAsia="宋体" w:cs="宋体"/>
          <w:color w:val="auto"/>
          <w:sz w:val="36"/>
          <w:highlight w:val="none"/>
        </w:rPr>
        <w:t xml:space="preserve"> </w:t>
      </w:r>
    </w:p>
    <w:p>
      <w:pPr>
        <w:pStyle w:val="28"/>
        <w:spacing w:line="240" w:lineRule="atLeast"/>
        <w:ind w:firstLine="0" w:firstLineChars="0"/>
        <w:rPr>
          <w:rFonts w:hint="eastAsia" w:ascii="宋体" w:eastAsia="宋体"/>
          <w:b/>
          <w:color w:val="auto"/>
          <w:sz w:val="36"/>
          <w:szCs w:val="28"/>
          <w:highlight w:val="none"/>
        </w:rPr>
      </w:pPr>
    </w:p>
    <w:p>
      <w:pPr>
        <w:widowControl/>
        <w:jc w:val="left"/>
        <w:rPr>
          <w:rFonts w:ascii="宋体" w:hAnsi="宋体" w:cs="仿宋"/>
          <w:b/>
          <w:color w:val="auto"/>
          <w:sz w:val="24"/>
          <w:highlight w:val="none"/>
        </w:rPr>
      </w:pPr>
      <w:r>
        <w:rPr>
          <w:rFonts w:ascii="宋体" w:hAnsi="宋体" w:cs="仿宋"/>
          <w:b/>
          <w:color w:val="auto"/>
          <w:sz w:val="24"/>
          <w:highlight w:val="none"/>
        </w:rPr>
        <w:br w:type="page"/>
      </w:r>
    </w:p>
    <w:p>
      <w:pPr>
        <w:ind w:firstLine="422" w:firstLineChars="200"/>
        <w:rPr>
          <w:rFonts w:hint="eastAsia"/>
          <w:b/>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w:t>
      </w:r>
      <w:r>
        <w:rPr>
          <w:rFonts w:hint="eastAsia" w:ascii="Calibri" w:hAnsi="Calibri" w:eastAsia="宋体" w:cs="Times New Roman"/>
          <w:color w:val="auto"/>
          <w:kern w:val="2"/>
          <w:sz w:val="21"/>
          <w:szCs w:val="24"/>
          <w:highlight w:val="none"/>
          <w:lang w:val="en-US" w:eastAsia="zh-CN" w:bidi="ar-SA"/>
        </w:rPr>
        <w:t>《中</w:t>
      </w:r>
      <w:r>
        <w:rPr>
          <w:rFonts w:hint="eastAsia" w:ascii="Calibri" w:hAnsi="Calibri" w:eastAsia="宋体" w:cs="Times New Roman"/>
          <w:color w:val="auto"/>
          <w:kern w:val="2"/>
          <w:sz w:val="21"/>
          <w:szCs w:val="24"/>
          <w:highlight w:val="none"/>
          <w:lang w:val="en-US" w:bidi="ar-SA"/>
        </w:rPr>
        <w:t>华人民共和国政府采购法》</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具体详见招标文件需求部分。</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eastAsia="宋体" w:cs="宋体"/>
          <w:b/>
          <w:bCs/>
          <w:color w:val="auto"/>
          <w:kern w:val="2"/>
          <w:sz w:val="21"/>
          <w:szCs w:val="24"/>
          <w:highlight w:val="none"/>
          <w:lang w:val="en-US" w:eastAsia="zh-CN" w:bidi="ar-SA"/>
        </w:rPr>
        <w:t>完工期及质保期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完工期：签订合同后，</w:t>
      </w:r>
      <w:r>
        <w:rPr>
          <w:rFonts w:hint="eastAsia" w:ascii="宋体" w:hAnsi="宋体" w:cs="宋体"/>
          <w:b w:val="0"/>
          <w:bCs/>
          <w:color w:val="auto"/>
          <w:kern w:val="2"/>
          <w:sz w:val="21"/>
          <w:szCs w:val="21"/>
          <w:highlight w:val="none"/>
          <w:lang w:val="en-US" w:eastAsia="zh-CN" w:bidi="ar-SA"/>
        </w:rPr>
        <w:t>48天内完成</w:t>
      </w:r>
      <w:r>
        <w:rPr>
          <w:rFonts w:hint="eastAsia" w:ascii="宋体" w:hAnsi="宋体" w:eastAsia="宋体" w:cs="宋体"/>
          <w:b w:val="0"/>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质保期：</w:t>
      </w:r>
      <w:r>
        <w:rPr>
          <w:rFonts w:hint="eastAsia" w:ascii="宋体" w:hAnsi="宋体" w:eastAsia="宋体" w:cs="宋体"/>
          <w:color w:val="auto"/>
          <w:sz w:val="21"/>
          <w:szCs w:val="21"/>
          <w:highlight w:val="none"/>
        </w:rPr>
        <w:t>质保期1年，自项目验收合格之日算起。</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合同签订后，甲方向乙方支付合同金额的10%作为预付款；项目竣工验收合格后，甲方向乙方支付至合同金额的80%；项目结算完成后，支付到结算价的97%，余3%作为质保金质保期满后支付。</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六、履约保证金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乙方应在领取中标通知书之后签订合同之前递交履约保证金，履约保证金金额为合同金额的5%，履约保证金可采用保证金（银行转账、电汇）方式，或采用银行出具的履约担保函方式。 履约保证金在合同期满后或产品验收合格后，乙方向甲方提交退回履约保证金的申请、履约保证金汇款凭证复印件、采购合同、采购项目验收报告原件、中标通知书复印件，前往甲方办理履约保证金退还手续。</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、违约责任与赔偿损失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不可抗力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、其它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pPr>
        <w:rPr>
          <w:b/>
          <w:color w:val="auto"/>
          <w:spacing w:val="12"/>
          <w:sz w:val="21"/>
          <w:highlight w:val="none"/>
        </w:rPr>
      </w:pP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pacing w:val="12"/>
          <w:sz w:val="21"/>
          <w:highlight w:val="none"/>
        </w:rPr>
      </w:pP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pPr>
        <w:spacing w:before="0" w:line="268" w:lineRule="exact"/>
        <w:ind w:left="490" w:right="0" w:firstLine="0"/>
        <w:jc w:val="left"/>
        <w:rPr>
          <w:color w:val="auto"/>
          <w:sz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 户 行：</w:t>
      </w:r>
    </w:p>
    <w:p>
      <w:pPr>
        <w:ind w:firstLine="422" w:firstLineChars="200"/>
        <w:rPr>
          <w:rFonts w:hint="eastAsia"/>
          <w:b/>
          <w:color w:val="auto"/>
          <w:szCs w:val="24"/>
          <w:highlight w:val="none"/>
        </w:rPr>
      </w:pPr>
    </w:p>
    <w:p>
      <w:pPr>
        <w:pStyle w:val="28"/>
        <w:ind w:firstLine="0" w:firstLineChars="0"/>
        <w:rPr>
          <w:rFonts w:ascii="宋体" w:eastAsia="宋体"/>
          <w:b/>
          <w:color w:val="auto"/>
          <w:sz w:val="36"/>
          <w:szCs w:val="36"/>
          <w:highlight w:val="none"/>
        </w:rPr>
      </w:pPr>
    </w:p>
    <w:p>
      <w:pPr>
        <w:rPr>
          <w:rFonts w:hint="eastAsia"/>
          <w:color w:val="auto"/>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pPr>
        <w:rPr>
          <w:rStyle w:val="45"/>
          <w:rFonts w:asciiTheme="minorEastAsia" w:hAnsiTheme="minorEastAsia"/>
          <w:color w:val="auto"/>
          <w:szCs w:val="21"/>
          <w:highlight w:val="none"/>
        </w:rPr>
      </w:pPr>
    </w:p>
    <w:p>
      <w:pPr>
        <w:ind w:firstLine="480"/>
        <w:rPr>
          <w:rStyle w:val="45"/>
          <w:rFonts w:asciiTheme="minorEastAsia" w:hAnsiTheme="minorEastAsia"/>
          <w:color w:val="auto"/>
          <w:sz w:val="24"/>
          <w:highlight w:val="none"/>
        </w:rPr>
      </w:pPr>
    </w:p>
    <w:p>
      <w:pPr>
        <w:ind w:firstLine="480"/>
        <w:jc w:val="center"/>
        <w:rPr>
          <w:rStyle w:val="45"/>
          <w:rFonts w:cs="Times New Roman" w:asciiTheme="minorEastAsia" w:hAnsiTheme="minorEastAsia"/>
          <w:color w:val="auto"/>
          <w:sz w:val="24"/>
          <w:highlight w:val="none"/>
        </w:rPr>
      </w:pPr>
      <w:r>
        <w:rPr>
          <w:rStyle w:val="45"/>
          <w:rFonts w:hint="eastAsia" w:cs="Times New Roman" w:asciiTheme="minorEastAsia" w:hAnsiTheme="minorEastAsia"/>
          <w:color w:val="auto"/>
          <w:sz w:val="24"/>
          <w:highlight w:val="none"/>
        </w:rPr>
        <w:t xml:space="preserve"> </w:t>
      </w:r>
    </w:p>
    <w:p>
      <w:pPr>
        <w:rPr>
          <w:color w:val="auto"/>
          <w:highlight w:val="none"/>
        </w:rPr>
      </w:pPr>
    </w:p>
    <w:p>
      <w:pPr>
        <w:spacing w:line="360" w:lineRule="auto"/>
        <w:rPr>
          <w:color w:val="auto"/>
          <w:highlight w:val="none"/>
        </w:rPr>
      </w:pPr>
    </w:p>
    <w:p>
      <w:pPr>
        <w:rPr>
          <w:color w:val="auto"/>
          <w:highlight w:val="none"/>
        </w:rPr>
      </w:pPr>
      <w:r>
        <w:rPr>
          <w:rFonts w:hint="eastAsia"/>
          <w:color w:val="auto"/>
          <w:highlight w:val="none"/>
        </w:rPr>
        <w:br w:type="page"/>
      </w:r>
    </w:p>
    <w:p>
      <w:pPr>
        <w:pStyle w:val="3"/>
        <w:ind w:firstLine="602"/>
        <w:rPr>
          <w:color w:val="auto"/>
          <w:highlight w:val="none"/>
        </w:rPr>
      </w:pPr>
      <w:bookmarkStart w:id="234" w:name="_Toc2896"/>
      <w:r>
        <w:rPr>
          <w:rFonts w:hint="eastAsia"/>
          <w:color w:val="auto"/>
          <w:highlight w:val="none"/>
        </w:rPr>
        <w:t>第六篇 响应文件格式</w:t>
      </w:r>
      <w:bookmarkEnd w:id="234"/>
    </w:p>
    <w:p>
      <w:pPr>
        <w:ind w:firstLine="422"/>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供应商应提交证明其有资格参加投标（响应）和中标后有能力履行合同的相关文件，并作为其响应文件的一部分，所有文件必须真实可靠、不得伪造，否则将按相关规定予以处罚。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pPr>
        <w:ind w:firstLine="422"/>
        <w:jc w:val="center"/>
        <w:outlineLvl w:val="1"/>
        <w:rPr>
          <w:b/>
          <w:bCs/>
          <w:color w:val="auto"/>
          <w:highlight w:val="none"/>
        </w:rPr>
      </w:pPr>
      <w:bookmarkStart w:id="235" w:name="_Toc23380"/>
      <w:bookmarkStart w:id="236" w:name="_Toc712"/>
      <w:bookmarkStart w:id="237" w:name="_Toc32213"/>
      <w:bookmarkStart w:id="238" w:name="_Toc7065"/>
      <w:r>
        <w:rPr>
          <w:rFonts w:hint="eastAsia"/>
          <w:b/>
          <w:bCs/>
          <w:color w:val="auto"/>
          <w:highlight w:val="none"/>
        </w:rPr>
        <w:t>（封面格式仅供参考）</w:t>
      </w:r>
      <w:bookmarkEnd w:id="235"/>
      <w:bookmarkEnd w:id="236"/>
      <w:bookmarkEnd w:id="237"/>
      <w:bookmarkEnd w:id="238"/>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outlineLvl w:val="2"/>
        <w:rPr>
          <w:rFonts w:ascii="宋体" w:hAnsi="宋体" w:cs="宋体"/>
          <w:b/>
          <w:color w:val="auto"/>
          <w:kern w:val="0"/>
          <w:sz w:val="38"/>
          <w:szCs w:val="38"/>
          <w:highlight w:val="none"/>
          <w:lang w:val="zh-CN" w:bidi="zh-CN"/>
        </w:rPr>
      </w:pPr>
      <w:bookmarkStart w:id="239" w:name="_Toc14748"/>
      <w:bookmarkStart w:id="240" w:name="_Toc26688"/>
      <w:bookmarkStart w:id="241" w:name="_Toc24171"/>
      <w:bookmarkStart w:id="242" w:name="_Toc4650"/>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9"/>
      <w:bookmarkEnd w:id="240"/>
      <w:bookmarkEnd w:id="241"/>
      <w:bookmarkEnd w:id="242"/>
    </w:p>
    <w:p>
      <w:pPr>
        <w:autoSpaceDE w:val="0"/>
        <w:autoSpaceDN w:val="0"/>
        <w:spacing w:before="11"/>
        <w:ind w:firstLine="924"/>
        <w:jc w:val="center"/>
        <w:rPr>
          <w:rFonts w:ascii="宋体" w:hAnsi="宋体" w:cs="宋体"/>
          <w:b/>
          <w:color w:val="auto"/>
          <w:sz w:val="46"/>
          <w:szCs w:val="19"/>
          <w:highlight w:val="none"/>
          <w:lang w:val="zh-CN" w:bidi="zh-CN"/>
        </w:rPr>
      </w:pPr>
    </w:p>
    <w:p>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43" w:name="_Toc6353"/>
      <w:bookmarkStart w:id="244" w:name="_Toc17848"/>
      <w:bookmarkStart w:id="245" w:name="_Toc302"/>
      <w:bookmarkStart w:id="246"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3"/>
      <w:bookmarkEnd w:id="244"/>
      <w:bookmarkEnd w:id="245"/>
      <w:bookmarkEnd w:id="246"/>
    </w:p>
    <w:p>
      <w:pPr>
        <w:autoSpaceDE w:val="0"/>
        <w:autoSpaceDN w:val="0"/>
        <w:spacing w:line="479" w:lineRule="exact"/>
        <w:ind w:firstLine="482"/>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spacing w:before="8"/>
        <w:ind w:firstLine="763"/>
        <w:jc w:val="center"/>
        <w:rPr>
          <w:rFonts w:ascii="宋体" w:hAnsi="宋体" w:cs="宋体"/>
          <w:b/>
          <w:color w:val="auto"/>
          <w:sz w:val="38"/>
          <w:szCs w:val="19"/>
          <w:highlight w:val="none"/>
          <w:lang w:val="zh-CN" w:bidi="zh-CN"/>
        </w:rPr>
      </w:pPr>
    </w:p>
    <w:p>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ind w:firstLine="482"/>
        <w:rPr>
          <w:b/>
          <w:color w:val="auto"/>
          <w:sz w:val="24"/>
          <w:highlight w:val="none"/>
        </w:rPr>
      </w:pPr>
      <w:r>
        <w:rPr>
          <w:b/>
          <w:color w:val="auto"/>
          <w:sz w:val="24"/>
          <w:highlight w:val="none"/>
        </w:rPr>
        <w:br w:type="page"/>
      </w:r>
    </w:p>
    <w:p>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pPr>
        <w:pStyle w:val="8"/>
        <w:spacing w:before="8"/>
        <w:ind w:firstLine="241"/>
        <w:rPr>
          <w:b/>
          <w:color w:val="auto"/>
          <w:sz w:val="12"/>
          <w:highlight w:val="none"/>
        </w:rPr>
      </w:pPr>
    </w:p>
    <w:p>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pPr>
        <w:spacing w:line="360" w:lineRule="auto"/>
        <w:rPr>
          <w:color w:val="auto"/>
          <w:highlight w:val="none"/>
        </w:rPr>
      </w:pPr>
      <w:r>
        <w:rPr>
          <w:color w:val="auto"/>
          <w:highlight w:val="none"/>
        </w:rPr>
        <w:t>二、</w:t>
      </w:r>
      <w:r>
        <w:rPr>
          <w:rFonts w:hint="eastAsia"/>
          <w:color w:val="auto"/>
          <w:highlight w:val="none"/>
        </w:rPr>
        <w:t>首轮报价表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响应保证金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供应商业绩情况表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需要采购人提供的附加条件</w:t>
      </w:r>
    </w:p>
    <w:p>
      <w:pPr>
        <w:ind w:firstLine="482"/>
        <w:rPr>
          <w:b/>
          <w:bCs/>
          <w:color w:val="auto"/>
          <w:sz w:val="24"/>
          <w:szCs w:val="32"/>
          <w:highlight w:val="none"/>
        </w:rPr>
      </w:pPr>
      <w:r>
        <w:rPr>
          <w:b/>
          <w:bCs/>
          <w:color w:val="auto"/>
          <w:sz w:val="24"/>
          <w:szCs w:val="32"/>
          <w:highlight w:val="none"/>
        </w:rPr>
        <w:br w:type="page"/>
      </w:r>
    </w:p>
    <w:p>
      <w:pPr>
        <w:ind w:firstLine="482"/>
        <w:rPr>
          <w:b/>
          <w:bCs/>
          <w:color w:val="auto"/>
          <w:sz w:val="24"/>
          <w:szCs w:val="32"/>
          <w:highlight w:val="none"/>
        </w:rPr>
      </w:pPr>
      <w:r>
        <w:rPr>
          <w:b/>
          <w:bCs/>
          <w:color w:val="auto"/>
          <w:sz w:val="24"/>
          <w:szCs w:val="32"/>
          <w:highlight w:val="none"/>
        </w:rPr>
        <w:t>格式一：</w:t>
      </w:r>
    </w:p>
    <w:p>
      <w:pPr>
        <w:pStyle w:val="8"/>
        <w:ind w:firstLine="482"/>
        <w:jc w:val="center"/>
        <w:rPr>
          <w:b/>
          <w:color w:val="auto"/>
          <w:sz w:val="12"/>
          <w:highlight w:val="none"/>
        </w:rPr>
      </w:pPr>
      <w:r>
        <w:rPr>
          <w:rFonts w:hint="eastAsia"/>
          <w:b/>
          <w:color w:val="auto"/>
          <w:highlight w:val="none"/>
          <w:lang w:val="en-US"/>
        </w:rPr>
        <w:t>响应承诺</w:t>
      </w:r>
      <w:r>
        <w:rPr>
          <w:b/>
          <w:color w:val="auto"/>
          <w:highlight w:val="none"/>
        </w:rPr>
        <w:t>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中标，有效期将延至合同终止日为止。在此提交的资格证明文件均至响应截止日有效，如有在响应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（三）我方明白并同意，在规定的开标日之后，响应有效期之内撤回响应或中标后不按规定与采购人签订合同或不提交履约保证金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（六）我方如果中标，将保证履行磋商文件及其澄清、修改文件（如果有）中的全部责任和义务，按质、按量、按期完成《用户需求书》及合同中的全部任务。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（九）我方接受采购人委托向贵方支付代理服务费，项目总报价已包含代理服务费，如果被确定为中标供应商，承诺向贵方足额支付。（若采购人支付代理服务费，则此条不适用）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ind w:firstLine="400"/>
        <w:rPr>
          <w:color w:val="auto"/>
          <w:sz w:val="20"/>
          <w:szCs w:val="20"/>
          <w:highlight w:val="none"/>
        </w:rPr>
      </w:pPr>
      <w:r>
        <w:rPr>
          <w:color w:val="auto"/>
          <w:sz w:val="20"/>
          <w:szCs w:val="20"/>
          <w:highlight w:val="none"/>
        </w:rPr>
        <w:br w:type="page"/>
      </w:r>
    </w:p>
    <w:p>
      <w:pPr>
        <w:ind w:firstLine="482"/>
        <w:rPr>
          <w:b/>
          <w:bCs/>
          <w:color w:val="auto"/>
          <w:sz w:val="24"/>
          <w:szCs w:val="32"/>
          <w:highlight w:val="none"/>
        </w:rPr>
      </w:pPr>
      <w:r>
        <w:rPr>
          <w:rFonts w:hint="eastAsia"/>
          <w:b/>
          <w:bCs/>
          <w:color w:val="auto"/>
          <w:sz w:val="24"/>
          <w:szCs w:val="32"/>
          <w:highlight w:val="none"/>
        </w:rPr>
        <w:t>格式二：</w:t>
      </w:r>
    </w:p>
    <w:p>
      <w:pPr>
        <w:pStyle w:val="8"/>
        <w:ind w:firstLine="480"/>
        <w:rPr>
          <w:color w:val="auto"/>
          <w:highlight w:val="none"/>
          <w:lang w:val="en-US"/>
        </w:rPr>
      </w:pPr>
    </w:p>
    <w:p>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响应报价</w:t>
            </w:r>
          </w:p>
        </w:tc>
        <w:tc>
          <w:tcPr>
            <w:tcW w:w="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ind w:firstLine="482"/>
        <w:rPr>
          <w:b/>
          <w:bCs/>
          <w:color w:val="auto"/>
          <w:sz w:val="24"/>
          <w:szCs w:val="32"/>
          <w:highlight w:val="none"/>
        </w:rPr>
      </w:pPr>
      <w:r>
        <w:rPr>
          <w:rFonts w:hint="eastAsia"/>
          <w:b/>
          <w:bCs/>
          <w:color w:val="auto"/>
          <w:sz w:val="24"/>
          <w:szCs w:val="32"/>
          <w:highlight w:val="none"/>
        </w:rPr>
        <w:t>格式三：</w:t>
      </w:r>
    </w:p>
    <w:p>
      <w:pPr>
        <w:ind w:firstLine="482"/>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ind w:firstLine="422"/>
        <w:jc w:val="center"/>
        <w:rPr>
          <w:rFonts w:ascii="宋体" w:hAnsi="宋体" w:cs="宋体"/>
          <w:b/>
          <w:color w:val="auto"/>
          <w:szCs w:val="21"/>
          <w:highlight w:val="none"/>
        </w:rPr>
      </w:pPr>
    </w:p>
    <w:p>
      <w:pPr>
        <w:spacing w:line="360" w:lineRule="auto"/>
        <w:ind w:firstLine="422"/>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pPr>
        <w:ind w:firstLine="400"/>
        <w:rPr>
          <w:color w:val="auto"/>
          <w:sz w:val="20"/>
          <w:szCs w:val="20"/>
          <w:highlight w:val="none"/>
        </w:rPr>
      </w:pPr>
      <w:r>
        <w:rPr>
          <w:color w:val="auto"/>
          <w:sz w:val="20"/>
          <w:szCs w:val="20"/>
          <w:highlight w:val="none"/>
        </w:rPr>
        <w:br w:type="page"/>
      </w:r>
    </w:p>
    <w:p>
      <w:pPr>
        <w:pStyle w:val="8"/>
        <w:ind w:firstLine="482"/>
        <w:rPr>
          <w:b/>
          <w:bCs/>
          <w:color w:val="auto"/>
          <w:highlight w:val="none"/>
          <w:lang w:val="en-US"/>
        </w:rPr>
      </w:pPr>
      <w:r>
        <w:rPr>
          <w:rFonts w:hint="eastAsia"/>
          <w:b/>
          <w:bCs/>
          <w:color w:val="auto"/>
          <w:highlight w:val="none"/>
          <w:lang w:val="en-US"/>
        </w:rPr>
        <w:t>格式四：</w:t>
      </w:r>
    </w:p>
    <w:p>
      <w:pPr>
        <w:pStyle w:val="2"/>
        <w:spacing w:before="0" w:after="0" w:line="360" w:lineRule="auto"/>
        <w:ind w:firstLine="482"/>
        <w:rPr>
          <w:color w:val="auto"/>
          <w:sz w:val="24"/>
          <w:highlight w:val="none"/>
        </w:rPr>
      </w:pPr>
      <w:bookmarkStart w:id="247" w:name="_Toc19106"/>
      <w:bookmarkStart w:id="248" w:name="_Toc4452"/>
      <w:bookmarkStart w:id="249" w:name="_Toc23039"/>
      <w:bookmarkStart w:id="250" w:name="_Toc17533"/>
      <w:r>
        <w:rPr>
          <w:color w:val="auto"/>
          <w:sz w:val="24"/>
          <w:highlight w:val="none"/>
        </w:rPr>
        <w:t>法定代表人证明书</w:t>
      </w:r>
      <w:bookmarkEnd w:id="247"/>
      <w:bookmarkEnd w:id="248"/>
      <w:bookmarkEnd w:id="249"/>
      <w:bookmarkEnd w:id="250"/>
    </w:p>
    <w:p>
      <w:pPr>
        <w:pStyle w:val="8"/>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ind w:firstLine="480"/>
        <w:rPr>
          <w:color w:val="auto"/>
          <w:highlight w:val="none"/>
          <w:lang w:val="en-US"/>
        </w:rPr>
      </w:pPr>
    </w:p>
    <w:p>
      <w:pPr>
        <w:rPr>
          <w:color w:val="auto"/>
          <w:highlight w:val="none"/>
        </w:rPr>
      </w:pPr>
    </w:p>
    <w:p>
      <w:pPr>
        <w:pStyle w:val="8"/>
        <w:ind w:firstLine="480"/>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ind w:firstLine="482"/>
        <w:rPr>
          <w:b/>
          <w:bCs/>
          <w:color w:val="auto"/>
          <w:highlight w:val="none"/>
          <w:lang w:val="en-US"/>
        </w:rPr>
      </w:pPr>
      <w:r>
        <w:rPr>
          <w:rFonts w:hint="eastAsia"/>
          <w:b/>
          <w:bCs/>
          <w:color w:val="auto"/>
          <w:highlight w:val="none"/>
          <w:lang w:val="en-US"/>
        </w:rPr>
        <w:t>格式五：</w:t>
      </w:r>
    </w:p>
    <w:p>
      <w:pPr>
        <w:ind w:firstLine="482"/>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59" w:hRule="atLeast"/>
          <w:jc w:val="center"/>
        </w:trPr>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firstLine="400"/>
        <w:rPr>
          <w:color w:val="auto"/>
          <w:sz w:val="20"/>
          <w:szCs w:val="20"/>
          <w:highlight w:val="none"/>
          <w:lang w:val="en-US"/>
        </w:rPr>
      </w:pPr>
    </w:p>
    <w:p>
      <w:pPr>
        <w:ind w:firstLine="482"/>
        <w:rPr>
          <w:b/>
          <w:bCs/>
          <w:color w:val="auto"/>
          <w:sz w:val="24"/>
          <w:highlight w:val="none"/>
        </w:rPr>
      </w:pPr>
      <w:r>
        <w:rPr>
          <w:rFonts w:hint="eastAsia"/>
          <w:b/>
          <w:bCs/>
          <w:color w:val="auto"/>
          <w:sz w:val="24"/>
          <w:highlight w:val="none"/>
        </w:rPr>
        <w:br w:type="page"/>
      </w:r>
    </w:p>
    <w:p>
      <w:pPr>
        <w:ind w:firstLine="482"/>
        <w:rPr>
          <w:b/>
          <w:bCs/>
          <w:color w:val="auto"/>
          <w:sz w:val="24"/>
          <w:highlight w:val="none"/>
        </w:rPr>
      </w:pPr>
      <w:r>
        <w:rPr>
          <w:rFonts w:hint="eastAsia"/>
          <w:b/>
          <w:bCs/>
          <w:color w:val="auto"/>
          <w:sz w:val="24"/>
          <w:highlight w:val="none"/>
        </w:rPr>
        <w:t>格式六：</w:t>
      </w:r>
    </w:p>
    <w:p>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pPr>
        <w:ind w:firstLine="482"/>
        <w:jc w:val="center"/>
        <w:rPr>
          <w:b/>
          <w:bCs/>
          <w:color w:val="auto"/>
          <w:sz w:val="24"/>
          <w:highlight w:val="none"/>
        </w:rPr>
      </w:pPr>
      <w:r>
        <w:rPr>
          <w:rFonts w:hint="eastAsia"/>
          <w:b/>
          <w:bCs/>
          <w:color w:val="auto"/>
          <w:sz w:val="24"/>
          <w:highlight w:val="none"/>
        </w:rPr>
        <w:t>响应保证金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格式七：</w:t>
      </w:r>
    </w:p>
    <w:p>
      <w:pPr>
        <w:pStyle w:val="8"/>
        <w:ind w:firstLine="48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ind w:firstLine="422"/>
        <w:rPr>
          <w:b/>
          <w:bCs/>
          <w:color w:val="auto"/>
          <w:highlight w:val="none"/>
        </w:rPr>
      </w:pPr>
      <w:r>
        <w:rPr>
          <w:b/>
          <w:bCs/>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格式八：</w:t>
      </w:r>
    </w:p>
    <w:p>
      <w:pPr>
        <w:pStyle w:val="8"/>
        <w:ind w:firstLine="48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pPr>
        <w:rPr>
          <w:rFonts w:ascii="宋体" w:hAnsi="宋体"/>
          <w:color w:val="auto"/>
          <w:szCs w:val="21"/>
          <w:highlight w:val="none"/>
        </w:rPr>
      </w:pPr>
      <w:r>
        <w:rPr>
          <w:rFonts w:hint="eastAsia" w:ascii="宋体" w:hAnsi="宋体"/>
          <w:color w:val="auto"/>
          <w:szCs w:val="21"/>
          <w:highlight w:val="none"/>
        </w:rPr>
        <w:br w:type="page"/>
      </w:r>
    </w:p>
    <w:p>
      <w:pPr>
        <w:pStyle w:val="8"/>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pPr>
        <w:pStyle w:val="2"/>
        <w:ind w:firstLine="562"/>
        <w:rPr>
          <w:color w:val="auto"/>
          <w:highlight w:val="none"/>
        </w:rPr>
      </w:pPr>
    </w:p>
    <w:p>
      <w:pPr>
        <w:ind w:firstLine="400"/>
        <w:rPr>
          <w:color w:val="auto"/>
          <w:sz w:val="20"/>
          <w:highlight w:val="none"/>
        </w:rPr>
      </w:pPr>
      <w:r>
        <w:rPr>
          <w:rFonts w:hint="eastAsia"/>
          <w:color w:val="auto"/>
          <w:sz w:val="20"/>
          <w:highlight w:val="none"/>
        </w:rPr>
        <w:br w:type="page"/>
      </w:r>
    </w:p>
    <w:p>
      <w:pPr>
        <w:pStyle w:val="8"/>
        <w:ind w:firstLine="482"/>
        <w:rPr>
          <w:color w:val="auto"/>
          <w:highlight w:val="none"/>
        </w:rPr>
      </w:pPr>
      <w:r>
        <w:rPr>
          <w:rFonts w:hint="eastAsia"/>
          <w:b/>
          <w:bCs/>
          <w:color w:val="auto"/>
          <w:highlight w:val="none"/>
        </w:rPr>
        <w:t>格式九：</w:t>
      </w:r>
    </w:p>
    <w:p>
      <w:pPr>
        <w:rPr>
          <w:color w:val="auto"/>
          <w:highlight w:val="none"/>
        </w:rPr>
      </w:pPr>
    </w:p>
    <w:p>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格式十：</w:t>
      </w:r>
    </w:p>
    <w:p>
      <w:pPr>
        <w:pStyle w:val="8"/>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pPr>
        <w:pStyle w:val="8"/>
        <w:spacing w:before="2" w:after="1"/>
        <w:ind w:firstLine="34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ind w:firstLine="482"/>
        <w:rPr>
          <w:b/>
          <w:bCs/>
          <w:color w:val="auto"/>
          <w:highlight w:val="none"/>
          <w:lang w:val="en-US"/>
        </w:rPr>
      </w:pPr>
      <w:r>
        <w:rPr>
          <w:rFonts w:hint="eastAsia"/>
          <w:b/>
          <w:bCs/>
          <w:color w:val="auto"/>
          <w:highlight w:val="none"/>
          <w:lang w:val="en-US"/>
        </w:rPr>
        <w:t>格式十一：</w:t>
      </w:r>
    </w:p>
    <w:p>
      <w:pPr>
        <w:ind w:firstLine="482"/>
        <w:jc w:val="center"/>
        <w:rPr>
          <w:b/>
          <w:bCs/>
          <w:color w:val="auto"/>
          <w:sz w:val="24"/>
          <w:szCs w:val="32"/>
          <w:highlight w:val="none"/>
        </w:rPr>
      </w:pPr>
      <w:r>
        <w:rPr>
          <w:b/>
          <w:bCs/>
          <w:color w:val="auto"/>
          <w:sz w:val="24"/>
          <w:szCs w:val="32"/>
          <w:highlight w:val="none"/>
        </w:rPr>
        <w:t>技术要求响应表</w:t>
      </w:r>
    </w:p>
    <w:p>
      <w:pPr>
        <w:pStyle w:val="8"/>
        <w:ind w:firstLine="480"/>
        <w:rPr>
          <w:color w:val="auto"/>
          <w:highlight w:val="none"/>
          <w:lang w:val="en-US"/>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ind w:firstLine="482"/>
        <w:rPr>
          <w:b/>
          <w:bCs/>
          <w:color w:val="auto"/>
          <w:sz w:val="24"/>
          <w:highlight w:val="none"/>
        </w:rPr>
      </w:pPr>
      <w:r>
        <w:rPr>
          <w:rFonts w:hint="eastAsia"/>
          <w:b/>
          <w:bCs/>
          <w:color w:val="auto"/>
          <w:sz w:val="24"/>
          <w:highlight w:val="none"/>
        </w:rPr>
        <w:t>格式十二：</w:t>
      </w:r>
    </w:p>
    <w:p>
      <w:pPr>
        <w:pStyle w:val="8"/>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ind w:firstLine="482"/>
        <w:rPr>
          <w:b/>
          <w:bCs/>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ind w:firstLine="482"/>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pStyle w:val="8"/>
        <w:spacing w:before="8"/>
        <w:ind w:firstLine="260"/>
        <w:rPr>
          <w:color w:val="auto"/>
          <w:sz w:val="13"/>
          <w:highlight w:val="none"/>
        </w:rPr>
      </w:pPr>
    </w:p>
    <w:p>
      <w:pPr>
        <w:pStyle w:val="2"/>
        <w:ind w:firstLine="562"/>
        <w:rPr>
          <w:color w:val="auto"/>
          <w:highlight w:val="none"/>
        </w:rPr>
      </w:pPr>
      <w:bookmarkStart w:id="251" w:name="_Toc10424"/>
      <w:bookmarkStart w:id="252" w:name="_Toc20098"/>
      <w:bookmarkStart w:id="253" w:name="_Toc16713"/>
      <w:bookmarkStart w:id="254" w:name="_Toc27833"/>
      <w:r>
        <w:rPr>
          <w:color w:val="auto"/>
          <w:highlight w:val="none"/>
        </w:rPr>
        <w:t>履约进度计划表</w:t>
      </w:r>
      <w:bookmarkEnd w:id="251"/>
      <w:bookmarkEnd w:id="252"/>
      <w:bookmarkEnd w:id="253"/>
      <w:bookmarkEnd w:id="254"/>
    </w:p>
    <w:p>
      <w:pPr>
        <w:pStyle w:val="8"/>
        <w:spacing w:before="2" w:after="1"/>
        <w:ind w:firstLine="34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7"/>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ind w:firstLine="482"/>
        <w:outlineLvl w:val="1"/>
        <w:rPr>
          <w:b/>
          <w:bCs/>
          <w:color w:val="auto"/>
          <w:sz w:val="24"/>
          <w:szCs w:val="32"/>
          <w:highlight w:val="none"/>
        </w:rPr>
      </w:pPr>
      <w:bookmarkStart w:id="255" w:name="_Toc6564"/>
      <w:bookmarkStart w:id="256" w:name="_Toc7867"/>
      <w:bookmarkStart w:id="257" w:name="_Toc26415"/>
      <w:bookmarkStart w:id="258" w:name="_Toc2912"/>
      <w:r>
        <w:rPr>
          <w:rFonts w:hint="eastAsia"/>
          <w:b/>
          <w:bCs/>
          <w:color w:val="auto"/>
          <w:sz w:val="24"/>
          <w:szCs w:val="32"/>
          <w:highlight w:val="none"/>
        </w:rPr>
        <w:t>格式十四：</w:t>
      </w:r>
      <w:bookmarkEnd w:id="255"/>
      <w:bookmarkEnd w:id="256"/>
      <w:bookmarkEnd w:id="257"/>
      <w:bookmarkEnd w:id="258"/>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ind w:firstLine="400"/>
        <w:rPr>
          <w:color w:val="auto"/>
          <w:sz w:val="20"/>
          <w:szCs w:val="20"/>
          <w:highlight w:val="none"/>
        </w:rPr>
      </w:pPr>
    </w:p>
    <w:p>
      <w:pPr>
        <w:pStyle w:val="8"/>
        <w:ind w:firstLine="482"/>
        <w:jc w:val="center"/>
        <w:rPr>
          <w:b/>
          <w:bCs/>
          <w:color w:val="auto"/>
          <w:highlight w:val="none"/>
        </w:rPr>
      </w:pPr>
      <w:r>
        <w:rPr>
          <w:b/>
          <w:bCs/>
          <w:color w:val="auto"/>
          <w:highlight w:val="none"/>
        </w:rPr>
        <w:t>各类证明材料</w:t>
      </w:r>
    </w:p>
    <w:p>
      <w:pPr>
        <w:pStyle w:val="25"/>
        <w:tabs>
          <w:tab w:val="left" w:pos="673"/>
        </w:tabs>
        <w:spacing w:line="360" w:lineRule="auto"/>
        <w:ind w:firstLine="0" w:firstLineChars="0"/>
        <w:outlineLvl w:val="1"/>
        <w:rPr>
          <w:rFonts w:ascii="宋体" w:hAnsi="宋体" w:cs="宋体"/>
          <w:color w:val="auto"/>
          <w:szCs w:val="21"/>
          <w:highlight w:val="none"/>
        </w:rPr>
      </w:pPr>
      <w:bookmarkStart w:id="259" w:name="_Toc3338"/>
      <w:bookmarkStart w:id="260" w:name="_Toc10497"/>
      <w:bookmarkStart w:id="261" w:name="_Toc3436"/>
      <w:bookmarkStart w:id="262" w:name="_Toc14919"/>
      <w:r>
        <w:rPr>
          <w:rFonts w:hint="eastAsia" w:ascii="宋体" w:hAnsi="宋体" w:cs="宋体"/>
          <w:color w:val="auto"/>
          <w:szCs w:val="21"/>
          <w:highlight w:val="none"/>
        </w:rPr>
        <w:t>1、磋商文件要求提供的其他资料。</w:t>
      </w:r>
      <w:bookmarkEnd w:id="259"/>
      <w:bookmarkEnd w:id="260"/>
      <w:bookmarkEnd w:id="261"/>
      <w:bookmarkEnd w:id="262"/>
    </w:p>
    <w:p>
      <w:pPr>
        <w:pStyle w:val="25"/>
        <w:tabs>
          <w:tab w:val="left" w:pos="673"/>
        </w:tabs>
        <w:spacing w:line="360" w:lineRule="auto"/>
        <w:ind w:firstLine="0" w:firstLineChars="0"/>
        <w:outlineLvl w:val="1"/>
        <w:rPr>
          <w:rFonts w:ascii="宋体" w:hAnsi="宋体" w:cs="宋体"/>
          <w:color w:val="auto"/>
          <w:szCs w:val="21"/>
          <w:highlight w:val="none"/>
        </w:rPr>
      </w:pPr>
      <w:bookmarkStart w:id="263" w:name="_Toc7938"/>
      <w:bookmarkStart w:id="264" w:name="_Toc26846"/>
      <w:bookmarkStart w:id="265" w:name="_Toc26572"/>
      <w:bookmarkStart w:id="266" w:name="_Toc2429"/>
      <w:r>
        <w:rPr>
          <w:rFonts w:hint="eastAsia" w:ascii="宋体" w:hAnsi="宋体" w:cs="宋体"/>
          <w:color w:val="auto"/>
          <w:szCs w:val="21"/>
          <w:highlight w:val="none"/>
        </w:rPr>
        <w:t>2、供应商认为需提供的其他资料。</w:t>
      </w:r>
      <w:bookmarkEnd w:id="263"/>
      <w:bookmarkEnd w:id="264"/>
      <w:bookmarkEnd w:id="265"/>
      <w:bookmarkEnd w:id="2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5"/>
        <w:tabs>
          <w:tab w:val="left" w:pos="673"/>
        </w:tabs>
        <w:spacing w:line="360" w:lineRule="auto"/>
        <w:ind w:firstLine="0" w:firstLineChars="0"/>
        <w:outlineLvl w:val="1"/>
        <w:rPr>
          <w:rFonts w:ascii="宋体" w:hAnsi="宋体" w:cs="宋体"/>
          <w:b/>
          <w:bCs/>
          <w:color w:val="auto"/>
          <w:sz w:val="24"/>
          <w:highlight w:val="none"/>
        </w:rPr>
      </w:pPr>
      <w:bookmarkStart w:id="267" w:name="_Toc30382"/>
      <w:bookmarkStart w:id="268" w:name="_Toc27193"/>
      <w:bookmarkStart w:id="269" w:name="_Toc2436"/>
      <w:bookmarkStart w:id="270" w:name="_Toc25195"/>
      <w:r>
        <w:rPr>
          <w:rFonts w:hint="eastAsia" w:ascii="宋体" w:hAnsi="宋体" w:cs="宋体"/>
          <w:b/>
          <w:bCs/>
          <w:color w:val="auto"/>
          <w:sz w:val="24"/>
          <w:highlight w:val="none"/>
        </w:rPr>
        <w:t>格式十五：</w:t>
      </w:r>
      <w:bookmarkEnd w:id="267"/>
      <w:bookmarkEnd w:id="268"/>
      <w:bookmarkEnd w:id="269"/>
      <w:bookmarkEnd w:id="270"/>
    </w:p>
    <w:p>
      <w:pPr>
        <w:pStyle w:val="25"/>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供应商法定名称（公章）：</w:t>
      </w:r>
    </w:p>
    <w:p>
      <w:pPr>
        <w:spacing w:line="480" w:lineRule="auto"/>
        <w:ind w:firstLine="420" w:firstLineChars="200"/>
        <w:rPr>
          <w:color w:val="auto"/>
          <w:highlight w:val="none"/>
        </w:rPr>
      </w:pPr>
      <w:r>
        <w:rPr>
          <w:rFonts w:hint="eastAsia"/>
          <w:color w:val="auto"/>
          <w:highlight w:val="none"/>
        </w:rPr>
        <w:t>供应商法定地址：</w:t>
      </w:r>
    </w:p>
    <w:p>
      <w:pPr>
        <w:spacing w:line="480" w:lineRule="auto"/>
        <w:ind w:firstLine="420" w:firstLineChars="200"/>
        <w:rPr>
          <w:color w:val="auto"/>
          <w:highlight w:val="none"/>
        </w:rPr>
      </w:pPr>
      <w:r>
        <w:rPr>
          <w:rFonts w:hint="eastAsia"/>
          <w:color w:val="auto"/>
          <w:highlight w:val="none"/>
        </w:rPr>
        <w:t>供应商授权代表（签字或盖章）：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5"/>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5"/>
        <w:tabs>
          <w:tab w:val="left" w:pos="673"/>
        </w:tabs>
        <w:spacing w:line="360" w:lineRule="auto"/>
        <w:ind w:firstLine="0" w:firstLineChars="0"/>
        <w:outlineLvl w:val="1"/>
        <w:rPr>
          <w:rFonts w:ascii="宋体" w:hAnsi="宋体" w:cs="宋体"/>
          <w:b/>
          <w:bCs/>
          <w:color w:val="auto"/>
          <w:sz w:val="24"/>
          <w:highlight w:val="none"/>
        </w:rPr>
      </w:pPr>
      <w:bookmarkStart w:id="271" w:name="_Toc32108"/>
      <w:bookmarkStart w:id="272" w:name="_Toc3970"/>
      <w:bookmarkStart w:id="273" w:name="_Toc28801"/>
      <w:bookmarkStart w:id="274" w:name="_Toc7693"/>
      <w:r>
        <w:rPr>
          <w:rFonts w:hint="eastAsia" w:ascii="宋体" w:hAnsi="宋体" w:cs="宋体"/>
          <w:b/>
          <w:bCs/>
          <w:color w:val="auto"/>
          <w:sz w:val="24"/>
          <w:highlight w:val="none"/>
        </w:rPr>
        <w:t>格式十五：</w:t>
      </w:r>
      <w:bookmarkEnd w:id="271"/>
      <w:bookmarkEnd w:id="272"/>
      <w:bookmarkEnd w:id="273"/>
      <w:bookmarkEnd w:id="274"/>
    </w:p>
    <w:p>
      <w:pPr>
        <w:pStyle w:val="8"/>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pPr>
        <w:pStyle w:val="8"/>
        <w:spacing w:before="8"/>
        <w:rPr>
          <w:color w:val="auto"/>
          <w:sz w:val="21"/>
          <w:szCs w:val="21"/>
          <w:highlight w:val="none"/>
        </w:rPr>
      </w:pPr>
    </w:p>
    <w:p>
      <w:pPr>
        <w:ind w:firstLine="422"/>
        <w:jc w:val="center"/>
        <w:outlineLvl w:val="1"/>
        <w:rPr>
          <w:rFonts w:ascii="宋体" w:hAnsi="宋体" w:cs="宋体"/>
          <w:b/>
          <w:bCs/>
          <w:color w:val="auto"/>
          <w:szCs w:val="21"/>
          <w:highlight w:val="none"/>
        </w:rPr>
      </w:pPr>
      <w:bookmarkStart w:id="275" w:name="_Toc17430"/>
      <w:bookmarkStart w:id="276" w:name="_Toc11855"/>
      <w:bookmarkStart w:id="277" w:name="_Toc31849"/>
      <w:bookmarkStart w:id="278" w:name="_Toc4401"/>
      <w:r>
        <w:rPr>
          <w:rFonts w:hint="eastAsia" w:ascii="宋体" w:hAnsi="宋体" w:cs="宋体"/>
          <w:b/>
          <w:bCs/>
          <w:color w:val="auto"/>
          <w:szCs w:val="21"/>
          <w:highlight w:val="none"/>
        </w:rPr>
        <w:t>需要采购人提供的附加条件</w:t>
      </w:r>
      <w:bookmarkEnd w:id="275"/>
      <w:bookmarkEnd w:id="276"/>
      <w:bookmarkEnd w:id="277"/>
      <w:bookmarkEnd w:id="278"/>
    </w:p>
    <w:p>
      <w:pPr>
        <w:pStyle w:val="8"/>
        <w:autoSpaceDE w:val="0"/>
        <w:autoSpaceDN w:val="0"/>
        <w:spacing w:before="0" w:line="360" w:lineRule="auto"/>
        <w:ind w:left="0" w:firstLine="422"/>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7"/>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7"/>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pPr>
        <w:ind w:firstLine="400"/>
        <w:rPr>
          <w:color w:val="auto"/>
          <w:sz w:val="20"/>
          <w:szCs w:val="20"/>
          <w:highlight w:val="none"/>
        </w:rPr>
      </w:pPr>
      <w:r>
        <w:rPr>
          <w:color w:val="auto"/>
          <w:sz w:val="20"/>
          <w:szCs w:val="20"/>
          <w:highlight w:val="none"/>
        </w:rPr>
        <w:br w:type="page"/>
      </w:r>
    </w:p>
    <w:p>
      <w:pPr>
        <w:pStyle w:val="8"/>
        <w:ind w:firstLine="482"/>
        <w:outlineLvl w:val="1"/>
        <w:rPr>
          <w:b/>
          <w:bCs/>
          <w:color w:val="auto"/>
          <w:highlight w:val="none"/>
          <w:lang w:val="en-US"/>
        </w:rPr>
      </w:pPr>
      <w:bookmarkStart w:id="279" w:name="_Toc2879"/>
      <w:bookmarkStart w:id="280" w:name="_Toc25747"/>
      <w:bookmarkStart w:id="281" w:name="_Toc29916"/>
      <w:bookmarkStart w:id="282" w:name="_Toc29664"/>
      <w:r>
        <w:rPr>
          <w:rFonts w:hint="eastAsia"/>
          <w:b/>
          <w:bCs/>
          <w:color w:val="auto"/>
          <w:highlight w:val="none"/>
          <w:lang w:val="en-US"/>
        </w:rPr>
        <w:t>格式十六：</w:t>
      </w:r>
      <w:bookmarkEnd w:id="279"/>
      <w:bookmarkEnd w:id="280"/>
      <w:bookmarkEnd w:id="281"/>
      <w:bookmarkEnd w:id="282"/>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ind w:firstLine="602"/>
        <w:rPr>
          <w:color w:val="auto"/>
          <w:highlight w:val="none"/>
        </w:rPr>
      </w:pPr>
      <w:bookmarkStart w:id="283" w:name="_Toc12503"/>
      <w:r>
        <w:rPr>
          <w:rFonts w:hint="eastAsia"/>
          <w:color w:val="auto"/>
          <w:highlight w:val="none"/>
        </w:rPr>
        <w:t>第七篇 报价文件格式</w:t>
      </w:r>
      <w:bookmarkEnd w:id="283"/>
    </w:p>
    <w:p>
      <w:pPr>
        <w:ind w:firstLine="422"/>
        <w:jc w:val="center"/>
        <w:outlineLvl w:val="1"/>
        <w:rPr>
          <w:b/>
          <w:bCs/>
          <w:color w:val="auto"/>
          <w:highlight w:val="none"/>
        </w:rPr>
      </w:pPr>
      <w:bookmarkStart w:id="284" w:name="_Toc29643"/>
      <w:bookmarkStart w:id="285" w:name="_Toc32249"/>
      <w:bookmarkStart w:id="286" w:name="_Toc23654"/>
      <w:bookmarkStart w:id="287" w:name="_Toc11568"/>
      <w:r>
        <w:rPr>
          <w:rFonts w:hint="eastAsia"/>
          <w:b/>
          <w:bCs/>
          <w:color w:val="auto"/>
          <w:highlight w:val="none"/>
        </w:rPr>
        <w:t>（封面格式仅供参考）</w:t>
      </w:r>
      <w:bookmarkEnd w:id="284"/>
      <w:bookmarkEnd w:id="285"/>
      <w:bookmarkEnd w:id="286"/>
      <w:bookmarkEnd w:id="287"/>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outlineLvl w:val="2"/>
        <w:rPr>
          <w:rFonts w:ascii="宋体" w:hAnsi="宋体" w:cs="宋体"/>
          <w:b/>
          <w:color w:val="auto"/>
          <w:kern w:val="0"/>
          <w:sz w:val="38"/>
          <w:szCs w:val="38"/>
          <w:highlight w:val="none"/>
          <w:lang w:val="zh-CN" w:bidi="zh-CN"/>
        </w:rPr>
      </w:pPr>
      <w:bookmarkStart w:id="288" w:name="_Toc10015"/>
      <w:bookmarkStart w:id="289" w:name="_Toc24898"/>
      <w:bookmarkStart w:id="290" w:name="_Toc5561"/>
      <w:bookmarkStart w:id="291" w:name="_Toc31076"/>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8"/>
      <w:bookmarkEnd w:id="289"/>
      <w:bookmarkEnd w:id="290"/>
      <w:bookmarkEnd w:id="291"/>
    </w:p>
    <w:p>
      <w:pPr>
        <w:autoSpaceDE w:val="0"/>
        <w:autoSpaceDN w:val="0"/>
        <w:spacing w:before="11"/>
        <w:ind w:firstLine="924"/>
        <w:jc w:val="center"/>
        <w:rPr>
          <w:rFonts w:ascii="宋体" w:hAnsi="宋体" w:cs="宋体"/>
          <w:b/>
          <w:color w:val="auto"/>
          <w:sz w:val="46"/>
          <w:szCs w:val="19"/>
          <w:highlight w:val="none"/>
          <w:lang w:val="zh-CN" w:bidi="zh-CN"/>
        </w:rPr>
      </w:pPr>
    </w:p>
    <w:p>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92" w:name="_Toc77"/>
      <w:bookmarkStart w:id="293" w:name="_Toc18186"/>
      <w:bookmarkStart w:id="294" w:name="_Toc28515"/>
      <w:bookmarkStart w:id="295"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2"/>
      <w:bookmarkEnd w:id="293"/>
      <w:bookmarkEnd w:id="294"/>
      <w:bookmarkEnd w:id="295"/>
    </w:p>
    <w:p>
      <w:pPr>
        <w:autoSpaceDE w:val="0"/>
        <w:autoSpaceDN w:val="0"/>
        <w:spacing w:line="479" w:lineRule="exact"/>
        <w:ind w:firstLine="482"/>
        <w:jc w:val="center"/>
        <w:rPr>
          <w:rFonts w:ascii="宋体" w:hAnsi="宋体" w:cs="宋体"/>
          <w:b/>
          <w:bCs/>
          <w:color w:val="auto"/>
          <w:sz w:val="24"/>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spacing w:before="8"/>
        <w:ind w:firstLine="763"/>
        <w:jc w:val="center"/>
        <w:rPr>
          <w:rFonts w:ascii="宋体" w:hAnsi="宋体" w:cs="宋体"/>
          <w:b/>
          <w:color w:val="auto"/>
          <w:sz w:val="38"/>
          <w:szCs w:val="19"/>
          <w:highlight w:val="none"/>
          <w:lang w:val="zh-CN" w:bidi="zh-CN"/>
        </w:rPr>
      </w:pPr>
    </w:p>
    <w:p>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pPr>
        <w:pStyle w:val="8"/>
        <w:spacing w:before="0" w:line="360" w:lineRule="auto"/>
        <w:ind w:left="0" w:firstLine="422"/>
        <w:outlineLvl w:val="1"/>
        <w:rPr>
          <w:b/>
          <w:bCs/>
          <w:color w:val="auto"/>
          <w:sz w:val="21"/>
          <w:szCs w:val="21"/>
          <w:highlight w:val="none"/>
          <w:lang w:val="en-US"/>
        </w:rPr>
      </w:pPr>
      <w:bookmarkStart w:id="296" w:name="_Toc7980"/>
      <w:bookmarkStart w:id="297" w:name="_Toc24484"/>
      <w:bookmarkStart w:id="298" w:name="_Toc32100"/>
      <w:bookmarkStart w:id="299" w:name="_Toc31505"/>
      <w:r>
        <w:rPr>
          <w:rFonts w:hint="eastAsia"/>
          <w:b/>
          <w:bCs/>
          <w:color w:val="auto"/>
          <w:sz w:val="21"/>
          <w:szCs w:val="21"/>
          <w:highlight w:val="none"/>
          <w:lang w:val="en-US"/>
        </w:rPr>
        <w:t>1、</w:t>
      </w:r>
      <w:bookmarkEnd w:id="296"/>
      <w:bookmarkEnd w:id="297"/>
      <w:bookmarkEnd w:id="298"/>
      <w:bookmarkEnd w:id="299"/>
      <w:r>
        <w:rPr>
          <w:rFonts w:hint="eastAsia"/>
          <w:b/>
          <w:bCs/>
          <w:color w:val="auto"/>
          <w:sz w:val="21"/>
          <w:szCs w:val="21"/>
          <w:highlight w:val="none"/>
          <w:lang w:val="en-US"/>
        </w:rPr>
        <w:t>首轮报价表</w:t>
      </w:r>
    </w:p>
    <w:p>
      <w:pPr>
        <w:spacing w:line="360" w:lineRule="auto"/>
        <w:ind w:firstLine="422"/>
        <w:outlineLvl w:val="1"/>
        <w:rPr>
          <w:rFonts w:ascii="宋体" w:hAnsi="宋体" w:cs="宋体"/>
          <w:b/>
          <w:bCs/>
          <w:color w:val="auto"/>
          <w:szCs w:val="21"/>
          <w:highlight w:val="none"/>
        </w:rPr>
      </w:pPr>
      <w:bookmarkStart w:id="300" w:name="_Toc8054"/>
      <w:bookmarkStart w:id="301" w:name="_Toc29661"/>
      <w:bookmarkStart w:id="302" w:name="_Toc20806"/>
      <w:bookmarkStart w:id="303" w:name="_Toc6563"/>
      <w:r>
        <w:rPr>
          <w:rFonts w:hint="eastAsia" w:ascii="宋体" w:hAnsi="宋体" w:cs="宋体"/>
          <w:b/>
          <w:bCs/>
          <w:color w:val="auto"/>
          <w:szCs w:val="21"/>
          <w:highlight w:val="none"/>
        </w:rPr>
        <w:t>2、分项报价表</w:t>
      </w:r>
      <w:bookmarkEnd w:id="300"/>
      <w:bookmarkEnd w:id="301"/>
      <w:bookmarkEnd w:id="302"/>
      <w:bookmarkEnd w:id="303"/>
    </w:p>
    <w:p>
      <w:pPr>
        <w:pStyle w:val="8"/>
        <w:spacing w:before="0" w:line="360" w:lineRule="auto"/>
        <w:ind w:left="0" w:firstLine="422"/>
        <w:outlineLvl w:val="1"/>
        <w:rPr>
          <w:b/>
          <w:bCs/>
          <w:color w:val="auto"/>
          <w:sz w:val="21"/>
          <w:szCs w:val="21"/>
          <w:highlight w:val="none"/>
          <w:lang w:val="en-US"/>
        </w:rPr>
      </w:pPr>
      <w:bookmarkStart w:id="304" w:name="_Toc20631"/>
      <w:bookmarkStart w:id="305" w:name="_Toc5011"/>
      <w:bookmarkStart w:id="306" w:name="_Toc3142"/>
      <w:bookmarkStart w:id="307" w:name="_Toc13609"/>
      <w:r>
        <w:rPr>
          <w:rFonts w:hint="eastAsia"/>
          <w:b/>
          <w:bCs/>
          <w:color w:val="auto"/>
          <w:sz w:val="21"/>
          <w:szCs w:val="21"/>
          <w:highlight w:val="none"/>
          <w:lang w:val="en-US"/>
        </w:rPr>
        <w:t>3、法定代表人证明书</w:t>
      </w:r>
      <w:bookmarkEnd w:id="304"/>
      <w:bookmarkEnd w:id="305"/>
      <w:bookmarkEnd w:id="306"/>
      <w:bookmarkEnd w:id="307"/>
    </w:p>
    <w:p>
      <w:pPr>
        <w:pStyle w:val="8"/>
        <w:spacing w:before="0" w:line="360" w:lineRule="auto"/>
        <w:ind w:left="0" w:firstLine="422"/>
        <w:outlineLvl w:val="1"/>
        <w:rPr>
          <w:b/>
          <w:bCs/>
          <w:color w:val="auto"/>
          <w:sz w:val="21"/>
          <w:szCs w:val="21"/>
          <w:highlight w:val="none"/>
          <w:lang w:val="en-US"/>
        </w:rPr>
      </w:pPr>
      <w:bookmarkStart w:id="308" w:name="_Toc31223"/>
      <w:bookmarkStart w:id="309" w:name="_Toc31054"/>
      <w:bookmarkStart w:id="310" w:name="_Toc27439"/>
      <w:bookmarkStart w:id="311" w:name="_Toc17346"/>
      <w:r>
        <w:rPr>
          <w:rFonts w:hint="eastAsia"/>
          <w:b/>
          <w:bCs/>
          <w:color w:val="auto"/>
          <w:sz w:val="21"/>
          <w:szCs w:val="21"/>
          <w:highlight w:val="none"/>
          <w:lang w:val="en-US"/>
        </w:rPr>
        <w:t>4、法定代表人授权书</w:t>
      </w:r>
      <w:bookmarkEnd w:id="308"/>
      <w:bookmarkEnd w:id="309"/>
      <w:bookmarkEnd w:id="310"/>
      <w:bookmarkEnd w:id="311"/>
    </w:p>
    <w:p>
      <w:pPr>
        <w:spacing w:line="360" w:lineRule="auto"/>
        <w:ind w:firstLine="422"/>
        <w:outlineLvl w:val="1"/>
        <w:rPr>
          <w:rFonts w:ascii="宋体" w:hAnsi="宋体" w:cs="宋体"/>
          <w:b/>
          <w:bCs/>
          <w:color w:val="auto"/>
          <w:szCs w:val="21"/>
          <w:highlight w:val="none"/>
        </w:rPr>
      </w:pPr>
      <w:bookmarkStart w:id="312" w:name="_Toc16304"/>
      <w:bookmarkStart w:id="313" w:name="_Toc29210"/>
      <w:bookmarkStart w:id="314" w:name="_Toc20213"/>
      <w:bookmarkStart w:id="315" w:name="_Toc23814"/>
      <w:r>
        <w:rPr>
          <w:rFonts w:hint="eastAsia" w:ascii="宋体" w:hAnsi="宋体" w:cs="宋体"/>
          <w:b/>
          <w:bCs/>
          <w:color w:val="auto"/>
          <w:szCs w:val="21"/>
          <w:highlight w:val="none"/>
        </w:rPr>
        <w:t>5、</w:t>
      </w:r>
      <w:bookmarkEnd w:id="312"/>
      <w:r>
        <w:rPr>
          <w:rFonts w:hint="eastAsia" w:ascii="宋体" w:hAnsi="宋体" w:cs="宋体"/>
          <w:b/>
          <w:bCs/>
          <w:color w:val="auto"/>
          <w:szCs w:val="21"/>
          <w:highlight w:val="none"/>
        </w:rPr>
        <w:t>响应保证金</w:t>
      </w:r>
      <w:bookmarkEnd w:id="313"/>
      <w:bookmarkEnd w:id="314"/>
      <w:bookmarkEnd w:id="315"/>
    </w:p>
    <w:p>
      <w:pPr>
        <w:rPr>
          <w:color w:val="auto"/>
          <w:highlight w:val="none"/>
        </w:rPr>
      </w:pPr>
    </w:p>
    <w:p>
      <w:pPr>
        <w:pStyle w:val="8"/>
        <w:ind w:firstLine="480"/>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ind w:firstLine="602"/>
        <w:rPr>
          <w:color w:val="auto"/>
          <w:highlight w:val="none"/>
        </w:rPr>
      </w:pPr>
      <w:bookmarkStart w:id="316" w:name="_Toc30888"/>
      <w:r>
        <w:rPr>
          <w:rFonts w:hint="eastAsia"/>
          <w:color w:val="auto"/>
          <w:highlight w:val="none"/>
        </w:rPr>
        <w:t>第八篇 其它文件格式（如有需要）</w:t>
      </w:r>
      <w:bookmarkEnd w:id="316"/>
    </w:p>
    <w:p>
      <w:pPr>
        <w:ind w:firstLine="422"/>
        <w:rPr>
          <w:b/>
          <w:bCs/>
          <w:color w:val="auto"/>
          <w:highlight w:val="none"/>
        </w:rPr>
      </w:pPr>
      <w:r>
        <w:rPr>
          <w:rFonts w:hint="eastAsia"/>
          <w:b/>
          <w:bCs/>
          <w:color w:val="auto"/>
          <w:highlight w:val="none"/>
        </w:rPr>
        <w:t>格式一：</w:t>
      </w:r>
    </w:p>
    <w:p>
      <w:pPr>
        <w:ind w:firstLine="422"/>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pPr>
        <w:ind w:firstLine="422"/>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ind w:firstLine="422"/>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5"/>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ind w:firstLine="482"/>
        <w:rPr>
          <w:b/>
          <w:bCs/>
          <w:color w:val="auto"/>
          <w:highlight w:val="none"/>
        </w:rPr>
      </w:pPr>
      <w:r>
        <w:rPr>
          <w:rFonts w:hint="eastAsia"/>
          <w:b/>
          <w:bCs/>
          <w:color w:val="auto"/>
          <w:highlight w:val="none"/>
        </w:rPr>
        <w:t>格式二：</w:t>
      </w:r>
    </w:p>
    <w:p>
      <w:pPr>
        <w:ind w:firstLine="422"/>
        <w:jc w:val="center"/>
        <w:rPr>
          <w:b/>
          <w:bCs/>
          <w:color w:val="auto"/>
          <w:highlight w:val="none"/>
        </w:rPr>
      </w:pPr>
      <w:r>
        <w:rPr>
          <w:rFonts w:hint="eastAsia"/>
          <w:b/>
          <w:bCs/>
          <w:color w:val="auto"/>
          <w:highlight w:val="none"/>
        </w:rPr>
        <w:t>响应担保函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1．中标后供应商无正当理由不与采购人或者采购代理机构签订合同；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ind w:firstLine="482"/>
        <w:rPr>
          <w:b/>
          <w:bCs/>
          <w:color w:val="auto"/>
          <w:highlight w:val="none"/>
        </w:rPr>
      </w:pPr>
      <w:r>
        <w:rPr>
          <w:rFonts w:hint="eastAsia"/>
          <w:b/>
          <w:bCs/>
          <w:color w:val="auto"/>
          <w:highlight w:val="none"/>
        </w:rPr>
        <w:t>格式三：</w:t>
      </w:r>
    </w:p>
    <w:p>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1.将中标项目转让给他人，或者在响应文件中未说明，且未经采购招标机构人同意，将中标项目分包给他人的；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ind w:firstLine="482"/>
        <w:rPr>
          <w:b/>
          <w:bCs/>
          <w:color w:val="auto"/>
          <w:highlight w:val="none"/>
        </w:rPr>
      </w:pPr>
      <w:r>
        <w:rPr>
          <w:rFonts w:hint="eastAsia"/>
          <w:b/>
          <w:bCs/>
          <w:color w:val="auto"/>
          <w:highlight w:val="none"/>
        </w:rPr>
        <w:t>格式四：</w:t>
      </w:r>
    </w:p>
    <w:p>
      <w:pPr>
        <w:ind w:firstLine="422"/>
        <w:jc w:val="center"/>
        <w:rPr>
          <w:b/>
          <w:bCs/>
          <w:color w:val="auto"/>
          <w:highlight w:val="none"/>
        </w:rPr>
      </w:pPr>
      <w:r>
        <w:rPr>
          <w:rFonts w:hint="eastAsia"/>
          <w:b/>
          <w:bCs/>
          <w:color w:val="auto"/>
          <w:highlight w:val="none"/>
        </w:rPr>
        <w:t>联合体共同响应协议书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东莞市常平镇司马联围排站管涌修复工程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10"/>
  </w:num>
  <w:num w:numId="2">
    <w:abstractNumId w:val="1"/>
  </w:num>
  <w:num w:numId="3">
    <w:abstractNumId w:val="8"/>
  </w:num>
  <w:num w:numId="4">
    <w:abstractNumId w:val="3"/>
  </w:num>
  <w:num w:numId="5">
    <w:abstractNumId w:val="4"/>
  </w:num>
  <w:num w:numId="6">
    <w:abstractNumId w:val="6"/>
  </w:num>
  <w:num w:numId="7">
    <w:abstractNumId w:val="9"/>
  </w:num>
  <w:num w:numId="8">
    <w:abstractNumId w:val="7"/>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256BC7"/>
    <w:rsid w:val="00257367"/>
    <w:rsid w:val="00443811"/>
    <w:rsid w:val="004E208A"/>
    <w:rsid w:val="006C3F18"/>
    <w:rsid w:val="006D6834"/>
    <w:rsid w:val="009244B1"/>
    <w:rsid w:val="00A03383"/>
    <w:rsid w:val="00F00213"/>
    <w:rsid w:val="01BE7323"/>
    <w:rsid w:val="024829A0"/>
    <w:rsid w:val="02880AAC"/>
    <w:rsid w:val="03C618A1"/>
    <w:rsid w:val="043807E7"/>
    <w:rsid w:val="04881633"/>
    <w:rsid w:val="0548041A"/>
    <w:rsid w:val="065C6827"/>
    <w:rsid w:val="074100C5"/>
    <w:rsid w:val="08DB5114"/>
    <w:rsid w:val="094A084B"/>
    <w:rsid w:val="0A4036B4"/>
    <w:rsid w:val="0AA575BB"/>
    <w:rsid w:val="0B696582"/>
    <w:rsid w:val="0BE32B7B"/>
    <w:rsid w:val="0C545EC4"/>
    <w:rsid w:val="0CB21F77"/>
    <w:rsid w:val="0EF11ED0"/>
    <w:rsid w:val="0FA75340"/>
    <w:rsid w:val="13256801"/>
    <w:rsid w:val="134F24D1"/>
    <w:rsid w:val="13EB22ED"/>
    <w:rsid w:val="1415573E"/>
    <w:rsid w:val="152E568B"/>
    <w:rsid w:val="18C65899"/>
    <w:rsid w:val="192A49E8"/>
    <w:rsid w:val="19BB08C0"/>
    <w:rsid w:val="19C92056"/>
    <w:rsid w:val="1B046FEA"/>
    <w:rsid w:val="1B5A74F3"/>
    <w:rsid w:val="1CE123EB"/>
    <w:rsid w:val="1CEE19EB"/>
    <w:rsid w:val="217C5431"/>
    <w:rsid w:val="23445606"/>
    <w:rsid w:val="23A522AA"/>
    <w:rsid w:val="28CE4B49"/>
    <w:rsid w:val="29A20A66"/>
    <w:rsid w:val="2A213986"/>
    <w:rsid w:val="2AC4758F"/>
    <w:rsid w:val="2BA946EA"/>
    <w:rsid w:val="2C250F65"/>
    <w:rsid w:val="2D112132"/>
    <w:rsid w:val="2E69728F"/>
    <w:rsid w:val="2E811387"/>
    <w:rsid w:val="2EF83FF0"/>
    <w:rsid w:val="2F747802"/>
    <w:rsid w:val="304A47CF"/>
    <w:rsid w:val="3320692B"/>
    <w:rsid w:val="339D5B51"/>
    <w:rsid w:val="33E12E57"/>
    <w:rsid w:val="341076F7"/>
    <w:rsid w:val="387469A3"/>
    <w:rsid w:val="39C27E7C"/>
    <w:rsid w:val="3A123017"/>
    <w:rsid w:val="3CEB14FD"/>
    <w:rsid w:val="3F53097E"/>
    <w:rsid w:val="414A030F"/>
    <w:rsid w:val="460F2D8E"/>
    <w:rsid w:val="466D59AC"/>
    <w:rsid w:val="494E7FD2"/>
    <w:rsid w:val="4B5B3ECB"/>
    <w:rsid w:val="4C22418B"/>
    <w:rsid w:val="4DD477D5"/>
    <w:rsid w:val="4E6A7DE2"/>
    <w:rsid w:val="4E862B87"/>
    <w:rsid w:val="4E9C6EA6"/>
    <w:rsid w:val="51593AA1"/>
    <w:rsid w:val="51ED4F85"/>
    <w:rsid w:val="549178FF"/>
    <w:rsid w:val="55206652"/>
    <w:rsid w:val="559C5211"/>
    <w:rsid w:val="57961A49"/>
    <w:rsid w:val="59F20A8D"/>
    <w:rsid w:val="5D427BFF"/>
    <w:rsid w:val="5DE26737"/>
    <w:rsid w:val="5DE85889"/>
    <w:rsid w:val="5E211F42"/>
    <w:rsid w:val="5E2A2E41"/>
    <w:rsid w:val="5F8F1E39"/>
    <w:rsid w:val="62CD3480"/>
    <w:rsid w:val="64677E69"/>
    <w:rsid w:val="648F7060"/>
    <w:rsid w:val="64D3048A"/>
    <w:rsid w:val="67520D2F"/>
    <w:rsid w:val="67880920"/>
    <w:rsid w:val="68402491"/>
    <w:rsid w:val="68803E14"/>
    <w:rsid w:val="6A7F3B49"/>
    <w:rsid w:val="6AC23D37"/>
    <w:rsid w:val="6CA86921"/>
    <w:rsid w:val="6D3A2802"/>
    <w:rsid w:val="6DCB42B6"/>
    <w:rsid w:val="6E003853"/>
    <w:rsid w:val="6E662DA3"/>
    <w:rsid w:val="70C6177B"/>
    <w:rsid w:val="70DF45C1"/>
    <w:rsid w:val="735656B0"/>
    <w:rsid w:val="739B0891"/>
    <w:rsid w:val="74951BFB"/>
    <w:rsid w:val="753B70DD"/>
    <w:rsid w:val="76911A28"/>
    <w:rsid w:val="785C7CED"/>
    <w:rsid w:val="79533EEE"/>
    <w:rsid w:val="7AEF48EE"/>
    <w:rsid w:val="7C8313D5"/>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6"/>
    <w:autoRedefine/>
    <w:qFormat/>
    <w:uiPriority w:val="0"/>
    <w:pPr>
      <w:keepNext/>
      <w:keepLines/>
      <w:spacing w:before="340" w:after="33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style>
  <w:style w:type="paragraph" w:styleId="8">
    <w:name w:val="Body Text"/>
    <w:basedOn w:val="1"/>
    <w:next w:val="9"/>
    <w:autoRedefine/>
    <w:qFormat/>
    <w:uiPriority w:val="1"/>
    <w:pPr>
      <w:spacing w:before="161"/>
      <w:ind w:left="120"/>
    </w:pPr>
    <w:rPr>
      <w:rFonts w:ascii="宋体" w:hAnsi="宋体" w:cs="宋体"/>
      <w:sz w:val="24"/>
      <w:lang w:val="zh-CN" w:bidi="zh-CN"/>
    </w:rPr>
  </w:style>
  <w:style w:type="paragraph" w:styleId="9">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Autospacing="1" w:afterAutospacing="1"/>
    </w:pPr>
    <w:rPr>
      <w:rFonts w:cs="Times New Roman"/>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autoRedefine/>
    <w:qFormat/>
    <w:uiPriority w:val="0"/>
    <w:rPr>
      <w:i/>
    </w:rPr>
  </w:style>
  <w:style w:type="character" w:styleId="22">
    <w:name w:val="Hyperlink"/>
    <w:autoRedefine/>
    <w:qFormat/>
    <w:uiPriority w:val="99"/>
    <w:rPr>
      <w:color w:val="0000FF"/>
      <w:u w:val="single"/>
    </w:rPr>
  </w:style>
  <w:style w:type="character" w:styleId="23">
    <w:name w:val="annotation reference"/>
    <w:basedOn w:val="20"/>
    <w:autoRedefine/>
    <w:qFormat/>
    <w:uiPriority w:val="0"/>
    <w:rPr>
      <w:sz w:val="21"/>
      <w:szCs w:val="21"/>
    </w:rPr>
  </w:style>
  <w:style w:type="paragraph" w:customStyle="1" w:styleId="24">
    <w:name w:val="表格文字"/>
    <w:basedOn w:val="1"/>
    <w:autoRedefine/>
    <w:qFormat/>
    <w:uiPriority w:val="0"/>
    <w:pPr>
      <w:spacing w:before="25" w:after="25" w:line="300" w:lineRule="auto"/>
    </w:pPr>
    <w:rPr>
      <w:rFonts w:ascii="Times" w:hAnsi="Times"/>
      <w:spacing w:val="10"/>
      <w:kern w:val="0"/>
      <w:sz w:val="24"/>
      <w:szCs w:val="20"/>
    </w:rPr>
  </w:style>
  <w:style w:type="paragraph" w:styleId="25">
    <w:name w:val="List Paragraph"/>
    <w:basedOn w:val="1"/>
    <w:autoRedefine/>
    <w:qFormat/>
    <w:uiPriority w:val="34"/>
    <w:pPr>
      <w:ind w:firstLine="420" w:firstLineChars="200"/>
    </w:pPr>
  </w:style>
  <w:style w:type="character" w:customStyle="1" w:styleId="26">
    <w:name w:val="标题 1 Char"/>
    <w:link w:val="3"/>
    <w:autoRedefine/>
    <w:qFormat/>
    <w:uiPriority w:val="0"/>
    <w:rPr>
      <w:b/>
      <w:kern w:val="44"/>
      <w:sz w:val="30"/>
    </w:rPr>
  </w:style>
  <w:style w:type="paragraph" w:customStyle="1" w:styleId="27">
    <w:name w:val="Table Paragraph"/>
    <w:basedOn w:val="1"/>
    <w:autoRedefine/>
    <w:qFormat/>
    <w:uiPriority w:val="1"/>
  </w:style>
  <w:style w:type="paragraph" w:customStyle="1" w:styleId="28">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2">
    <w:name w:val="_Style 4"/>
    <w:basedOn w:val="1"/>
    <w:autoRedefine/>
    <w:qFormat/>
    <w:uiPriority w:val="0"/>
    <w:pPr>
      <w:spacing w:line="360" w:lineRule="auto"/>
      <w:ind w:firstLine="420" w:firstLineChars="200"/>
    </w:pPr>
    <w:rPr>
      <w:rFonts w:ascii="Calibri" w:hAnsi="Calibri"/>
      <w:szCs w:val="22"/>
    </w:rPr>
  </w:style>
  <w:style w:type="character" w:customStyle="1" w:styleId="33">
    <w:name w:val="font61"/>
    <w:basedOn w:val="20"/>
    <w:autoRedefine/>
    <w:qFormat/>
    <w:uiPriority w:val="0"/>
    <w:rPr>
      <w:rFonts w:hint="default" w:ascii="Times New Roman" w:hAnsi="Times New Roman" w:cs="Times New Roman"/>
      <w:color w:val="000000"/>
      <w:sz w:val="20"/>
      <w:szCs w:val="20"/>
      <w:u w:val="none"/>
    </w:rPr>
  </w:style>
  <w:style w:type="character" w:customStyle="1" w:styleId="34">
    <w:name w:val="font41"/>
    <w:basedOn w:val="20"/>
    <w:autoRedefine/>
    <w:qFormat/>
    <w:uiPriority w:val="0"/>
    <w:rPr>
      <w:rFonts w:hint="eastAsia" w:ascii="宋体" w:hAnsi="宋体" w:eastAsia="宋体" w:cs="宋体"/>
      <w:color w:val="000000"/>
      <w:sz w:val="20"/>
      <w:szCs w:val="20"/>
      <w:u w:val="none"/>
    </w:rPr>
  </w:style>
  <w:style w:type="character" w:customStyle="1" w:styleId="35">
    <w:name w:val="font71"/>
    <w:basedOn w:val="20"/>
    <w:autoRedefine/>
    <w:qFormat/>
    <w:uiPriority w:val="0"/>
    <w:rPr>
      <w:rFonts w:hint="eastAsia" w:ascii="宋体" w:hAnsi="宋体" w:eastAsia="宋体" w:cs="宋体"/>
      <w:color w:val="000000"/>
      <w:sz w:val="20"/>
      <w:szCs w:val="20"/>
      <w:u w:val="none"/>
      <w:vertAlign w:val="superscript"/>
    </w:rPr>
  </w:style>
  <w:style w:type="character" w:customStyle="1" w:styleId="36">
    <w:name w:val="font31"/>
    <w:basedOn w:val="20"/>
    <w:autoRedefine/>
    <w:qFormat/>
    <w:uiPriority w:val="0"/>
    <w:rPr>
      <w:rFonts w:hint="eastAsia" w:ascii="宋体" w:hAnsi="宋体" w:eastAsia="宋体" w:cs="宋体"/>
      <w:color w:val="000000"/>
      <w:sz w:val="20"/>
      <w:szCs w:val="20"/>
      <w:u w:val="none"/>
    </w:rPr>
  </w:style>
  <w:style w:type="character" w:customStyle="1" w:styleId="37">
    <w:name w:val="font01"/>
    <w:basedOn w:val="20"/>
    <w:autoRedefine/>
    <w:qFormat/>
    <w:uiPriority w:val="0"/>
    <w:rPr>
      <w:rFonts w:hint="default" w:ascii="Times New Roman" w:hAnsi="Times New Roman" w:cs="Times New Roman"/>
      <w:color w:val="000000"/>
      <w:sz w:val="20"/>
      <w:szCs w:val="20"/>
      <w:u w:val="none"/>
      <w:vertAlign w:val="superscript"/>
    </w:rPr>
  </w:style>
  <w:style w:type="character" w:customStyle="1" w:styleId="38">
    <w:name w:val="font11"/>
    <w:basedOn w:val="20"/>
    <w:autoRedefine/>
    <w:qFormat/>
    <w:uiPriority w:val="0"/>
    <w:rPr>
      <w:rFonts w:hint="eastAsia" w:ascii="宋体" w:hAnsi="宋体" w:eastAsia="宋体" w:cs="宋体"/>
      <w:color w:val="000000"/>
      <w:sz w:val="20"/>
      <w:szCs w:val="20"/>
      <w:u w:val="none"/>
    </w:rPr>
  </w:style>
  <w:style w:type="character" w:customStyle="1" w:styleId="39">
    <w:name w:val="font51"/>
    <w:basedOn w:val="20"/>
    <w:autoRedefine/>
    <w:qFormat/>
    <w:uiPriority w:val="0"/>
    <w:rPr>
      <w:rFonts w:hint="eastAsia" w:ascii="宋体" w:hAnsi="宋体" w:eastAsia="宋体" w:cs="宋体"/>
      <w:color w:val="000000"/>
      <w:sz w:val="20"/>
      <w:szCs w:val="20"/>
      <w:u w:val="none"/>
    </w:rPr>
  </w:style>
  <w:style w:type="character" w:customStyle="1" w:styleId="40">
    <w:name w:val="font81"/>
    <w:basedOn w:val="20"/>
    <w:autoRedefine/>
    <w:qFormat/>
    <w:uiPriority w:val="0"/>
    <w:rPr>
      <w:rFonts w:hint="default" w:ascii="Times New Roman" w:hAnsi="Times New Roman" w:cs="Times New Roman"/>
      <w:color w:val="000000"/>
      <w:sz w:val="20"/>
      <w:szCs w:val="20"/>
      <w:u w:val="none"/>
      <w:vertAlign w:val="superscript"/>
    </w:rPr>
  </w:style>
  <w:style w:type="paragraph" w:customStyle="1" w:styleId="4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Cs w:val="20"/>
    </w:rPr>
  </w:style>
  <w:style w:type="paragraph" w:customStyle="1" w:styleId="42">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3">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4">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5">
    <w:name w:val="NormalCharacter"/>
    <w:autoRedefine/>
    <w:qFormat/>
    <w:uiPriority w:val="0"/>
  </w:style>
  <w:style w:type="character" w:customStyle="1" w:styleId="46">
    <w:name w:val="批注框文本 Char"/>
    <w:basedOn w:val="20"/>
    <w:link w:val="12"/>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87</Pages>
  <Words>7227</Words>
  <Characters>41194</Characters>
  <Lines>343</Lines>
  <Paragraphs>96</Paragraphs>
  <TotalTime>21</TotalTime>
  <ScaleCrop>false</ScaleCrop>
  <LinksUpToDate>false</LinksUpToDate>
  <CharactersWithSpaces>48325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admin</cp:lastModifiedBy>
  <cp:lastPrinted>2024-02-02T09:42:00Z</cp:lastPrinted>
  <dcterms:modified xsi:type="dcterms:W3CDTF">2024-03-04T01:36:09Z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98E033F85C4845AE8FB41510D5A787A4_13</vt:lpwstr>
  </property>
</Properties>
</file>