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特种设备GIS系统的网络运营商服务项目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GSDG2024-006C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广东省特种设备检测研究院东莞检测院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21</w:t>
      </w:r>
      <w:bookmarkStart w:id="219" w:name="_GoBack"/>
      <w:bookmarkEnd w:id="219"/>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特种设备GIS系统的网络运营商服务项目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pStyle w:val="4"/>
        <w:spacing w:line="360" w:lineRule="auto"/>
        <w:jc w:val="left"/>
        <w:rPr>
          <w:rFonts w:ascii="宋体" w:hAnsi="宋体" w:cs="宋体"/>
          <w:bCs/>
          <w:color w:val="auto"/>
          <w:sz w:val="21"/>
          <w:szCs w:val="21"/>
          <w:highlight w:val="none"/>
        </w:rPr>
      </w:pPr>
      <w:bookmarkStart w:id="4" w:name="_Toc28359079"/>
      <w:bookmarkStart w:id="5" w:name="_Toc2169"/>
      <w:bookmarkStart w:id="6" w:name="_Toc28359002"/>
      <w:bookmarkStart w:id="7" w:name="_Toc35393621"/>
      <w:bookmarkStart w:id="8" w:name="_Toc35393790"/>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GSDG2024-006C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特种设备GIS系统的网络运营商服务项目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项目预算</w:t>
      </w:r>
      <w:r>
        <w:rPr>
          <w:rFonts w:hint="eastAsia" w:ascii="宋体" w:hAnsi="宋体" w:cs="宋体"/>
          <w:color w:val="auto"/>
          <w:szCs w:val="21"/>
          <w:highlight w:val="none"/>
        </w:rPr>
        <w:t>：</w:t>
      </w:r>
      <w:r>
        <w:rPr>
          <w:rFonts w:hint="eastAsia" w:ascii="宋体" w:hAnsi="宋体" w:cs="宋体"/>
          <w:b/>
          <w:bCs/>
          <w:color w:val="auto"/>
          <w:szCs w:val="21"/>
          <w:highlight w:val="none"/>
          <w:u w:val="single"/>
        </w:rPr>
        <w:t>¥610</w:t>
      </w:r>
      <w:r>
        <w:rPr>
          <w:rFonts w:hint="eastAsia" w:ascii="宋体" w:hAnsi="宋体" w:cs="宋体"/>
          <w:b/>
          <w:bCs/>
          <w:color w:val="auto"/>
          <w:szCs w:val="21"/>
          <w:highlight w:val="none"/>
          <w:u w:val="single"/>
          <w:lang w:val="en-US" w:eastAsia="zh-CN"/>
        </w:rPr>
        <w:t>,</w:t>
      </w:r>
      <w:r>
        <w:rPr>
          <w:rFonts w:hint="eastAsia" w:ascii="宋体" w:hAnsi="宋体" w:cs="宋体"/>
          <w:b/>
          <w:bCs/>
          <w:color w:val="auto"/>
          <w:szCs w:val="21"/>
          <w:highlight w:val="none"/>
          <w:u w:val="single"/>
        </w:rPr>
        <w:t>560</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59"/>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7" w:type="dxa"/>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1959"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5738" w:type="dxa"/>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服务</w:t>
            </w:r>
            <w:r>
              <w:rPr>
                <w:rFonts w:hint="eastAsia" w:hAnsi="宋体"/>
                <w:b/>
                <w:color w:val="auto"/>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17"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1959" w:type="dxa"/>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特种设备GIS系统的网络运营商服务</w:t>
            </w:r>
            <w:r>
              <w:rPr>
                <w:rFonts w:hint="eastAsia" w:hAnsi="宋体"/>
                <w:color w:val="auto"/>
                <w:szCs w:val="21"/>
                <w:highlight w:val="none"/>
              </w:rPr>
              <w:t>采购一项</w:t>
            </w:r>
          </w:p>
        </w:tc>
        <w:tc>
          <w:tcPr>
            <w:tcW w:w="573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hAnsi="宋体" w:eastAsia="宋体"/>
                <w:color w:val="auto"/>
                <w:szCs w:val="21"/>
                <w:highlight w:val="none"/>
                <w:lang w:val="en-US" w:eastAsia="zh-CN"/>
              </w:rPr>
            </w:pPr>
            <w:r>
              <w:rPr>
                <w:rFonts w:hint="eastAsia" w:hAnsi="宋体"/>
                <w:color w:val="auto"/>
                <w:szCs w:val="21"/>
                <w:highlight w:val="none"/>
                <w:lang w:val="en-US" w:eastAsia="zh-CN"/>
              </w:rPr>
              <w:t>自完成项目的实施之日起36个月</w:t>
            </w:r>
            <w:r>
              <w:rPr>
                <w:rFonts w:hint="default" w:hAnsi="宋体" w:eastAsia="宋体"/>
                <w:color w:val="auto"/>
                <w:szCs w:val="21"/>
                <w:highlight w:val="none"/>
                <w:lang w:val="en-US" w:eastAsia="zh-CN"/>
              </w:rPr>
              <w:t>。合同签订后1个月内完成项目的实施，开始提供项目服务。因</w:t>
            </w:r>
            <w:r>
              <w:rPr>
                <w:rFonts w:hint="eastAsia" w:hAnsi="宋体"/>
                <w:color w:val="auto"/>
                <w:szCs w:val="21"/>
                <w:highlight w:val="none"/>
                <w:lang w:val="en-US" w:eastAsia="zh-CN"/>
              </w:rPr>
              <w:t>采购人</w:t>
            </w:r>
            <w:r>
              <w:rPr>
                <w:rFonts w:hint="default" w:hAnsi="宋体" w:eastAsia="宋体"/>
                <w:color w:val="auto"/>
                <w:szCs w:val="21"/>
                <w:highlight w:val="none"/>
                <w:lang w:val="en-US" w:eastAsia="zh-CN"/>
              </w:rPr>
              <w:t>原因造成</w:t>
            </w:r>
            <w:r>
              <w:rPr>
                <w:rFonts w:hint="eastAsia" w:hAnsi="宋体"/>
                <w:color w:val="auto"/>
                <w:szCs w:val="21"/>
                <w:highlight w:val="none"/>
                <w:lang w:val="en-US" w:eastAsia="zh-CN"/>
              </w:rPr>
              <w:t>中标人</w:t>
            </w:r>
            <w:r>
              <w:rPr>
                <w:rFonts w:hint="default" w:hAnsi="宋体" w:eastAsia="宋体"/>
                <w:color w:val="auto"/>
                <w:szCs w:val="21"/>
                <w:highlight w:val="none"/>
                <w:lang w:val="en-US" w:eastAsia="zh-CN"/>
              </w:rPr>
              <w:t>不能按期完成工作、不能按时提供服务的，经</w:t>
            </w:r>
            <w:r>
              <w:rPr>
                <w:rFonts w:hint="eastAsia" w:hAnsi="宋体"/>
                <w:color w:val="auto"/>
                <w:szCs w:val="21"/>
                <w:highlight w:val="none"/>
                <w:lang w:val="en-US" w:eastAsia="zh-CN"/>
              </w:rPr>
              <w:t>采购人</w:t>
            </w:r>
            <w:r>
              <w:rPr>
                <w:rFonts w:hint="default" w:hAnsi="宋体" w:eastAsia="宋体"/>
                <w:color w:val="auto"/>
                <w:szCs w:val="21"/>
                <w:highlight w:val="none"/>
                <w:lang w:val="en-US" w:eastAsia="zh-CN"/>
              </w:rPr>
              <w:t>书面确认后，</w:t>
            </w:r>
            <w:r>
              <w:rPr>
                <w:rFonts w:hint="eastAsia" w:hAnsi="宋体"/>
                <w:color w:val="auto"/>
                <w:szCs w:val="21"/>
                <w:highlight w:val="none"/>
                <w:lang w:val="en-US" w:eastAsia="zh-CN"/>
              </w:rPr>
              <w:t>中标人</w:t>
            </w:r>
            <w:r>
              <w:rPr>
                <w:rFonts w:hint="default" w:hAnsi="宋体" w:eastAsia="宋体"/>
                <w:color w:val="auto"/>
                <w:szCs w:val="21"/>
                <w:highlight w:val="none"/>
                <w:lang w:val="en-US" w:eastAsia="zh-CN"/>
              </w:rPr>
              <w:t>工作期可以顺延。</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28359003"/>
      <w:bookmarkStart w:id="11" w:name="_Toc25198"/>
      <w:bookmarkStart w:id="12" w:name="_Toc35393791"/>
      <w:bookmarkStart w:id="13" w:name="_Toc35393622"/>
      <w:bookmarkStart w:id="14" w:name="_Toc28359080"/>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2022年度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173"/>
      <w:bookmarkStart w:id="20" w:name="_Toc35393792"/>
      <w:bookmarkStart w:id="21" w:name="_Toc3539362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82"/>
      <w:bookmarkStart w:id="23" w:name="_Toc28359005"/>
      <w:bookmarkStart w:id="24" w:name="_Toc28585"/>
      <w:bookmarkStart w:id="25" w:name="_Toc35393624"/>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11</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地点：东莞市南城街道鸿福西路81号国际商会大厦13A层01室</w:t>
      </w:r>
      <w:r>
        <w:rPr>
          <w:rFonts w:hint="eastAsia" w:ascii="宋体" w:hAnsi="宋体" w:eastAsia="宋体" w:cs="宋体"/>
          <w:i w:val="0"/>
          <w:iCs w:val="0"/>
          <w:caps w:val="0"/>
          <w:color w:val="auto"/>
          <w:spacing w:val="0"/>
          <w:sz w:val="21"/>
          <w:szCs w:val="21"/>
          <w:highlight w:val="none"/>
        </w:rPr>
        <w:t>。</w:t>
      </w:r>
    </w:p>
    <w:p>
      <w:pPr>
        <w:pStyle w:val="4"/>
        <w:spacing w:line="360" w:lineRule="auto"/>
        <w:jc w:val="left"/>
        <w:rPr>
          <w:rFonts w:ascii="宋体" w:hAnsi="宋体" w:cs="宋体"/>
          <w:bCs/>
          <w:color w:val="auto"/>
          <w:sz w:val="21"/>
          <w:szCs w:val="21"/>
          <w:highlight w:val="none"/>
        </w:rPr>
      </w:pPr>
      <w:bookmarkStart w:id="27" w:name="_Toc35393625"/>
      <w:bookmarkStart w:id="28" w:name="_Toc28359007"/>
      <w:bookmarkStart w:id="29" w:name="_Toc28359084"/>
      <w:bookmarkStart w:id="30" w:name="_Toc25695"/>
      <w:bookmarkStart w:id="31" w:name="_Toc35393794"/>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1519"/>
      <w:bookmarkStart w:id="33" w:name="_Toc35393795"/>
      <w:bookmarkStart w:id="34" w:name="_Toc35393626"/>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627"/>
      <w:bookmarkStart w:id="36" w:name="_Toc35393796"/>
      <w:bookmarkStart w:id="37" w:name="_Toc28359085"/>
      <w:bookmarkStart w:id="38" w:name="_Toc28359008"/>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ascii="宋体" w:hAnsi="宋体" w:cs="宋体"/>
          <w:color w:val="auto"/>
          <w:szCs w:val="21"/>
          <w:highlight w:val="none"/>
        </w:rPr>
      </w:pPr>
      <w:bookmarkStart w:id="41" w:name="_Toc4580"/>
      <w:bookmarkStart w:id="42" w:name="_Toc28359009"/>
      <w:bookmarkStart w:id="43" w:name="_Toc28359086"/>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广东省特种设备检测研究院东莞检测院</w:t>
      </w:r>
      <w:r>
        <w:rPr>
          <w:rFonts w:hint="eastAsia" w:ascii="宋体" w:hAnsi="宋体" w:cs="宋体"/>
          <w:color w:val="auto"/>
          <w:szCs w:val="21"/>
          <w:highlight w:val="none"/>
        </w:rPr>
        <w:t xml:space="preserve">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bCs/>
          <w:color w:val="auto"/>
          <w:szCs w:val="21"/>
          <w:highlight w:val="none"/>
        </w:rPr>
        <w:t>广东省东莞市东城区主山高田坊莞温路552号市场监督管理局东城办公区4号楼</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联系人：周先生</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联系方式：0769-23061866</w:t>
      </w:r>
    </w:p>
    <w:p>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652"/>
      <w:bookmarkStart w:id="49" w:name="_Toc497983494"/>
      <w:bookmarkStart w:id="50" w:name="_Toc413402429"/>
      <w:bookmarkStart w:id="51" w:name="_Toc396137231"/>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both"/>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pStyle w:val="5"/>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cs="宋体"/>
                <w:bCs/>
                <w:color w:val="auto"/>
                <w:szCs w:val="21"/>
                <w:highlight w:val="none"/>
              </w:rPr>
              <w:t>说明：</w:t>
            </w:r>
            <w:r>
              <w:rPr>
                <w:rFonts w:hint="eastAsia"/>
                <w:color w:val="auto"/>
                <w:sz w:val="21"/>
                <w:szCs w:val="21"/>
                <w:highlight w:val="none"/>
                <w:lang w:val="en-US" w:eastAsia="zh-CN"/>
              </w:rPr>
              <w:t>中标人应在领取中标通知书之后签订合同之前递交履约保证金</w:t>
            </w:r>
            <w:r>
              <w:rPr>
                <w:rFonts w:ascii="宋体" w:hAnsi="宋体" w:eastAsia="宋体"/>
                <w:color w:val="auto"/>
                <w:sz w:val="21"/>
                <w:szCs w:val="21"/>
                <w:highlight w:val="none"/>
              </w:rPr>
              <w:t>，应按以上规定的金额，采用履约保证金保函形式向</w:t>
            </w:r>
            <w:r>
              <w:rPr>
                <w:rFonts w:hint="eastAsia" w:ascii="宋体" w:hAnsi="宋体"/>
                <w:color w:val="auto"/>
                <w:sz w:val="21"/>
                <w:szCs w:val="21"/>
                <w:highlight w:val="none"/>
                <w:lang w:val="en-US" w:eastAsia="zh-CN"/>
              </w:rPr>
              <w:t>招标</w:t>
            </w:r>
            <w:r>
              <w:rPr>
                <w:rFonts w:ascii="宋体" w:hAnsi="宋体" w:eastAsia="宋体"/>
                <w:color w:val="auto"/>
                <w:sz w:val="21"/>
                <w:szCs w:val="21"/>
                <w:highlight w:val="none"/>
              </w:rPr>
              <w:t>人提供履约保函。</w:t>
            </w:r>
          </w:p>
          <w:p>
            <w:pPr>
              <w:spacing w:line="360" w:lineRule="auto"/>
              <w:rPr>
                <w:rFonts w:ascii="宋体" w:hAnsi="宋体" w:cs="宋体"/>
                <w:b/>
                <w:bCs/>
                <w:color w:val="auto"/>
                <w:szCs w:val="21"/>
                <w:highlight w:val="none"/>
              </w:rPr>
            </w:pPr>
            <w:r>
              <w:rPr>
                <w:rFonts w:hint="eastAsia" w:ascii="宋体" w:hAnsi="宋体" w:eastAsia="宋体"/>
                <w:color w:val="auto"/>
                <w:sz w:val="21"/>
                <w:szCs w:val="21"/>
                <w:highlight w:val="none"/>
              </w:rPr>
              <w:t>注:保函可由银行或第三方有资质公司出具,相应办理可咨询代理公司报名处。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4"/>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381"/>
      <w:bookmarkStart w:id="54" w:name="_Toc20860"/>
      <w:r>
        <w:rPr>
          <w:rFonts w:hint="eastAsia"/>
          <w:color w:val="auto"/>
          <w:highlight w:val="none"/>
        </w:rPr>
        <w:t>1.适用范围</w:t>
      </w:r>
      <w:bookmarkEnd w:id="53"/>
      <w:bookmarkEnd w:id="54"/>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6621"/>
      <w:bookmarkStart w:id="56" w:name="_Toc15203"/>
      <w:r>
        <w:rPr>
          <w:rFonts w:hint="eastAsia"/>
          <w:color w:val="auto"/>
          <w:highlight w:val="none"/>
        </w:rPr>
        <w:t>2.</w:t>
      </w:r>
      <w:bookmarkStart w:id="57" w:name="_Toc382049092"/>
      <w:bookmarkStart w:id="58" w:name="_Toc303084246"/>
      <w:bookmarkStart w:id="59" w:name="_Toc1530"/>
      <w:bookmarkStart w:id="60" w:name="_Toc298847174"/>
      <w:r>
        <w:rPr>
          <w:rFonts w:hint="eastAsia"/>
          <w:color w:val="auto"/>
          <w:highlight w:val="none"/>
        </w:rPr>
        <w:t>定义</w:t>
      </w:r>
      <w:bookmarkEnd w:id="55"/>
      <w:bookmarkEnd w:id="56"/>
      <w:bookmarkEnd w:id="57"/>
      <w:bookmarkEnd w:id="58"/>
      <w:bookmarkEnd w:id="59"/>
      <w:bookmarkEnd w:id="60"/>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3" w:name="_Toc32610"/>
      <w:bookmarkStart w:id="64" w:name="_Toc16909"/>
      <w:r>
        <w:rPr>
          <w:rFonts w:hint="eastAsia"/>
          <w:color w:val="auto"/>
          <w:highlight w:val="none"/>
        </w:rPr>
        <w:t>4.投标费用</w:t>
      </w:r>
      <w:bookmarkEnd w:id="63"/>
      <w:bookmarkEnd w:id="6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5" w:name="_Toc24409"/>
      <w:bookmarkStart w:id="66" w:name="_Toc13316"/>
      <w:r>
        <w:rPr>
          <w:rFonts w:hint="eastAsia"/>
          <w:color w:val="auto"/>
          <w:highlight w:val="none"/>
        </w:rPr>
        <w:t>5.知识产权</w:t>
      </w:r>
      <w:bookmarkEnd w:id="65"/>
      <w:bookmarkEnd w:id="6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并赔偿招标人因此的直接损失以及间接损失（包括但不限于诉讼费、律师费、鉴定费、差旅费等）</w:t>
      </w:r>
      <w:r>
        <w:rPr>
          <w:rFonts w:hint="eastAsia" w:ascii="宋体" w:hAnsi="宋体"/>
          <w:color w:val="auto"/>
          <w:kern w:val="0"/>
          <w:szCs w:val="21"/>
          <w:highlight w:val="none"/>
        </w:rPr>
        <w:t>。</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7" w:name="_Toc25530"/>
      <w:bookmarkStart w:id="68" w:name="_Toc25911"/>
      <w:r>
        <w:rPr>
          <w:rFonts w:hint="eastAsia"/>
          <w:color w:val="auto"/>
          <w:highlight w:val="none"/>
        </w:rPr>
        <w:t>6.关于联合体投标</w:t>
      </w:r>
      <w:bookmarkEnd w:id="67"/>
      <w:bookmarkEnd w:id="6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9" w:name="_Toc27528"/>
      <w:bookmarkStart w:id="70" w:name="_Toc24312"/>
      <w:r>
        <w:rPr>
          <w:rFonts w:hint="eastAsia"/>
          <w:color w:val="auto"/>
          <w:highlight w:val="none"/>
        </w:rPr>
        <w:t>7.关于分支机构投标</w:t>
      </w:r>
      <w:bookmarkEnd w:id="69"/>
      <w:bookmarkEnd w:id="70"/>
    </w:p>
    <w:p>
      <w:pPr>
        <w:pStyle w:val="20"/>
        <w:numPr>
          <w:ilvl w:val="0"/>
          <w:numId w:val="5"/>
        </w:numPr>
        <w:spacing w:line="400" w:lineRule="exact"/>
        <w:ind w:firstLineChars="0"/>
        <w:jc w:val="both"/>
        <w:rPr>
          <w:rFonts w:ascii="宋体" w:hAnsi="宋体" w:cs="宋体"/>
          <w:vanish/>
          <w:color w:val="auto"/>
          <w:szCs w:val="21"/>
          <w:highlight w:val="none"/>
        </w:rPr>
      </w:pPr>
      <w:bookmarkStart w:id="71" w:name="EB389f116341dd4693875bc7987e7327f3"/>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pPr>
        <w:spacing w:line="360" w:lineRule="auto"/>
        <w:rPr>
          <w:rFonts w:ascii="宋体" w:hAnsi="宋体" w:cs="宋体"/>
          <w:color w:val="auto"/>
          <w:szCs w:val="21"/>
          <w:highlight w:val="none"/>
        </w:rPr>
      </w:pPr>
    </w:p>
    <w:p>
      <w:pPr>
        <w:pStyle w:val="5"/>
        <w:rPr>
          <w:color w:val="auto"/>
          <w:highlight w:val="none"/>
        </w:rPr>
      </w:pPr>
      <w:bookmarkStart w:id="72" w:name="_Toc15490"/>
      <w:bookmarkStart w:id="73" w:name="_Toc13645"/>
      <w:r>
        <w:rPr>
          <w:rFonts w:hint="eastAsia"/>
          <w:color w:val="auto"/>
          <w:highlight w:val="none"/>
        </w:rPr>
        <w:t>8.招标文件的组成</w:t>
      </w:r>
      <w:bookmarkEnd w:id="72"/>
      <w:bookmarkEnd w:id="73"/>
    </w:p>
    <w:p>
      <w:pPr>
        <w:pStyle w:val="20"/>
        <w:numPr>
          <w:ilvl w:val="0"/>
          <w:numId w:val="5"/>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4" w:name="_Toc7789"/>
      <w:bookmarkStart w:id="75" w:name="_Toc644"/>
      <w:r>
        <w:rPr>
          <w:rFonts w:hint="eastAsia"/>
          <w:color w:val="auto"/>
          <w:highlight w:val="none"/>
        </w:rPr>
        <w:t>9.招标文件的澄清或修改</w:t>
      </w:r>
      <w:bookmarkEnd w:id="74"/>
      <w:bookmarkEnd w:id="75"/>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color w:val="auto"/>
          <w:sz w:val="21"/>
          <w:szCs w:val="21"/>
          <w:highlight w:val="none"/>
        </w:rPr>
      </w:pPr>
    </w:p>
    <w:p>
      <w:pPr>
        <w:pStyle w:val="5"/>
        <w:rPr>
          <w:color w:val="auto"/>
          <w:highlight w:val="none"/>
        </w:rPr>
      </w:pPr>
      <w:bookmarkStart w:id="76" w:name="_Toc6458"/>
      <w:bookmarkStart w:id="77" w:name="_Toc708"/>
      <w:r>
        <w:rPr>
          <w:rFonts w:hint="eastAsia"/>
          <w:color w:val="auto"/>
          <w:highlight w:val="none"/>
        </w:rPr>
        <w:t>10.投标文件的语言及度量衡单位</w:t>
      </w:r>
      <w:bookmarkEnd w:id="76"/>
      <w:bookmarkEnd w:id="77"/>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8" w:name="_Toc28866"/>
      <w:bookmarkStart w:id="79" w:name="_Toc307934854"/>
      <w:bookmarkStart w:id="80" w:name="_Toc303084256"/>
      <w:bookmarkStart w:id="81" w:name="_Toc8246"/>
      <w:bookmarkStart w:id="82" w:name="_Toc29420"/>
      <w:bookmarkStart w:id="83" w:name="_Toc382049103"/>
      <w:r>
        <w:rPr>
          <w:rFonts w:hint="eastAsia"/>
          <w:color w:val="auto"/>
          <w:highlight w:val="none"/>
        </w:rPr>
        <w:t>11.投标文件的组成</w:t>
      </w:r>
      <w:bookmarkEnd w:id="78"/>
      <w:bookmarkEnd w:id="79"/>
      <w:bookmarkEnd w:id="80"/>
      <w:bookmarkEnd w:id="81"/>
      <w:bookmarkEnd w:id="82"/>
      <w:bookmarkEnd w:id="83"/>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4" w:name="_Toc11356"/>
      <w:bookmarkStart w:id="85" w:name="_Toc5980"/>
      <w:r>
        <w:rPr>
          <w:rFonts w:hint="eastAsia"/>
          <w:color w:val="auto"/>
          <w:highlight w:val="none"/>
        </w:rPr>
        <w:t>12.投标文件编制</w:t>
      </w:r>
      <w:bookmarkEnd w:id="84"/>
      <w:bookmarkEnd w:id="85"/>
    </w:p>
    <w:p>
      <w:pPr>
        <w:pStyle w:val="20"/>
        <w:numPr>
          <w:ilvl w:val="0"/>
          <w:numId w:val="5"/>
        </w:numPr>
        <w:spacing w:line="400" w:lineRule="exact"/>
        <w:ind w:firstLineChars="0"/>
        <w:jc w:val="both"/>
        <w:rPr>
          <w:rFonts w:ascii="宋体" w:hAnsi="宋体" w:cs="宋体"/>
          <w:vanish/>
          <w:color w:val="auto"/>
          <w:szCs w:val="21"/>
          <w:highlight w:val="none"/>
        </w:rPr>
      </w:pPr>
      <w:bookmarkStart w:id="86" w:name="_Toc303084258"/>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7" w:name="_Toc1355"/>
      <w:bookmarkStart w:id="88" w:name="_Toc28034"/>
      <w:r>
        <w:rPr>
          <w:rFonts w:hint="eastAsia"/>
          <w:color w:val="auto"/>
          <w:highlight w:val="none"/>
        </w:rPr>
        <w:t>13.投标报价说明</w:t>
      </w:r>
      <w:bookmarkEnd w:id="87"/>
      <w:bookmarkEnd w:id="8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89" w:name="_Toc34"/>
      <w:bookmarkStart w:id="90" w:name="_Toc6729"/>
      <w:r>
        <w:rPr>
          <w:rFonts w:hint="eastAsia"/>
          <w:color w:val="auto"/>
          <w:highlight w:val="none"/>
        </w:rPr>
        <w:t>14.投标人所提供的服务或货物的证明文件</w:t>
      </w:r>
      <w:bookmarkEnd w:id="89"/>
      <w:bookmarkEnd w:id="90"/>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bookmarkStart w:id="91" w:name="_Hlt107925668"/>
      <w:bookmarkEnd w:id="91"/>
      <w:bookmarkStart w:id="92" w:name="_Hlt10792563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3" w:name="_Toc29725"/>
      <w:bookmarkStart w:id="94" w:name="_Toc10940"/>
      <w:r>
        <w:rPr>
          <w:rFonts w:hint="eastAsia"/>
          <w:color w:val="auto"/>
          <w:highlight w:val="none"/>
        </w:rPr>
        <w:t>15.★投标有效期</w:t>
      </w:r>
      <w:bookmarkEnd w:id="93"/>
      <w:bookmarkEnd w:id="9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rFonts w:hint="eastAsia" w:eastAsia="宋体"/>
          <w:color w:val="auto"/>
          <w:highlight w:val="none"/>
          <w:lang w:eastAsia="zh-CN"/>
        </w:rPr>
      </w:pPr>
      <w:bookmarkStart w:id="95" w:name="_Toc15529"/>
      <w:bookmarkStart w:id="96" w:name="_Toc5483"/>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0"/>
        <w:numPr>
          <w:ilvl w:val="0"/>
          <w:numId w:val="5"/>
        </w:numPr>
        <w:spacing w:line="400" w:lineRule="exact"/>
        <w:ind w:firstLineChars="0"/>
        <w:jc w:val="both"/>
        <w:rPr>
          <w:rFonts w:ascii="宋体" w:hAnsi="宋体" w:cs="宋体"/>
          <w:vanish/>
          <w:color w:val="auto"/>
          <w:szCs w:val="21"/>
          <w:highlight w:val="none"/>
        </w:rPr>
      </w:pPr>
      <w:bookmarkStart w:id="97" w:name="_Ref179619405"/>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5"/>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2"/>
        <w:rPr>
          <w:color w:val="auto"/>
          <w:sz w:val="21"/>
          <w:szCs w:val="21"/>
          <w:highlight w:val="none"/>
        </w:rPr>
      </w:pPr>
    </w:p>
    <w:p>
      <w:pPr>
        <w:pStyle w:val="5"/>
        <w:rPr>
          <w:color w:val="auto"/>
          <w:highlight w:val="none"/>
        </w:rPr>
      </w:pPr>
      <w:bookmarkStart w:id="98" w:name="_Toc16286"/>
      <w:bookmarkStart w:id="99" w:name="_Toc24997"/>
      <w:bookmarkStart w:id="100" w:name="_Toc16724"/>
      <w:bookmarkStart w:id="101" w:name="_Toc303084264"/>
      <w:bookmarkStart w:id="102" w:name="_Toc382049111"/>
      <w:r>
        <w:rPr>
          <w:rFonts w:hint="eastAsia"/>
          <w:color w:val="auto"/>
          <w:highlight w:val="none"/>
        </w:rPr>
        <w:t>17.投标文件的装订，签署，密封和标记</w:t>
      </w:r>
      <w:bookmarkEnd w:id="98"/>
      <w:bookmarkEnd w:id="99"/>
      <w:bookmarkEnd w:id="100"/>
      <w:bookmarkEnd w:id="101"/>
      <w:bookmarkEnd w:id="102"/>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3" w:name="_Toc17636"/>
      <w:bookmarkStart w:id="104" w:name="_Toc30088"/>
      <w:r>
        <w:rPr>
          <w:rFonts w:hint="eastAsia"/>
          <w:color w:val="auto"/>
          <w:highlight w:val="none"/>
        </w:rPr>
        <w:t>18.迟交的投标文件</w:t>
      </w:r>
      <w:bookmarkEnd w:id="103"/>
      <w:bookmarkEnd w:id="10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5" w:name="_Toc24269"/>
      <w:bookmarkStart w:id="106" w:name="_Toc15912"/>
      <w:r>
        <w:rPr>
          <w:rFonts w:hint="eastAsia"/>
          <w:color w:val="auto"/>
          <w:highlight w:val="none"/>
        </w:rPr>
        <w:t>19.投标样品、投标演示（如有要求）</w:t>
      </w:r>
      <w:bookmarkEnd w:id="105"/>
      <w:bookmarkEnd w:id="10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7" w:name="_Toc22355"/>
      <w:bookmarkStart w:id="108" w:name="_Toc303084265"/>
      <w:bookmarkStart w:id="109" w:name="_Toc9777"/>
      <w:bookmarkStart w:id="110" w:name="_Toc382049112"/>
      <w:bookmarkStart w:id="111" w:name="_Toc28098"/>
      <w:r>
        <w:rPr>
          <w:rFonts w:hint="eastAsia"/>
          <w:color w:val="auto"/>
          <w:highlight w:val="none"/>
        </w:rPr>
        <w:t>20.投标截止期</w:t>
      </w:r>
      <w:bookmarkEnd w:id="107"/>
      <w:bookmarkEnd w:id="108"/>
      <w:bookmarkEnd w:id="109"/>
      <w:bookmarkEnd w:id="110"/>
      <w:bookmarkEnd w:id="111"/>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2" w:name="_Toc22260"/>
      <w:bookmarkStart w:id="113" w:name="_Toc4270"/>
      <w:r>
        <w:rPr>
          <w:rFonts w:hint="eastAsia"/>
          <w:color w:val="auto"/>
          <w:highlight w:val="none"/>
        </w:rPr>
        <w:t>21.投标文件的补充、修改与撤回</w:t>
      </w:r>
      <w:bookmarkEnd w:id="112"/>
      <w:bookmarkEnd w:id="113"/>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2"/>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5" w:name="_Toc318"/>
      <w:bookmarkStart w:id="116" w:name="_Toc23244"/>
      <w:r>
        <w:rPr>
          <w:rFonts w:hint="eastAsia"/>
          <w:color w:val="auto"/>
          <w:highlight w:val="none"/>
        </w:rPr>
        <w:t>23.评标委员会及评标方法</w:t>
      </w:r>
      <w:bookmarkEnd w:id="115"/>
      <w:bookmarkEnd w:id="11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7" w:name="_Toc15635"/>
      <w:bookmarkStart w:id="118" w:name="_Toc21911"/>
      <w:r>
        <w:rPr>
          <w:rFonts w:hint="eastAsia"/>
          <w:color w:val="auto"/>
          <w:highlight w:val="none"/>
        </w:rPr>
        <w:t>24.评审原则及评标过程的保密</w:t>
      </w:r>
      <w:bookmarkEnd w:id="117"/>
      <w:bookmarkEnd w:id="11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19" w:name="_Toc10950"/>
      <w:bookmarkStart w:id="120" w:name="_Toc12318"/>
      <w:r>
        <w:rPr>
          <w:rFonts w:hint="eastAsia"/>
          <w:color w:val="auto"/>
          <w:highlight w:val="none"/>
        </w:rPr>
        <w:t>25.投标文件的初审</w:t>
      </w:r>
      <w:bookmarkEnd w:id="119"/>
      <w:bookmarkEnd w:id="120"/>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1" w:name="_Toc19657"/>
      <w:bookmarkStart w:id="122" w:name="_Toc24775"/>
      <w:r>
        <w:rPr>
          <w:rFonts w:hint="eastAsia"/>
          <w:color w:val="auto"/>
          <w:highlight w:val="none"/>
        </w:rPr>
        <w:t>26.商务、技术、价格评审</w:t>
      </w:r>
      <w:bookmarkEnd w:id="121"/>
      <w:bookmarkEnd w:id="122"/>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3" w:name="_Toc316375620"/>
      <w:bookmarkStart w:id="124" w:name="_Toc5898"/>
      <w:bookmarkStart w:id="125" w:name="_Toc20328"/>
      <w:bookmarkStart w:id="126" w:name="_Toc19304"/>
      <w:bookmarkStart w:id="127" w:name="_Toc382049120"/>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8" w:name="_Toc4954"/>
      <w:bookmarkStart w:id="129" w:name="_Toc1994"/>
      <w:bookmarkStart w:id="130" w:name="_Toc508284011"/>
      <w:r>
        <w:rPr>
          <w:rFonts w:hint="eastAsia"/>
          <w:color w:val="auto"/>
          <w:highlight w:val="none"/>
        </w:rPr>
        <w:t>28.合同授予标准</w:t>
      </w:r>
      <w:bookmarkEnd w:id="128"/>
      <w:bookmarkEnd w:id="129"/>
      <w:bookmarkEnd w:id="130"/>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1" w:name="_Toc22043"/>
      <w:bookmarkStart w:id="132" w:name="_Toc508284013"/>
      <w:bookmarkStart w:id="133" w:name="_Toc14141"/>
      <w:r>
        <w:rPr>
          <w:rFonts w:hint="eastAsia"/>
          <w:color w:val="auto"/>
          <w:highlight w:val="none"/>
        </w:rPr>
        <w:t>30.发布采购结果</w:t>
      </w:r>
      <w:bookmarkEnd w:id="131"/>
      <w:bookmarkEnd w:id="132"/>
      <w:bookmarkEnd w:id="133"/>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4" w:name="_Toc8411"/>
      <w:bookmarkStart w:id="135" w:name="_Toc11977"/>
      <w:r>
        <w:rPr>
          <w:rFonts w:hint="eastAsia"/>
          <w:color w:val="auto"/>
          <w:highlight w:val="none"/>
        </w:rPr>
        <w:t>30.合同的签订与履行</w:t>
      </w:r>
      <w:bookmarkEnd w:id="134"/>
      <w:bookmarkEnd w:id="135"/>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2"/>
        <w:rPr>
          <w:color w:val="auto"/>
          <w:sz w:val="21"/>
          <w:szCs w:val="21"/>
          <w:highlight w:val="none"/>
        </w:rPr>
      </w:pPr>
    </w:p>
    <w:p>
      <w:pPr>
        <w:pStyle w:val="5"/>
        <w:rPr>
          <w:color w:val="auto"/>
          <w:highlight w:val="none"/>
        </w:rPr>
      </w:pPr>
      <w:bookmarkStart w:id="136" w:name="_Toc19434"/>
      <w:bookmarkStart w:id="137" w:name="_Toc23400"/>
      <w:r>
        <w:rPr>
          <w:rFonts w:hint="eastAsia"/>
          <w:color w:val="auto"/>
          <w:highlight w:val="none"/>
        </w:rPr>
        <w:t>31.招标文件的解释权</w:t>
      </w:r>
      <w:bookmarkEnd w:id="136"/>
      <w:bookmarkEnd w:id="137"/>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8" w:name="_Toc27892"/>
      <w:r>
        <w:rPr>
          <w:rFonts w:hint="eastAsia"/>
          <w:color w:val="auto"/>
          <w:highlight w:val="none"/>
        </w:rPr>
        <w:t>用户需求书</w:t>
      </w:r>
      <w:bookmarkEnd w:id="138"/>
    </w:p>
    <w:p>
      <w:pPr>
        <w:jc w:val="center"/>
        <w:outlineLvl w:val="1"/>
        <w:rPr>
          <w:b/>
          <w:bCs/>
          <w:color w:val="auto"/>
          <w:sz w:val="28"/>
          <w:szCs w:val="36"/>
          <w:highlight w:val="none"/>
        </w:rPr>
      </w:pPr>
      <w:bookmarkStart w:id="139" w:name="_Toc16006"/>
      <w:r>
        <w:rPr>
          <w:rFonts w:hint="eastAsia"/>
          <w:b/>
          <w:bCs/>
          <w:color w:val="auto"/>
          <w:sz w:val="28"/>
          <w:szCs w:val="36"/>
          <w:highlight w:val="none"/>
        </w:rPr>
        <w:t>商务要求</w:t>
      </w:r>
      <w:bookmarkEnd w:id="139"/>
    </w:p>
    <w:tbl>
      <w:tblPr>
        <w:tblStyle w:val="15"/>
        <w:tblW w:w="507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80"/>
        <w:gridCol w:w="6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95" w:type="pct"/>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color w:val="auto"/>
                <w:szCs w:val="21"/>
                <w:highlight w:val="none"/>
                <w:lang w:val="en-US" w:eastAsia="zh-CN"/>
              </w:rPr>
              <w:t>服务期</w:t>
            </w:r>
          </w:p>
        </w:tc>
        <w:tc>
          <w:tcPr>
            <w:tcW w:w="4004" w:type="pct"/>
            <w:vAlign w:val="center"/>
          </w:tcPr>
          <w:p>
            <w:pPr>
              <w:keepNext w:val="0"/>
              <w:keepLines w:val="0"/>
              <w:pageBreakBefore w:val="0"/>
              <w:kinsoku/>
              <w:wordWrap/>
              <w:overflowPunct/>
              <w:topLinePunct w:val="0"/>
              <w:bidi w:val="0"/>
              <w:adjustRightInd/>
              <w:snapToGrid/>
              <w:spacing w:after="0" w:line="360" w:lineRule="auto"/>
              <w:ind w:firstLine="420" w:firstLineChars="200"/>
              <w:jc w:val="both"/>
              <w:textAlignment w:val="auto"/>
              <w:rPr>
                <w:rFonts w:ascii="宋体" w:hAnsi="宋体" w:cs="宋体"/>
                <w:color w:val="auto"/>
                <w:szCs w:val="21"/>
                <w:highlight w:val="none"/>
                <w:lang w:val="zh-CN" w:bidi="zh-CN"/>
              </w:rPr>
            </w:pPr>
            <w:r>
              <w:rPr>
                <w:rFonts w:hint="eastAsia" w:hAnsi="宋体"/>
                <w:color w:val="auto"/>
                <w:szCs w:val="21"/>
                <w:highlight w:val="none"/>
                <w:lang w:val="en-US" w:eastAsia="zh-CN"/>
              </w:rPr>
              <w:t>自完成项目的实施之日起36个月</w:t>
            </w:r>
            <w:r>
              <w:rPr>
                <w:rFonts w:hint="default" w:hAnsi="宋体" w:eastAsia="宋体"/>
                <w:color w:val="auto"/>
                <w:szCs w:val="21"/>
                <w:highlight w:val="none"/>
                <w:lang w:val="en-US" w:eastAsia="zh-CN"/>
              </w:rPr>
              <w:t>。合同签订后1个月内完成项目的实施，开始提供项目服务。因</w:t>
            </w:r>
            <w:r>
              <w:rPr>
                <w:rFonts w:hint="eastAsia" w:hAnsi="宋体"/>
                <w:color w:val="auto"/>
                <w:szCs w:val="21"/>
                <w:highlight w:val="none"/>
                <w:lang w:val="en-US" w:eastAsia="zh-CN"/>
              </w:rPr>
              <w:t>采购人</w:t>
            </w:r>
            <w:r>
              <w:rPr>
                <w:rFonts w:hint="default" w:hAnsi="宋体" w:eastAsia="宋体"/>
                <w:color w:val="auto"/>
                <w:szCs w:val="21"/>
                <w:highlight w:val="none"/>
                <w:lang w:val="en-US" w:eastAsia="zh-CN"/>
              </w:rPr>
              <w:t>原因造成</w:t>
            </w:r>
            <w:r>
              <w:rPr>
                <w:rFonts w:hint="eastAsia" w:hAnsi="宋体"/>
                <w:color w:val="auto"/>
                <w:szCs w:val="21"/>
                <w:highlight w:val="none"/>
                <w:lang w:val="en-US" w:eastAsia="zh-CN"/>
              </w:rPr>
              <w:t>中标人</w:t>
            </w:r>
            <w:r>
              <w:rPr>
                <w:rFonts w:hint="default" w:hAnsi="宋体" w:eastAsia="宋体"/>
                <w:color w:val="auto"/>
                <w:szCs w:val="21"/>
                <w:highlight w:val="none"/>
                <w:lang w:val="en-US" w:eastAsia="zh-CN"/>
              </w:rPr>
              <w:t>不能按期完成工作、不能按时提供服务的，经</w:t>
            </w:r>
            <w:r>
              <w:rPr>
                <w:rFonts w:hint="eastAsia" w:hAnsi="宋体"/>
                <w:color w:val="auto"/>
                <w:szCs w:val="21"/>
                <w:highlight w:val="none"/>
                <w:lang w:val="en-US" w:eastAsia="zh-CN"/>
              </w:rPr>
              <w:t>采购人</w:t>
            </w:r>
            <w:r>
              <w:rPr>
                <w:rFonts w:hint="default" w:hAnsi="宋体" w:eastAsia="宋体"/>
                <w:color w:val="auto"/>
                <w:szCs w:val="21"/>
                <w:highlight w:val="none"/>
                <w:lang w:val="en-US" w:eastAsia="zh-CN"/>
              </w:rPr>
              <w:t>书面确认后，</w:t>
            </w:r>
            <w:r>
              <w:rPr>
                <w:rFonts w:hint="eastAsia" w:hAnsi="宋体"/>
                <w:color w:val="auto"/>
                <w:szCs w:val="21"/>
                <w:highlight w:val="none"/>
                <w:lang w:val="en-US" w:eastAsia="zh-CN"/>
              </w:rPr>
              <w:t>中标人</w:t>
            </w:r>
            <w:r>
              <w:rPr>
                <w:rFonts w:hint="default" w:hAnsi="宋体" w:eastAsia="宋体"/>
                <w:color w:val="auto"/>
                <w:szCs w:val="21"/>
                <w:highlight w:val="none"/>
                <w:lang w:val="en-US" w:eastAsia="zh-CN"/>
              </w:rPr>
              <w:t>工作期可以顺延。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付款方式</w:t>
            </w:r>
          </w:p>
        </w:tc>
        <w:tc>
          <w:tcPr>
            <w:tcW w:w="400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default" w:ascii="宋体" w:hAnsi="宋体" w:cs="宋体"/>
                <w:color w:val="auto"/>
                <w:szCs w:val="21"/>
                <w:highlight w:val="none"/>
                <w:lang w:val="en-US" w:bidi="zh-CN"/>
              </w:rPr>
              <w:t>1、</w:t>
            </w:r>
            <w:r>
              <w:rPr>
                <w:rFonts w:hint="eastAsia" w:ascii="宋体" w:hAnsi="宋体" w:cs="宋体"/>
                <w:color w:val="auto"/>
                <w:szCs w:val="21"/>
                <w:highlight w:val="none"/>
                <w:lang w:val="en-US" w:bidi="zh-CN"/>
              </w:rPr>
              <w:t>自完成项目的实施后按季度向中标人支付费用，费用=合同金额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cs="宋体"/>
                <w:color w:val="auto"/>
                <w:szCs w:val="21"/>
                <w:highlight w:val="none"/>
                <w:lang w:val="en-US" w:bidi="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default" w:ascii="宋体" w:hAnsi="宋体" w:cs="宋体"/>
                <w:color w:val="auto"/>
                <w:szCs w:val="21"/>
                <w:highlight w:val="none"/>
                <w:lang w:val="en-US" w:bidi="zh-CN"/>
              </w:rPr>
              <w:t>2、付款时</w:t>
            </w:r>
            <w:r>
              <w:rPr>
                <w:rFonts w:hint="eastAsia" w:ascii="宋体" w:hAnsi="宋体" w:cs="宋体"/>
                <w:color w:val="auto"/>
                <w:szCs w:val="21"/>
                <w:highlight w:val="none"/>
                <w:lang w:val="en-US" w:bidi="zh-CN"/>
              </w:rPr>
              <w:t>中标人</w:t>
            </w:r>
            <w:r>
              <w:rPr>
                <w:rFonts w:hint="default" w:ascii="宋体" w:hAnsi="宋体" w:cs="宋体"/>
                <w:color w:val="auto"/>
                <w:szCs w:val="21"/>
                <w:highlight w:val="none"/>
                <w:lang w:val="en-US" w:bidi="zh-CN"/>
              </w:rPr>
              <w:t>应出具与实际应付款数额相符的发票，如</w:t>
            </w:r>
            <w:r>
              <w:rPr>
                <w:rFonts w:hint="eastAsia" w:ascii="宋体" w:hAnsi="宋体" w:cs="宋体"/>
                <w:color w:val="auto"/>
                <w:szCs w:val="21"/>
                <w:highlight w:val="none"/>
                <w:lang w:val="en-US" w:bidi="zh-CN"/>
              </w:rPr>
              <w:t>中标人</w:t>
            </w:r>
            <w:r>
              <w:rPr>
                <w:rFonts w:hint="default" w:ascii="宋体" w:hAnsi="宋体" w:cs="宋体"/>
                <w:color w:val="auto"/>
                <w:szCs w:val="21"/>
                <w:highlight w:val="none"/>
                <w:lang w:val="en-US" w:bidi="zh-CN"/>
              </w:rPr>
              <w:t>迟延提交发票或者提交的发票不符合要求的，</w:t>
            </w:r>
            <w:r>
              <w:rPr>
                <w:rFonts w:hint="eastAsia" w:ascii="宋体" w:hAnsi="宋体" w:cs="宋体"/>
                <w:color w:val="auto"/>
                <w:szCs w:val="21"/>
                <w:highlight w:val="none"/>
                <w:lang w:val="en-US" w:bidi="zh-CN"/>
              </w:rPr>
              <w:t>采购人</w:t>
            </w:r>
            <w:r>
              <w:rPr>
                <w:rFonts w:hint="default" w:ascii="宋体" w:hAnsi="宋体" w:cs="宋体"/>
                <w:color w:val="auto"/>
                <w:szCs w:val="21"/>
                <w:highlight w:val="none"/>
                <w:lang w:val="en-US" w:bidi="zh-CN"/>
              </w:rPr>
              <w:t>顺延付款不视为违约，由此造成的损失由</w:t>
            </w:r>
            <w:r>
              <w:rPr>
                <w:rFonts w:hint="eastAsia" w:ascii="宋体" w:hAnsi="宋体" w:cs="宋体"/>
                <w:color w:val="auto"/>
                <w:szCs w:val="21"/>
                <w:highlight w:val="none"/>
                <w:lang w:val="en-US" w:bidi="zh-CN"/>
              </w:rPr>
              <w:t>中标人</w:t>
            </w:r>
            <w:r>
              <w:rPr>
                <w:rFonts w:hint="default" w:ascii="宋体" w:hAnsi="宋体" w:cs="宋体"/>
                <w:color w:val="auto"/>
                <w:szCs w:val="21"/>
                <w:highlight w:val="none"/>
                <w:lang w:val="en-US" w:bidi="zh-CN"/>
              </w:rPr>
              <w:t>自行承担。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400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s="宋体"/>
                <w:b w:val="0"/>
                <w:bCs/>
                <w:color w:val="auto"/>
                <w:kern w:val="2"/>
                <w:sz w:val="21"/>
                <w:szCs w:val="21"/>
                <w:highlight w:val="none"/>
              </w:rPr>
              <w:t>采购人指定地点。（如有变化另行确定）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5"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4004" w:type="pct"/>
            <w:vAlign w:val="center"/>
          </w:tcPr>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3796"/>
              <w:gridCol w:w="687"/>
              <w:gridCol w:w="613"/>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color w:val="auto"/>
                      <w:szCs w:val="21"/>
                      <w:highlight w:val="none"/>
                      <w:vertAlign w:val="baseline"/>
                    </w:rPr>
                  </w:pPr>
                  <w:r>
                    <w:rPr>
                      <w:rFonts w:ascii="宋体" w:hAnsi="宋体" w:eastAsia="宋体"/>
                      <w:b/>
                      <w:color w:val="auto"/>
                      <w:highlight w:val="none"/>
                    </w:rPr>
                    <w:t>序号</w:t>
                  </w:r>
                </w:p>
              </w:tc>
              <w:tc>
                <w:tcPr>
                  <w:tcW w:w="0" w:type="auto"/>
                  <w:vAlign w:val="center"/>
                </w:tcPr>
                <w:p>
                  <w:pPr>
                    <w:jc w:val="center"/>
                    <w:rPr>
                      <w:rFonts w:hint="eastAsia" w:ascii="宋体" w:hAnsi="宋体"/>
                      <w:color w:val="auto"/>
                      <w:szCs w:val="21"/>
                      <w:highlight w:val="none"/>
                      <w:vertAlign w:val="baseline"/>
                    </w:rPr>
                  </w:pPr>
                  <w:r>
                    <w:rPr>
                      <w:rFonts w:hint="eastAsia" w:ascii="宋体" w:hAnsi="宋体" w:eastAsia="宋体"/>
                      <w:b/>
                      <w:color w:val="auto"/>
                      <w:highlight w:val="none"/>
                    </w:rPr>
                    <w:t>服务</w:t>
                  </w:r>
                  <w:r>
                    <w:rPr>
                      <w:rFonts w:ascii="宋体" w:hAnsi="宋体" w:eastAsia="宋体"/>
                      <w:b/>
                      <w:color w:val="auto"/>
                      <w:highlight w:val="none"/>
                    </w:rPr>
                    <w:t>内容</w:t>
                  </w:r>
                </w:p>
              </w:tc>
              <w:tc>
                <w:tcPr>
                  <w:tcW w:w="0" w:type="auto"/>
                  <w:vAlign w:val="center"/>
                </w:tcPr>
                <w:p>
                  <w:pPr>
                    <w:jc w:val="center"/>
                    <w:rPr>
                      <w:rFonts w:hint="eastAsia" w:ascii="宋体" w:hAnsi="宋体"/>
                      <w:color w:val="auto"/>
                      <w:szCs w:val="21"/>
                      <w:highlight w:val="none"/>
                      <w:vertAlign w:val="baseline"/>
                    </w:rPr>
                  </w:pPr>
                  <w:r>
                    <w:rPr>
                      <w:rFonts w:hint="eastAsia" w:ascii="宋体" w:hAnsi="宋体" w:eastAsia="宋体"/>
                      <w:b/>
                      <w:color w:val="auto"/>
                      <w:highlight w:val="none"/>
                    </w:rPr>
                    <w:t>采购</w:t>
                  </w:r>
                  <w:r>
                    <w:rPr>
                      <w:rFonts w:ascii="宋体" w:hAnsi="宋体" w:eastAsia="宋体"/>
                      <w:b/>
                      <w:color w:val="auto"/>
                      <w:highlight w:val="none"/>
                    </w:rPr>
                    <w:t>数量</w:t>
                  </w:r>
                </w:p>
              </w:tc>
              <w:tc>
                <w:tcPr>
                  <w:tcW w:w="0" w:type="auto"/>
                  <w:vAlign w:val="center"/>
                </w:tcPr>
                <w:p>
                  <w:pPr>
                    <w:jc w:val="center"/>
                    <w:rPr>
                      <w:rFonts w:hint="eastAsia" w:ascii="宋体" w:hAnsi="宋体"/>
                      <w:color w:val="auto"/>
                      <w:szCs w:val="21"/>
                      <w:highlight w:val="none"/>
                      <w:vertAlign w:val="baseline"/>
                    </w:rPr>
                  </w:pPr>
                  <w:r>
                    <w:rPr>
                      <w:rFonts w:ascii="宋体" w:hAnsi="宋体" w:eastAsia="宋体"/>
                      <w:b/>
                      <w:color w:val="auto"/>
                      <w:highlight w:val="none"/>
                    </w:rPr>
                    <w:t>服务月数</w:t>
                  </w:r>
                </w:p>
              </w:tc>
              <w:tc>
                <w:tcPr>
                  <w:tcW w:w="0" w:type="auto"/>
                  <w:vAlign w:val="center"/>
                </w:tcPr>
                <w:p>
                  <w:pPr>
                    <w:jc w:val="center"/>
                    <w:rPr>
                      <w:rFonts w:hint="eastAsia" w:ascii="宋体" w:hAnsi="宋体"/>
                      <w:color w:val="auto"/>
                      <w:szCs w:val="21"/>
                      <w:highlight w:val="none"/>
                      <w:vertAlign w:val="baseline"/>
                    </w:rPr>
                  </w:pPr>
                  <w:r>
                    <w:rPr>
                      <w:rFonts w:hint="eastAsia" w:ascii="宋体" w:hAnsi="宋体" w:eastAsia="宋体"/>
                      <w:b/>
                      <w:color w:val="auto"/>
                      <w:highlight w:val="none"/>
                    </w:rPr>
                    <w:t>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color w:val="auto"/>
                      <w:szCs w:val="21"/>
                      <w:highlight w:val="none"/>
                      <w:vertAlign w:val="baseline"/>
                    </w:rPr>
                  </w:pPr>
                  <w:r>
                    <w:rPr>
                      <w:rFonts w:hint="eastAsia" w:ascii="宋体" w:hAnsi="宋体" w:eastAsia="宋体"/>
                      <w:color w:val="auto"/>
                      <w:highlight w:val="none"/>
                    </w:rPr>
                    <w:t>1</w:t>
                  </w:r>
                </w:p>
              </w:tc>
              <w:tc>
                <w:tcPr>
                  <w:tcW w:w="0" w:type="auto"/>
                  <w:vAlign w:val="center"/>
                </w:tcPr>
                <w:p>
                  <w:pPr>
                    <w:jc w:val="both"/>
                    <w:rPr>
                      <w:rFonts w:hint="eastAsia" w:ascii="宋体" w:hAnsi="宋体"/>
                      <w:color w:val="auto"/>
                      <w:szCs w:val="21"/>
                      <w:highlight w:val="none"/>
                      <w:vertAlign w:val="baseline"/>
                    </w:rPr>
                  </w:pPr>
                  <w:r>
                    <w:rPr>
                      <w:rFonts w:ascii="宋体" w:hAnsi="宋体" w:eastAsia="宋体"/>
                      <w:color w:val="auto"/>
                      <w:highlight w:val="none"/>
                    </w:rPr>
                    <w:t>每月包括但不限于</w:t>
                  </w:r>
                  <w:r>
                    <w:rPr>
                      <w:rFonts w:hint="eastAsia" w:ascii="宋体" w:hAnsi="宋体" w:eastAsia="宋体"/>
                      <w:color w:val="auto"/>
                      <w:highlight w:val="none"/>
                    </w:rPr>
                    <w:t>全国</w:t>
                  </w:r>
                  <w:r>
                    <w:rPr>
                      <w:rFonts w:ascii="宋体" w:hAnsi="宋体" w:eastAsia="宋体"/>
                      <w:color w:val="auto"/>
                      <w:highlight w:val="none"/>
                    </w:rPr>
                    <w:t>通话时间</w:t>
                  </w:r>
                  <w:r>
                    <w:rPr>
                      <w:rFonts w:hint="eastAsia" w:ascii="宋体" w:hAnsi="宋体" w:eastAsia="宋体"/>
                      <w:color w:val="auto"/>
                      <w:highlight w:val="none"/>
                    </w:rPr>
                    <w:t>500</w:t>
                  </w:r>
                  <w:r>
                    <w:rPr>
                      <w:rFonts w:ascii="宋体" w:hAnsi="宋体" w:eastAsia="宋体"/>
                      <w:color w:val="auto"/>
                      <w:highlight w:val="none"/>
                    </w:rPr>
                    <w:t>分钟或以上</w:t>
                  </w:r>
                  <w:r>
                    <w:rPr>
                      <w:rFonts w:hint="eastAsia" w:ascii="宋体" w:hAnsi="宋体" w:eastAsia="宋体"/>
                      <w:color w:val="auto"/>
                      <w:highlight w:val="none"/>
                    </w:rPr>
                    <w:t>，</w:t>
                  </w:r>
                  <w:r>
                    <w:rPr>
                      <w:rFonts w:ascii="宋体" w:hAnsi="宋体" w:eastAsia="宋体"/>
                      <w:color w:val="auto"/>
                      <w:highlight w:val="none"/>
                    </w:rPr>
                    <w:t>国内接听免费，</w:t>
                  </w:r>
                  <w:r>
                    <w:rPr>
                      <w:rFonts w:hint="eastAsia" w:ascii="宋体" w:hAnsi="宋体" w:eastAsia="宋体"/>
                      <w:color w:val="auto"/>
                      <w:highlight w:val="none"/>
                    </w:rPr>
                    <w:t>全国</w:t>
                  </w:r>
                  <w:r>
                    <w:rPr>
                      <w:rFonts w:ascii="宋体" w:hAnsi="宋体" w:eastAsia="宋体"/>
                      <w:color w:val="auto"/>
                      <w:highlight w:val="none"/>
                    </w:rPr>
                    <w:t>通用流量</w:t>
                  </w:r>
                  <w:r>
                    <w:rPr>
                      <w:rFonts w:hint="eastAsia" w:ascii="宋体" w:hAnsi="宋体" w:eastAsia="宋体"/>
                      <w:color w:val="auto"/>
                      <w:highlight w:val="none"/>
                    </w:rPr>
                    <w:t>30GB</w:t>
                  </w:r>
                  <w:r>
                    <w:rPr>
                      <w:rFonts w:ascii="宋体" w:hAnsi="宋体" w:eastAsia="宋体"/>
                      <w:color w:val="auto"/>
                      <w:highlight w:val="none"/>
                    </w:rPr>
                    <w:t>或以上</w:t>
                  </w:r>
                  <w:r>
                    <w:rPr>
                      <w:rFonts w:hint="eastAsia" w:ascii="宋体" w:hAnsi="宋体" w:eastAsia="宋体"/>
                      <w:color w:val="auto"/>
                      <w:highlight w:val="none"/>
                    </w:rPr>
                    <w:t>。</w:t>
                  </w:r>
                </w:p>
              </w:tc>
              <w:tc>
                <w:tcPr>
                  <w:tcW w:w="0" w:type="auto"/>
                  <w:vAlign w:val="center"/>
                </w:tcPr>
                <w:p>
                  <w:pPr>
                    <w:jc w:val="center"/>
                    <w:rPr>
                      <w:rFonts w:hint="eastAsia" w:ascii="宋体" w:hAnsi="宋体"/>
                      <w:color w:val="auto"/>
                      <w:szCs w:val="21"/>
                      <w:highlight w:val="none"/>
                      <w:vertAlign w:val="baseline"/>
                    </w:rPr>
                  </w:pPr>
                  <w:r>
                    <w:rPr>
                      <w:rFonts w:hint="eastAsia" w:ascii="宋体" w:hAnsi="宋体" w:eastAsia="宋体"/>
                      <w:color w:val="auto"/>
                      <w:highlight w:val="none"/>
                    </w:rPr>
                    <w:t>67</w:t>
                  </w:r>
                  <w:r>
                    <w:rPr>
                      <w:rFonts w:ascii="宋体" w:hAnsi="宋体" w:eastAsia="宋体"/>
                      <w:color w:val="auto"/>
                      <w:highlight w:val="none"/>
                    </w:rPr>
                    <w:t>个</w:t>
                  </w:r>
                </w:p>
              </w:tc>
              <w:tc>
                <w:tcPr>
                  <w:tcW w:w="0" w:type="auto"/>
                  <w:vAlign w:val="center"/>
                </w:tcPr>
                <w:p>
                  <w:pPr>
                    <w:jc w:val="center"/>
                    <w:rPr>
                      <w:rFonts w:hint="eastAsia" w:ascii="宋体" w:hAnsi="宋体"/>
                      <w:color w:val="auto"/>
                      <w:szCs w:val="21"/>
                      <w:highlight w:val="none"/>
                      <w:vertAlign w:val="baseline"/>
                    </w:rPr>
                  </w:pPr>
                  <w:r>
                    <w:rPr>
                      <w:rFonts w:hint="eastAsia" w:ascii="宋体" w:hAnsi="宋体" w:eastAsia="宋体"/>
                      <w:color w:val="auto"/>
                      <w:highlight w:val="none"/>
                    </w:rPr>
                    <w:t>36个月</w:t>
                  </w:r>
                </w:p>
              </w:tc>
              <w:tc>
                <w:tcPr>
                  <w:tcW w:w="0" w:type="auto"/>
                  <w:vAlign w:val="center"/>
                </w:tcPr>
                <w:p>
                  <w:pPr>
                    <w:jc w:val="center"/>
                    <w:rPr>
                      <w:rFonts w:hint="eastAsia" w:ascii="宋体" w:hAnsi="宋体"/>
                      <w:color w:val="auto"/>
                      <w:szCs w:val="21"/>
                      <w:highlight w:val="none"/>
                      <w:vertAlign w:val="baseline"/>
                    </w:rPr>
                  </w:pPr>
                  <w:r>
                    <w:rPr>
                      <w:rFonts w:hint="eastAsia" w:ascii="宋体" w:hAnsi="宋体" w:eastAsia="宋体"/>
                      <w:color w:val="auto"/>
                      <w:highlight w:val="none"/>
                    </w:rPr>
                    <w:t>每个套包不高于40元/月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color w:val="auto"/>
                      <w:szCs w:val="21"/>
                      <w:highlight w:val="none"/>
                      <w:vertAlign w:val="baseline"/>
                    </w:rPr>
                  </w:pPr>
                  <w:r>
                    <w:rPr>
                      <w:rFonts w:hint="eastAsia" w:ascii="宋体" w:hAnsi="宋体" w:eastAsia="宋体"/>
                      <w:color w:val="auto"/>
                      <w:highlight w:val="none"/>
                    </w:rPr>
                    <w:t>2</w:t>
                  </w:r>
                </w:p>
              </w:tc>
              <w:tc>
                <w:tcPr>
                  <w:tcW w:w="0" w:type="auto"/>
                  <w:vAlign w:val="center"/>
                </w:tcPr>
                <w:p>
                  <w:pPr>
                    <w:jc w:val="both"/>
                    <w:rPr>
                      <w:rFonts w:hint="eastAsia" w:ascii="宋体" w:hAnsi="宋体"/>
                      <w:color w:val="auto"/>
                      <w:szCs w:val="21"/>
                      <w:highlight w:val="none"/>
                      <w:vertAlign w:val="baseline"/>
                    </w:rPr>
                  </w:pPr>
                  <w:r>
                    <w:rPr>
                      <w:rFonts w:ascii="宋体" w:hAnsi="宋体" w:eastAsia="宋体"/>
                      <w:color w:val="auto"/>
                      <w:highlight w:val="none"/>
                    </w:rPr>
                    <w:t>每月</w:t>
                  </w:r>
                  <w:r>
                    <w:rPr>
                      <w:color w:val="auto"/>
                      <w:highlight w:val="none"/>
                    </w:rPr>
                    <w:t>包括但不限于</w:t>
                  </w:r>
                  <w:r>
                    <w:rPr>
                      <w:rFonts w:hint="eastAsia"/>
                      <w:color w:val="auto"/>
                      <w:highlight w:val="none"/>
                    </w:rPr>
                    <w:t>全国</w:t>
                  </w:r>
                  <w:r>
                    <w:rPr>
                      <w:color w:val="auto"/>
                      <w:highlight w:val="none"/>
                    </w:rPr>
                    <w:t>通话时间</w:t>
                  </w:r>
                  <w:r>
                    <w:rPr>
                      <w:rFonts w:hint="eastAsia"/>
                      <w:color w:val="auto"/>
                      <w:highlight w:val="none"/>
                    </w:rPr>
                    <w:t>500</w:t>
                  </w:r>
                  <w:r>
                    <w:rPr>
                      <w:color w:val="auto"/>
                      <w:highlight w:val="none"/>
                    </w:rPr>
                    <w:t>分钟或以上</w:t>
                  </w:r>
                  <w:r>
                    <w:rPr>
                      <w:rFonts w:hint="eastAsia"/>
                      <w:color w:val="auto"/>
                      <w:highlight w:val="none"/>
                    </w:rPr>
                    <w:t>，</w:t>
                  </w:r>
                  <w:r>
                    <w:rPr>
                      <w:color w:val="auto"/>
                      <w:highlight w:val="none"/>
                    </w:rPr>
                    <w:t>国内接听免费，</w:t>
                  </w:r>
                  <w:r>
                    <w:rPr>
                      <w:rFonts w:hint="eastAsia"/>
                      <w:color w:val="auto"/>
                      <w:highlight w:val="none"/>
                    </w:rPr>
                    <w:t>全国</w:t>
                  </w:r>
                  <w:r>
                    <w:rPr>
                      <w:color w:val="auto"/>
                      <w:highlight w:val="none"/>
                    </w:rPr>
                    <w:t>通用流量</w:t>
                  </w:r>
                  <w:r>
                    <w:rPr>
                      <w:rFonts w:hint="eastAsia"/>
                      <w:color w:val="auto"/>
                      <w:highlight w:val="none"/>
                    </w:rPr>
                    <w:t>30GB</w:t>
                  </w:r>
                  <w:r>
                    <w:rPr>
                      <w:color w:val="auto"/>
                      <w:highlight w:val="none"/>
                    </w:rPr>
                    <w:t>或</w:t>
                  </w:r>
                  <w:r>
                    <w:rPr>
                      <w:rFonts w:hint="eastAsia"/>
                      <w:color w:val="auto"/>
                      <w:highlight w:val="none"/>
                    </w:rPr>
                    <w:t>以上，</w:t>
                  </w:r>
                  <w:r>
                    <w:rPr>
                      <w:rFonts w:hint="eastAsia" w:ascii="宋体" w:hAnsi="宋体" w:eastAsia="宋体"/>
                      <w:color w:val="auto"/>
                      <w:highlight w:val="none"/>
                    </w:rPr>
                    <w:t>配备移动终端设备1台。</w:t>
                  </w:r>
                </w:p>
              </w:tc>
              <w:tc>
                <w:tcPr>
                  <w:tcW w:w="0" w:type="auto"/>
                  <w:vAlign w:val="center"/>
                </w:tcPr>
                <w:p>
                  <w:pPr>
                    <w:jc w:val="center"/>
                    <w:rPr>
                      <w:rFonts w:hint="eastAsia" w:ascii="宋体" w:hAnsi="宋体"/>
                      <w:color w:val="auto"/>
                      <w:szCs w:val="21"/>
                      <w:highlight w:val="none"/>
                      <w:vertAlign w:val="baseline"/>
                    </w:rPr>
                  </w:pPr>
                  <w:r>
                    <w:rPr>
                      <w:rFonts w:hint="eastAsia" w:ascii="宋体" w:hAnsi="宋体" w:eastAsia="宋体"/>
                      <w:color w:val="auto"/>
                      <w:highlight w:val="none"/>
                    </w:rPr>
                    <w:t>102个</w:t>
                  </w:r>
                </w:p>
              </w:tc>
              <w:tc>
                <w:tcPr>
                  <w:tcW w:w="0" w:type="auto"/>
                  <w:vAlign w:val="center"/>
                </w:tcPr>
                <w:p>
                  <w:pPr>
                    <w:jc w:val="center"/>
                    <w:rPr>
                      <w:rFonts w:hint="eastAsia" w:ascii="宋体" w:hAnsi="宋体"/>
                      <w:color w:val="auto"/>
                      <w:szCs w:val="21"/>
                      <w:highlight w:val="none"/>
                      <w:vertAlign w:val="baseline"/>
                    </w:rPr>
                  </w:pPr>
                  <w:r>
                    <w:rPr>
                      <w:rFonts w:hint="eastAsia" w:ascii="宋体" w:hAnsi="宋体" w:eastAsia="宋体"/>
                      <w:color w:val="auto"/>
                      <w:highlight w:val="none"/>
                    </w:rPr>
                    <w:t>36个月</w:t>
                  </w:r>
                </w:p>
              </w:tc>
              <w:tc>
                <w:tcPr>
                  <w:tcW w:w="0" w:type="auto"/>
                  <w:vAlign w:val="center"/>
                </w:tcPr>
                <w:p>
                  <w:pPr>
                    <w:jc w:val="center"/>
                    <w:rPr>
                      <w:rFonts w:hint="eastAsia" w:ascii="宋体" w:hAnsi="宋体"/>
                      <w:color w:val="auto"/>
                      <w:szCs w:val="21"/>
                      <w:highlight w:val="none"/>
                      <w:vertAlign w:val="baseline"/>
                    </w:rPr>
                  </w:pPr>
                  <w:r>
                    <w:rPr>
                      <w:rFonts w:hint="eastAsia" w:ascii="宋体" w:hAnsi="宋体" w:eastAsia="宋体"/>
                      <w:color w:val="auto"/>
                      <w:highlight w:val="none"/>
                    </w:rPr>
                    <w:t>每个套包不高于140元/月</w:t>
                  </w:r>
                </w:p>
              </w:tc>
            </w:tr>
          </w:tbl>
          <w:p>
            <w:pPr>
              <w:pStyle w:val="22"/>
              <w:autoSpaceDE w:val="0"/>
              <w:autoSpaceDN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1、本项目以人民币为结算单位，实行合同总价包干方式，</w:t>
            </w:r>
            <w:r>
              <w:rPr>
                <w:rFonts w:hint="eastAsia" w:ascii="宋体" w:hAnsi="宋体"/>
                <w:color w:val="auto"/>
                <w:szCs w:val="21"/>
                <w:highlight w:val="none"/>
                <w:lang w:val="en-US" w:eastAsia="zh-CN"/>
              </w:rPr>
              <w:t>投标人</w:t>
            </w:r>
            <w:r>
              <w:rPr>
                <w:rFonts w:hint="eastAsia" w:ascii="宋体" w:hAnsi="宋体"/>
                <w:color w:val="auto"/>
                <w:szCs w:val="21"/>
                <w:highlight w:val="none"/>
              </w:rPr>
              <w:t>须对采购范围的全部内容进行报价；</w:t>
            </w:r>
          </w:p>
          <w:p>
            <w:pPr>
              <w:pStyle w:val="22"/>
              <w:autoSpaceDE w:val="0"/>
              <w:autoSpaceDN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投标</w:t>
            </w:r>
            <w:r>
              <w:rPr>
                <w:rFonts w:hint="eastAsia" w:ascii="宋体" w:hAnsi="宋体"/>
                <w:color w:val="auto"/>
                <w:szCs w:val="21"/>
                <w:highlight w:val="none"/>
              </w:rPr>
              <w:t>总价包含采购范围内所有相关服务所需的费用；</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szCs w:val="21"/>
                <w:highlight w:val="none"/>
                <w:lang w:val="zh-CN" w:eastAsia="zh-CN" w:bidi="zh-CN"/>
              </w:rPr>
            </w:pPr>
            <w:r>
              <w:rPr>
                <w:rFonts w:hint="eastAsia" w:ascii="宋体" w:hAnsi="宋体"/>
                <w:color w:val="auto"/>
                <w:szCs w:val="21"/>
                <w:highlight w:val="none"/>
              </w:rPr>
              <w:t>3、服务过程中所产生的一切费用；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80" w:type="dxa"/>
            <w:vAlign w:val="center"/>
          </w:tcPr>
          <w:p>
            <w:pPr>
              <w:pStyle w:val="22"/>
              <w:autoSpaceDE w:val="0"/>
              <w:autoSpaceDN w:val="0"/>
              <w:spacing w:line="360" w:lineRule="auto"/>
              <w:jc w:val="center"/>
              <w:rPr>
                <w:rFonts w:ascii="宋体" w:hAnsi="宋体" w:cs="宋体"/>
                <w:color w:val="auto"/>
                <w:szCs w:val="21"/>
                <w:highlight w:val="none"/>
                <w:lang w:val="zh-CN" w:bidi="zh-CN"/>
              </w:rPr>
            </w:pPr>
            <w:r>
              <w:rPr>
                <w:rFonts w:hint="eastAsia" w:ascii="宋体" w:hAnsi="宋体" w:cs="宋体"/>
                <w:color w:val="auto"/>
                <w:szCs w:val="21"/>
                <w:highlight w:val="none"/>
              </w:rPr>
              <w:t>验收要求</w:t>
            </w:r>
          </w:p>
        </w:tc>
        <w:tc>
          <w:tcPr>
            <w:tcW w:w="6760" w:type="dxa"/>
            <w:vAlign w:val="center"/>
          </w:tcPr>
          <w:p>
            <w:pPr>
              <w:pStyle w:val="22"/>
              <w:autoSpaceDE w:val="0"/>
              <w:autoSpaceDN w:val="0"/>
              <w:spacing w:line="360" w:lineRule="auto"/>
              <w:ind w:firstLine="420" w:firstLineChars="200"/>
              <w:jc w:val="both"/>
              <w:rPr>
                <w:rFonts w:ascii="宋体" w:hAnsi="宋体" w:cs="宋体"/>
                <w:color w:val="auto"/>
                <w:szCs w:val="21"/>
                <w:highlight w:val="none"/>
                <w:lang w:bidi="zh-CN"/>
              </w:rPr>
            </w:pPr>
            <w:r>
              <w:rPr>
                <w:rFonts w:hint="eastAsia" w:ascii="宋体" w:hAnsi="宋体" w:cs="宋体"/>
                <w:color w:val="auto"/>
                <w:szCs w:val="21"/>
                <w:highlight w:val="none"/>
              </w:rPr>
              <w:t>按国家及行业相关标准验收</w:t>
            </w:r>
            <w:r>
              <w:rPr>
                <w:rFonts w:hint="eastAsia" w:ascii="宋体" w:hAnsi="宋体" w:cs="宋体"/>
                <w:color w:val="auto"/>
                <w:szCs w:val="21"/>
                <w:highlight w:val="none"/>
                <w:lang w:eastAsia="zh-CN"/>
              </w:rPr>
              <w:t>，标准不一的以较高标准为准</w:t>
            </w:r>
            <w:r>
              <w:rPr>
                <w:rFonts w:hint="eastAsia" w:ascii="宋体" w:hAnsi="宋体" w:cs="宋体"/>
                <w:color w:val="auto"/>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3"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其它要求</w:t>
            </w:r>
          </w:p>
        </w:tc>
        <w:tc>
          <w:tcPr>
            <w:tcW w:w="400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eastAsia="宋体"/>
                <w:color w:val="auto"/>
                <w:szCs w:val="21"/>
                <w:highlight w:val="none"/>
                <w:lang w:val="en-US" w:eastAsia="zh-CN"/>
              </w:rPr>
              <w:t>投标人</w:t>
            </w:r>
            <w:r>
              <w:rPr>
                <w:rFonts w:hint="eastAsia" w:ascii="宋体" w:hAnsi="宋体" w:eastAsia="宋体"/>
                <w:color w:val="auto"/>
                <w:szCs w:val="21"/>
                <w:highlight w:val="none"/>
              </w:rPr>
              <w:t>应充分结合本</w:t>
            </w:r>
            <w:r>
              <w:rPr>
                <w:rFonts w:hint="eastAsia" w:ascii="宋体" w:hAnsi="宋体" w:eastAsia="宋体"/>
                <w:color w:val="auto"/>
                <w:szCs w:val="21"/>
                <w:highlight w:val="none"/>
                <w:lang w:val="en-US" w:eastAsia="zh-CN"/>
              </w:rPr>
              <w:t>招标</w:t>
            </w:r>
            <w:r>
              <w:rPr>
                <w:rFonts w:hint="eastAsia" w:ascii="宋体" w:hAnsi="宋体" w:eastAsia="宋体"/>
                <w:color w:val="auto"/>
                <w:szCs w:val="21"/>
                <w:highlight w:val="none"/>
              </w:rPr>
              <w:t>文件上下文了解项目</w:t>
            </w:r>
            <w:r>
              <w:rPr>
                <w:rFonts w:hint="eastAsia" w:ascii="宋体" w:hAnsi="宋体" w:eastAsia="宋体"/>
                <w:color w:val="auto"/>
                <w:szCs w:val="21"/>
                <w:highlight w:val="none"/>
                <w:lang w:val="en-US" w:eastAsia="zh-CN"/>
              </w:rPr>
              <w:t>采购</w:t>
            </w:r>
            <w:r>
              <w:rPr>
                <w:rFonts w:hint="eastAsia" w:ascii="宋体" w:hAnsi="宋体" w:eastAsia="宋体"/>
                <w:color w:val="auto"/>
                <w:szCs w:val="21"/>
                <w:highlight w:val="none"/>
              </w:rPr>
              <w:t>需求、</w:t>
            </w:r>
            <w:r>
              <w:rPr>
                <w:rFonts w:hint="eastAsia" w:ascii="宋体" w:hAnsi="宋体" w:eastAsia="宋体"/>
                <w:color w:val="auto"/>
                <w:szCs w:val="21"/>
                <w:highlight w:val="none"/>
                <w:lang w:val="en-US" w:eastAsia="zh-CN"/>
              </w:rPr>
              <w:t>招标</w:t>
            </w:r>
            <w:r>
              <w:rPr>
                <w:rFonts w:hint="eastAsia" w:ascii="宋体" w:hAnsi="宋体" w:eastAsia="宋体"/>
                <w:color w:val="auto"/>
                <w:szCs w:val="21"/>
                <w:highlight w:val="none"/>
              </w:rPr>
              <w:t>文件未尽事宜，将在合同签订或项目执行过程中双方协商确定，</w:t>
            </w:r>
            <w:r>
              <w:rPr>
                <w:rFonts w:hint="eastAsia" w:ascii="宋体" w:hAnsi="宋体" w:eastAsia="宋体"/>
                <w:color w:val="auto"/>
                <w:szCs w:val="21"/>
                <w:highlight w:val="none"/>
                <w:lang w:val="en-US" w:eastAsia="zh-CN"/>
              </w:rPr>
              <w:t>投标人</w:t>
            </w:r>
            <w:r>
              <w:rPr>
                <w:rFonts w:hint="eastAsia" w:ascii="宋体" w:hAnsi="宋体" w:eastAsia="宋体"/>
                <w:color w:val="auto"/>
                <w:szCs w:val="21"/>
                <w:highlight w:val="none"/>
              </w:rPr>
              <w:t>须无条件满足采购单位的合理要求。</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jc w:val="center"/>
        <w:rPr>
          <w:rFonts w:hint="eastAsia"/>
          <w:b/>
          <w:bCs/>
          <w:color w:val="auto"/>
          <w:sz w:val="28"/>
          <w:szCs w:val="36"/>
          <w:highlight w:val="none"/>
        </w:rPr>
      </w:pPr>
      <w:bookmarkStart w:id="140" w:name="_Toc4572"/>
      <w:r>
        <w:rPr>
          <w:rFonts w:hint="eastAsia"/>
          <w:b/>
          <w:bCs/>
          <w:color w:val="auto"/>
          <w:sz w:val="28"/>
          <w:szCs w:val="36"/>
          <w:highlight w:val="none"/>
        </w:rPr>
        <w:t>技术要求</w:t>
      </w:r>
      <w:bookmarkEnd w:id="140"/>
    </w:p>
    <w:p>
      <w:pPr>
        <w:pStyle w:val="20"/>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项目背景</w:t>
      </w:r>
    </w:p>
    <w:p>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特种设备检测研究院东莞检测院承担东莞市行政区域内锅炉、压力容器、压力管道、电梯、起重机械、场（厂）内专用机动车辆等特种设备的监督检验、定期检验等工作。广东省特种设备检测研究院东莞检测院有大量一线工作人员开展现场检测工作，并使用特种设备GIS系统进行检测结果实时回传，移动办公已成为业务刚需。通过移动办公减少检测员手工记录环节，实现工作结果实时反馈，大大提高工作效率；移动办公设备携带便捷，减轻一线人员工作负担；同时移动办公助力实现检测工作以及检测人员的有效管理，信息化赋能特种设备安全运营，助力特检服务高质量发展。</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left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二、移动终端设备参数要求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22" w:type="dxa"/>
            <w:gridSpan w:val="2"/>
            <w:noWrap/>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机型配置要求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69"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网络制式</w:t>
            </w:r>
          </w:p>
        </w:tc>
        <w:tc>
          <w:tcPr>
            <w:tcW w:w="6653"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5G网络频段支持全网通；4G网络频段同时支持TD-LTE和LTE FDD；3G网络频段支持WCDM，支持双卡双待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69"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屏幕</w:t>
            </w:r>
          </w:p>
        </w:tc>
        <w:tc>
          <w:tcPr>
            <w:tcW w:w="6653"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尺寸≥6.5英寸，最高刷新率≥120Hz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69"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后置摄像头</w:t>
            </w:r>
          </w:p>
        </w:tc>
        <w:tc>
          <w:tcPr>
            <w:tcW w:w="6653"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≥双摄，摄像头≥4800万像素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69"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前置摄像头</w:t>
            </w:r>
          </w:p>
        </w:tc>
        <w:tc>
          <w:tcPr>
            <w:tcW w:w="6653"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69"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电池容量</w:t>
            </w:r>
          </w:p>
        </w:tc>
        <w:tc>
          <w:tcPr>
            <w:tcW w:w="6653"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69"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充电速度</w:t>
            </w:r>
          </w:p>
        </w:tc>
        <w:tc>
          <w:tcPr>
            <w:tcW w:w="6653"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最高功率≥80W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69"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CPU参数</w:t>
            </w:r>
          </w:p>
        </w:tc>
        <w:tc>
          <w:tcPr>
            <w:tcW w:w="6653" w:type="dxa"/>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基于≤6nm技术，处理器核心不少于8个，最高主频≥2.5Ghz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69"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运行内存</w:t>
            </w:r>
          </w:p>
        </w:tc>
        <w:tc>
          <w:tcPr>
            <w:tcW w:w="6653"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不少于16GB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69"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机身内存</w:t>
            </w:r>
          </w:p>
        </w:tc>
        <w:tc>
          <w:tcPr>
            <w:tcW w:w="6653"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不少于512GB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69" w:type="dxa"/>
            <w:noWra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无线网络和定位</w:t>
            </w:r>
          </w:p>
        </w:tc>
        <w:tc>
          <w:tcPr>
            <w:tcW w:w="6653" w:type="dxa"/>
            <w:noWra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支持蓝牙、WiFi、NFC功能，支持GPS和北斗定位</w:t>
            </w:r>
          </w:p>
        </w:tc>
      </w:tr>
    </w:tbl>
    <w:p>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备注：如果有新增服务需求，为保证服务的兼容性和延续性，优先选择同品牌同型号的设备服务；若后续同品牌同型号设备不再生产，则须提供同品牌且配置参数不低于原型号的设备。</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left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三、套餐增值业务</w:t>
      </w:r>
    </w:p>
    <w:p>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1.提供企业名片服务；</w:t>
      </w:r>
    </w:p>
    <w:p>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▲2.免停机：提供免停机服务；</w:t>
      </w:r>
    </w:p>
    <w:p>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3.自定义缴费：可进行自定义缴费期设置。</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left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四、售后服务</w:t>
      </w:r>
    </w:p>
    <w:p>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1移动终端保修期为1年（非人为损坏），且全国售后联保，提供一年碎屏险服务。</w:t>
      </w:r>
    </w:p>
    <w:p>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2.遗失、损坏手机终端需购买的，可享厂家供货价。</w:t>
      </w:r>
    </w:p>
    <w:p>
      <w:pPr>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3.中标商应免费更换损坏、遗失的4G\5G手机卡。</w:t>
      </w:r>
    </w:p>
    <w:p>
      <w:pPr>
        <w:pStyle w:val="2"/>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1"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1"/>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投标人业绩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8分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spacing w:before="108" w:beforeLines="30" w:after="108" w:afterLines="30" w:line="240" w:lineRule="auto"/>
              <w:ind w:firstLine="420" w:firstLineChars="200"/>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投标人（含其上级分公司或集团总公司）具有通信服务或移动终端服务</w:t>
            </w:r>
            <w:r>
              <w:rPr>
                <w:rFonts w:hint="eastAsia" w:ascii="宋体" w:eastAsia="宋体" w:cs="宋体"/>
                <w:bCs/>
                <w:color w:val="auto"/>
                <w:kern w:val="2"/>
                <w:sz w:val="21"/>
                <w:szCs w:val="21"/>
                <w:highlight w:val="none"/>
                <w:lang w:val="en-US" w:eastAsia="zh-CN" w:bidi="ar-SA"/>
              </w:rPr>
              <w:t>类相关业绩的</w:t>
            </w:r>
            <w:r>
              <w:rPr>
                <w:rFonts w:hint="eastAsia" w:ascii="宋体" w:hAnsi="宋体" w:eastAsia="宋体" w:cs="宋体"/>
                <w:bCs/>
                <w:color w:val="auto"/>
                <w:kern w:val="2"/>
                <w:sz w:val="21"/>
                <w:szCs w:val="21"/>
                <w:highlight w:val="none"/>
                <w:lang w:val="zh-CN" w:eastAsia="zh-CN" w:bidi="ar-SA"/>
              </w:rPr>
              <w:t>，</w:t>
            </w:r>
            <w:r>
              <w:rPr>
                <w:rFonts w:hint="eastAsia" w:ascii="宋体" w:eastAsia="宋体" w:cs="宋体"/>
                <w:bCs/>
                <w:color w:val="auto"/>
                <w:kern w:val="2"/>
                <w:sz w:val="21"/>
                <w:szCs w:val="21"/>
                <w:highlight w:val="none"/>
                <w:lang w:val="en-US" w:eastAsia="zh-CN" w:bidi="ar-SA"/>
              </w:rPr>
              <w:t>每提供一个</w:t>
            </w:r>
            <w:r>
              <w:rPr>
                <w:rFonts w:hint="eastAsia" w:ascii="宋体" w:hAnsi="宋体" w:eastAsia="宋体" w:cs="宋体"/>
                <w:bCs/>
                <w:color w:val="auto"/>
                <w:kern w:val="2"/>
                <w:sz w:val="21"/>
                <w:szCs w:val="21"/>
                <w:highlight w:val="none"/>
                <w:lang w:val="zh-CN" w:eastAsia="zh-CN" w:bidi="ar-SA"/>
              </w:rPr>
              <w:t xml:space="preserve">得2分，共8分。 </w:t>
            </w:r>
          </w:p>
          <w:p>
            <w:pPr>
              <w:pStyle w:val="23"/>
              <w:spacing w:before="108" w:beforeLines="30" w:after="108" w:afterLines="30" w:line="240" w:lineRule="auto"/>
              <w:ind w:firstLine="420" w:firstLineChars="200"/>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注：以上须提供合同关键页（合同关键页包括能够获知甲乙双方名称、合同标的、签订日期、成交金额的页面及签字盖章页）复印件加盖公章，合同须为与采购单位直接签订，分包、转包等合同不予计分。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投标人认证及荣誉情况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12分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spacing w:before="108" w:beforeLines="30" w:after="108" w:afterLines="30" w:line="240" w:lineRule="auto"/>
              <w:ind w:firstLine="420" w:firstLineChars="200"/>
              <w:rPr>
                <w:rFonts w:hint="eastAsia" w:ascii="宋体" w:hAnsi="宋体" w:eastAsia="宋体" w:cs="宋体"/>
                <w:bCs/>
                <w:color w:val="auto"/>
                <w:kern w:val="2"/>
                <w:sz w:val="21"/>
                <w:szCs w:val="21"/>
                <w:highlight w:val="none"/>
                <w:lang w:val="zh-CN" w:eastAsia="zh-CN" w:bidi="ar-SA"/>
              </w:rPr>
            </w:pPr>
            <w:r>
              <w:rPr>
                <w:rFonts w:hint="eastAsia" w:ascii="宋体" w:eastAsia="宋体" w:cs="宋体"/>
                <w:bCs/>
                <w:color w:val="auto"/>
                <w:kern w:val="2"/>
                <w:sz w:val="21"/>
                <w:szCs w:val="21"/>
                <w:highlight w:val="none"/>
                <w:lang w:val="zh-CN" w:eastAsia="zh-CN" w:bidi="ar-SA"/>
              </w:rPr>
              <w:t>（</w:t>
            </w:r>
            <w:r>
              <w:rPr>
                <w:rFonts w:hint="eastAsia" w:ascii="宋体" w:eastAsia="宋体" w:cs="宋体"/>
                <w:bCs/>
                <w:color w:val="auto"/>
                <w:kern w:val="2"/>
                <w:sz w:val="21"/>
                <w:szCs w:val="21"/>
                <w:highlight w:val="none"/>
                <w:lang w:val="en-US" w:eastAsia="zh-CN" w:bidi="ar-SA"/>
              </w:rPr>
              <w:t>1</w:t>
            </w:r>
            <w:r>
              <w:rPr>
                <w:rFonts w:hint="eastAsia" w:asci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zh-CN" w:eastAsia="zh-CN" w:bidi="ar-SA"/>
              </w:rPr>
              <w:t>投标人（含其上级分公司或集团总公司）具有由国家认证认可监督管理部门批准设立的认证机构颁发并在有效期内的：①信息安全管理体系认证证书；②质量管理体系认证证书；③售后服务认证证书；④业务连续性管理体系认证证书。以上证书</w:t>
            </w:r>
            <w:r>
              <w:rPr>
                <w:rFonts w:hint="eastAsia" w:ascii="宋体" w:eastAsia="宋体" w:cs="宋体"/>
                <w:bCs/>
                <w:color w:val="auto"/>
                <w:kern w:val="2"/>
                <w:sz w:val="21"/>
                <w:szCs w:val="21"/>
                <w:highlight w:val="none"/>
                <w:lang w:val="en-US" w:eastAsia="zh-CN" w:bidi="ar-SA"/>
              </w:rPr>
              <w:t>每提供一个</w:t>
            </w:r>
            <w:r>
              <w:rPr>
                <w:rFonts w:hint="eastAsia" w:ascii="宋体" w:hAnsi="宋体" w:eastAsia="宋体" w:cs="宋体"/>
                <w:bCs/>
                <w:color w:val="auto"/>
                <w:kern w:val="2"/>
                <w:sz w:val="21"/>
                <w:szCs w:val="21"/>
                <w:highlight w:val="none"/>
                <w:lang w:val="zh-CN" w:eastAsia="zh-CN" w:bidi="ar-SA"/>
              </w:rPr>
              <w:t>得2分，本项最高得8分，无不得分。</w:t>
            </w:r>
          </w:p>
          <w:p>
            <w:pPr>
              <w:pStyle w:val="23"/>
              <w:spacing w:before="108" w:beforeLines="30" w:after="108" w:afterLines="30" w:line="240" w:lineRule="auto"/>
              <w:ind w:firstLine="420" w:firstLineChars="200"/>
              <w:rPr>
                <w:rFonts w:hint="eastAsia" w:ascii="宋体" w:hAnsi="宋体" w:eastAsia="宋体" w:cs="宋体"/>
                <w:bCs/>
                <w:color w:val="auto"/>
                <w:kern w:val="2"/>
                <w:sz w:val="21"/>
                <w:szCs w:val="21"/>
                <w:highlight w:val="none"/>
                <w:lang w:val="zh-CN" w:eastAsia="zh-CN" w:bidi="ar-SA"/>
              </w:rPr>
            </w:pPr>
            <w:r>
              <w:rPr>
                <w:rFonts w:hint="eastAsia" w:ascii="宋体" w:eastAsia="宋体" w:cs="宋体"/>
                <w:bCs/>
                <w:color w:val="auto"/>
                <w:kern w:val="2"/>
                <w:sz w:val="21"/>
                <w:szCs w:val="21"/>
                <w:highlight w:val="none"/>
                <w:lang w:val="zh-CN" w:eastAsia="zh-CN" w:bidi="ar-SA"/>
              </w:rPr>
              <w:t>（</w:t>
            </w:r>
            <w:r>
              <w:rPr>
                <w:rFonts w:hint="eastAsia" w:ascii="宋体" w:eastAsia="宋体" w:cs="宋体"/>
                <w:bCs/>
                <w:color w:val="auto"/>
                <w:kern w:val="2"/>
                <w:sz w:val="21"/>
                <w:szCs w:val="21"/>
                <w:highlight w:val="none"/>
                <w:lang w:val="en-US" w:eastAsia="zh-CN" w:bidi="ar-SA"/>
              </w:rPr>
              <w:t>2</w:t>
            </w:r>
            <w:r>
              <w:rPr>
                <w:rFonts w:hint="eastAsia" w:ascii="宋体" w:eastAsia="宋体" w:cs="宋体"/>
                <w:bCs/>
                <w:color w:val="auto"/>
                <w:kern w:val="2"/>
                <w:sz w:val="21"/>
                <w:szCs w:val="21"/>
                <w:highlight w:val="none"/>
                <w:lang w:val="zh-CN" w:eastAsia="zh-CN" w:bidi="ar-SA"/>
              </w:rPr>
              <w:t>）</w:t>
            </w:r>
            <w:r>
              <w:rPr>
                <w:rFonts w:hint="eastAsia" w:ascii="宋体" w:hAnsi="宋体" w:eastAsia="宋体" w:cs="宋体"/>
                <w:bCs/>
                <w:color w:val="auto"/>
                <w:kern w:val="2"/>
                <w:sz w:val="21"/>
                <w:szCs w:val="21"/>
                <w:highlight w:val="none"/>
                <w:lang w:val="zh-CN" w:eastAsia="zh-CN" w:bidi="ar-SA"/>
              </w:rPr>
              <w:t>投标人（含其上级分公司或集团总公司）获得过省级（或以上）行政部门颁发的</w:t>
            </w:r>
            <w:r>
              <w:rPr>
                <w:rFonts w:hint="eastAsia" w:ascii="宋体" w:eastAsia="宋体" w:cs="宋体"/>
                <w:bCs/>
                <w:color w:val="auto"/>
                <w:kern w:val="2"/>
                <w:sz w:val="21"/>
                <w:szCs w:val="21"/>
                <w:highlight w:val="none"/>
                <w:lang w:val="en-US" w:eastAsia="zh-CN" w:bidi="ar-SA"/>
              </w:rPr>
              <w:t>荣誉或奖项</w:t>
            </w:r>
            <w:r>
              <w:rPr>
                <w:rFonts w:hint="eastAsia" w:ascii="宋体" w:hAnsi="宋体" w:eastAsia="宋体" w:cs="宋体"/>
                <w:bCs/>
                <w:color w:val="auto"/>
                <w:kern w:val="2"/>
                <w:sz w:val="21"/>
                <w:szCs w:val="21"/>
                <w:highlight w:val="none"/>
                <w:lang w:val="zh-CN" w:eastAsia="zh-CN" w:bidi="ar-SA"/>
              </w:rPr>
              <w:t>的，</w:t>
            </w:r>
            <w:r>
              <w:rPr>
                <w:rFonts w:hint="eastAsia" w:ascii="宋体" w:eastAsia="宋体" w:cs="宋体"/>
                <w:bCs/>
                <w:color w:val="auto"/>
                <w:kern w:val="2"/>
                <w:sz w:val="21"/>
                <w:szCs w:val="21"/>
                <w:highlight w:val="none"/>
                <w:lang w:val="en-US" w:eastAsia="zh-CN" w:bidi="ar-SA"/>
              </w:rPr>
              <w:t>每提供一个</w:t>
            </w:r>
            <w:r>
              <w:rPr>
                <w:rFonts w:hint="eastAsia" w:ascii="宋体" w:hAnsi="宋体" w:eastAsia="宋体" w:cs="宋体"/>
                <w:bCs/>
                <w:color w:val="auto"/>
                <w:kern w:val="2"/>
                <w:sz w:val="21"/>
                <w:szCs w:val="21"/>
                <w:highlight w:val="none"/>
                <w:lang w:val="zh-CN" w:eastAsia="zh-CN" w:bidi="ar-SA"/>
              </w:rPr>
              <w:t xml:space="preserve">得1分，本项最高得4分，无不得分。 </w:t>
            </w:r>
          </w:p>
          <w:p>
            <w:pPr>
              <w:pStyle w:val="23"/>
              <w:spacing w:before="108" w:beforeLines="30" w:after="108" w:afterLines="30" w:line="240" w:lineRule="auto"/>
              <w:ind w:firstLine="420" w:firstLineChars="200"/>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注：须提供以上有效证书复印件加盖投标人公章。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70分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highlight w:val="none"/>
              </w:rPr>
              <w:t>项目经理</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snapToGrid/>
              <w:spacing w:after="0"/>
              <w:ind w:firstLine="373" w:firstLineChars="17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拟投入的项目经理（仅一人）具备以下条件（本项最高得10分）：①具有人社部或工信部颁发的高级（或以上）工程师职称证书（通信类或电子类专业）的得2分；②具有工业和信息化相关部门颁发的高级网络信息安全工程师的得2分；③具有工业和信息化相关部门颁发的通信网络管理员一级证书的得2分；④具有人社部或工信部颁发的计算机技术与软件专业技术资格信息系统项目管理师证书的得2分；⑤具有人社部或工信部颁发的计算机技术与软件专业技术资格系统规划与管理师证书的得2分。</w:t>
            </w:r>
          </w:p>
          <w:p>
            <w:pPr>
              <w:autoSpaceDE w:val="0"/>
              <w:autoSpaceDN w:val="0"/>
              <w:adjustRightInd/>
              <w:snapToGrid/>
              <w:spacing w:after="0"/>
              <w:ind w:firstLine="373" w:firstLineChars="17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注：须提供以上有效证书复印件及社会保障部门出具的近半年内任意1个月（不含开标当月）投标单位（含其上级公司）为其连续缴纳社会保险的有效凭证的复印件加盖投标人公章。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highlight w:val="none"/>
              </w:rPr>
              <w:t>技术力量</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en-US" w:eastAsia="zh-CN"/>
              </w:rPr>
              <w:t>0</w:t>
            </w:r>
            <w:r>
              <w:rPr>
                <w:rFonts w:hint="eastAsia" w:ascii="宋体" w:eastAsia="宋体" w:cs="宋体"/>
                <w:color w:val="auto"/>
                <w:sz w:val="21"/>
                <w:szCs w:val="21"/>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snapToGrid/>
              <w:spacing w:after="0"/>
              <w:ind w:firstLine="373" w:firstLineChars="178"/>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（1）拟投入的技术负责人（仅一人）具备以下条件（本项最高得6分）：①具有人社部或工信部颁发的计算机技术与软件专业技术资格信息系统项目管理师证书的得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zh-CN"/>
              </w:rPr>
              <w:t>具有人社部或工信部颁发的通信</w:t>
            </w:r>
            <w:r>
              <w:rPr>
                <w:rFonts w:hint="eastAsia" w:ascii="宋体" w:hAnsi="宋体" w:cs="宋体"/>
                <w:bCs/>
                <w:color w:val="auto"/>
                <w:sz w:val="21"/>
                <w:szCs w:val="21"/>
                <w:highlight w:val="none"/>
                <w:lang w:val="en-US" w:eastAsia="zh-CN"/>
              </w:rPr>
              <w:t>类</w:t>
            </w:r>
            <w:r>
              <w:rPr>
                <w:rFonts w:hint="eastAsia" w:ascii="宋体" w:hAnsi="宋体" w:eastAsia="宋体" w:cs="宋体"/>
                <w:bCs/>
                <w:color w:val="auto"/>
                <w:sz w:val="21"/>
                <w:szCs w:val="21"/>
                <w:highlight w:val="none"/>
                <w:lang w:val="zh-CN"/>
              </w:rPr>
              <w:t>专业技术人员职业资格（互联网技术）证书的得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zh-CN"/>
              </w:rPr>
              <w:t>具有人社部或工信部颁发的计算机技术与软件专业技术资格网络工程师证书的得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r>
              <w:rPr>
                <w:rFonts w:hint="eastAsia" w:ascii="宋体" w:hAnsi="宋体" w:cs="宋体"/>
                <w:bCs/>
                <w:color w:val="auto"/>
                <w:sz w:val="21"/>
                <w:szCs w:val="21"/>
                <w:highlight w:val="none"/>
                <w:lang w:val="en-US" w:eastAsia="zh-CN"/>
              </w:rPr>
              <w:t>④</w:t>
            </w:r>
            <w:r>
              <w:rPr>
                <w:rFonts w:hint="eastAsia" w:ascii="宋体" w:hAnsi="宋体" w:eastAsia="宋体" w:cs="宋体"/>
                <w:bCs/>
                <w:color w:val="auto"/>
                <w:sz w:val="21"/>
                <w:szCs w:val="21"/>
                <w:highlight w:val="none"/>
                <w:lang w:val="zh-CN"/>
              </w:rPr>
              <w:t>具有中国信息安全测评中心颁发的CISP注册信息安全工程师证书的得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tabs>
                <w:tab w:val="left" w:pos="360"/>
              </w:tabs>
              <w:adjustRightInd/>
              <w:snapToGrid/>
              <w:spacing w:after="0"/>
              <w:ind w:firstLine="373" w:firstLineChars="178"/>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 xml:space="preserve">本项目组拟投入的其他人员（不含项目经理和技术负责人，本项最高得4分）：具有人社部门（或工信部门）颁发高级工程师职称证书（通信类或电子类或网络类专业）的，每一个得1分，具有人社部门（或工信部门）颁发中级职称证书（通信类或电子类或网络类专业）的，每一个得0.5分，本项最高得4分。 </w:t>
            </w:r>
          </w:p>
          <w:p>
            <w:pPr>
              <w:tabs>
                <w:tab w:val="left" w:pos="360"/>
              </w:tabs>
              <w:adjustRightInd/>
              <w:snapToGrid/>
              <w:spacing w:after="0"/>
              <w:ind w:firstLine="373" w:firstLineChars="178"/>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注：须提供以上有效证书复印件及社会保障部门出具的近半年内任意1个月（不含开标当月）投标单位（含其上级公司）为其连续缴纳社会保险的有效凭证的复印件加盖投标人公章。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rPr>
                <w:rFonts w:hint="eastAsia" w:ascii="宋体" w:hAnsi="宋体" w:eastAsia="宋体" w:cs="宋体"/>
                <w:color w:val="auto"/>
                <w:kern w:val="2"/>
                <w:sz w:val="21"/>
                <w:szCs w:val="21"/>
                <w:highlight w:val="none"/>
              </w:rPr>
            </w:pPr>
            <w:r>
              <w:rPr>
                <w:rFonts w:hint="eastAsia"/>
                <w:color w:val="auto"/>
                <w:highlight w:val="none"/>
              </w:rPr>
              <w:t>项目实施方案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37"/>
              <w:tabs>
                <w:tab w:val="left" w:pos="360"/>
              </w:tabs>
              <w:spacing w:line="240" w:lineRule="auto"/>
              <w:ind w:firstLine="371" w:firstLineChars="177"/>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根据投标人的项目总体设计方案对用户需求响应的完整性、准确性、先进性、合理性、服务定位清晰程度等进行评审：</w:t>
            </w:r>
          </w:p>
          <w:p>
            <w:pPr>
              <w:pStyle w:val="37"/>
              <w:tabs>
                <w:tab w:val="left" w:pos="360"/>
              </w:tabs>
              <w:spacing w:line="240" w:lineRule="auto"/>
              <w:ind w:firstLine="371" w:firstLineChars="177"/>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方案详细且满足用户所有要求，可行性强得10分；</w:t>
            </w:r>
          </w:p>
          <w:p>
            <w:pPr>
              <w:pStyle w:val="37"/>
              <w:tabs>
                <w:tab w:val="left" w:pos="360"/>
              </w:tabs>
              <w:spacing w:line="240" w:lineRule="auto"/>
              <w:ind w:firstLine="371" w:firstLineChars="177"/>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方案基本满足用户要求，可行性一般得6分；</w:t>
            </w:r>
          </w:p>
          <w:p>
            <w:pPr>
              <w:pStyle w:val="37"/>
              <w:tabs>
                <w:tab w:val="left" w:pos="360"/>
              </w:tabs>
              <w:spacing w:line="240" w:lineRule="auto"/>
              <w:ind w:firstLine="371" w:firstLineChars="177"/>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方案不详细，可行性差得3分；</w:t>
            </w:r>
          </w:p>
          <w:p>
            <w:pPr>
              <w:pStyle w:val="37"/>
              <w:tabs>
                <w:tab w:val="left" w:pos="360"/>
              </w:tabs>
              <w:spacing w:line="240" w:lineRule="auto"/>
              <w:ind w:firstLine="371" w:firstLineChars="177"/>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未</w:t>
            </w:r>
            <w:r>
              <w:rPr>
                <w:rFonts w:hint="eastAsia" w:ascii="宋体" w:hAnsi="宋体" w:eastAsia="宋体" w:cs="宋体"/>
                <w:bCs/>
                <w:color w:val="auto"/>
                <w:sz w:val="21"/>
                <w:szCs w:val="21"/>
                <w:highlight w:val="none"/>
                <w:lang w:val="zh-CN"/>
              </w:rPr>
              <w:t>提供项目实施方案不得分。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售后服务承诺</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adjustRightInd/>
              <w:snapToGrid/>
              <w:spacing w:after="0"/>
              <w:ind w:firstLine="373" w:firstLineChars="17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根据投标人对项目安排的售后服务响应、应急服务响应、故障响应、质量保证体系及措施、服务承诺等进行综合评审：</w:t>
            </w:r>
          </w:p>
          <w:p>
            <w:pPr>
              <w:tabs>
                <w:tab w:val="left" w:pos="360"/>
              </w:tabs>
              <w:adjustRightInd/>
              <w:snapToGrid/>
              <w:spacing w:after="0"/>
              <w:ind w:firstLine="373" w:firstLineChars="178"/>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售后服务响应完整科学、可行性强，完全满足并优于招标文件要求，得10分;</w:t>
            </w:r>
          </w:p>
          <w:p>
            <w:pPr>
              <w:tabs>
                <w:tab w:val="left" w:pos="360"/>
              </w:tabs>
              <w:adjustRightInd/>
              <w:snapToGrid/>
              <w:spacing w:after="0"/>
              <w:ind w:firstLine="373" w:firstLineChars="178"/>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售后服务响应完整、可行性一般，符合招标文件要求，得6分;</w:t>
            </w:r>
          </w:p>
          <w:p>
            <w:pPr>
              <w:tabs>
                <w:tab w:val="left" w:pos="360"/>
              </w:tabs>
              <w:adjustRightInd/>
              <w:snapToGrid/>
              <w:spacing w:after="0"/>
              <w:ind w:firstLine="373" w:firstLineChars="178"/>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售后服务响应基本完整、可行性较差，基本符合招标文件要求，得3分。</w:t>
            </w:r>
          </w:p>
          <w:p>
            <w:pPr>
              <w:tabs>
                <w:tab w:val="left" w:pos="360"/>
              </w:tabs>
              <w:adjustRightInd/>
              <w:snapToGrid/>
              <w:spacing w:after="0"/>
              <w:ind w:firstLine="373" w:firstLineChars="178"/>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未提供售后服务承诺不得分。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技术参数要求</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400" w:lineRule="exact"/>
              <w:ind w:firstLine="0" w:firstLineChars="0"/>
              <w:jc w:val="center"/>
              <w:rPr>
                <w:rFonts w:hint="eastAsia" w:ascii="宋体" w:hAnsi="宋体" w:cs="宋体"/>
                <w:color w:val="auto"/>
                <w:sz w:val="21"/>
                <w:szCs w:val="21"/>
                <w:highlight w:val="none"/>
                <w:lang w:val="en-US" w:eastAsia="zh-CN"/>
              </w:rPr>
            </w:pPr>
            <w:r>
              <w:rPr>
                <w:rFonts w:hint="eastAsia" w:ascii="宋体" w:eastAsia="宋体" w:cs="宋体"/>
                <w:color w:val="auto"/>
                <w:kern w:val="0"/>
                <w:sz w:val="21"/>
                <w:szCs w:val="21"/>
                <w:highlight w:val="none"/>
              </w:rPr>
              <w:t>1</w:t>
            </w:r>
            <w:r>
              <w:rPr>
                <w:rFonts w:hint="eastAsia" w:ascii="宋体" w:eastAsia="宋体" w:cs="宋体"/>
                <w:color w:val="auto"/>
                <w:kern w:val="0"/>
                <w:sz w:val="21"/>
                <w:szCs w:val="21"/>
                <w:highlight w:val="none"/>
                <w:lang w:val="en-US" w:eastAsia="zh-CN"/>
              </w:rPr>
              <w:t>5</w:t>
            </w:r>
            <w:r>
              <w:rPr>
                <w:rFonts w:hint="eastAsia" w:ascii="宋体" w:eastAsia="宋体" w:cs="宋体"/>
                <w:color w:val="auto"/>
                <w:kern w:val="0"/>
                <w:sz w:val="21"/>
                <w:szCs w:val="21"/>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投标人拟投入设备的重要参数全部满足或优于招标要求的得1</w:t>
            </w:r>
            <w:r>
              <w:rPr>
                <w:rFonts w:hint="eastAsia" w:asci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分；其中标注“▲”号重要参数每一项负偏离或者无响应的扣</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分，最低得0分。</w:t>
            </w:r>
          </w:p>
          <w:p>
            <w:pPr>
              <w:pStyle w:val="23"/>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①对用户需求书带“▲”号条款，用户需求书要求提供证明资料的，则投标文件中须提供对应产品参数的证明资料。②对用户需求书带“▲”号条款，用户需求书未要求提供证明资料的，则投标文件中须提供所投产品品牌官方网站技术参数说明等详细技术资料，并要求于投标文件附上品牌官方网站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平滑过渡方案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15</w:t>
            </w:r>
            <w:r>
              <w:rPr>
                <w:rFonts w:hint="eastAsia" w:ascii="宋体" w:eastAsia="宋体" w:cs="宋体"/>
                <w:color w:val="auto"/>
                <w:sz w:val="21"/>
                <w:szCs w:val="21"/>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373" w:firstLineChars="17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根据投标人提供的平滑过渡方案进行评分，过渡方案评分点如下：</w:t>
            </w:r>
          </w:p>
          <w:p>
            <w:pPr>
              <w:pStyle w:val="23"/>
              <w:spacing w:line="240" w:lineRule="auto"/>
              <w:ind w:firstLine="373" w:firstLineChars="17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方案需要在保留原号码、办理步骤、交付工期、可操作性、人员保障、应急处理等方面进行真实详细说明。</w:t>
            </w:r>
          </w:p>
          <w:p>
            <w:pPr>
              <w:pStyle w:val="23"/>
              <w:spacing w:line="240" w:lineRule="auto"/>
              <w:ind w:firstLine="373" w:firstLineChars="178"/>
              <w:rPr>
                <w:rFonts w:hint="eastAsia" w:ascii="宋体" w:hAnsi="宋体" w:eastAsia="宋体" w:cs="宋体"/>
                <w:bCs/>
                <w:color w:val="auto"/>
                <w:sz w:val="21"/>
                <w:szCs w:val="21"/>
                <w:highlight w:val="none"/>
              </w:rPr>
            </w:pP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投标人根据过渡方案要求的，过渡期便捷度最高，实施步骤最少，交付工期最短，对使用方生产作业工作无影响，且完全满足过渡方案条件的，得</w:t>
            </w:r>
            <w:r>
              <w:rPr>
                <w:rFonts w:hint="eastAsia" w:asci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p>
            <w:pPr>
              <w:pStyle w:val="23"/>
              <w:spacing w:line="240" w:lineRule="auto"/>
              <w:ind w:firstLine="373" w:firstLineChars="178"/>
              <w:rPr>
                <w:rFonts w:hint="eastAsia" w:ascii="宋体" w:hAnsi="宋体" w:eastAsia="宋体" w:cs="宋体"/>
                <w:bCs/>
                <w:color w:val="auto"/>
                <w:sz w:val="21"/>
                <w:szCs w:val="21"/>
                <w:highlight w:val="none"/>
              </w:rPr>
            </w:pP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投标人根据过渡方案要求的，过渡期需实施步骤较多，交付工期较长，对使用方生产作业工作影响较小，基本满足过渡方案条件的，得1</w:t>
            </w:r>
            <w:r>
              <w:rPr>
                <w:rFonts w:hint="eastAsia" w:asci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pStyle w:val="23"/>
              <w:spacing w:line="240" w:lineRule="auto"/>
              <w:ind w:firstLine="373" w:firstLineChars="178"/>
              <w:rPr>
                <w:rFonts w:hint="eastAsia" w:ascii="宋体" w:hAnsi="宋体" w:eastAsia="宋体" w:cs="宋体"/>
                <w:bCs/>
                <w:color w:val="auto"/>
                <w:sz w:val="21"/>
                <w:szCs w:val="21"/>
                <w:highlight w:val="none"/>
              </w:rPr>
            </w:pP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投标人根据过渡方案要求的，过渡期需实施步骤繁琐，程序复杂，交付工期长，对使用方生产作业工作影响大，部分满足过渡方案条件的，得</w:t>
            </w:r>
            <w:r>
              <w:rPr>
                <w:rFonts w:hint="eastAsia" w:asci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23"/>
              <w:spacing w:line="240" w:lineRule="auto"/>
              <w:ind w:firstLine="373" w:firstLineChars="178"/>
              <w:rPr>
                <w:rFonts w:hint="eastAsia" w:ascii="宋体" w:hAnsi="宋体" w:eastAsia="宋体" w:cs="宋体"/>
                <w:bCs/>
                <w:color w:val="auto"/>
                <w:sz w:val="21"/>
                <w:szCs w:val="21"/>
                <w:highlight w:val="none"/>
              </w:rPr>
            </w:pP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4</w:t>
            </w:r>
            <w:r>
              <w:rPr>
                <w:rFonts w:hint="eastAsia" w:asci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未提供</w:t>
            </w:r>
            <w:r>
              <w:rPr>
                <w:rFonts w:hint="eastAsia" w:ascii="宋体" w:eastAsia="宋体" w:cs="宋体"/>
                <w:color w:val="auto"/>
                <w:sz w:val="21"/>
                <w:szCs w:val="21"/>
                <w:highlight w:val="none"/>
                <w:lang w:val="en-US" w:eastAsia="zh-CN"/>
              </w:rPr>
              <w:t>平滑过渡方案</w:t>
            </w:r>
            <w:r>
              <w:rPr>
                <w:rFonts w:hint="eastAsia" w:ascii="宋体" w:hAnsi="宋体" w:eastAsia="宋体" w:cs="宋体"/>
                <w:bCs/>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投标</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en-US" w:eastAsia="zh-CN"/>
              </w:rPr>
              <w:t>招标</w:t>
            </w:r>
            <w:r>
              <w:rPr>
                <w:rFonts w:hint="eastAsia" w:ascii="宋体" w:hAnsi="宋体" w:cs="宋体"/>
                <w:color w:val="auto"/>
                <w:kern w:val="2"/>
                <w:sz w:val="21"/>
                <w:szCs w:val="21"/>
                <w:highlight w:val="none"/>
                <w:lang w:val="zh-CN"/>
              </w:rPr>
              <w:t>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投标人</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报价)×价格权值</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2" w:name="_Toc32522"/>
      <w:r>
        <w:rPr>
          <w:rFonts w:hint="eastAsia"/>
          <w:color w:val="auto"/>
          <w:highlight w:val="none"/>
        </w:rPr>
        <w:t>合同文本参考格式</w:t>
      </w:r>
      <w:bookmarkEnd w:id="142"/>
    </w:p>
    <w:p>
      <w:pPr>
        <w:jc w:val="center"/>
        <w:outlineLvl w:val="1"/>
        <w:rPr>
          <w:color w:val="auto"/>
          <w:sz w:val="18"/>
          <w:szCs w:val="21"/>
          <w:highlight w:val="none"/>
        </w:rPr>
      </w:pPr>
      <w:bookmarkStart w:id="143" w:name="_Toc1541"/>
      <w:r>
        <w:rPr>
          <w:rFonts w:hint="eastAsia" w:ascii="宋体" w:hAnsi="宋体" w:cs="宋体"/>
          <w:b/>
          <w:bCs/>
          <w:color w:val="auto"/>
          <w:sz w:val="22"/>
          <w:szCs w:val="22"/>
          <w:highlight w:val="none"/>
        </w:rPr>
        <w:t>（本格式编排在招标文件中，供投标人参考，投标时不需填写）</w:t>
      </w:r>
      <w:bookmarkEnd w:id="143"/>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项目的采购结果，按照《中华人民共和国政府采购法》，《中华人民共和国民法典(合同编)》的规定，经双方协商，本着平等互利和诚实信用的原则，一致同意遵守本合同如下。</w:t>
      </w:r>
    </w:p>
    <w:p>
      <w:pPr>
        <w:spacing w:line="360" w:lineRule="auto"/>
        <w:outlineLvl w:val="1"/>
        <w:rPr>
          <w:b/>
          <w:bCs/>
          <w:color w:val="auto"/>
          <w:highlight w:val="none"/>
        </w:rPr>
      </w:pPr>
      <w:bookmarkStart w:id="144" w:name="_Toc14994"/>
      <w:bookmarkStart w:id="145" w:name="_Toc3633"/>
      <w:bookmarkStart w:id="146" w:name="_Toc21895"/>
      <w:bookmarkStart w:id="147" w:name="_Toc864"/>
      <w:r>
        <w:rPr>
          <w:rFonts w:hint="eastAsia"/>
          <w:b/>
          <w:bCs/>
          <w:color w:val="auto"/>
          <w:highlight w:val="none"/>
        </w:rPr>
        <w:t>一、合同金额</w:t>
      </w:r>
      <w:bookmarkEnd w:id="144"/>
      <w:bookmarkEnd w:id="145"/>
      <w:bookmarkEnd w:id="146"/>
      <w:bookmarkEnd w:id="147"/>
    </w:p>
    <w:p>
      <w:pPr>
        <w:spacing w:line="360" w:lineRule="auto"/>
        <w:ind w:firstLine="420" w:firstLineChars="200"/>
        <w:rPr>
          <w:rFonts w:hint="eastAsia"/>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ind w:firstLine="420" w:firstLineChars="200"/>
        <w:rPr>
          <w:rFonts w:hint="eastAsia" w:eastAsia="宋体"/>
          <w:color w:val="auto"/>
          <w:highlight w:val="none"/>
          <w:lang w:eastAsia="zh-CN"/>
        </w:rPr>
      </w:pPr>
      <w:r>
        <w:rPr>
          <w:rFonts w:hint="eastAsia"/>
          <w:color w:val="auto"/>
          <w:sz w:val="21"/>
          <w:szCs w:val="21"/>
          <w:highlight w:val="none"/>
          <w:lang w:val="en-US" w:eastAsia="zh-CN"/>
        </w:rPr>
        <w:t>履约保证金：乙方应在领取成交通知书之后签订合同之前递交履约保证金，履约保证金金额为合同金额的5%，</w:t>
      </w:r>
      <w:r>
        <w:rPr>
          <w:rFonts w:ascii="宋体" w:hAnsi="宋体" w:eastAsia="宋体"/>
          <w:color w:val="auto"/>
          <w:sz w:val="21"/>
          <w:szCs w:val="21"/>
          <w:highlight w:val="none"/>
        </w:rPr>
        <w:t>采用履约保证金保函形式向</w:t>
      </w:r>
      <w:r>
        <w:rPr>
          <w:rFonts w:hint="eastAsia" w:ascii="宋体" w:hAnsi="宋体" w:eastAsia="宋体"/>
          <w:color w:val="auto"/>
          <w:sz w:val="21"/>
          <w:szCs w:val="21"/>
          <w:highlight w:val="none"/>
          <w:lang w:val="en-US" w:eastAsia="zh-CN"/>
        </w:rPr>
        <w:t>甲方</w:t>
      </w:r>
      <w:r>
        <w:rPr>
          <w:rFonts w:ascii="宋体" w:hAnsi="宋体" w:eastAsia="宋体"/>
          <w:color w:val="auto"/>
          <w:sz w:val="21"/>
          <w:szCs w:val="21"/>
          <w:highlight w:val="none"/>
        </w:rPr>
        <w:t>提供履约保函。</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保函可由银行或第三方有资质公司出具。</w:t>
      </w:r>
      <w:r>
        <w:rPr>
          <w:rFonts w:hint="eastAsia" w:ascii="宋体" w:hAnsi="宋体" w:eastAsia="宋体"/>
          <w:color w:val="auto"/>
          <w:sz w:val="21"/>
          <w:szCs w:val="21"/>
          <w:highlight w:val="none"/>
          <w:lang w:eastAsia="zh-CN"/>
        </w:rPr>
        <w:t>）</w:t>
      </w:r>
    </w:p>
    <w:p>
      <w:pPr>
        <w:spacing w:line="360" w:lineRule="auto"/>
        <w:outlineLvl w:val="1"/>
        <w:rPr>
          <w:b/>
          <w:bCs/>
          <w:color w:val="auto"/>
          <w:highlight w:val="none"/>
        </w:rPr>
      </w:pPr>
      <w:bookmarkStart w:id="148" w:name="_Toc8984"/>
      <w:bookmarkStart w:id="149" w:name="_Toc31907"/>
      <w:bookmarkStart w:id="150" w:name="_Toc8673"/>
      <w:bookmarkStart w:id="151" w:name="_Toc32599"/>
      <w:r>
        <w:rPr>
          <w:rFonts w:hint="eastAsia"/>
          <w:b/>
          <w:bCs/>
          <w:color w:val="auto"/>
          <w:highlight w:val="none"/>
        </w:rPr>
        <w:t>二、服务范围</w:t>
      </w:r>
      <w:bookmarkEnd w:id="148"/>
      <w:bookmarkEnd w:id="149"/>
      <w:bookmarkEnd w:id="150"/>
      <w:bookmarkEnd w:id="151"/>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52" w:name="_Toc28304"/>
      <w:bookmarkStart w:id="153" w:name="_Toc23270"/>
      <w:bookmarkStart w:id="154" w:name="_Toc2159"/>
      <w:bookmarkStart w:id="155" w:name="_Toc9958"/>
      <w:r>
        <w:rPr>
          <w:rFonts w:hint="eastAsia"/>
          <w:b/>
          <w:bCs/>
          <w:color w:val="auto"/>
          <w:highlight w:val="none"/>
        </w:rPr>
        <w:t>三、甲方乙方的权利和义务</w:t>
      </w:r>
      <w:bookmarkEnd w:id="152"/>
      <w:bookmarkEnd w:id="153"/>
      <w:bookmarkEnd w:id="154"/>
      <w:bookmarkEnd w:id="155"/>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56" w:name="_Toc29743"/>
      <w:bookmarkStart w:id="157" w:name="_Toc3949"/>
      <w:bookmarkStart w:id="158" w:name="_Toc31228"/>
      <w:bookmarkStart w:id="159" w:name="_Toc13843"/>
      <w:r>
        <w:rPr>
          <w:rFonts w:hint="eastAsia"/>
          <w:b/>
          <w:bCs/>
          <w:color w:val="auto"/>
          <w:highlight w:val="none"/>
        </w:rPr>
        <w:t>四、服务期间（项目完成期限）</w:t>
      </w:r>
      <w:bookmarkEnd w:id="156"/>
      <w:bookmarkEnd w:id="157"/>
      <w:bookmarkEnd w:id="158"/>
      <w:bookmarkEnd w:id="159"/>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60" w:name="_Toc3509"/>
      <w:bookmarkStart w:id="161" w:name="_Toc1315"/>
      <w:bookmarkStart w:id="162" w:name="_Toc30401"/>
      <w:bookmarkStart w:id="163" w:name="_Toc26555"/>
      <w:r>
        <w:rPr>
          <w:rFonts w:hint="eastAsia"/>
          <w:b/>
          <w:bCs/>
          <w:color w:val="auto"/>
          <w:highlight w:val="none"/>
        </w:rPr>
        <w:t>五、付款方式</w:t>
      </w:r>
      <w:bookmarkEnd w:id="160"/>
      <w:bookmarkEnd w:id="161"/>
      <w:bookmarkEnd w:id="162"/>
      <w:bookmarkEnd w:id="163"/>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64" w:name="_Toc25049"/>
      <w:bookmarkStart w:id="165" w:name="_Toc27026"/>
      <w:bookmarkStart w:id="166" w:name="_Toc28728"/>
      <w:bookmarkStart w:id="167" w:name="_Toc29016"/>
      <w:r>
        <w:rPr>
          <w:rFonts w:hint="eastAsia"/>
          <w:b/>
          <w:bCs/>
          <w:color w:val="auto"/>
          <w:highlight w:val="none"/>
        </w:rPr>
        <w:t>六、知识产权归属</w:t>
      </w:r>
      <w:bookmarkEnd w:id="164"/>
      <w:bookmarkEnd w:id="165"/>
      <w:bookmarkEnd w:id="166"/>
      <w:bookmarkEnd w:id="167"/>
    </w:p>
    <w:p>
      <w:pPr>
        <w:spacing w:line="360" w:lineRule="auto"/>
        <w:outlineLvl w:val="1"/>
        <w:rPr>
          <w:b/>
          <w:bCs/>
          <w:color w:val="auto"/>
          <w:highlight w:val="none"/>
        </w:rPr>
      </w:pPr>
      <w:bookmarkStart w:id="168" w:name="_Toc25037"/>
      <w:bookmarkStart w:id="169" w:name="_Toc16011"/>
      <w:bookmarkStart w:id="170" w:name="_Toc491"/>
      <w:bookmarkStart w:id="171" w:name="_Toc15194"/>
      <w:r>
        <w:rPr>
          <w:rFonts w:hint="eastAsia"/>
          <w:b/>
          <w:bCs/>
          <w:color w:val="auto"/>
          <w:highlight w:val="none"/>
        </w:rPr>
        <w:t>七、保密</w:t>
      </w:r>
      <w:bookmarkEnd w:id="168"/>
      <w:bookmarkEnd w:id="169"/>
      <w:bookmarkEnd w:id="170"/>
      <w:bookmarkEnd w:id="171"/>
    </w:p>
    <w:p>
      <w:pPr>
        <w:spacing w:line="360" w:lineRule="auto"/>
        <w:outlineLvl w:val="1"/>
        <w:rPr>
          <w:b/>
          <w:bCs/>
          <w:color w:val="auto"/>
          <w:highlight w:val="none"/>
        </w:rPr>
      </w:pPr>
      <w:bookmarkStart w:id="172" w:name="_Toc8277"/>
      <w:bookmarkStart w:id="173" w:name="_Toc14319"/>
      <w:bookmarkStart w:id="174" w:name="_Toc28189"/>
      <w:bookmarkStart w:id="175" w:name="_Toc5642"/>
      <w:r>
        <w:rPr>
          <w:rFonts w:hint="eastAsia"/>
          <w:b/>
          <w:bCs/>
          <w:color w:val="auto"/>
          <w:highlight w:val="none"/>
        </w:rPr>
        <w:t>八、违约责任与赔偿损失</w:t>
      </w:r>
      <w:bookmarkEnd w:id="172"/>
      <w:bookmarkEnd w:id="173"/>
      <w:bookmarkEnd w:id="174"/>
      <w:bookmarkEnd w:id="175"/>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4.其它违约责任按《中华人民共和国民法典(合同编)》处理</w:t>
      </w:r>
    </w:p>
    <w:p>
      <w:pPr>
        <w:spacing w:line="360" w:lineRule="auto"/>
        <w:outlineLvl w:val="1"/>
        <w:rPr>
          <w:b/>
          <w:bCs/>
          <w:color w:val="auto"/>
          <w:highlight w:val="none"/>
        </w:rPr>
      </w:pPr>
      <w:bookmarkStart w:id="176" w:name="_Toc23187"/>
      <w:bookmarkStart w:id="177" w:name="_Toc24754"/>
      <w:bookmarkStart w:id="178" w:name="_Toc30679"/>
      <w:bookmarkStart w:id="179" w:name="_Toc18504"/>
      <w:r>
        <w:rPr>
          <w:rFonts w:hint="eastAsia"/>
          <w:b/>
          <w:bCs/>
          <w:color w:val="auto"/>
          <w:highlight w:val="none"/>
        </w:rPr>
        <w:t>九、争议的解决</w:t>
      </w:r>
      <w:bookmarkEnd w:id="176"/>
      <w:bookmarkEnd w:id="177"/>
      <w:bookmarkEnd w:id="178"/>
      <w:bookmarkEnd w:id="179"/>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双方同意提交甲方所在地人民法院以诉讼方式解决，由此产生的律师费、担保费、保全费、诉讼费、鉴定费、公告费、公证费等相关费用由败诉方承担。</w:t>
      </w:r>
    </w:p>
    <w:p>
      <w:pPr>
        <w:spacing w:line="360" w:lineRule="auto"/>
        <w:outlineLvl w:val="1"/>
        <w:rPr>
          <w:b/>
          <w:bCs/>
          <w:color w:val="auto"/>
          <w:highlight w:val="none"/>
        </w:rPr>
      </w:pPr>
      <w:bookmarkStart w:id="180" w:name="_Toc20074"/>
      <w:bookmarkStart w:id="181" w:name="_Toc21080"/>
      <w:bookmarkStart w:id="182" w:name="_Toc23085"/>
      <w:bookmarkStart w:id="183" w:name="_Toc26856"/>
      <w:r>
        <w:rPr>
          <w:rFonts w:hint="eastAsia"/>
          <w:b/>
          <w:bCs/>
          <w:color w:val="auto"/>
          <w:highlight w:val="none"/>
        </w:rPr>
        <w:t>十、不可抗力</w:t>
      </w:r>
      <w:bookmarkEnd w:id="180"/>
      <w:bookmarkEnd w:id="181"/>
      <w:bookmarkEnd w:id="182"/>
      <w:bookmarkEnd w:id="183"/>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84" w:name="_Toc29236"/>
      <w:bookmarkStart w:id="185" w:name="_Toc12495"/>
      <w:bookmarkStart w:id="186" w:name="_Toc16247"/>
      <w:bookmarkStart w:id="187" w:name="_Toc12645"/>
      <w:r>
        <w:rPr>
          <w:rFonts w:hint="eastAsia"/>
          <w:b/>
          <w:bCs/>
          <w:color w:val="auto"/>
          <w:highlight w:val="none"/>
        </w:rPr>
        <w:t>十一、税费</w:t>
      </w:r>
      <w:bookmarkEnd w:id="184"/>
      <w:bookmarkEnd w:id="185"/>
      <w:bookmarkEnd w:id="186"/>
      <w:bookmarkEnd w:id="187"/>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88" w:name="_Toc7253"/>
      <w:bookmarkStart w:id="189" w:name="_Toc14065"/>
      <w:bookmarkStart w:id="190" w:name="_Toc16429"/>
      <w:bookmarkStart w:id="191" w:name="_Toc1974"/>
      <w:r>
        <w:rPr>
          <w:rFonts w:hint="eastAsia"/>
          <w:b/>
          <w:bCs/>
          <w:color w:val="auto"/>
          <w:highlight w:val="none"/>
        </w:rPr>
        <w:t>十二、其它</w:t>
      </w:r>
      <w:bookmarkEnd w:id="188"/>
      <w:bookmarkEnd w:id="189"/>
      <w:bookmarkEnd w:id="190"/>
      <w:bookmarkEnd w:id="191"/>
    </w:p>
    <w:p>
      <w:pPr>
        <w:spacing w:line="360" w:lineRule="auto"/>
        <w:ind w:firstLine="420" w:firstLineChars="200"/>
        <w:rPr>
          <w:color w:val="auto"/>
          <w:highlight w:val="none"/>
        </w:rPr>
      </w:pPr>
      <w:r>
        <w:rPr>
          <w:rFonts w:hint="eastAsia"/>
          <w:color w:val="auto"/>
          <w:highlight w:val="none"/>
        </w:rPr>
        <w:t>1.本合同所有附件、磋商文件、响应文件、中标通知书均为合同的有效组成部分，与本合同具有同等法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92" w:name="_Toc13763"/>
      <w:bookmarkStart w:id="193" w:name="_Toc31822"/>
      <w:bookmarkStart w:id="194" w:name="_Toc15369"/>
      <w:bookmarkStart w:id="195" w:name="_Toc22153"/>
      <w:r>
        <w:rPr>
          <w:rFonts w:hint="eastAsia"/>
          <w:b/>
          <w:bCs/>
          <w:color w:val="auto"/>
          <w:highlight w:val="none"/>
        </w:rPr>
        <w:t>十三、合同生效</w:t>
      </w:r>
      <w:bookmarkEnd w:id="192"/>
      <w:bookmarkEnd w:id="193"/>
      <w:bookmarkEnd w:id="194"/>
      <w:bookmarkEnd w:id="195"/>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rPr>
          <w:color w:val="auto"/>
          <w:highlight w:val="none"/>
        </w:rPr>
      </w:pPr>
      <w:r>
        <w:rPr>
          <w:rFonts w:hint="eastAsia"/>
          <w:color w:val="auto"/>
          <w:highlight w:val="none"/>
        </w:rPr>
        <w:t>开 户 行：</w:t>
      </w:r>
      <w:r>
        <w:rPr>
          <w:rFonts w:hint="eastAsia"/>
          <w:color w:val="auto"/>
          <w:highlight w:val="none"/>
        </w:rPr>
        <w:br w:type="page"/>
      </w:r>
    </w:p>
    <w:p>
      <w:pPr>
        <w:pStyle w:val="3"/>
        <w:rPr>
          <w:color w:val="auto"/>
          <w:highlight w:val="none"/>
        </w:rPr>
      </w:pPr>
      <w:bookmarkStart w:id="196" w:name="_Toc17794"/>
      <w:r>
        <w:rPr>
          <w:rFonts w:hint="eastAsia"/>
          <w:color w:val="auto"/>
          <w:highlight w:val="none"/>
        </w:rPr>
        <w:t>第六篇 投标文件格式</w:t>
      </w:r>
      <w:bookmarkEnd w:id="196"/>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97" w:name="_Toc32213"/>
      <w:r>
        <w:rPr>
          <w:rFonts w:hint="eastAsia"/>
          <w:b/>
          <w:bCs/>
          <w:color w:val="auto"/>
          <w:highlight w:val="none"/>
        </w:rPr>
        <w:t>（封面格式仅供参考）</w:t>
      </w:r>
      <w:bookmarkEnd w:id="197"/>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98" w:name="_Toc14748"/>
      <w:r>
        <w:rPr>
          <w:rFonts w:ascii="宋体" w:hAnsi="宋体" w:cs="宋体"/>
          <w:b/>
          <w:color w:val="auto"/>
          <w:spacing w:val="10"/>
          <w:kern w:val="0"/>
          <w:sz w:val="38"/>
          <w:szCs w:val="38"/>
          <w:highlight w:val="none"/>
          <w:lang w:val="zh-CN" w:bidi="zh-CN"/>
        </w:rPr>
        <w:t>投标文件封面</w:t>
      </w:r>
      <w:bookmarkEnd w:id="198"/>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99"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99"/>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2"/>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b/>
          <w:color w:val="auto"/>
          <w:highlight w:val="none"/>
        </w:rPr>
        <w:t>投标函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200" w:name="_Toc23039"/>
      <w:r>
        <w:rPr>
          <w:color w:val="auto"/>
          <w:sz w:val="24"/>
          <w:highlight w:val="none"/>
        </w:rPr>
        <w:t>法定代表人证明书</w:t>
      </w:r>
      <w:bookmarkEnd w:id="200"/>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七</w:t>
      </w:r>
      <w:r>
        <w:rPr>
          <w:rFonts w:hint="eastAsia"/>
          <w:b/>
          <w:bCs/>
          <w:color w:val="auto"/>
          <w:sz w:val="24"/>
          <w:szCs w:val="32"/>
          <w:highlight w:val="none"/>
        </w:rPr>
        <w:t>：</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2、具有良好的商业信誉和健全的财务会计制度：供应商必须具有良好的商业信誉和健全的财务会计制度（提供</w:t>
      </w:r>
      <w:r>
        <w:rPr>
          <w:rFonts w:hint="eastAsia" w:ascii="宋体" w:hAnsi="宋体" w:eastAsia="宋体"/>
          <w:color w:val="auto"/>
          <w:szCs w:val="21"/>
          <w:highlight w:val="none"/>
          <w:lang w:val="en-US" w:eastAsia="zh-CN"/>
        </w:rPr>
        <w:t>2022年度</w:t>
      </w:r>
      <w:r>
        <w:rPr>
          <w:rFonts w:hint="eastAsia" w:ascii="宋体" w:hAnsi="宋体" w:eastAsia="宋体"/>
          <w:color w:val="auto"/>
          <w:szCs w:val="21"/>
          <w:highlight w:val="none"/>
        </w:rPr>
        <w:t>财务状况报告或基本开户行出具的资信证明）。</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3、</w:t>
      </w:r>
      <w:r>
        <w:rPr>
          <w:rFonts w:hint="eastAsia" w:ascii="宋体" w:hAnsi="宋体" w:eastAsia="宋体"/>
          <w:color w:val="auto"/>
          <w:szCs w:val="21"/>
          <w:highlight w:val="none"/>
          <w:lang w:eastAsia="zh-CN"/>
        </w:rPr>
        <w:t>履行合同所必需的</w:t>
      </w:r>
      <w:r>
        <w:rPr>
          <w:rFonts w:hint="eastAsia" w:ascii="宋体" w:hAnsi="宋体" w:eastAsia="宋体"/>
          <w:color w:val="auto"/>
          <w:szCs w:val="21"/>
          <w:highlight w:val="none"/>
        </w:rPr>
        <w:t>设备和专业技术能力：填报设备及专业技术能力情况，格式自拟。</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rPr>
          <w:color w:val="auto"/>
          <w:sz w:val="20"/>
          <w:highlight w:val="none"/>
        </w:rPr>
      </w:pPr>
      <w:r>
        <w:rPr>
          <w:rFonts w:hint="eastAsia"/>
          <w:color w:val="auto"/>
          <w:sz w:val="20"/>
          <w:highlight w:val="none"/>
        </w:rPr>
        <w:br w:type="page"/>
      </w:r>
    </w:p>
    <w:p>
      <w:pPr>
        <w:pStyle w:val="2"/>
        <w:ind w:firstLine="482"/>
        <w:jc w:val="center"/>
        <w:rPr>
          <w:b/>
          <w:color w:val="auto"/>
          <w:highlight w:val="none"/>
        </w:rPr>
      </w:pPr>
      <w:r>
        <w:rPr>
          <w:rFonts w:hint="eastAsia"/>
          <w:b/>
          <w:color w:val="auto"/>
          <w:highlight w:val="none"/>
        </w:rPr>
        <w:t>资格条件声明函</w:t>
      </w:r>
    </w:p>
    <w:p>
      <w:pPr>
        <w:ind w:firstLine="640"/>
        <w:rPr>
          <w:rFonts w:ascii="仿宋_GB2312" w:hAnsi="仿宋_GB2312" w:eastAsia="仿宋_GB2312" w:cs="仿宋_GB2312"/>
          <w:color w:val="auto"/>
          <w:sz w:val="32"/>
          <w:szCs w:val="32"/>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供应商名称（公章）</w:t>
      </w:r>
    </w:p>
    <w:p>
      <w:pPr>
        <w:spacing w:line="360" w:lineRule="auto"/>
        <w:ind w:firstLine="420" w:firstLineChars="200"/>
        <w:jc w:val="left"/>
        <w:rPr>
          <w:rFonts w:hint="eastAsia"/>
          <w:b/>
          <w:bCs/>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r>
        <w:rPr>
          <w:rFonts w:hint="eastAsia"/>
          <w:b/>
          <w:bCs/>
          <w:color w:val="auto"/>
          <w:highlight w:val="none"/>
        </w:rPr>
        <w:br w:type="page"/>
      </w:r>
    </w:p>
    <w:p>
      <w:pPr>
        <w:pStyle w:val="2"/>
        <w:rPr>
          <w:color w:val="auto"/>
          <w:highlight w:val="none"/>
        </w:rPr>
      </w:pPr>
      <w:r>
        <w:rPr>
          <w:rFonts w:hint="eastAsia"/>
          <w:b/>
          <w:bCs/>
          <w:color w:val="auto"/>
          <w:highlight w:val="none"/>
        </w:rPr>
        <w:t>格式</w:t>
      </w:r>
      <w:r>
        <w:rPr>
          <w:rFonts w:hint="eastAsia"/>
          <w:b/>
          <w:bCs/>
          <w:color w:val="auto"/>
          <w:highlight w:val="none"/>
          <w:lang w:val="en-US" w:eastAsia="zh-CN"/>
        </w:rPr>
        <w:t>八</w:t>
      </w:r>
      <w:r>
        <w:rPr>
          <w:rFonts w:hint="eastAsia"/>
          <w:b/>
          <w:bCs/>
          <w:color w:val="auto"/>
          <w:highlight w:val="none"/>
        </w:rPr>
        <w:t>：</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九</w:t>
      </w:r>
      <w:r>
        <w:rPr>
          <w:rFonts w:hint="eastAsia"/>
          <w:b/>
          <w:bCs/>
          <w:color w:val="auto"/>
          <w:sz w:val="24"/>
          <w:szCs w:val="32"/>
          <w:highlight w:val="none"/>
        </w:rPr>
        <w:t>：</w:t>
      </w:r>
    </w:p>
    <w:p>
      <w:pPr>
        <w:pStyle w:val="2"/>
        <w:jc w:val="center"/>
        <w:rPr>
          <w:b/>
          <w:bCs/>
          <w:color w:val="auto"/>
          <w:highlight w:val="none"/>
          <w:lang w:val="en-US"/>
        </w:rPr>
      </w:pPr>
      <w:r>
        <w:rPr>
          <w:b/>
          <w:bCs/>
          <w:color w:val="auto"/>
          <w:highlight w:val="none"/>
          <w:lang w:val="en-US"/>
        </w:rPr>
        <w:t>投标人业绩情况表</w:t>
      </w:r>
    </w:p>
    <w:p>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一</w:t>
      </w:r>
      <w:r>
        <w:rPr>
          <w:rFonts w:hint="eastAsia"/>
          <w:b/>
          <w:bCs/>
          <w:color w:val="auto"/>
          <w:sz w:val="24"/>
          <w:highlight w:val="none"/>
        </w:rPr>
        <w:t>：</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二</w:t>
      </w:r>
      <w:r>
        <w:rPr>
          <w:rFonts w:hint="eastAsia"/>
          <w:b/>
          <w:bCs/>
          <w:color w:val="auto"/>
          <w:sz w:val="24"/>
          <w:highlight w:val="none"/>
        </w:rPr>
        <w:t>：</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201" w:name="_Toc20098"/>
      <w:r>
        <w:rPr>
          <w:color w:val="auto"/>
          <w:highlight w:val="none"/>
        </w:rPr>
        <w:t>履约进度计划表</w:t>
      </w:r>
      <w:bookmarkEnd w:id="201"/>
    </w:p>
    <w:p>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202" w:name="_Toc2912"/>
      <w:r>
        <w:rPr>
          <w:rFonts w:hint="eastAsia"/>
          <w:b/>
          <w:bCs/>
          <w:color w:val="auto"/>
          <w:sz w:val="24"/>
          <w:szCs w:val="32"/>
          <w:highlight w:val="none"/>
        </w:rPr>
        <w:t>格式十</w:t>
      </w:r>
      <w:r>
        <w:rPr>
          <w:rFonts w:hint="eastAsia"/>
          <w:b/>
          <w:bCs/>
          <w:color w:val="auto"/>
          <w:sz w:val="24"/>
          <w:szCs w:val="32"/>
          <w:highlight w:val="none"/>
          <w:lang w:val="en-US" w:eastAsia="zh-CN"/>
        </w:rPr>
        <w:t>三</w:t>
      </w:r>
      <w:r>
        <w:rPr>
          <w:rFonts w:hint="eastAsia"/>
          <w:b/>
          <w:bCs/>
          <w:color w:val="auto"/>
          <w:sz w:val="24"/>
          <w:szCs w:val="32"/>
          <w:highlight w:val="none"/>
        </w:rPr>
        <w:t>：</w:t>
      </w:r>
      <w:bookmarkEnd w:id="202"/>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203" w:name="_Toc14919"/>
      <w:r>
        <w:rPr>
          <w:rFonts w:hint="eastAsia" w:ascii="宋体" w:hAnsi="宋体" w:cs="宋体"/>
          <w:color w:val="auto"/>
          <w:szCs w:val="21"/>
          <w:highlight w:val="none"/>
        </w:rPr>
        <w:t>1、招标文件要求提供的其他资料。</w:t>
      </w:r>
      <w:bookmarkEnd w:id="203"/>
    </w:p>
    <w:p>
      <w:pPr>
        <w:pStyle w:val="20"/>
        <w:tabs>
          <w:tab w:val="left" w:pos="673"/>
        </w:tabs>
        <w:spacing w:line="360" w:lineRule="auto"/>
        <w:ind w:firstLine="0" w:firstLineChars="0"/>
        <w:outlineLvl w:val="1"/>
        <w:rPr>
          <w:rFonts w:ascii="宋体" w:hAnsi="宋体" w:cs="宋体"/>
          <w:color w:val="auto"/>
          <w:szCs w:val="21"/>
          <w:highlight w:val="none"/>
        </w:rPr>
      </w:pPr>
      <w:bookmarkStart w:id="204" w:name="_Toc7938"/>
      <w:r>
        <w:rPr>
          <w:rFonts w:hint="eastAsia" w:ascii="宋体" w:hAnsi="宋体" w:cs="宋体"/>
          <w:color w:val="auto"/>
          <w:szCs w:val="21"/>
          <w:highlight w:val="none"/>
        </w:rPr>
        <w:t>2、投标人认为需提供的其他资料。</w:t>
      </w:r>
      <w:bookmarkEnd w:id="204"/>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205" w:name="_Toc30382"/>
      <w:r>
        <w:rPr>
          <w:rFonts w:hint="eastAsia" w:ascii="宋体" w:hAnsi="宋体" w:cs="宋体"/>
          <w:b/>
          <w:bCs/>
          <w:color w:val="auto"/>
          <w:sz w:val="24"/>
          <w:highlight w:val="none"/>
        </w:rPr>
        <w:t>格式十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bookmarkEnd w:id="205"/>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206" w:name="_Toc3970"/>
      <w:r>
        <w:rPr>
          <w:rFonts w:hint="eastAsia" w:ascii="宋体" w:hAnsi="宋体" w:cs="宋体"/>
          <w:b/>
          <w:bCs/>
          <w:color w:val="auto"/>
          <w:sz w:val="24"/>
          <w:highlight w:val="none"/>
        </w:rPr>
        <w:t>格式十五：</w:t>
      </w:r>
      <w:bookmarkEnd w:id="206"/>
    </w:p>
    <w:p>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207" w:name="_Toc4401"/>
      <w:r>
        <w:rPr>
          <w:rFonts w:hint="eastAsia" w:ascii="宋体" w:hAnsi="宋体" w:cs="宋体"/>
          <w:b/>
          <w:bCs/>
          <w:color w:val="auto"/>
          <w:szCs w:val="21"/>
          <w:highlight w:val="none"/>
        </w:rPr>
        <w:t>需要招标人提供的附加条件</w:t>
      </w:r>
      <w:bookmarkEnd w:id="207"/>
    </w:p>
    <w:p>
      <w:pPr>
        <w:pStyle w:val="2"/>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208" w:name="_Toc25747"/>
      <w:r>
        <w:rPr>
          <w:rFonts w:hint="eastAsia"/>
          <w:b/>
          <w:bCs/>
          <w:color w:val="auto"/>
          <w:highlight w:val="none"/>
          <w:lang w:val="en-US"/>
        </w:rPr>
        <w:t>格式十六：</w:t>
      </w:r>
      <w:bookmarkEnd w:id="208"/>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209" w:name="_Toc27211"/>
      <w:r>
        <w:rPr>
          <w:rFonts w:hint="eastAsia"/>
          <w:color w:val="auto"/>
          <w:highlight w:val="none"/>
        </w:rPr>
        <w:t>第七篇 开标文件格式</w:t>
      </w:r>
      <w:bookmarkEnd w:id="209"/>
    </w:p>
    <w:p>
      <w:pPr>
        <w:jc w:val="center"/>
        <w:outlineLvl w:val="1"/>
        <w:rPr>
          <w:b/>
          <w:bCs/>
          <w:color w:val="auto"/>
          <w:highlight w:val="none"/>
        </w:rPr>
      </w:pPr>
      <w:bookmarkStart w:id="210" w:name="_Toc32249"/>
      <w:r>
        <w:rPr>
          <w:rFonts w:hint="eastAsia"/>
          <w:b/>
          <w:bCs/>
          <w:color w:val="auto"/>
          <w:highlight w:val="none"/>
        </w:rPr>
        <w:t>（封面格式仅供参考）</w:t>
      </w:r>
      <w:bookmarkEnd w:id="210"/>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211"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211"/>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12"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212"/>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2"/>
        <w:spacing w:before="0" w:line="360" w:lineRule="auto"/>
        <w:ind w:left="0"/>
        <w:outlineLvl w:val="1"/>
        <w:rPr>
          <w:b/>
          <w:bCs/>
          <w:color w:val="auto"/>
          <w:sz w:val="21"/>
          <w:szCs w:val="21"/>
          <w:highlight w:val="none"/>
          <w:lang w:val="en-US"/>
        </w:rPr>
      </w:pPr>
      <w:bookmarkStart w:id="213" w:name="_Toc32100"/>
      <w:r>
        <w:rPr>
          <w:rFonts w:hint="eastAsia"/>
          <w:b/>
          <w:bCs/>
          <w:color w:val="auto"/>
          <w:sz w:val="21"/>
          <w:szCs w:val="21"/>
          <w:highlight w:val="none"/>
          <w:lang w:val="en-US"/>
        </w:rPr>
        <w:t>1、开标一览表</w:t>
      </w:r>
      <w:bookmarkEnd w:id="213"/>
    </w:p>
    <w:p>
      <w:pPr>
        <w:spacing w:line="360" w:lineRule="auto"/>
        <w:outlineLvl w:val="1"/>
        <w:rPr>
          <w:rFonts w:ascii="宋体" w:hAnsi="宋体" w:cs="宋体"/>
          <w:b/>
          <w:bCs/>
          <w:color w:val="auto"/>
          <w:szCs w:val="21"/>
          <w:highlight w:val="none"/>
        </w:rPr>
      </w:pPr>
      <w:bookmarkStart w:id="214" w:name="_Toc8054"/>
      <w:r>
        <w:rPr>
          <w:rFonts w:hint="eastAsia" w:ascii="宋体" w:hAnsi="宋体" w:cs="宋体"/>
          <w:b/>
          <w:bCs/>
          <w:color w:val="auto"/>
          <w:szCs w:val="21"/>
          <w:highlight w:val="none"/>
        </w:rPr>
        <w:t>2、分项报价表</w:t>
      </w:r>
      <w:bookmarkEnd w:id="214"/>
    </w:p>
    <w:p>
      <w:pPr>
        <w:pStyle w:val="2"/>
        <w:spacing w:before="0" w:line="360" w:lineRule="auto"/>
        <w:ind w:left="0"/>
        <w:outlineLvl w:val="1"/>
        <w:rPr>
          <w:b/>
          <w:bCs/>
          <w:color w:val="auto"/>
          <w:sz w:val="21"/>
          <w:szCs w:val="21"/>
          <w:highlight w:val="none"/>
          <w:lang w:val="en-US"/>
        </w:rPr>
      </w:pPr>
      <w:bookmarkStart w:id="215" w:name="_Toc5011"/>
      <w:r>
        <w:rPr>
          <w:rFonts w:hint="eastAsia"/>
          <w:b/>
          <w:bCs/>
          <w:color w:val="auto"/>
          <w:sz w:val="21"/>
          <w:szCs w:val="21"/>
          <w:highlight w:val="none"/>
          <w:lang w:val="en-US"/>
        </w:rPr>
        <w:t>3、法定代表人证明书</w:t>
      </w:r>
      <w:bookmarkEnd w:id="215"/>
    </w:p>
    <w:p>
      <w:pPr>
        <w:pStyle w:val="2"/>
        <w:spacing w:before="0" w:line="360" w:lineRule="auto"/>
        <w:ind w:left="0"/>
        <w:outlineLvl w:val="1"/>
        <w:rPr>
          <w:b/>
          <w:bCs/>
          <w:color w:val="auto"/>
          <w:sz w:val="21"/>
          <w:szCs w:val="21"/>
          <w:highlight w:val="none"/>
          <w:lang w:val="en-US"/>
        </w:rPr>
      </w:pPr>
      <w:bookmarkStart w:id="216" w:name="_Toc27439"/>
      <w:r>
        <w:rPr>
          <w:rFonts w:hint="eastAsia"/>
          <w:b/>
          <w:bCs/>
          <w:color w:val="auto"/>
          <w:sz w:val="21"/>
          <w:szCs w:val="21"/>
          <w:highlight w:val="none"/>
          <w:lang w:val="en-US"/>
        </w:rPr>
        <w:t>4、法定代表人授权书</w:t>
      </w:r>
      <w:bookmarkEnd w:id="216"/>
    </w:p>
    <w:p>
      <w:pPr>
        <w:spacing w:line="360" w:lineRule="auto"/>
        <w:outlineLvl w:val="1"/>
        <w:rPr>
          <w:rFonts w:ascii="宋体" w:hAnsi="宋体" w:cs="宋体"/>
          <w:b/>
          <w:bCs/>
          <w:color w:val="auto"/>
          <w:szCs w:val="21"/>
          <w:highlight w:val="none"/>
        </w:rPr>
      </w:pPr>
      <w:bookmarkStart w:id="217" w:name="_Toc16304"/>
      <w:r>
        <w:rPr>
          <w:rFonts w:hint="eastAsia" w:ascii="宋体" w:hAnsi="宋体" w:cs="宋体"/>
          <w:b/>
          <w:bCs/>
          <w:color w:val="auto"/>
          <w:szCs w:val="21"/>
          <w:highlight w:val="none"/>
        </w:rPr>
        <w:t>5、投标保证金</w:t>
      </w:r>
      <w:bookmarkEnd w:id="217"/>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218" w:name="_Toc2722"/>
      <w:r>
        <w:rPr>
          <w:rFonts w:hint="eastAsia"/>
          <w:color w:val="auto"/>
          <w:highlight w:val="none"/>
        </w:rPr>
        <w:t>第八篇 其它文件格式（如有需要）</w:t>
      </w:r>
      <w:bookmarkEnd w:id="218"/>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特种设备GIS系统的网络运营商服务项目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55BFF18"/>
    <w:multiLevelType w:val="singleLevel"/>
    <w:tmpl w:val="E55BFF18"/>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32E25990"/>
    <w:multiLevelType w:val="singleLevel"/>
    <w:tmpl w:val="32E25990"/>
    <w:lvl w:ilvl="0" w:tentative="0">
      <w:start w:val="1"/>
      <w:numFmt w:val="decimal"/>
      <w:suff w:val="nothing"/>
      <w:lvlText w:val="%1、"/>
      <w:lvlJc w:val="left"/>
    </w:lvl>
  </w:abstractNum>
  <w:abstractNum w:abstractNumId="7">
    <w:nsid w:val="3F88662E"/>
    <w:multiLevelType w:val="singleLevel"/>
    <w:tmpl w:val="3F88662E"/>
    <w:lvl w:ilvl="0" w:tentative="0">
      <w:start w:val="1"/>
      <w:numFmt w:val="decimal"/>
      <w:suff w:val="space"/>
      <w:lvlText w:val="%1)"/>
      <w:lvlJc w:val="left"/>
    </w:lvl>
  </w:abstractNum>
  <w:num w:numId="1">
    <w:abstractNumId w:val="0"/>
  </w:num>
  <w:num w:numId="2">
    <w:abstractNumId w:val="6"/>
  </w:num>
  <w:num w:numId="3">
    <w:abstractNumId w:val="1"/>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djYTgwZDk4MGVhOWM2Mzc5Y2E1ODMzZGQ4NDA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4BC008C"/>
    <w:rsid w:val="057C5CF6"/>
    <w:rsid w:val="05BE394B"/>
    <w:rsid w:val="07342FC6"/>
    <w:rsid w:val="08F278CA"/>
    <w:rsid w:val="0A5C25E5"/>
    <w:rsid w:val="0AAB1D08"/>
    <w:rsid w:val="0B5B7E94"/>
    <w:rsid w:val="0B696582"/>
    <w:rsid w:val="0C502C33"/>
    <w:rsid w:val="0CD41D0B"/>
    <w:rsid w:val="0CE31B26"/>
    <w:rsid w:val="0DE142A9"/>
    <w:rsid w:val="0E8C422E"/>
    <w:rsid w:val="0F1622A5"/>
    <w:rsid w:val="11565C91"/>
    <w:rsid w:val="121918AE"/>
    <w:rsid w:val="126E350F"/>
    <w:rsid w:val="131751AB"/>
    <w:rsid w:val="15380D0C"/>
    <w:rsid w:val="161909DD"/>
    <w:rsid w:val="178164D0"/>
    <w:rsid w:val="18062A99"/>
    <w:rsid w:val="1BBB674D"/>
    <w:rsid w:val="1BE705BF"/>
    <w:rsid w:val="1DB725C0"/>
    <w:rsid w:val="1E440D57"/>
    <w:rsid w:val="20332F5E"/>
    <w:rsid w:val="209314D4"/>
    <w:rsid w:val="23477A98"/>
    <w:rsid w:val="244868B3"/>
    <w:rsid w:val="250937D0"/>
    <w:rsid w:val="269A0871"/>
    <w:rsid w:val="29B22AEF"/>
    <w:rsid w:val="2A213986"/>
    <w:rsid w:val="2A6C3AA2"/>
    <w:rsid w:val="2B57233C"/>
    <w:rsid w:val="2D3A4F1C"/>
    <w:rsid w:val="2DE33D62"/>
    <w:rsid w:val="2E462ABD"/>
    <w:rsid w:val="2F4F681A"/>
    <w:rsid w:val="2FE55D43"/>
    <w:rsid w:val="30C474C2"/>
    <w:rsid w:val="3158095E"/>
    <w:rsid w:val="31ED0D4A"/>
    <w:rsid w:val="33A52943"/>
    <w:rsid w:val="34BE4BEB"/>
    <w:rsid w:val="34C7582D"/>
    <w:rsid w:val="35C1129C"/>
    <w:rsid w:val="372D3A3D"/>
    <w:rsid w:val="373F6180"/>
    <w:rsid w:val="37423885"/>
    <w:rsid w:val="37A82279"/>
    <w:rsid w:val="3B2A432E"/>
    <w:rsid w:val="3C8E00EA"/>
    <w:rsid w:val="3DE1069B"/>
    <w:rsid w:val="3E0202C6"/>
    <w:rsid w:val="3F0A76BA"/>
    <w:rsid w:val="401711CC"/>
    <w:rsid w:val="40B55567"/>
    <w:rsid w:val="422E2420"/>
    <w:rsid w:val="42D6466E"/>
    <w:rsid w:val="43143B39"/>
    <w:rsid w:val="43585670"/>
    <w:rsid w:val="438833C2"/>
    <w:rsid w:val="468A6BFD"/>
    <w:rsid w:val="47735BD0"/>
    <w:rsid w:val="47BB609D"/>
    <w:rsid w:val="47CA196A"/>
    <w:rsid w:val="481D3236"/>
    <w:rsid w:val="498145E0"/>
    <w:rsid w:val="49961FF8"/>
    <w:rsid w:val="4BE07E65"/>
    <w:rsid w:val="4C0672A7"/>
    <w:rsid w:val="4C573AD4"/>
    <w:rsid w:val="4DAA2866"/>
    <w:rsid w:val="4DD27F03"/>
    <w:rsid w:val="4F2676D5"/>
    <w:rsid w:val="5112378D"/>
    <w:rsid w:val="525B07C5"/>
    <w:rsid w:val="52E14EC4"/>
    <w:rsid w:val="53710418"/>
    <w:rsid w:val="53F51E89"/>
    <w:rsid w:val="54D338A8"/>
    <w:rsid w:val="57106398"/>
    <w:rsid w:val="57EE60DD"/>
    <w:rsid w:val="5B812734"/>
    <w:rsid w:val="5BE04967"/>
    <w:rsid w:val="5C015C21"/>
    <w:rsid w:val="5C410A87"/>
    <w:rsid w:val="5D744988"/>
    <w:rsid w:val="5E720F58"/>
    <w:rsid w:val="622349C8"/>
    <w:rsid w:val="63C47ACF"/>
    <w:rsid w:val="64344366"/>
    <w:rsid w:val="64D3048A"/>
    <w:rsid w:val="65851F87"/>
    <w:rsid w:val="665212BA"/>
    <w:rsid w:val="66CA48D2"/>
    <w:rsid w:val="687065DC"/>
    <w:rsid w:val="68AB5545"/>
    <w:rsid w:val="69FB3BA8"/>
    <w:rsid w:val="6B7D0257"/>
    <w:rsid w:val="6E003853"/>
    <w:rsid w:val="6ECE5FF3"/>
    <w:rsid w:val="6ED74C74"/>
    <w:rsid w:val="6F566CB3"/>
    <w:rsid w:val="70832ED7"/>
    <w:rsid w:val="7152191D"/>
    <w:rsid w:val="717F42C4"/>
    <w:rsid w:val="72F0415A"/>
    <w:rsid w:val="74951BFB"/>
    <w:rsid w:val="74F42CD7"/>
    <w:rsid w:val="74F71418"/>
    <w:rsid w:val="7B507070"/>
    <w:rsid w:val="7EA32264"/>
    <w:rsid w:val="7F2D0F9D"/>
    <w:rsid w:val="7FCF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autoRedefine/>
    <w:qFormat/>
    <w:uiPriority w:val="0"/>
    <w:pPr>
      <w:keepNext/>
      <w:keepLines/>
      <w:spacing w:line="576" w:lineRule="auto"/>
      <w:jc w:val="center"/>
      <w:outlineLvl w:val="0"/>
    </w:pPr>
    <w:rPr>
      <w:b/>
      <w:kern w:val="44"/>
      <w:sz w:val="30"/>
    </w:rPr>
  </w:style>
  <w:style w:type="paragraph" w:styleId="4">
    <w:name w:val="heading 2"/>
    <w:basedOn w:val="1"/>
    <w:next w:val="1"/>
    <w:autoRedefine/>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autoRedefine/>
    <w:unhideWhenUsed/>
    <w:qFormat/>
    <w:uiPriority w:val="0"/>
    <w:pPr>
      <w:keepNext/>
      <w:keepLines/>
      <w:spacing w:line="360" w:lineRule="auto"/>
      <w:outlineLvl w:val="2"/>
    </w:pPr>
    <w:rPr>
      <w:b/>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spacing w:before="161"/>
      <w:ind w:left="120"/>
    </w:pPr>
    <w:rPr>
      <w:rFonts w:ascii="宋体" w:hAnsi="宋体" w:cs="宋体"/>
      <w:sz w:val="24"/>
      <w:lang w:val="zh-CN" w:bidi="zh-CN"/>
    </w:rPr>
  </w:style>
  <w:style w:type="paragraph" w:styleId="7">
    <w:name w:val="Normal Indent"/>
    <w:basedOn w:val="1"/>
    <w:autoRedefine/>
    <w:semiHidden/>
    <w:unhideWhenUsed/>
    <w:qFormat/>
    <w:uiPriority w:val="99"/>
    <w:pPr>
      <w:ind w:firstLine="420" w:firstLineChars="200"/>
    </w:pPr>
  </w:style>
  <w:style w:type="paragraph" w:styleId="8">
    <w:name w:val="annotation text"/>
    <w:basedOn w:val="1"/>
    <w:autoRedefine/>
    <w:qFormat/>
    <w:uiPriority w:val="0"/>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eastAsiaTheme="minorEastAsia"/>
      <w:szCs w:val="22"/>
    </w:r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autoRedefine/>
    <w:qFormat/>
    <w:uiPriority w:val="0"/>
    <w:pPr>
      <w:spacing w:line="360" w:lineRule="auto"/>
      <w:ind w:firstLine="420" w:firstLineChars="200"/>
    </w:pPr>
    <w:rPr>
      <w:bCs/>
      <w:szCs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autoRedefine/>
    <w:qFormat/>
    <w:uiPriority w:val="99"/>
    <w:rPr>
      <w:color w:val="0000FF"/>
      <w:u w:val="single"/>
    </w:rPr>
  </w:style>
  <w:style w:type="character" w:styleId="19">
    <w:name w:val="annotation reference"/>
    <w:basedOn w:val="17"/>
    <w:autoRedefine/>
    <w:qFormat/>
    <w:uiPriority w:val="0"/>
    <w:rPr>
      <w:sz w:val="21"/>
      <w:szCs w:val="21"/>
    </w:rPr>
  </w:style>
  <w:style w:type="paragraph" w:styleId="20">
    <w:name w:val="List Paragraph"/>
    <w:basedOn w:val="1"/>
    <w:autoRedefine/>
    <w:qFormat/>
    <w:uiPriority w:val="34"/>
    <w:pPr>
      <w:ind w:firstLine="420" w:firstLineChars="200"/>
    </w:pPr>
  </w:style>
  <w:style w:type="character" w:customStyle="1" w:styleId="21">
    <w:name w:val="标题 1 Char"/>
    <w:link w:val="3"/>
    <w:autoRedefine/>
    <w:qFormat/>
    <w:uiPriority w:val="0"/>
    <w:rPr>
      <w:b/>
      <w:kern w:val="44"/>
      <w:sz w:val="30"/>
    </w:rPr>
  </w:style>
  <w:style w:type="paragraph" w:customStyle="1" w:styleId="22">
    <w:name w:val="Table Paragraph"/>
    <w:basedOn w:val="1"/>
    <w:autoRedefine/>
    <w:qFormat/>
    <w:uiPriority w:val="1"/>
  </w:style>
  <w:style w:type="paragraph" w:customStyle="1" w:styleId="23">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autoRedefine/>
    <w:qFormat/>
    <w:uiPriority w:val="0"/>
    <w:rPr>
      <w:rFonts w:asciiTheme="minorHAnsi" w:hAnsiTheme="minorHAnsi" w:eastAsiaTheme="minorEastAsia" w:cstheme="minorBidi"/>
      <w:lang w:val="en-US" w:eastAsia="zh-CN" w:bidi="ar-SA"/>
    </w:rPr>
  </w:style>
  <w:style w:type="paragraph" w:customStyle="1" w:styleId="25">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autoRedefine/>
    <w:qFormat/>
    <w:uiPriority w:val="0"/>
    <w:pPr>
      <w:ind w:firstLine="420" w:firstLineChars="200"/>
    </w:pPr>
    <w:rPr>
      <w:rFonts w:ascii="Calibri" w:hAnsi="Calibri"/>
      <w:kern w:val="0"/>
      <w:sz w:val="20"/>
      <w:szCs w:val="20"/>
    </w:rPr>
  </w:style>
  <w:style w:type="character" w:customStyle="1" w:styleId="28">
    <w:name w:val="批注框文本 Char"/>
    <w:basedOn w:val="17"/>
    <w:link w:val="11"/>
    <w:autoRedefine/>
    <w:qFormat/>
    <w:uiPriority w:val="0"/>
    <w:rPr>
      <w:rFonts w:asciiTheme="minorHAnsi" w:hAnsiTheme="minorHAnsi" w:cstheme="minorBidi"/>
      <w:kern w:val="2"/>
      <w:sz w:val="18"/>
      <w:szCs w:val="18"/>
    </w:rPr>
  </w:style>
  <w:style w:type="paragraph" w:customStyle="1" w:styleId="29">
    <w:name w:val="Other|1"/>
    <w:basedOn w:val="1"/>
    <w:autoRedefine/>
    <w:qFormat/>
    <w:uiPriority w:val="0"/>
    <w:pPr>
      <w:jc w:val="center"/>
    </w:pPr>
    <w:rPr>
      <w:rFonts w:ascii="宋体" w:hAnsi="宋体" w:cs="宋体"/>
      <w:sz w:val="14"/>
      <w:szCs w:val="14"/>
      <w:lang w:val="zh-TW" w:eastAsia="zh-TW" w:bidi="zh-TW"/>
    </w:rPr>
  </w:style>
  <w:style w:type="paragraph" w:customStyle="1" w:styleId="30">
    <w:name w:val="Char"/>
    <w:autoRedefine/>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autoRedefine/>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2">
    <w:name w:val="font21"/>
    <w:basedOn w:val="17"/>
    <w:autoRedefine/>
    <w:qFormat/>
    <w:uiPriority w:val="0"/>
    <w:rPr>
      <w:rFonts w:ascii="宋体" w:hAnsi="宋体" w:eastAsia="宋体" w:cs="宋体"/>
      <w:color w:val="000000"/>
      <w:sz w:val="18"/>
      <w:szCs w:val="18"/>
      <w:u w:val="none"/>
    </w:rPr>
  </w:style>
  <w:style w:type="character" w:customStyle="1" w:styleId="33">
    <w:name w:val="font41"/>
    <w:basedOn w:val="17"/>
    <w:autoRedefine/>
    <w:qFormat/>
    <w:uiPriority w:val="0"/>
    <w:rPr>
      <w:rFonts w:hint="default" w:ascii="Times New Roman" w:hAnsi="Times New Roman" w:cs="Times New Roman"/>
      <w:color w:val="000000"/>
      <w:sz w:val="20"/>
      <w:szCs w:val="20"/>
      <w:u w:val="none"/>
    </w:rPr>
  </w:style>
  <w:style w:type="character" w:customStyle="1" w:styleId="34">
    <w:name w:val="font51"/>
    <w:basedOn w:val="17"/>
    <w:autoRedefine/>
    <w:qFormat/>
    <w:uiPriority w:val="0"/>
    <w:rPr>
      <w:rFonts w:hint="eastAsia" w:ascii="宋体" w:hAnsi="宋体" w:eastAsia="宋体" w:cs="宋体"/>
      <w:color w:val="000000"/>
      <w:sz w:val="20"/>
      <w:szCs w:val="20"/>
      <w:u w:val="none"/>
      <w:vertAlign w:val="superscript"/>
    </w:rPr>
  </w:style>
  <w:style w:type="character" w:customStyle="1" w:styleId="35">
    <w:name w:val="font11"/>
    <w:basedOn w:val="17"/>
    <w:autoRedefine/>
    <w:qFormat/>
    <w:uiPriority w:val="0"/>
    <w:rPr>
      <w:rFonts w:hint="eastAsia" w:ascii="宋体" w:hAnsi="宋体" w:eastAsia="宋体" w:cs="宋体"/>
      <w:color w:val="000000"/>
      <w:sz w:val="20"/>
      <w:szCs w:val="20"/>
      <w:u w:val="none"/>
    </w:rPr>
  </w:style>
  <w:style w:type="character" w:customStyle="1" w:styleId="36">
    <w:name w:val="font61"/>
    <w:basedOn w:val="17"/>
    <w:autoRedefine/>
    <w:qFormat/>
    <w:uiPriority w:val="0"/>
    <w:rPr>
      <w:rFonts w:hint="default" w:ascii="Times New Roman" w:hAnsi="Times New Roman" w:cs="Times New Roman"/>
      <w:color w:val="000000"/>
      <w:sz w:val="20"/>
      <w:szCs w:val="20"/>
      <w:u w:val="none"/>
      <w:vertAlign w:val="superscript"/>
    </w:rPr>
  </w:style>
  <w:style w:type="paragraph" w:customStyle="1" w:styleId="37">
    <w:name w:val="列出段落11"/>
    <w:basedOn w:val="1"/>
    <w:autoRedefine/>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38">
    <w:name w:val="font31"/>
    <w:basedOn w:val="17"/>
    <w:autoRedefine/>
    <w:qFormat/>
    <w:uiPriority w:val="0"/>
    <w:rPr>
      <w:rFonts w:hint="default" w:ascii="Arial" w:hAnsi="Arial" w:cs="Arial"/>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69</Pages>
  <Words>31708</Words>
  <Characters>33595</Characters>
  <Lines>343</Lines>
  <Paragraphs>96</Paragraphs>
  <TotalTime>45</TotalTime>
  <ScaleCrop>false</ScaleCrop>
  <LinksUpToDate>false</LinksUpToDate>
  <CharactersWithSpaces>35223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陈--JIN涛</cp:lastModifiedBy>
  <cp:lastPrinted>2023-04-10T09:08:00Z</cp:lastPrinted>
  <dcterms:modified xsi:type="dcterms:W3CDTF">2024-03-21T07:56:30Z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38BCBAE82F53404F838416D12EDCBC78_13</vt:lpwstr>
  </property>
</Properties>
</file>