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942"/>
      <w:bookmarkStart w:id="1" w:name="_Toc25865"/>
      <w:bookmarkStart w:id="2" w:name="_Toc16489"/>
      <w:bookmarkStart w:id="3" w:name="_Toc7243"/>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9385"/>
      <w:bookmarkStart w:id="5" w:name="_Toc20638"/>
      <w:bookmarkStart w:id="6" w:name="_Toc8734"/>
      <w:bookmarkStart w:id="7" w:name="_Toc1515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广东狼博旺实业有限公司配套宿舍项目二期监理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GSDG2024-0010C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东莞市石排镇石排叶一股份经济合作社、东莞市石排镇石排叶二股份经济合作社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5265"/>
      <w:bookmarkStart w:id="9" w:name="_Toc18278"/>
      <w:bookmarkStart w:id="10" w:name="_Toc4164"/>
      <w:bookmarkStart w:id="11" w:name="_Toc17050"/>
      <w:r>
        <w:rPr>
          <w:rFonts w:hint="eastAsia" w:ascii="黑体" w:hAnsi="黑体" w:eastAsia="黑体" w:cs="黑体"/>
          <w:color w:val="auto"/>
          <w:sz w:val="30"/>
          <w:szCs w:val="30"/>
          <w:highlight w:val="none"/>
          <w:lang w:val="en-US" w:eastAsia="zh-CN"/>
        </w:rPr>
        <w:t>2024年4月23日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2"/>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广东狼博旺实业有限公司配套宿舍项目二期监理</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2024年5</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日</w:t>
      </w:r>
      <w:r>
        <w:rPr>
          <w:rFonts w:hint="default" w:ascii="宋体" w:hAnsi="宋体" w:cs="宋体"/>
          <w:b/>
          <w:bCs/>
          <w:color w:val="auto"/>
          <w:sz w:val="21"/>
          <w:szCs w:val="21"/>
          <w:highlight w:val="none"/>
          <w:u w:val="single"/>
          <w:lang w:val="en-US" w:eastAsia="zh-CN"/>
        </w:rPr>
        <w:t>1</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w:t>
      </w:r>
      <w:r>
        <w:rPr>
          <w:rFonts w:hint="default"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13782"/>
      <w:bookmarkStart w:id="14" w:name="_Toc31624"/>
      <w:bookmarkStart w:id="15" w:name="_Toc28359002"/>
      <w:bookmarkStart w:id="16" w:name="_Toc2169"/>
      <w:bookmarkStart w:id="17" w:name="_Toc28359079"/>
      <w:bookmarkStart w:id="18" w:name="_Toc26796"/>
      <w:bookmarkStart w:id="19" w:name="_Toc35393790"/>
      <w:bookmarkStart w:id="20" w:name="_Toc35393621"/>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GSDG2024-0010C</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广东狼博旺实业有限公司配套宿舍项目二期监理</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¥990,121.97元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广东狼博旺实业有限公司配套宿舍项目二期监理采购一项</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13371"/>
      <w:bookmarkStart w:id="23" w:name="_Toc28359003"/>
      <w:bookmarkStart w:id="24" w:name="_Toc28359080"/>
      <w:bookmarkStart w:id="25" w:name="_Toc35393622"/>
      <w:bookmarkStart w:id="26" w:name="_Toc35393791"/>
      <w:bookmarkStart w:id="27" w:name="_Toc28625"/>
      <w:bookmarkStart w:id="28" w:name="_Toc25198"/>
      <w:bookmarkStart w:id="29" w:name="_Toc31691"/>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16211"/>
      <w:bookmarkStart w:id="31" w:name="_Toc29919"/>
      <w:bookmarkStart w:id="32" w:name="_Toc8265"/>
      <w:bookmarkStart w:id="33" w:name="_Toc7315"/>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18344"/>
      <w:bookmarkStart w:id="37" w:name="_Toc26119"/>
      <w:bookmarkStart w:id="38" w:name="_Toc16617"/>
      <w:bookmarkStart w:id="39" w:name="_Toc4071"/>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（1）供应商必须具备工程监理综合资质或具有建筑工程乙级或以上监理资质（或更换资质证书前有效期内房屋建筑工程乙级或以上监理资质）。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注：上述资质要求，依据住房和城乡建设部2020年11月30日关于印发《建设工程企业资质管理制度改革方案》的通知，在更换资质证书前有效期内适用于本项目资质证书的均为有效资格条件。</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623"/>
      <w:bookmarkStart w:id="41" w:name="_Toc173"/>
      <w:bookmarkStart w:id="42" w:name="_Toc35393792"/>
      <w:bookmarkStart w:id="43" w:name="_Toc27443"/>
      <w:bookmarkStart w:id="44" w:name="_Toc2137"/>
      <w:bookmarkStart w:id="45" w:name="_Toc18578"/>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日</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10322"/>
      <w:bookmarkStart w:id="49" w:name="_Toc28435"/>
      <w:bookmarkStart w:id="50" w:name="_Toc28585"/>
      <w:bookmarkStart w:id="51" w:name="_Toc27404"/>
      <w:bookmarkStart w:id="52" w:name="_Toc35393624"/>
      <w:bookmarkStart w:id="53" w:name="_Toc35393793"/>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2024年5</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日</w:t>
      </w:r>
      <w:r>
        <w:rPr>
          <w:rFonts w:hint="default" w:ascii="宋体" w:hAnsi="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w:t>
      </w:r>
      <w:r>
        <w:rPr>
          <w:rFonts w:hint="default"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bookmarkStart w:id="381" w:name="_GoBack"/>
      <w:bookmarkEnd w:id="381"/>
      <w:r>
        <w:rPr>
          <w:rFonts w:hint="eastAsia" w:ascii="宋体" w:hAnsi="宋体"/>
          <w:bCs/>
          <w:color w:val="auto"/>
          <w:sz w:val="21"/>
          <w:szCs w:val="21"/>
          <w:highlight w:val="none"/>
          <w:lang w:eastAsia="zh-CN"/>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28359007"/>
      <w:bookmarkStart w:id="55" w:name="_Toc26299"/>
      <w:bookmarkStart w:id="56" w:name="_Toc35393794"/>
      <w:bookmarkStart w:id="57" w:name="_Toc1202"/>
      <w:bookmarkStart w:id="58" w:name="_Toc28359084"/>
      <w:bookmarkStart w:id="59" w:name="_Toc25695"/>
      <w:bookmarkStart w:id="60" w:name="_Toc17857"/>
      <w:bookmarkStart w:id="61" w:name="_Toc35393625"/>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6612"/>
      <w:bookmarkStart w:id="63" w:name="_Toc9116"/>
      <w:bookmarkStart w:id="64" w:name="_Toc25010"/>
      <w:bookmarkStart w:id="65" w:name="_Toc35393626"/>
      <w:bookmarkStart w:id="66" w:name="_Toc1519"/>
      <w:bookmarkStart w:id="67" w:name="_Toc35393795"/>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627"/>
      <w:bookmarkStart w:id="69" w:name="_Toc28359085"/>
      <w:bookmarkStart w:id="70" w:name="_Toc28359008"/>
      <w:bookmarkStart w:id="71" w:name="_Toc35393796"/>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12281"/>
      <w:bookmarkStart w:id="73" w:name="_Toc5139"/>
      <w:bookmarkStart w:id="74" w:name="_Toc22586"/>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7403"/>
      <w:bookmarkStart w:id="77" w:name="_Toc30277"/>
      <w:bookmarkStart w:id="78" w:name="_Toc30615"/>
      <w:bookmarkStart w:id="79" w:name="_Toc31577"/>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东莞市石排镇石排叶一股份经济合作社、东莞市石排镇石排叶二股份经济合作社</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址：东莞市石排镇石兴路199号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color w:val="auto"/>
          <w:sz w:val="21"/>
          <w:szCs w:val="21"/>
          <w:highlight w:val="none"/>
          <w:lang w:val="en-US" w:eastAsia="zh-CN"/>
        </w:rPr>
        <w:t>叶先生</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联系方式：0769-86651558　　　　　　　　　　　 </w:t>
      </w:r>
      <w:bookmarkStart w:id="80" w:name="_Toc28359086"/>
      <w:bookmarkStart w:id="81"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4580"/>
      <w:bookmarkStart w:id="83" w:name="_Toc11561"/>
      <w:bookmarkStart w:id="84" w:name="_Toc25259"/>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9440"/>
      <w:bookmarkStart w:id="89" w:name="_Toc18257"/>
      <w:bookmarkStart w:id="90" w:name="_Toc28659"/>
      <w:bookmarkStart w:id="91" w:name="_Toc15543"/>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color w:val="auto"/>
          <w:highlight w:val="none"/>
          <w:lang w:val="en-US" w:eastAsia="zh-CN"/>
        </w:rPr>
      </w:pPr>
      <w:bookmarkStart w:id="92" w:name="_Toc26573"/>
      <w:r>
        <w:rPr>
          <w:rFonts w:hint="eastAsia"/>
          <w:color w:val="auto"/>
          <w:highlight w:val="none"/>
          <w:lang w:val="en-US" w:eastAsia="zh-CN"/>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413402429"/>
      <w:bookmarkStart w:id="94" w:name="_Toc497983494"/>
      <w:bookmarkStart w:id="95" w:name="_Toc30510"/>
      <w:bookmarkStart w:id="96" w:name="_Toc396137231"/>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2"/>
        <w:numPr>
          <w:ilvl w:val="0"/>
          <w:numId w:val="5"/>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4"/>
        <w:bidi w:val="0"/>
        <w:rPr>
          <w:color w:val="auto"/>
          <w:highlight w:val="none"/>
          <w:lang w:val="en-US" w:eastAsia="zh-CN"/>
        </w:rPr>
      </w:pPr>
      <w:bookmarkStart w:id="98" w:name="_Toc8083"/>
      <w:bookmarkStart w:id="99" w:name="_Toc10658"/>
      <w:bookmarkStart w:id="100" w:name="_Toc30834"/>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01" w:name="_Toc720"/>
      <w:bookmarkStart w:id="102" w:name="_Toc25237"/>
      <w:bookmarkStart w:id="103" w:name="_Toc7271"/>
      <w:r>
        <w:rPr>
          <w:rFonts w:hint="eastAsia" w:eastAsia="宋体"/>
          <w:color w:val="auto"/>
          <w:highlight w:val="none"/>
          <w:lang w:val="en-US" w:eastAsia="zh-CN"/>
        </w:rPr>
        <w:t>2.</w:t>
      </w:r>
      <w:bookmarkStart w:id="104" w:name="_Toc303084246"/>
      <w:bookmarkStart w:id="105" w:name="_Toc1530"/>
      <w:bookmarkStart w:id="106" w:name="_Toc382049092"/>
      <w:bookmarkStart w:id="107" w:name="_Toc298847174"/>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08" w:name="_Toc30379"/>
      <w:bookmarkStart w:id="109" w:name="_Toc9030"/>
      <w:bookmarkStart w:id="110" w:name="_Toc2401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12" w:name="_Toc18277"/>
      <w:bookmarkStart w:id="113" w:name="_Toc14543"/>
      <w:bookmarkStart w:id="114" w:name="_Toc8119"/>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15" w:name="_Toc32220"/>
      <w:bookmarkStart w:id="116" w:name="_Toc25254"/>
      <w:bookmarkStart w:id="117" w:name="_Toc24793"/>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18" w:name="_Toc31725"/>
      <w:bookmarkStart w:id="119" w:name="_Toc13064"/>
      <w:bookmarkStart w:id="120" w:name="_Toc30779"/>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21" w:name="_Toc18142"/>
      <w:bookmarkStart w:id="122" w:name="_Toc23688"/>
      <w:bookmarkStart w:id="123" w:name="_Toc27755"/>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25" w:name="_Toc19660"/>
      <w:bookmarkStart w:id="126" w:name="_Toc29774"/>
      <w:bookmarkStart w:id="127" w:name="_Toc5596"/>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28" w:name="_Toc3812"/>
      <w:bookmarkStart w:id="129" w:name="_Toc20046"/>
      <w:bookmarkStart w:id="130" w:name="_Toc2807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31" w:name="_Toc17507"/>
      <w:bookmarkStart w:id="132" w:name="_Toc5431"/>
      <w:bookmarkStart w:id="133" w:name="_Toc28595"/>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4"/>
        <w:bidi w:val="0"/>
        <w:rPr>
          <w:rFonts w:hint="eastAsia" w:eastAsia="宋体"/>
          <w:color w:val="auto"/>
          <w:highlight w:val="none"/>
          <w:lang w:val="en-US" w:eastAsia="zh-CN"/>
        </w:rPr>
      </w:pPr>
      <w:bookmarkStart w:id="134" w:name="_Toc307934854"/>
      <w:bookmarkStart w:id="135" w:name="_Toc21308"/>
      <w:bookmarkStart w:id="136" w:name="_Toc303084256"/>
      <w:bookmarkStart w:id="137" w:name="_Toc17694"/>
      <w:bookmarkStart w:id="138" w:name="_Toc25080"/>
      <w:bookmarkStart w:id="139" w:name="_Toc382049103"/>
      <w:bookmarkStart w:id="140" w:name="_Toc28866"/>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41" w:name="_Toc28835"/>
      <w:bookmarkStart w:id="142" w:name="_Toc26322"/>
      <w:bookmarkStart w:id="143" w:name="_Toc23396"/>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45" w:name="_Toc29388"/>
      <w:bookmarkStart w:id="146" w:name="_Toc11253"/>
      <w:bookmarkStart w:id="147" w:name="_Toc10449"/>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48" w:name="_Toc28006"/>
      <w:bookmarkStart w:id="149" w:name="_Toc29860"/>
      <w:bookmarkStart w:id="150" w:name="_Toc18749"/>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bookmarkStart w:id="151" w:name="_Hlt107925668"/>
      <w:bookmarkEnd w:id="151"/>
      <w:bookmarkStart w:id="152" w:name="_Hlt10792563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4"/>
        <w:bidi w:val="0"/>
        <w:rPr>
          <w:rFonts w:hint="eastAsia" w:eastAsia="宋体"/>
          <w:color w:val="auto"/>
          <w:highlight w:val="none"/>
          <w:lang w:val="en-US" w:eastAsia="zh-CN"/>
        </w:rPr>
      </w:pPr>
      <w:bookmarkStart w:id="153" w:name="_Toc12457"/>
      <w:bookmarkStart w:id="154" w:name="_Toc4792"/>
      <w:bookmarkStart w:id="155" w:name="_Toc20435"/>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56" w:name="_Toc28431"/>
      <w:bookmarkStart w:id="157" w:name="_Toc20804"/>
      <w:bookmarkStart w:id="158" w:name="_Toc11339"/>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60" w:name="_Toc5055"/>
      <w:bookmarkStart w:id="161" w:name="_Toc382049111"/>
      <w:bookmarkStart w:id="162" w:name="_Toc17970"/>
      <w:bookmarkStart w:id="163" w:name="_Toc24997"/>
      <w:bookmarkStart w:id="164" w:name="_Toc303084264"/>
      <w:bookmarkStart w:id="165" w:name="_Toc21699"/>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6"/>
        </w:numPr>
        <w:tabs>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66" w:name="_Toc3249"/>
      <w:bookmarkStart w:id="167" w:name="_Toc14913"/>
      <w:bookmarkStart w:id="168" w:name="_Toc1911"/>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69" w:name="_Toc8387"/>
      <w:bookmarkStart w:id="170" w:name="_Toc22059"/>
      <w:bookmarkStart w:id="171" w:name="_Toc13946"/>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72" w:name="_Toc382049112"/>
      <w:bookmarkStart w:id="173" w:name="_Toc24777"/>
      <w:bookmarkStart w:id="174" w:name="_Toc518"/>
      <w:bookmarkStart w:id="175" w:name="_Toc303084265"/>
      <w:bookmarkStart w:id="176" w:name="_Toc9777"/>
      <w:bookmarkStart w:id="177" w:name="_Toc1364"/>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78" w:name="_Toc28776"/>
      <w:bookmarkStart w:id="179" w:name="_Toc14390"/>
      <w:bookmarkStart w:id="180" w:name="_Toc4603"/>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4"/>
        <w:bidi w:val="0"/>
        <w:rPr>
          <w:rFonts w:hint="eastAsia" w:eastAsia="宋体"/>
          <w:color w:val="auto"/>
          <w:highlight w:val="none"/>
          <w:lang w:val="en-US" w:eastAsia="zh-CN"/>
        </w:rPr>
      </w:pPr>
      <w:bookmarkStart w:id="181" w:name="_Toc14512"/>
      <w:bookmarkStart w:id="182" w:name="_Toc191"/>
      <w:bookmarkStart w:id="183" w:name="_Toc11914"/>
      <w:r>
        <w:rPr>
          <w:rFonts w:hint="eastAsia" w:eastAsia="宋体"/>
          <w:color w:val="auto"/>
          <w:highlight w:val="none"/>
          <w:lang w:val="en-US" w:eastAsia="zh-CN"/>
        </w:rPr>
        <w:t>22.磋商</w:t>
      </w:r>
      <w:bookmarkEnd w:id="181"/>
      <w:bookmarkEnd w:id="182"/>
      <w:bookmarkEnd w:id="183"/>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84" w:name="_Toc13823"/>
      <w:bookmarkStart w:id="185" w:name="_Toc19811"/>
      <w:bookmarkStart w:id="186" w:name="_Toc31198"/>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87" w:name="_Toc9540"/>
      <w:bookmarkStart w:id="188" w:name="_Toc20823"/>
      <w:bookmarkStart w:id="189" w:name="_Toc3525"/>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190" w:name="_Toc18014"/>
      <w:bookmarkStart w:id="191" w:name="_Toc15479"/>
      <w:bookmarkStart w:id="192" w:name="_Toc7072"/>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4"/>
        <w:bidi w:val="0"/>
        <w:rPr>
          <w:rFonts w:hint="eastAsia" w:eastAsia="宋体"/>
          <w:color w:val="auto"/>
          <w:highlight w:val="none"/>
          <w:lang w:val="en-US" w:eastAsia="zh-CN"/>
        </w:rPr>
      </w:pPr>
      <w:bookmarkStart w:id="193" w:name="_Toc9736"/>
      <w:bookmarkStart w:id="194" w:name="_Toc4041"/>
      <w:bookmarkStart w:id="195" w:name="_Toc16157"/>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9"/>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4"/>
        <w:bidi w:val="0"/>
        <w:rPr>
          <w:rFonts w:hint="eastAsia" w:eastAsia="宋体"/>
          <w:color w:val="auto"/>
          <w:highlight w:val="none"/>
          <w:lang w:val="en-US" w:eastAsia="zh-CN"/>
        </w:rPr>
      </w:pPr>
      <w:bookmarkStart w:id="196" w:name="_Toc316375620"/>
      <w:bookmarkStart w:id="197" w:name="_Toc382049120"/>
      <w:bookmarkStart w:id="198" w:name="_Toc20328"/>
      <w:bookmarkStart w:id="199" w:name="_Toc25030"/>
      <w:bookmarkStart w:id="200" w:name="_Toc30573"/>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default" w:eastAsia="宋体"/>
          <w:color w:val="auto"/>
          <w:highlight w:val="none"/>
          <w:lang w:val="en-US" w:eastAsia="zh-CN"/>
        </w:rPr>
      </w:pPr>
      <w:bookmarkStart w:id="202" w:name="_Toc508284011"/>
      <w:bookmarkStart w:id="203" w:name="_Toc21265"/>
      <w:bookmarkStart w:id="204" w:name="_Toc21560"/>
      <w:bookmarkStart w:id="205" w:name="_Toc27383"/>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206" w:name="_Toc6459"/>
      <w:bookmarkStart w:id="207" w:name="_Toc508284013"/>
      <w:bookmarkStart w:id="208" w:name="_Toc24851"/>
      <w:bookmarkStart w:id="209" w:name="_Toc2468"/>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4"/>
        <w:bidi w:val="0"/>
        <w:rPr>
          <w:rFonts w:hint="eastAsia" w:eastAsia="宋体"/>
          <w:color w:val="auto"/>
          <w:highlight w:val="none"/>
          <w:lang w:val="en-US" w:eastAsia="zh-CN"/>
        </w:rPr>
      </w:pPr>
      <w:bookmarkStart w:id="210" w:name="_Toc1555"/>
      <w:bookmarkStart w:id="211" w:name="_Toc7001"/>
      <w:bookmarkStart w:id="212" w:name="_Toc18733"/>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4"/>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2"/>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7855"/>
      <w:bookmarkStart w:id="217" w:name="_Toc18002"/>
      <w:bookmarkStart w:id="218" w:name="_Toc16006"/>
      <w:bookmarkStart w:id="219" w:name="_Toc27180"/>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noWrap w:val="0"/>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294" w:type="dxa"/>
            <w:noWrap w:val="0"/>
            <w:vAlign w:val="center"/>
          </w:tcPr>
          <w:p>
            <w:pPr>
              <w:jc w:val="center"/>
              <w:rPr>
                <w:rFonts w:ascii="宋体" w:hAnsi="宋体"/>
                <w:color w:val="auto"/>
                <w:szCs w:val="21"/>
                <w:highlight w:val="none"/>
              </w:rPr>
            </w:pPr>
            <w:r>
              <w:rPr>
                <w:rFonts w:hint="eastAsia" w:ascii="宋体" w:hAnsi="宋体" w:eastAsia="宋体" w:cs="宋体"/>
                <w:color w:val="auto"/>
                <w:sz w:val="21"/>
                <w:szCs w:val="21"/>
                <w:highlight w:val="none"/>
                <w:lang w:val="en-US" w:eastAsia="zh-CN"/>
              </w:rPr>
              <w:t>服务期限</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施工项目开始直至全部完工</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29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本项目报价采用包干制，包括但不限于人员工资、加班费、技术津贴、工具费、材料费、养老保险、医疗保险、失业保险、通胀风险、利润、管理费、税金等</w:t>
            </w:r>
            <w:r>
              <w:rPr>
                <w:rFonts w:hint="eastAsia" w:ascii="宋体" w:hAnsi="宋体" w:eastAsia="宋体" w:cs="宋体"/>
                <w:color w:val="auto"/>
                <w:sz w:val="21"/>
                <w:szCs w:val="21"/>
                <w:highlight w:val="none"/>
                <w:lang w:val="en-US" w:eastAsia="zh-CN"/>
              </w:rPr>
              <w:t>完成本项目的</w:t>
            </w:r>
            <w:r>
              <w:rPr>
                <w:rFonts w:hint="eastAsia" w:ascii="宋体" w:hAnsi="宋体" w:eastAsia="宋体" w:cs="宋体"/>
                <w:color w:val="auto"/>
                <w:sz w:val="21"/>
                <w:szCs w:val="21"/>
                <w:highlight w:val="none"/>
              </w:rPr>
              <w:t>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4</w:t>
            </w:r>
          </w:p>
        </w:tc>
        <w:tc>
          <w:tcPr>
            <w:tcW w:w="1294" w:type="dxa"/>
            <w:noWrap w:val="0"/>
            <w:vAlign w:val="center"/>
          </w:tcPr>
          <w:p>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1、基础完工后15日内，采购人支付合同金额的25%;</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2、主体工程封顶后15日内，采购人支付合同金额的35%;</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3、工程验收完成后15日内，采购人支付合同金额35%;</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4、工程结算后15日内，采购人支付合同金额5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的尾款。</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（注：项目监理费用由东莞市石排镇石排叶一股份经济合作社、东莞市石排镇石排叶二股份经济合作社共同承担，最终监理费以工程结算价为基准，按各自占总金额的比例支付）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94" w:type="dxa"/>
            <w:noWrap w:val="0"/>
            <w:vAlign w:val="center"/>
          </w:tcPr>
          <w:p>
            <w:pPr>
              <w:jc w:val="center"/>
              <w:rPr>
                <w:rFonts w:hint="eastAsia" w:ascii="宋体" w:hAnsi="宋体"/>
                <w:color w:val="auto"/>
                <w:szCs w:val="21"/>
                <w:highlight w:val="none"/>
              </w:rPr>
            </w:pPr>
            <w:r>
              <w:rPr>
                <w:rFonts w:hint="eastAsia" w:ascii="宋体" w:hAnsi="宋体" w:eastAsia="宋体" w:cs="宋体"/>
                <w:color w:val="auto"/>
                <w:sz w:val="21"/>
                <w:szCs w:val="21"/>
                <w:highlight w:val="none"/>
              </w:rPr>
              <w:t>其它要求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成交供应商不得将项目非法分包或转包给任何单位和个人。否则采购人有权即刻终止合同，并由成交供应商赔偿相应损失。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rPr>
              <w:t>合同条款</w:t>
            </w:r>
          </w:p>
        </w:tc>
        <w:tc>
          <w:tcPr>
            <w:tcW w:w="6728" w:type="dxa"/>
            <w:noWrap w:val="0"/>
            <w:vAlign w:val="top"/>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Cs w:val="21"/>
                <w:highlight w:val="none"/>
              </w:rPr>
            </w:pPr>
            <w:r>
              <w:rPr>
                <w:rFonts w:hint="eastAsia" w:ascii="宋体" w:hAnsi="宋体" w:eastAsia="宋体" w:cs="宋体"/>
                <w:color w:val="auto"/>
                <w:sz w:val="21"/>
                <w:szCs w:val="21"/>
                <w:highlight w:val="none"/>
              </w:rPr>
              <w:t>供应商实质响应合同各条款。</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3714"/>
      <w:bookmarkStart w:id="221" w:name="_Toc16983"/>
      <w:bookmarkStart w:id="222" w:name="_Toc4445"/>
      <w:bookmarkStart w:id="223" w:name="_Toc4572"/>
      <w:r>
        <w:rPr>
          <w:rFonts w:hint="eastAsia" w:eastAsia="宋体"/>
          <w:b/>
          <w:bCs/>
          <w:color w:val="auto"/>
          <w:sz w:val="28"/>
          <w:szCs w:val="36"/>
          <w:highlight w:val="none"/>
          <w:lang w:eastAsia="zh-CN"/>
        </w:rPr>
        <w:t>技术要求</w:t>
      </w:r>
      <w:bookmarkEnd w:id="220"/>
      <w:bookmarkEnd w:id="221"/>
      <w:bookmarkEnd w:id="222"/>
      <w:bookmarkEnd w:id="223"/>
    </w:p>
    <w:p>
      <w:pPr>
        <w:pStyle w:val="39"/>
        <w:jc w:val="left"/>
        <w:outlineLvl w:val="0"/>
        <w:rPr>
          <w:rFonts w:ascii="宋体" w:hAnsi="宋体" w:eastAsia="宋体"/>
          <w:b/>
          <w:color w:val="auto"/>
          <w:sz w:val="21"/>
          <w:szCs w:val="21"/>
          <w:highlight w:val="none"/>
        </w:rPr>
      </w:pPr>
      <w:bookmarkStart w:id="224" w:name="_Toc476901034"/>
      <w:bookmarkStart w:id="225" w:name="_Toc42033153"/>
      <w:bookmarkStart w:id="226" w:name="_Toc485835248"/>
      <w:bookmarkStart w:id="227" w:name="_Toc17699252"/>
      <w:r>
        <w:rPr>
          <w:rFonts w:hint="eastAsia" w:ascii="宋体" w:hAnsi="宋体" w:eastAsia="宋体"/>
          <w:b/>
          <w:color w:val="auto"/>
          <w:sz w:val="21"/>
          <w:szCs w:val="21"/>
          <w:highlight w:val="none"/>
          <w:lang w:val="en-US" w:eastAsia="zh-CN"/>
        </w:rPr>
        <w:t>一</w:t>
      </w:r>
      <w:r>
        <w:rPr>
          <w:rFonts w:hint="eastAsia" w:ascii="宋体" w:hAnsi="宋体" w:eastAsia="宋体"/>
          <w:b/>
          <w:color w:val="auto"/>
          <w:sz w:val="21"/>
          <w:szCs w:val="21"/>
          <w:highlight w:val="none"/>
        </w:rPr>
        <w:t>、项目概况</w:t>
      </w:r>
      <w:bookmarkEnd w:id="224"/>
      <w:bookmarkEnd w:id="225"/>
    </w:p>
    <w:p>
      <w:pPr>
        <w:tabs>
          <w:tab w:val="left" w:pos="720"/>
        </w:tabs>
        <w:spacing w:line="400" w:lineRule="exact"/>
        <w:ind w:firstLine="420" w:firstLineChars="200"/>
        <w:rPr>
          <w:bCs/>
          <w:color w:val="auto"/>
          <w:szCs w:val="21"/>
          <w:highlight w:val="none"/>
        </w:rPr>
      </w:pPr>
      <w:r>
        <w:rPr>
          <w:rFonts w:hint="eastAsia"/>
          <w:bCs/>
          <w:color w:val="auto"/>
          <w:szCs w:val="21"/>
          <w:highlight w:val="none"/>
        </w:rPr>
        <w:t>1、项目名称：</w:t>
      </w:r>
      <w:r>
        <w:rPr>
          <w:rFonts w:hint="eastAsia"/>
          <w:bCs/>
          <w:color w:val="auto"/>
          <w:szCs w:val="21"/>
          <w:highlight w:val="none"/>
          <w:lang w:val="en-US" w:eastAsia="zh-CN"/>
        </w:rPr>
        <w:t>广东狼博旺实业有限公司配套宿舍项目二期监理</w:t>
      </w:r>
    </w:p>
    <w:p>
      <w:pPr>
        <w:tabs>
          <w:tab w:val="left" w:pos="720"/>
        </w:tabs>
        <w:spacing w:line="400" w:lineRule="exact"/>
        <w:ind w:firstLine="420" w:firstLineChars="200"/>
        <w:rPr>
          <w:rFonts w:hint="default"/>
          <w:bCs/>
          <w:color w:val="auto"/>
          <w:szCs w:val="21"/>
          <w:highlight w:val="none"/>
          <w:lang w:val="en-US" w:eastAsia="zh-CN"/>
        </w:rPr>
      </w:pPr>
      <w:r>
        <w:rPr>
          <w:rFonts w:hint="eastAsia"/>
          <w:bCs/>
          <w:color w:val="auto"/>
          <w:szCs w:val="21"/>
          <w:highlight w:val="none"/>
          <w:lang w:val="en-US" w:eastAsia="zh-CN"/>
        </w:rPr>
        <w:t>2、项目地点：东莞市石排镇东莞市石排镇石排村</w:t>
      </w:r>
    </w:p>
    <w:p>
      <w:pPr>
        <w:tabs>
          <w:tab w:val="left" w:pos="720"/>
        </w:tabs>
        <w:spacing w:line="400" w:lineRule="exact"/>
        <w:ind w:firstLine="420" w:firstLineChars="200"/>
        <w:rPr>
          <w:rFonts w:hint="eastAsia"/>
          <w:bCs/>
          <w:color w:val="auto"/>
          <w:szCs w:val="21"/>
          <w:highlight w:val="none"/>
          <w:lang w:eastAsia="zh-CN"/>
        </w:rPr>
      </w:pPr>
      <w:r>
        <w:rPr>
          <w:rFonts w:hint="eastAsia"/>
          <w:bCs/>
          <w:color w:val="auto"/>
          <w:szCs w:val="21"/>
          <w:highlight w:val="none"/>
          <w:lang w:val="en-US" w:eastAsia="zh-CN"/>
        </w:rPr>
        <w:t>3</w:t>
      </w:r>
      <w:r>
        <w:rPr>
          <w:rFonts w:hint="eastAsia"/>
          <w:bCs/>
          <w:color w:val="auto"/>
          <w:szCs w:val="21"/>
          <w:highlight w:val="none"/>
        </w:rPr>
        <w:t>、建设规模：项目地块位于叶屋一路、彩蓬街，占地面积约4500平方米，新建一幢十五层宿舍和一幢五层宿舍，最高建筑高度为48m，总建筑面积约31700平方米</w:t>
      </w:r>
      <w:r>
        <w:rPr>
          <w:rFonts w:hint="eastAsia"/>
          <w:bCs/>
          <w:color w:val="auto"/>
          <w:szCs w:val="21"/>
          <w:highlight w:val="none"/>
          <w:lang w:eastAsia="zh-CN"/>
        </w:rPr>
        <w:t>。</w:t>
      </w:r>
    </w:p>
    <w:p>
      <w:pPr>
        <w:tabs>
          <w:tab w:val="left" w:pos="720"/>
        </w:tabs>
        <w:spacing w:line="400" w:lineRule="exact"/>
        <w:ind w:firstLine="420" w:firstLineChars="200"/>
        <w:rPr>
          <w:rFonts w:hint="default" w:eastAsia="宋体"/>
          <w:bCs/>
          <w:color w:val="auto"/>
          <w:szCs w:val="21"/>
          <w:highlight w:val="none"/>
          <w:lang w:val="en-US" w:eastAsia="zh-CN"/>
        </w:rPr>
      </w:pPr>
      <w:r>
        <w:rPr>
          <w:rFonts w:hint="eastAsia"/>
          <w:bCs/>
          <w:color w:val="auto"/>
          <w:szCs w:val="21"/>
          <w:highlight w:val="none"/>
          <w:lang w:val="en-US" w:eastAsia="zh-CN"/>
        </w:rPr>
        <w:t>4、</w:t>
      </w:r>
      <w:r>
        <w:rPr>
          <w:rFonts w:hint="eastAsia" w:ascii="宋体" w:hAnsi="宋体" w:eastAsia="宋体" w:cs="宋体"/>
          <w:color w:val="auto"/>
          <w:sz w:val="21"/>
          <w:szCs w:val="21"/>
          <w:highlight w:val="none"/>
        </w:rPr>
        <w:t>本次采购项目的工程监理与相关服务工程内容和范围包括：施工准备阶段、施工阶段、竣工验收结算阶段及缺陷责任期的有关工作的监理。监理的范围亦包括对本标段项目内容施工的进度、质量、造价、安全、环保、合同、文明等的监理。</w:t>
      </w:r>
    </w:p>
    <w:p>
      <w:pPr>
        <w:pStyle w:val="39"/>
        <w:jc w:val="left"/>
        <w:outlineLvl w:val="0"/>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w:t>
      </w:r>
      <w:r>
        <w:rPr>
          <w:rFonts w:hint="eastAsia" w:ascii="宋体" w:hAnsi="宋体"/>
          <w:b/>
          <w:color w:val="auto"/>
          <w:sz w:val="21"/>
          <w:szCs w:val="21"/>
          <w:highlight w:val="none"/>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监理工作内容包括如下：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协助采购人核实承包人的资质及签订维护工程承包合同。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核实承包人投入该项目技术装备和工作人员情况。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审查承包人的开工报告，核实委托人与承包人开工前所需的各种批准文件及手续，征得采购人同意后，发布开工令。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负责对房屋建筑质量及进度进行监管，并核实计量建筑工程量，组织工程验收。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负责总结房屋建筑项目半年度工作情况，并形成相关情况报告上报采购人。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建设过程中涉及到原工程设计中的技术问题，按照安全和优化的原则，向采购人提出建议；当发现工程建设方案不符合国家颁布的建设工程质量标准或原设计的质量标准时，成交人应当书面报告采购人并要求承包人更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审批建设工程施工组织设计和技术方案，按照保质量、保工期的原则，向承包人提出建议，并向采购人提出书面报告。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制定现场工程监理工作制度，填写监理日记及大事记。定期召开监理例会，通报监理情况及工程的有关事宜。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验工程上使用的材料和施工质量。对于不符合原设计要求和合同约定及国家质量标准的材料、构配件、设备，有权通知承包人停止使用；对于不符合规范和质量标准的工序、分部分项工程和不安全、不文明施工作业，有权通知承包人停工整改、返工。承包人得到监理机构复工令后才能复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工程维修进度的检查、监督，以及工程实际竣工日期提前或超过工程施工合同规定的竣工期限的签认。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工程承包合同约定的工程价格范围内，工程款支付的审核和签认，以及工程结算的复核。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监督检查工程的文明施工及安全防护措施；施工现场必须设置警示标志和工程告示牌，保证车辆和行人的安全。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协助处理工程出现的质量事故和安全事故，参与重大质量、安全事故分析和处理；对突然发生的事故，可决定作出紧急措施，并及时向采购人报告。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征得采购人同意，成交人下达工程暂停令、复工令，但应当事先向采购人报告。如在紧急情况下未能事先报告时，则应在24小时内向采购人作出书面报告。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办理采购人决定更改、增减工程内容、数量事宜，审理承包人申报的有关工程更改的请求，提出处理意见。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协调采购人与承包人及相关单位之间的关系，对建设工程承包合同出现的纠纷和索赔事项提出建议或意见。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督促承包人提交完整规范的工程竣工验收资料。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组织采购人、设计单位、承包人共同对工程进行预验收，并签署预验收意见。对预验收中提出的问题指令施工单位整改。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审查《工程竣工报告书》，提出整改意见，编写《工程质量评估报告》及整理监理资料，参加工程竣工验收，协助采购人办理竣工验收及备案手续。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工程保修阶段，成交人对保修阶段的工程质量状况进行检查，对工程质量缺陷进行鉴定，分清责任，督促施工单位进行工程质量缺陷的修复，并整理好保修期内发生质量缺陷的所有工程技术资料。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对涉及工程造价增加的变更、工程工期延长的签认确定事项，成交人须首先报告采购人代表并获得同意方可办理。对本条所涉及内容的事项，须有成交人、采购人共同签证方为有效。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负责对建设单位的监管工作。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负责组织建设单位、成交人和采购人三方进行现场签证和工程竣工验收工作。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负责建设工作全过程监控。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负责对建设单位实施每项工程情况评定打分。</w:t>
      </w:r>
    </w:p>
    <w:p>
      <w:pPr>
        <w:pStyle w:val="39"/>
        <w:jc w:val="left"/>
        <w:outlineLvl w:val="0"/>
        <w:rPr>
          <w:rFonts w:hint="eastAsia" w:ascii="宋体" w:hAnsi="宋体"/>
          <w:b/>
          <w:color w:val="auto"/>
          <w:sz w:val="21"/>
          <w:szCs w:val="21"/>
          <w:highlight w:val="none"/>
          <w:lang w:val="en-US" w:eastAsia="zh-CN"/>
        </w:rPr>
      </w:pPr>
      <w:bookmarkStart w:id="228" w:name="_Toc42033157"/>
      <w:bookmarkStart w:id="229" w:name="_Toc485835251"/>
      <w:bookmarkStart w:id="230" w:name="_Toc17699255"/>
      <w:r>
        <w:rPr>
          <w:rFonts w:hint="eastAsia" w:ascii="宋体" w:hAnsi="宋体"/>
          <w:b/>
          <w:color w:val="auto"/>
          <w:sz w:val="21"/>
          <w:szCs w:val="21"/>
          <w:highlight w:val="none"/>
          <w:lang w:val="en-US" w:eastAsia="zh-CN"/>
        </w:rPr>
        <w:t>三、</w:t>
      </w:r>
      <w:bookmarkEnd w:id="228"/>
      <w:bookmarkEnd w:id="229"/>
      <w:bookmarkEnd w:id="230"/>
      <w:r>
        <w:rPr>
          <w:rFonts w:hint="eastAsia" w:ascii="宋体" w:hAnsi="宋体"/>
          <w:b/>
          <w:color w:val="auto"/>
          <w:sz w:val="21"/>
          <w:szCs w:val="21"/>
          <w:highlight w:val="none"/>
          <w:lang w:val="en-US" w:eastAsia="zh-CN"/>
        </w:rPr>
        <w:t>监理依据</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1、监理合同；</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2、委托人与第三方签订的有关合同文件；</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3、本工程监理实施方案，监理管理办法及有关文件；</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4、合同指定使用的技术规范、工程质量检验评定标准、试验规程等；</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5、国家、广东省、东莞市有关部门颁布的有关法律、法规等；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6、本工程实施过程中，委托人与监理人组织召开或参加的有关会议纪要函电及其文字记录，监理工程师批准的各种图纸、指令等。</w:t>
      </w:r>
    </w:p>
    <w:p>
      <w:pPr>
        <w:pStyle w:val="39"/>
        <w:jc w:val="left"/>
        <w:outlineLvl w:val="0"/>
        <w:rPr>
          <w:rFonts w:hint="eastAsia" w:ascii="宋体" w:hAnsi="宋体"/>
          <w:b/>
          <w:color w:val="auto"/>
          <w:sz w:val="21"/>
          <w:szCs w:val="21"/>
          <w:highlight w:val="none"/>
          <w:lang w:val="en-US" w:eastAsia="zh-CN"/>
        </w:rPr>
      </w:pPr>
      <w:bookmarkStart w:id="231" w:name="_Toc317452086"/>
      <w:bookmarkStart w:id="232" w:name="_Toc238270225"/>
      <w:bookmarkStart w:id="233" w:name="_Toc42033159"/>
      <w:bookmarkStart w:id="234" w:name="_Toc354480987"/>
      <w:bookmarkStart w:id="235" w:name="_Toc372241593"/>
      <w:bookmarkStart w:id="236" w:name="_Toc309897959"/>
      <w:bookmarkStart w:id="237" w:name="_Toc309898035"/>
      <w:bookmarkStart w:id="238" w:name="_Toc351107060"/>
      <w:bookmarkStart w:id="239" w:name="_Toc310950801"/>
      <w:r>
        <w:rPr>
          <w:rFonts w:hint="eastAsia" w:ascii="宋体" w:hAnsi="宋体"/>
          <w:b/>
          <w:color w:val="auto"/>
          <w:sz w:val="21"/>
          <w:szCs w:val="21"/>
          <w:highlight w:val="none"/>
          <w:lang w:val="en-US" w:eastAsia="zh-CN"/>
        </w:rPr>
        <w:t>四、</w:t>
      </w:r>
      <w:bookmarkEnd w:id="226"/>
      <w:bookmarkEnd w:id="227"/>
      <w:bookmarkEnd w:id="231"/>
      <w:bookmarkEnd w:id="232"/>
      <w:bookmarkEnd w:id="233"/>
      <w:bookmarkEnd w:id="234"/>
      <w:bookmarkEnd w:id="235"/>
      <w:bookmarkEnd w:id="236"/>
      <w:bookmarkEnd w:id="237"/>
      <w:bookmarkEnd w:id="238"/>
      <w:bookmarkEnd w:id="239"/>
      <w:r>
        <w:rPr>
          <w:rFonts w:hint="eastAsia" w:ascii="宋体" w:hAnsi="宋体"/>
          <w:b/>
          <w:color w:val="auto"/>
          <w:sz w:val="21"/>
          <w:szCs w:val="21"/>
          <w:highlight w:val="none"/>
          <w:lang w:val="en-US" w:eastAsia="zh-CN"/>
        </w:rPr>
        <w:t>其他要求</w:t>
      </w:r>
    </w:p>
    <w:p>
      <w:pPr>
        <w:spacing w:after="6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、用户需求仅为本项目的最低要求，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应根据采购要求结合实际情况，在</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文件中提供更优的、切实可行的实施服务方案。</w:t>
      </w:r>
    </w:p>
    <w:p>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、项目未尽事宜将在采购合同中另行约定，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单位需无条件同意采购单位基于为顺利完成本项目所提出的各项合理要求。</w:t>
      </w: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2"/>
        </w:numPr>
        <w:bidi w:val="0"/>
        <w:ind w:left="0" w:leftChars="0" w:firstLine="0" w:firstLineChars="0"/>
        <w:rPr>
          <w:rFonts w:hint="eastAsia"/>
          <w:color w:val="auto"/>
          <w:highlight w:val="none"/>
          <w:lang w:val="en-US" w:eastAsia="zh-CN"/>
        </w:rPr>
      </w:pPr>
      <w:bookmarkStart w:id="240" w:name="_Toc29929"/>
      <w:r>
        <w:rPr>
          <w:rFonts w:hint="eastAsia"/>
          <w:color w:val="auto"/>
          <w:highlight w:val="none"/>
          <w:lang w:val="en-US" w:eastAsia="zh-CN"/>
        </w:rPr>
        <w:t>详细评审</w:t>
      </w:r>
      <w:bookmarkEnd w:id="240"/>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20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具有的</w:t>
            </w:r>
            <w:r>
              <w:rPr>
                <w:rFonts w:hint="eastAsia" w:ascii="宋体" w:hAnsi="宋体" w:cs="宋体"/>
                <w:bCs/>
                <w:color w:val="auto"/>
                <w:sz w:val="21"/>
                <w:szCs w:val="21"/>
                <w:highlight w:val="none"/>
                <w:lang w:val="en-US" w:eastAsia="zh-CN"/>
              </w:rPr>
              <w:t>工程监理</w:t>
            </w:r>
            <w:r>
              <w:rPr>
                <w:rFonts w:hint="eastAsia" w:ascii="宋体" w:hAnsi="宋体" w:eastAsia="宋体" w:cs="宋体"/>
                <w:bCs/>
                <w:color w:val="auto"/>
                <w:sz w:val="21"/>
                <w:szCs w:val="21"/>
                <w:highlight w:val="none"/>
                <w:lang w:val="zh-CN"/>
              </w:rPr>
              <w:t>类项目业绩，每提供一个合同业绩得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0分。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注：须提供合同复印件并同时加盖</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根据供应商收到采购人的紧急服务需求后的响应时间进行评分：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承诺1小时内（含）响应并能到达现场的，得5分；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承诺1小时（不含）至2小时内（含）响应并能到达现场的，得3分；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承诺2小时</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至4小时内（含）</w:t>
            </w:r>
            <w:r>
              <w:rPr>
                <w:rFonts w:hint="eastAsia" w:ascii="宋体" w:hAnsi="宋体" w:eastAsia="宋体" w:cs="宋体"/>
                <w:bCs/>
                <w:color w:val="auto"/>
                <w:sz w:val="21"/>
                <w:szCs w:val="21"/>
                <w:highlight w:val="none"/>
                <w:lang w:val="zh-CN"/>
              </w:rPr>
              <w:t>响应并能到达现场的，得1分；</w:t>
            </w:r>
          </w:p>
          <w:p>
            <w:pPr>
              <w:keepNext w:val="0"/>
              <w:keepLines w:val="0"/>
              <w:pageBreakBefore w:val="0"/>
              <w:kinsoku/>
              <w:wordWrap/>
              <w:overflowPunct/>
              <w:topLinePunct w:val="0"/>
              <w:autoSpaceDE/>
              <w:autoSpaceDN/>
              <w:bidi w:val="0"/>
              <w:spacing w:after="0"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未承诺或</w:t>
            </w:r>
            <w:r>
              <w:rPr>
                <w:rFonts w:hint="eastAsia" w:ascii="宋体" w:hAnsi="宋体" w:eastAsia="宋体" w:cs="宋体"/>
                <w:bCs/>
                <w:color w:val="auto"/>
                <w:sz w:val="21"/>
                <w:szCs w:val="21"/>
                <w:highlight w:val="none"/>
              </w:rPr>
              <w:t>其它不得分。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不符合以上要求不得分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项目的总体把握和理解</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根据</w:t>
            </w:r>
            <w:r>
              <w:rPr>
                <w:rFonts w:hint="eastAsia" w:ascii="宋体" w:eastAsia="宋体" w:cs="宋体"/>
                <w:color w:val="auto"/>
                <w:sz w:val="21"/>
                <w:szCs w:val="21"/>
                <w:highlight w:val="none"/>
                <w:lang w:val="en-US" w:eastAsia="zh-CN"/>
              </w:rPr>
              <w:t>供应商</w:t>
            </w:r>
            <w:r>
              <w:rPr>
                <w:rFonts w:hint="eastAsia" w:ascii="宋体" w:eastAsia="宋体" w:cs="宋体"/>
                <w:color w:val="auto"/>
                <w:sz w:val="21"/>
                <w:szCs w:val="21"/>
                <w:highlight w:val="none"/>
              </w:rPr>
              <w:t>对项目内容的总体把握和理解进行</w:t>
            </w:r>
            <w:r>
              <w:rPr>
                <w:rFonts w:hint="eastAsia" w:ascii="宋体" w:eastAsia="宋体" w:cs="宋体"/>
                <w:color w:val="auto"/>
                <w:sz w:val="21"/>
                <w:szCs w:val="21"/>
                <w:highlight w:val="none"/>
                <w:lang w:val="en-US" w:eastAsia="zh-CN"/>
              </w:rPr>
              <w:t>综合评审</w:t>
            </w:r>
            <w:r>
              <w:rPr>
                <w:rFonts w:hint="eastAsia" w:ascii="宋体" w:eastAsia="宋体" w:cs="宋体"/>
                <w:color w:val="auto"/>
                <w:sz w:val="21"/>
                <w:szCs w:val="21"/>
                <w:highlight w:val="none"/>
              </w:rPr>
              <w:t>：</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w:t>
            </w:r>
            <w:r>
              <w:rPr>
                <w:rFonts w:hint="eastAsia" w:ascii="宋体" w:eastAsia="宋体" w:cs="宋体"/>
                <w:color w:val="auto"/>
                <w:sz w:val="21"/>
                <w:szCs w:val="21"/>
                <w:highlight w:val="none"/>
                <w:lang w:val="en-US" w:eastAsia="zh-CN"/>
              </w:rPr>
              <w:t>有完整全面</w:t>
            </w:r>
            <w:r>
              <w:rPr>
                <w:rFonts w:hint="eastAsia" w:ascii="宋体" w:eastAsia="宋体" w:cs="宋体"/>
                <w:color w:val="auto"/>
                <w:sz w:val="21"/>
                <w:szCs w:val="21"/>
                <w:highlight w:val="none"/>
              </w:rPr>
              <w:t>把握和理解的，得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对项目内容整体有</w:t>
            </w:r>
            <w:r>
              <w:rPr>
                <w:rFonts w:hint="eastAsia" w:ascii="宋体" w:eastAsia="宋体" w:cs="宋体"/>
                <w:color w:val="auto"/>
                <w:sz w:val="21"/>
                <w:szCs w:val="21"/>
                <w:highlight w:val="none"/>
                <w:lang w:val="en-US" w:eastAsia="zh-CN"/>
              </w:rPr>
              <w:t>基本全面</w:t>
            </w:r>
            <w:r>
              <w:rPr>
                <w:rFonts w:hint="eastAsia" w:ascii="宋体" w:eastAsia="宋体" w:cs="宋体"/>
                <w:color w:val="auto"/>
                <w:sz w:val="21"/>
                <w:szCs w:val="21"/>
                <w:highlight w:val="none"/>
              </w:rPr>
              <w:t>把握和理解的，得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对项目内容整体把握和理解一般的，得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26"/>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对项目内容整体把握和理解较差的，得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6"/>
              <w:spacing w:line="360" w:lineRule="auto"/>
              <w:ind w:firstLine="420" w:firstLineChars="200"/>
              <w:rPr>
                <w:rFonts w:hint="eastAsia" w:ascii="宋体" w:hAnsi="宋体" w:eastAsia="宋体" w:cs="宋体"/>
                <w:bCs/>
                <w:color w:val="auto"/>
                <w:sz w:val="21"/>
                <w:szCs w:val="21"/>
                <w:highlight w:val="none"/>
                <w:lang w:val="zh-CN"/>
              </w:rPr>
            </w:pPr>
            <w:r>
              <w:rPr>
                <w:rFonts w:hint="eastAsia" w:ascii="宋体" w:eastAsia="宋体" w:cs="宋体"/>
                <w:color w:val="auto"/>
                <w:sz w:val="21"/>
                <w:szCs w:val="21"/>
                <w:highlight w:val="none"/>
              </w:rPr>
              <w:t>未提供</w:t>
            </w:r>
            <w:r>
              <w:rPr>
                <w:rFonts w:hint="eastAsia" w:ascii="宋体" w:eastAsia="宋体" w:cs="宋体"/>
                <w:color w:val="auto"/>
                <w:sz w:val="21"/>
                <w:szCs w:val="21"/>
                <w:highlight w:val="none"/>
                <w:lang w:val="en-US" w:eastAsia="zh-CN"/>
              </w:rPr>
              <w:t>对应方案，</w:t>
            </w:r>
            <w:r>
              <w:rPr>
                <w:rFonts w:hint="eastAsia" w:asci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进度控制措施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进度控制措施</w:t>
            </w:r>
            <w:r>
              <w:rPr>
                <w:rFonts w:hint="eastAsia" w:ascii="宋体" w:hAnsi="宋体" w:eastAsia="宋体" w:cs="宋体"/>
                <w:color w:val="auto"/>
                <w:sz w:val="21"/>
                <w:szCs w:val="21"/>
                <w:highlight w:val="none"/>
                <w:lang w:val="en-US" w:eastAsia="zh-CN"/>
              </w:rPr>
              <w:t>进行综合评审：</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目标明确、方法合理可行、措施具体、针对性强，有很好的控制方法和措施的，得</w:t>
            </w:r>
            <w:r>
              <w:rPr>
                <w:rFonts w:hint="eastAsia" w:ascii="宋体" w:cs="宋体"/>
                <w:color w:val="auto"/>
                <w:sz w:val="21"/>
                <w:szCs w:val="21"/>
                <w:highlight w:val="none"/>
                <w:lang w:val="en-US" w:eastAsia="zh-CN"/>
              </w:rPr>
              <w:t>15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目标较明确、方法较合理、措施较具体、针对性较好，有较好的控制方法和措施的，得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目标、方法、措施及针对性一般，有一定的控制方法和措施的，得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进度控制措施</w:t>
            </w:r>
            <w:r>
              <w:rPr>
                <w:rFonts w:hint="eastAsia" w:ascii="宋体" w:eastAsia="宋体" w:cs="宋体"/>
                <w:color w:val="auto"/>
                <w:sz w:val="21"/>
                <w:szCs w:val="21"/>
                <w:highlight w:val="none"/>
              </w:rPr>
              <w:t>方法不合理、针对性不强、措施不具体的，得</w:t>
            </w:r>
            <w:r>
              <w:rPr>
                <w:rFonts w:hint="eastAsia" w:ascii="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eastAsia="宋体" w:cs="宋体"/>
                <w:color w:val="auto"/>
                <w:sz w:val="21"/>
                <w:szCs w:val="21"/>
                <w:highlight w:val="none"/>
              </w:rPr>
              <w:t>未提供</w:t>
            </w:r>
            <w:r>
              <w:rPr>
                <w:rFonts w:hint="eastAsia" w:ascii="宋体" w:hAnsi="宋体" w:eastAsia="宋体" w:cs="宋体"/>
                <w:color w:val="auto"/>
                <w:sz w:val="21"/>
                <w:szCs w:val="21"/>
                <w:highlight w:val="none"/>
              </w:rPr>
              <w:t>进度控制措施</w:t>
            </w: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质量控制措施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质量控制措施</w:t>
            </w:r>
            <w:r>
              <w:rPr>
                <w:rFonts w:hint="eastAsia" w:ascii="宋体" w:hAnsi="宋体" w:eastAsia="宋体" w:cs="宋体"/>
                <w:color w:val="auto"/>
                <w:sz w:val="21"/>
                <w:szCs w:val="21"/>
                <w:highlight w:val="none"/>
                <w:lang w:val="en-US" w:eastAsia="zh-CN"/>
              </w:rPr>
              <w:t>进行综合评审：</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目标明确、方法合理可行、措施具体、针对性强，有很好的控制方法和措施的，得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目标较明确、方法较合理、措施较具体、针对性较好，有较好的控制方法和措施的，得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目标、方法、措施及针对性一般，有一定的控制方法和措施的，得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firstLine="420" w:firstLineChars="200"/>
              <w:jc w:val="both"/>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rPr>
              <w:t>质量控制措施</w:t>
            </w:r>
            <w:r>
              <w:rPr>
                <w:rFonts w:hint="eastAsia" w:ascii="宋体" w:eastAsia="宋体" w:cs="宋体"/>
                <w:color w:val="auto"/>
                <w:sz w:val="21"/>
                <w:szCs w:val="21"/>
                <w:highlight w:val="none"/>
              </w:rPr>
              <w:t>方法不合理、针对性不强、措施不具体的，得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eastAsia="宋体" w:cs="宋体"/>
                <w:color w:val="auto"/>
                <w:sz w:val="21"/>
                <w:szCs w:val="21"/>
                <w:highlight w:val="none"/>
              </w:rPr>
              <w:t>未提供</w:t>
            </w:r>
            <w:r>
              <w:rPr>
                <w:rFonts w:hint="eastAsia" w:ascii="宋体" w:hAnsi="宋体" w:eastAsia="宋体" w:cs="宋体"/>
                <w:color w:val="auto"/>
                <w:sz w:val="21"/>
                <w:szCs w:val="21"/>
                <w:highlight w:val="none"/>
              </w:rPr>
              <w:t>质量控制措施</w:t>
            </w:r>
            <w:r>
              <w:rPr>
                <w:rFonts w:hint="eastAsia" w:ascii="宋体" w:hAnsi="宋体" w:eastAsia="宋体" w:cs="宋体"/>
                <w:color w:val="auto"/>
                <w:sz w:val="21"/>
                <w:szCs w:val="21"/>
                <w:highlight w:val="none"/>
                <w:lang w:eastAsia="zh-CN"/>
              </w:rPr>
              <w:t>，</w:t>
            </w:r>
            <w:r>
              <w:rPr>
                <w:rFonts w:hint="eastAsia" w:asci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方案进行综合评审：</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合理有效，针对性强，措施具体科学，可行性强，得10分。</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方案基本</w:t>
            </w:r>
            <w:r>
              <w:rPr>
                <w:rFonts w:hint="eastAsia" w:ascii="宋体" w:hAnsi="宋体" w:eastAsia="宋体" w:cs="宋体"/>
                <w:color w:val="auto"/>
                <w:sz w:val="21"/>
                <w:szCs w:val="21"/>
                <w:highlight w:val="none"/>
              </w:rPr>
              <w:t>合理有效，针对性</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rPr>
              <w:t>，可行性强，得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方案一般</w:t>
            </w:r>
            <w:r>
              <w:rPr>
                <w:rFonts w:hint="eastAsia" w:ascii="宋体" w:hAnsi="宋体" w:eastAsia="宋体" w:cs="宋体"/>
                <w:color w:val="auto"/>
                <w:sz w:val="21"/>
                <w:szCs w:val="21"/>
                <w:highlight w:val="none"/>
              </w:rPr>
              <w:t>可行，针对性一般，得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合同管理、信息管理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，针对性不强，可行性较差，得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提供合同管理、信息管理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right w:val="single" w:color="auto" w:sz="4" w:space="0"/>
            </w:tcBorders>
            <w:noWrap w:val="0"/>
            <w:vAlign w:val="center"/>
          </w:tcPr>
          <w:p>
            <w:pPr>
              <w:pStyle w:val="15"/>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5"/>
              <w:widowControl w:val="0"/>
              <w:spacing w:before="0" w:beforeAutospacing="0" w:after="0" w:afterAutospacing="0"/>
              <w:ind w:left="1"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方案进行综合评审：</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合理有效，针对性强，措施具体科学，可行性强，得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方案一般</w:t>
            </w:r>
            <w:r>
              <w:rPr>
                <w:rFonts w:hint="eastAsia" w:ascii="宋体" w:hAnsi="宋体" w:eastAsia="宋体" w:cs="宋体"/>
                <w:color w:val="auto"/>
                <w:sz w:val="21"/>
                <w:szCs w:val="21"/>
                <w:highlight w:val="none"/>
              </w:rPr>
              <w:t>可行，针对性一般，得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针对性不强，可行性较差，得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15"/>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2"/>
        </w:numPr>
        <w:bidi w:val="0"/>
        <w:ind w:left="0" w:leftChars="0" w:firstLine="0" w:firstLineChars="0"/>
        <w:rPr>
          <w:rFonts w:hint="eastAsia"/>
          <w:color w:val="auto"/>
          <w:highlight w:val="none"/>
          <w:lang w:val="en-US" w:eastAsia="zh-CN"/>
        </w:rPr>
      </w:pPr>
      <w:bookmarkStart w:id="241" w:name="_Toc20102"/>
      <w:r>
        <w:rPr>
          <w:rFonts w:hint="eastAsia"/>
          <w:color w:val="auto"/>
          <w:highlight w:val="none"/>
          <w:lang w:val="en-US" w:eastAsia="zh-CN"/>
        </w:rPr>
        <w:t>合同文本参考格式</w:t>
      </w:r>
      <w:bookmarkEnd w:id="241"/>
    </w:p>
    <w:p>
      <w:pPr>
        <w:jc w:val="center"/>
        <w:outlineLvl w:val="1"/>
        <w:rPr>
          <w:rFonts w:hint="eastAsia"/>
          <w:color w:val="auto"/>
          <w:sz w:val="18"/>
          <w:szCs w:val="21"/>
          <w:highlight w:val="none"/>
          <w:lang w:val="en-US" w:eastAsia="zh-CN"/>
        </w:rPr>
      </w:pPr>
      <w:bookmarkStart w:id="242" w:name="_Toc20453"/>
      <w:bookmarkStart w:id="243" w:name="_Toc27897"/>
      <w:bookmarkStart w:id="244" w:name="_Toc1541"/>
      <w:bookmarkStart w:id="245"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3633"/>
      <w:bookmarkStart w:id="247" w:name="_Toc864"/>
      <w:bookmarkStart w:id="248" w:name="_Toc21895"/>
      <w:bookmarkStart w:id="249" w:name="_Toc14994"/>
      <w:r>
        <w:rPr>
          <w:rFonts w:hint="eastAsia"/>
          <w:b/>
          <w:bCs/>
          <w:color w:val="auto"/>
          <w:highlight w:val="none"/>
          <w:lang w:val="en-US" w:eastAsia="zh-CN"/>
        </w:rPr>
        <w:t>一、合同金额</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0" w:name="_Toc31907"/>
      <w:bookmarkStart w:id="251" w:name="_Toc8673"/>
      <w:bookmarkStart w:id="252" w:name="_Toc8984"/>
      <w:bookmarkStart w:id="253" w:name="_Toc32599"/>
      <w:r>
        <w:rPr>
          <w:rFonts w:hint="eastAsia"/>
          <w:b/>
          <w:bCs/>
          <w:color w:val="auto"/>
          <w:highlight w:val="none"/>
          <w:lang w:val="en-US" w:eastAsia="zh-CN"/>
        </w:rPr>
        <w:t>二、服务范围</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4" w:name="_Toc28304"/>
      <w:bookmarkStart w:id="255" w:name="_Toc23270"/>
      <w:bookmarkStart w:id="256" w:name="_Toc9958"/>
      <w:bookmarkStart w:id="257" w:name="_Toc2159"/>
      <w:r>
        <w:rPr>
          <w:rFonts w:hint="eastAsia"/>
          <w:b/>
          <w:bCs/>
          <w:color w:val="auto"/>
          <w:highlight w:val="none"/>
          <w:lang w:val="en-US" w:eastAsia="zh-CN"/>
        </w:rPr>
        <w:t>三、甲方乙方的权利和义务</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29743"/>
      <w:bookmarkStart w:id="259" w:name="_Toc13843"/>
      <w:bookmarkStart w:id="260" w:name="_Toc3949"/>
      <w:bookmarkStart w:id="261" w:name="_Toc31228"/>
      <w:r>
        <w:rPr>
          <w:rFonts w:hint="eastAsia"/>
          <w:b/>
          <w:bCs/>
          <w:color w:val="auto"/>
          <w:highlight w:val="none"/>
          <w:lang w:val="en-US" w:eastAsia="zh-CN"/>
        </w:rPr>
        <w:t>四、服务期间（项目完成期限）</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1315"/>
      <w:bookmarkStart w:id="263" w:name="_Toc3509"/>
      <w:bookmarkStart w:id="264" w:name="_Toc26555"/>
      <w:bookmarkStart w:id="265" w:name="_Toc30401"/>
      <w:r>
        <w:rPr>
          <w:rFonts w:hint="eastAsia"/>
          <w:b/>
          <w:bCs/>
          <w:color w:val="auto"/>
          <w:highlight w:val="none"/>
          <w:lang w:val="en-US" w:eastAsia="zh-CN"/>
        </w:rPr>
        <w:t>五、付款方式</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66" w:name="_Toc25049"/>
      <w:bookmarkStart w:id="267" w:name="_Toc29016"/>
      <w:bookmarkStart w:id="268" w:name="_Toc27026"/>
      <w:bookmarkStart w:id="269" w:name="_Toc28728"/>
      <w:r>
        <w:rPr>
          <w:rFonts w:hint="eastAsia"/>
          <w:b/>
          <w:bCs/>
          <w:color w:val="auto"/>
          <w:highlight w:val="none"/>
          <w:lang w:val="en-US" w:eastAsia="zh-CN"/>
        </w:rPr>
        <w:t>六、知识产权</w:t>
      </w:r>
      <w:r>
        <w:rPr>
          <w:rFonts w:hint="eastAsia"/>
          <w:b/>
          <w:bCs/>
          <w:color w:val="auto"/>
          <w:highlight w:val="none"/>
        </w:rPr>
        <w:t>归属</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0" w:name="_Toc491"/>
      <w:bookmarkStart w:id="271" w:name="_Toc16011"/>
      <w:bookmarkStart w:id="272" w:name="_Toc15194"/>
      <w:bookmarkStart w:id="273" w:name="_Toc25037"/>
      <w:r>
        <w:rPr>
          <w:rFonts w:hint="eastAsia"/>
          <w:b/>
          <w:bCs/>
          <w:color w:val="auto"/>
          <w:highlight w:val="none"/>
          <w:lang w:val="en-US" w:eastAsia="zh-CN"/>
        </w:rPr>
        <w:t>七、保密</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4319"/>
      <w:bookmarkStart w:id="275" w:name="_Toc5642"/>
      <w:bookmarkStart w:id="276" w:name="_Toc8277"/>
      <w:bookmarkStart w:id="277" w:name="_Toc28189"/>
      <w:r>
        <w:rPr>
          <w:rFonts w:hint="eastAsia"/>
          <w:b/>
          <w:bCs/>
          <w:color w:val="auto"/>
          <w:highlight w:val="none"/>
          <w:lang w:val="en-US" w:eastAsia="zh-CN"/>
        </w:rPr>
        <w:t>八、违约责任与赔偿损失</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8" w:name="_Toc18504"/>
      <w:bookmarkStart w:id="279" w:name="_Toc23187"/>
      <w:bookmarkStart w:id="280" w:name="_Toc24754"/>
      <w:bookmarkStart w:id="281" w:name="_Toc30679"/>
      <w:r>
        <w:rPr>
          <w:rFonts w:hint="eastAsia"/>
          <w:b/>
          <w:bCs/>
          <w:color w:val="auto"/>
          <w:highlight w:val="none"/>
          <w:lang w:val="en-US" w:eastAsia="zh-CN"/>
        </w:rPr>
        <w:t>九、争议的解决</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82" w:name="_Toc20074"/>
      <w:bookmarkStart w:id="283" w:name="_Toc23085"/>
      <w:bookmarkStart w:id="284" w:name="_Toc26856"/>
      <w:bookmarkStart w:id="285" w:name="_Toc21080"/>
      <w:r>
        <w:rPr>
          <w:rFonts w:hint="eastAsia"/>
          <w:b/>
          <w:bCs/>
          <w:color w:val="auto"/>
          <w:highlight w:val="none"/>
          <w:lang w:val="en-US" w:eastAsia="zh-CN"/>
        </w:rPr>
        <w:t>十、不可抗力</w:t>
      </w:r>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86" w:name="_Toc12495"/>
      <w:bookmarkStart w:id="287" w:name="_Toc16247"/>
      <w:bookmarkStart w:id="288" w:name="_Toc12645"/>
      <w:bookmarkStart w:id="289" w:name="_Toc29236"/>
      <w:r>
        <w:rPr>
          <w:rFonts w:hint="eastAsia"/>
          <w:b/>
          <w:bCs/>
          <w:color w:val="auto"/>
          <w:highlight w:val="none"/>
          <w:lang w:val="en-US" w:eastAsia="zh-CN"/>
        </w:rPr>
        <w:t>十一、税费</w:t>
      </w:r>
      <w:bookmarkEnd w:id="286"/>
      <w:bookmarkEnd w:id="287"/>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90" w:name="_Toc16429"/>
      <w:bookmarkStart w:id="291" w:name="_Toc1974"/>
      <w:bookmarkStart w:id="292" w:name="_Toc14065"/>
      <w:bookmarkStart w:id="293" w:name="_Toc7253"/>
      <w:r>
        <w:rPr>
          <w:rFonts w:hint="eastAsia"/>
          <w:b/>
          <w:bCs/>
          <w:color w:val="auto"/>
          <w:highlight w:val="none"/>
          <w:lang w:val="en-US" w:eastAsia="zh-CN"/>
        </w:rPr>
        <w:t>十二、其它</w:t>
      </w:r>
      <w:bookmarkEnd w:id="290"/>
      <w:bookmarkEnd w:id="291"/>
      <w:bookmarkEnd w:id="292"/>
      <w:bookmarkEnd w:id="29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94" w:name="_Toc22153"/>
      <w:bookmarkStart w:id="295" w:name="_Toc31822"/>
      <w:bookmarkStart w:id="296" w:name="_Toc13763"/>
      <w:bookmarkStart w:id="297" w:name="_Toc15369"/>
      <w:r>
        <w:rPr>
          <w:rFonts w:hint="eastAsia"/>
          <w:b/>
          <w:bCs/>
          <w:color w:val="auto"/>
          <w:highlight w:val="none"/>
          <w:lang w:val="en-US" w:eastAsia="zh-CN"/>
        </w:rPr>
        <w:t>十三、合同生效</w:t>
      </w:r>
      <w:bookmarkEnd w:id="294"/>
      <w:bookmarkEnd w:id="295"/>
      <w:bookmarkEnd w:id="296"/>
      <w:bookmarkEnd w:id="29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98" w:name="_Toc2896"/>
      <w:r>
        <w:rPr>
          <w:rFonts w:hint="eastAsia"/>
          <w:color w:val="auto"/>
          <w:highlight w:val="none"/>
          <w:lang w:val="en-US" w:eastAsia="zh-CN"/>
        </w:rPr>
        <w:t>第六篇 响应文件格式</w:t>
      </w:r>
      <w:bookmarkEnd w:id="298"/>
    </w:p>
    <w:p>
      <w:pPr>
        <w:rPr>
          <w:rFonts w:hint="eastAsia"/>
          <w:b/>
          <w:bCs/>
          <w:color w:val="auto"/>
          <w:highlight w:val="none"/>
          <w:lang w:val="en-US" w:eastAsia="zh-CN"/>
        </w:rPr>
      </w:pPr>
      <w:r>
        <w:rPr>
          <w:rFonts w:hint="eastAsia"/>
          <w:b/>
          <w:bCs/>
          <w:color w:val="auto"/>
          <w:highlight w:val="none"/>
          <w:lang w:val="en-US" w:eastAsia="zh-CN"/>
        </w:rPr>
        <w:t>注意事项：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99" w:name="_Toc712"/>
      <w:bookmarkStart w:id="300" w:name="_Toc7065"/>
      <w:bookmarkStart w:id="301" w:name="_Toc23380"/>
      <w:bookmarkStart w:id="302" w:name="_Toc32213"/>
      <w:r>
        <w:rPr>
          <w:rFonts w:hint="eastAsia"/>
          <w:b/>
          <w:bCs/>
          <w:color w:val="auto"/>
          <w:highlight w:val="none"/>
          <w:lang w:val="en-US" w:eastAsia="zh-CN"/>
        </w:rPr>
        <w:t>（封面格式仅供参考）</w:t>
      </w:r>
      <w:bookmarkEnd w:id="299"/>
      <w:bookmarkEnd w:id="300"/>
      <w:bookmarkEnd w:id="301"/>
      <w:bookmarkEnd w:id="302"/>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03" w:name="_Toc4650"/>
      <w:bookmarkStart w:id="304" w:name="_Toc14748"/>
      <w:bookmarkStart w:id="305" w:name="_Toc26688"/>
      <w:bookmarkStart w:id="306" w:name="_Toc24171"/>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303"/>
      <w:bookmarkEnd w:id="304"/>
      <w:bookmarkEnd w:id="305"/>
      <w:bookmarkEnd w:id="306"/>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07" w:name="_Toc17848"/>
      <w:bookmarkStart w:id="308" w:name="_Toc25136"/>
      <w:bookmarkStart w:id="309" w:name="_Toc6353"/>
      <w:bookmarkStart w:id="310"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307"/>
      <w:bookmarkEnd w:id="308"/>
      <w:bookmarkEnd w:id="309"/>
      <w:bookmarkEnd w:id="310"/>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8"/>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8"/>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69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格式四：</w:t>
      </w:r>
    </w:p>
    <w:p>
      <w:pPr>
        <w:pStyle w:val="2"/>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311" w:name="_Toc23039"/>
      <w:bookmarkStart w:id="312" w:name="_Toc19106"/>
      <w:bookmarkStart w:id="313" w:name="_Toc4452"/>
      <w:bookmarkStart w:id="314" w:name="_Toc17533"/>
      <w:r>
        <w:rPr>
          <w:color w:val="auto"/>
          <w:sz w:val="24"/>
          <w:szCs w:val="24"/>
          <w:highlight w:val="none"/>
        </w:rPr>
        <w:t>法定代表人证明书</w:t>
      </w:r>
      <w:bookmarkEnd w:id="311"/>
      <w:bookmarkEnd w:id="312"/>
      <w:bookmarkEnd w:id="313"/>
      <w:bookmarkEnd w:id="314"/>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8"/>
        <w:rPr>
          <w:rFonts w:hint="eastAsia"/>
          <w:color w:val="auto"/>
          <w:highlight w:val="none"/>
          <w:lang w:val="en-US" w:eastAsia="zh-CN"/>
        </w:rPr>
      </w:pPr>
    </w:p>
    <w:p>
      <w:pPr>
        <w:rPr>
          <w:rFonts w:hint="eastAsia"/>
          <w:color w:val="auto"/>
          <w:highlight w:val="none"/>
          <w:lang w:val="en-US" w:eastAsia="zh-CN"/>
        </w:rPr>
      </w:pPr>
    </w:p>
    <w:p>
      <w:pPr>
        <w:pStyle w:val="8"/>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8"/>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8"/>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8"/>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pPr>
        <w:rPr>
          <w:rFonts w:hint="eastAsia"/>
          <w:b/>
          <w:bCs/>
          <w:color w:val="auto"/>
          <w:highlight w:val="none"/>
          <w:lang w:eastAsia="zh-CN"/>
        </w:rPr>
      </w:pPr>
      <w:r>
        <w:rPr>
          <w:rFonts w:hint="eastAsia"/>
          <w:b/>
          <w:bCs/>
          <w:color w:val="auto"/>
          <w:highlight w:val="none"/>
          <w:lang w:eastAsia="zh-CN"/>
        </w:rPr>
        <w:br w:type="page"/>
      </w:r>
    </w:p>
    <w:p>
      <w:pPr>
        <w:pStyle w:val="8"/>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315" w:name="_Toc16713"/>
      <w:bookmarkStart w:id="316" w:name="_Toc27833"/>
      <w:bookmarkStart w:id="317" w:name="_Toc10424"/>
      <w:bookmarkStart w:id="318" w:name="_Toc20098"/>
      <w:r>
        <w:rPr>
          <w:color w:val="auto"/>
          <w:highlight w:val="none"/>
        </w:rPr>
        <w:t>履约进度计划表</w:t>
      </w:r>
      <w:bookmarkEnd w:id="315"/>
      <w:bookmarkEnd w:id="316"/>
      <w:bookmarkEnd w:id="317"/>
      <w:bookmarkEnd w:id="318"/>
    </w:p>
    <w:p>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19" w:name="_Toc6564"/>
      <w:bookmarkStart w:id="320" w:name="_Toc7867"/>
      <w:bookmarkStart w:id="321" w:name="_Toc2912"/>
      <w:bookmarkStart w:id="322" w:name="_Toc26415"/>
      <w:r>
        <w:rPr>
          <w:rFonts w:hint="eastAsia"/>
          <w:b/>
          <w:bCs/>
          <w:color w:val="auto"/>
          <w:sz w:val="24"/>
          <w:szCs w:val="32"/>
          <w:highlight w:val="none"/>
          <w:lang w:val="en-US" w:eastAsia="zh-CN"/>
        </w:rPr>
        <w:t>格式十四：</w:t>
      </w:r>
      <w:bookmarkEnd w:id="319"/>
      <w:bookmarkEnd w:id="320"/>
      <w:bookmarkEnd w:id="321"/>
      <w:bookmarkEnd w:id="322"/>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23" w:name="_Toc3436"/>
      <w:bookmarkStart w:id="324" w:name="_Toc3338"/>
      <w:bookmarkStart w:id="325" w:name="_Toc10497"/>
      <w:bookmarkStart w:id="326" w:name="_Toc14919"/>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23"/>
      <w:bookmarkEnd w:id="324"/>
      <w:bookmarkEnd w:id="325"/>
      <w:bookmarkEnd w:id="326"/>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27" w:name="_Toc7938"/>
      <w:bookmarkStart w:id="328" w:name="_Toc26846"/>
      <w:bookmarkStart w:id="329" w:name="_Toc2429"/>
      <w:bookmarkStart w:id="330" w:name="_Toc26572"/>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27"/>
      <w:bookmarkEnd w:id="328"/>
      <w:bookmarkEnd w:id="329"/>
      <w:bookmarkEnd w:id="330"/>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31" w:name="_Toc30382"/>
      <w:bookmarkStart w:id="332" w:name="_Toc2436"/>
      <w:bookmarkStart w:id="333" w:name="_Toc25195"/>
      <w:bookmarkStart w:id="334" w:name="_Toc27193"/>
      <w:r>
        <w:rPr>
          <w:rFonts w:hint="eastAsia" w:ascii="宋体" w:hAnsi="宋体" w:eastAsia="宋体" w:cs="宋体"/>
          <w:b/>
          <w:bCs/>
          <w:color w:val="auto"/>
          <w:sz w:val="24"/>
          <w:szCs w:val="24"/>
          <w:highlight w:val="none"/>
          <w:lang w:eastAsia="zh-CN"/>
        </w:rPr>
        <w:t>格式十五：</w:t>
      </w:r>
      <w:bookmarkEnd w:id="331"/>
      <w:bookmarkEnd w:id="332"/>
      <w:bookmarkEnd w:id="333"/>
      <w:bookmarkEnd w:id="334"/>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35" w:name="_Toc3970"/>
      <w:bookmarkStart w:id="336" w:name="_Toc7693"/>
      <w:bookmarkStart w:id="337" w:name="_Toc28801"/>
      <w:bookmarkStart w:id="338" w:name="_Toc32108"/>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335"/>
      <w:bookmarkEnd w:id="336"/>
      <w:bookmarkEnd w:id="337"/>
      <w:bookmarkEnd w:id="338"/>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8"/>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39" w:name="_Toc11855"/>
      <w:bookmarkStart w:id="340" w:name="_Toc31849"/>
      <w:bookmarkStart w:id="341" w:name="_Toc4401"/>
      <w:bookmarkStart w:id="342" w:name="_Toc17430"/>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39"/>
      <w:bookmarkEnd w:id="340"/>
      <w:bookmarkEnd w:id="341"/>
      <w:bookmarkEnd w:id="342"/>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8"/>
        <w:outlineLvl w:val="1"/>
        <w:rPr>
          <w:rFonts w:hint="eastAsia"/>
          <w:b/>
          <w:bCs/>
          <w:color w:val="auto"/>
          <w:highlight w:val="none"/>
          <w:lang w:val="en-US" w:eastAsia="zh-CN"/>
        </w:rPr>
      </w:pPr>
      <w:bookmarkStart w:id="343" w:name="_Toc25747"/>
      <w:bookmarkStart w:id="344" w:name="_Toc29664"/>
      <w:bookmarkStart w:id="345" w:name="_Toc29916"/>
      <w:bookmarkStart w:id="346" w:name="_Toc2879"/>
      <w:r>
        <w:rPr>
          <w:rFonts w:hint="eastAsia"/>
          <w:b/>
          <w:bCs/>
          <w:color w:val="auto"/>
          <w:highlight w:val="none"/>
          <w:lang w:val="en-US" w:eastAsia="zh-CN"/>
        </w:rPr>
        <w:t>格式十七：</w:t>
      </w:r>
      <w:bookmarkEnd w:id="343"/>
      <w:bookmarkEnd w:id="344"/>
      <w:bookmarkEnd w:id="345"/>
      <w:bookmarkEnd w:id="346"/>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47"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47"/>
    </w:p>
    <w:p>
      <w:pPr>
        <w:jc w:val="center"/>
        <w:outlineLvl w:val="1"/>
        <w:rPr>
          <w:rFonts w:hint="eastAsia"/>
          <w:b/>
          <w:bCs/>
          <w:color w:val="auto"/>
          <w:highlight w:val="none"/>
          <w:lang w:val="en-US" w:eastAsia="zh-CN"/>
        </w:rPr>
      </w:pPr>
      <w:bookmarkStart w:id="348" w:name="_Toc11568"/>
      <w:bookmarkStart w:id="349" w:name="_Toc29643"/>
      <w:bookmarkStart w:id="350" w:name="_Toc32249"/>
      <w:bookmarkStart w:id="351" w:name="_Toc23654"/>
      <w:r>
        <w:rPr>
          <w:rFonts w:hint="eastAsia"/>
          <w:b/>
          <w:bCs/>
          <w:color w:val="auto"/>
          <w:highlight w:val="none"/>
          <w:lang w:val="en-US" w:eastAsia="zh-CN"/>
        </w:rPr>
        <w:t>（封面格式仅供参考）</w:t>
      </w:r>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52" w:name="_Toc31076"/>
      <w:bookmarkStart w:id="353" w:name="_Toc10015"/>
      <w:bookmarkStart w:id="354" w:name="_Toc5561"/>
      <w:bookmarkStart w:id="355" w:name="_Toc24898"/>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52"/>
      <w:bookmarkEnd w:id="353"/>
      <w:bookmarkEnd w:id="354"/>
      <w:bookmarkEnd w:id="355"/>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56" w:name="_Toc28515"/>
      <w:bookmarkStart w:id="357" w:name="_Toc18186"/>
      <w:bookmarkStart w:id="358" w:name="_Toc77"/>
      <w:bookmarkStart w:id="359" w:name="_Toc1435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56"/>
      <w:bookmarkEnd w:id="357"/>
      <w:bookmarkEnd w:id="358"/>
      <w:bookmarkEnd w:id="359"/>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31505"/>
      <w:bookmarkStart w:id="361" w:name="_Toc32100"/>
      <w:bookmarkStart w:id="362" w:name="_Toc7980"/>
      <w:bookmarkStart w:id="363" w:name="_Toc24484"/>
      <w:r>
        <w:rPr>
          <w:rFonts w:hint="eastAsia" w:ascii="宋体" w:hAnsi="宋体" w:eastAsia="宋体" w:cs="宋体"/>
          <w:b/>
          <w:bCs/>
          <w:color w:val="auto"/>
          <w:sz w:val="21"/>
          <w:szCs w:val="21"/>
          <w:highlight w:val="none"/>
          <w:lang w:val="en-US" w:eastAsia="zh-CN"/>
        </w:rPr>
        <w:t>1、</w:t>
      </w:r>
      <w:bookmarkEnd w:id="360"/>
      <w:bookmarkEnd w:id="361"/>
      <w:bookmarkEnd w:id="362"/>
      <w:bookmarkEnd w:id="363"/>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4" w:name="_Toc29661"/>
      <w:bookmarkStart w:id="365" w:name="_Toc6563"/>
      <w:bookmarkStart w:id="366" w:name="_Toc20806"/>
      <w:bookmarkStart w:id="367" w:name="_Toc8054"/>
      <w:r>
        <w:rPr>
          <w:rFonts w:hint="eastAsia" w:ascii="宋体" w:hAnsi="宋体" w:eastAsia="宋体" w:cs="宋体"/>
          <w:b/>
          <w:bCs/>
          <w:color w:val="auto"/>
          <w:sz w:val="21"/>
          <w:szCs w:val="21"/>
          <w:highlight w:val="none"/>
          <w:lang w:val="en-US" w:eastAsia="zh-CN"/>
        </w:rPr>
        <w:t>2、分项报价表</w:t>
      </w:r>
      <w:bookmarkEnd w:id="364"/>
      <w:bookmarkEnd w:id="365"/>
      <w:bookmarkEnd w:id="366"/>
      <w:bookmarkEnd w:id="367"/>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8" w:name="_Toc3142"/>
      <w:bookmarkStart w:id="369" w:name="_Toc5011"/>
      <w:bookmarkStart w:id="370" w:name="_Toc20631"/>
      <w:bookmarkStart w:id="371" w:name="_Toc13609"/>
      <w:r>
        <w:rPr>
          <w:rFonts w:hint="eastAsia" w:ascii="宋体" w:hAnsi="宋体" w:eastAsia="宋体" w:cs="宋体"/>
          <w:b/>
          <w:bCs/>
          <w:color w:val="auto"/>
          <w:sz w:val="21"/>
          <w:szCs w:val="21"/>
          <w:highlight w:val="none"/>
          <w:lang w:val="en-US" w:eastAsia="zh-CN"/>
        </w:rPr>
        <w:t>3、法定代表人证明书</w:t>
      </w:r>
      <w:bookmarkEnd w:id="368"/>
      <w:bookmarkEnd w:id="369"/>
      <w:bookmarkEnd w:id="370"/>
      <w:bookmarkEnd w:id="371"/>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72" w:name="_Toc31054"/>
      <w:bookmarkStart w:id="373" w:name="_Toc27439"/>
      <w:bookmarkStart w:id="374" w:name="_Toc17346"/>
      <w:bookmarkStart w:id="375" w:name="_Toc31223"/>
      <w:r>
        <w:rPr>
          <w:rFonts w:hint="eastAsia" w:ascii="宋体" w:hAnsi="宋体" w:eastAsia="宋体" w:cs="宋体"/>
          <w:b/>
          <w:bCs/>
          <w:color w:val="auto"/>
          <w:sz w:val="21"/>
          <w:szCs w:val="21"/>
          <w:highlight w:val="none"/>
          <w:lang w:val="en-US" w:eastAsia="zh-CN"/>
        </w:rPr>
        <w:t>4、法定代表人授权书</w:t>
      </w:r>
      <w:bookmarkEnd w:id="372"/>
      <w:bookmarkEnd w:id="373"/>
      <w:bookmarkEnd w:id="374"/>
      <w:bookmarkEnd w:id="375"/>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76" w:name="_Toc16304"/>
      <w:bookmarkStart w:id="377" w:name="_Toc20213"/>
      <w:bookmarkStart w:id="378" w:name="_Toc23814"/>
      <w:bookmarkStart w:id="379" w:name="_Toc29210"/>
      <w:r>
        <w:rPr>
          <w:rFonts w:hint="eastAsia" w:ascii="宋体" w:hAnsi="宋体" w:eastAsia="宋体" w:cs="宋体"/>
          <w:b/>
          <w:bCs/>
          <w:color w:val="auto"/>
          <w:sz w:val="21"/>
          <w:szCs w:val="21"/>
          <w:highlight w:val="none"/>
          <w:lang w:val="en-US" w:eastAsia="zh-CN"/>
        </w:rPr>
        <w:t>5、</w:t>
      </w:r>
      <w:bookmarkEnd w:id="376"/>
      <w:r>
        <w:rPr>
          <w:rFonts w:hint="eastAsia" w:ascii="宋体" w:hAnsi="宋体" w:cs="宋体"/>
          <w:b/>
          <w:bCs/>
          <w:color w:val="auto"/>
          <w:sz w:val="21"/>
          <w:szCs w:val="21"/>
          <w:highlight w:val="none"/>
          <w:lang w:val="en-US" w:eastAsia="zh-CN"/>
        </w:rPr>
        <w:t>响应保证金</w:t>
      </w:r>
      <w:bookmarkEnd w:id="377"/>
      <w:bookmarkEnd w:id="378"/>
      <w:bookmarkEnd w:id="379"/>
    </w:p>
    <w:p>
      <w:pPr>
        <w:rPr>
          <w:rFonts w:hint="eastAsia"/>
          <w:color w:val="auto"/>
          <w:highlight w:val="none"/>
          <w:lang w:val="en-US" w:eastAsia="zh-CN"/>
        </w:rPr>
      </w:pPr>
    </w:p>
    <w:p>
      <w:pPr>
        <w:pStyle w:val="8"/>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80" w:name="_Toc30888"/>
      <w:r>
        <w:rPr>
          <w:rFonts w:hint="eastAsia"/>
          <w:color w:val="auto"/>
          <w:highlight w:val="none"/>
          <w:lang w:val="en-US" w:eastAsia="zh-CN"/>
        </w:rPr>
        <w:t>第八篇 其它文件格式（如有需要）</w:t>
      </w:r>
      <w:bookmarkEnd w:id="380"/>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8"/>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default" w:eastAsia="宋体"/>
        <w:lang w:val="en-US" w:eastAsia="zh-CN"/>
      </w:rPr>
    </w:pPr>
    <w:r>
      <w:rPr>
        <w:rFonts w:hint="eastAsia"/>
        <w:lang w:val="en-US" w:eastAsia="zh-CN"/>
      </w:rPr>
      <w:t>广东狼博旺实业有限公司配套宿舍项目二期监理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16"/>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7C490D3A"/>
    <w:multiLevelType w:val="multilevel"/>
    <w:tmpl w:val="7C490D3A"/>
    <w:lvl w:ilvl="0" w:tentative="0">
      <w:start w:val="1"/>
      <w:numFmt w:val="decimal"/>
      <w:suff w:val="nothing"/>
      <w:lvlText w:val="%1."/>
      <w:lvlJc w:val="left"/>
      <w:pPr>
        <w:ind w:left="0" w:leftChars="0" w:firstLine="0" w:firstLineChars="0"/>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
  </w:num>
  <w:num w:numId="3">
    <w:abstractNumId w:val="7"/>
  </w:num>
  <w:num w:numId="4">
    <w:abstractNumId w:val="3"/>
  </w:num>
  <w:num w:numId="5">
    <w:abstractNumId w:val="4"/>
  </w:num>
  <w:num w:numId="6">
    <w:abstractNumId w:val="10"/>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3C618A1"/>
    <w:rsid w:val="043807E7"/>
    <w:rsid w:val="0548041A"/>
    <w:rsid w:val="074100C5"/>
    <w:rsid w:val="076F1AD9"/>
    <w:rsid w:val="08DB5114"/>
    <w:rsid w:val="094A084B"/>
    <w:rsid w:val="0A4036B4"/>
    <w:rsid w:val="0AA575BB"/>
    <w:rsid w:val="0B696582"/>
    <w:rsid w:val="0BE32B7B"/>
    <w:rsid w:val="0C545EC4"/>
    <w:rsid w:val="0FA75340"/>
    <w:rsid w:val="13256801"/>
    <w:rsid w:val="13EB22ED"/>
    <w:rsid w:val="1415573E"/>
    <w:rsid w:val="19BB08C0"/>
    <w:rsid w:val="19C92056"/>
    <w:rsid w:val="1B046FEA"/>
    <w:rsid w:val="1B5A74F3"/>
    <w:rsid w:val="1CE123EB"/>
    <w:rsid w:val="241A2A47"/>
    <w:rsid w:val="29A20A66"/>
    <w:rsid w:val="2A213986"/>
    <w:rsid w:val="2C250F65"/>
    <w:rsid w:val="2C5457DD"/>
    <w:rsid w:val="2E69728F"/>
    <w:rsid w:val="2EF83FF0"/>
    <w:rsid w:val="304A47CF"/>
    <w:rsid w:val="30EA23C9"/>
    <w:rsid w:val="31E354A2"/>
    <w:rsid w:val="3320692B"/>
    <w:rsid w:val="339D5B51"/>
    <w:rsid w:val="33E12E57"/>
    <w:rsid w:val="35C94D7D"/>
    <w:rsid w:val="35DD7BFD"/>
    <w:rsid w:val="39C27E7C"/>
    <w:rsid w:val="3A123017"/>
    <w:rsid w:val="3C47409B"/>
    <w:rsid w:val="3CEB14FD"/>
    <w:rsid w:val="3F53097E"/>
    <w:rsid w:val="414A030F"/>
    <w:rsid w:val="466D59AC"/>
    <w:rsid w:val="4B5B3ECB"/>
    <w:rsid w:val="4C22418B"/>
    <w:rsid w:val="4DD477D5"/>
    <w:rsid w:val="4E6A7DE2"/>
    <w:rsid w:val="4E862B87"/>
    <w:rsid w:val="4E9C6EA6"/>
    <w:rsid w:val="51593AA1"/>
    <w:rsid w:val="51ED4F85"/>
    <w:rsid w:val="549178FF"/>
    <w:rsid w:val="55206652"/>
    <w:rsid w:val="57961A49"/>
    <w:rsid w:val="59F20A8D"/>
    <w:rsid w:val="5B4638CB"/>
    <w:rsid w:val="5DE26737"/>
    <w:rsid w:val="5DE85889"/>
    <w:rsid w:val="5E2A2E41"/>
    <w:rsid w:val="5F8F1E39"/>
    <w:rsid w:val="64677E69"/>
    <w:rsid w:val="648F7060"/>
    <w:rsid w:val="64D3048A"/>
    <w:rsid w:val="653868F1"/>
    <w:rsid w:val="67520D2F"/>
    <w:rsid w:val="67880920"/>
    <w:rsid w:val="68402491"/>
    <w:rsid w:val="68EC19B0"/>
    <w:rsid w:val="6DCB42B6"/>
    <w:rsid w:val="6E003853"/>
    <w:rsid w:val="6FDB3277"/>
    <w:rsid w:val="735656B0"/>
    <w:rsid w:val="739B0891"/>
    <w:rsid w:val="74951BFB"/>
    <w:rsid w:val="74D55507"/>
    <w:rsid w:val="758F5156"/>
    <w:rsid w:val="79533EEE"/>
    <w:rsid w:val="7AEF48EE"/>
    <w:rsid w:val="7B760D29"/>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4"/>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1"/>
    <w:pPr>
      <w:spacing w:before="161"/>
      <w:ind w:left="120"/>
    </w:pPr>
    <w:rPr>
      <w:rFonts w:ascii="宋体" w:hAnsi="宋体" w:eastAsia="宋体" w:cs="宋体"/>
      <w:sz w:val="24"/>
      <w:lang w:val="zh-CN" w:bidi="zh-CN"/>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cstheme="minorBid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line="300" w:lineRule="auto"/>
    </w:pPr>
    <w:rPr>
      <w:rFonts w:ascii="Times" w:hAnsi="Times"/>
      <w:spacing w:val="10"/>
      <w:kern w:val="0"/>
      <w:sz w:val="24"/>
      <w:szCs w:val="20"/>
    </w:rPr>
  </w:style>
  <w:style w:type="paragraph" w:styleId="23">
    <w:name w:val="List Paragraph"/>
    <w:basedOn w:val="1"/>
    <w:autoRedefine/>
    <w:qFormat/>
    <w:uiPriority w:val="34"/>
    <w:pPr>
      <w:ind w:firstLine="420" w:firstLineChars="200"/>
    </w:pPr>
  </w:style>
  <w:style w:type="character" w:customStyle="1" w:styleId="24">
    <w:name w:val="标题 1 Char"/>
    <w:link w:val="3"/>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_Style 4"/>
    <w:basedOn w:val="1"/>
    <w:autoRedefine/>
    <w:qFormat/>
    <w:uiPriority w:val="0"/>
    <w:pPr>
      <w:spacing w:line="360" w:lineRule="auto"/>
      <w:ind w:firstLine="420" w:firstLineChars="200"/>
    </w:pPr>
    <w:rPr>
      <w:rFonts w:ascii="Calibri" w:hAnsi="Calibri"/>
      <w:szCs w:val="22"/>
    </w:rPr>
  </w:style>
  <w:style w:type="character" w:customStyle="1" w:styleId="31">
    <w:name w:val="font61"/>
    <w:basedOn w:val="19"/>
    <w:autoRedefine/>
    <w:qFormat/>
    <w:uiPriority w:val="0"/>
    <w:rPr>
      <w:rFonts w:hint="default" w:ascii="Times New Roman" w:hAnsi="Times New Roman" w:cs="Times New Roman"/>
      <w:color w:val="000000"/>
      <w:sz w:val="20"/>
      <w:szCs w:val="20"/>
      <w:u w:val="none"/>
    </w:rPr>
  </w:style>
  <w:style w:type="character" w:customStyle="1" w:styleId="32">
    <w:name w:val="font41"/>
    <w:basedOn w:val="19"/>
    <w:autoRedefine/>
    <w:qFormat/>
    <w:uiPriority w:val="0"/>
    <w:rPr>
      <w:rFonts w:hint="eastAsia" w:ascii="宋体" w:hAnsi="宋体" w:eastAsia="宋体" w:cs="宋体"/>
      <w:color w:val="000000"/>
      <w:sz w:val="20"/>
      <w:szCs w:val="20"/>
      <w:u w:val="none"/>
    </w:rPr>
  </w:style>
  <w:style w:type="character" w:customStyle="1" w:styleId="33">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autoRedefine/>
    <w:qFormat/>
    <w:uiPriority w:val="0"/>
    <w:rPr>
      <w:rFonts w:hint="eastAsia" w:ascii="宋体" w:hAnsi="宋体" w:eastAsia="宋体" w:cs="宋体"/>
      <w:color w:val="000000"/>
      <w:sz w:val="20"/>
      <w:szCs w:val="20"/>
      <w:u w:val="none"/>
    </w:rPr>
  </w:style>
  <w:style w:type="character" w:customStyle="1" w:styleId="35">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autoRedefine/>
    <w:qFormat/>
    <w:uiPriority w:val="0"/>
    <w:rPr>
      <w:rFonts w:hint="eastAsia" w:ascii="宋体" w:hAnsi="宋体" w:eastAsia="宋体" w:cs="宋体"/>
      <w:color w:val="000000"/>
      <w:sz w:val="20"/>
      <w:szCs w:val="20"/>
      <w:u w:val="none"/>
    </w:rPr>
  </w:style>
  <w:style w:type="character" w:customStyle="1" w:styleId="37">
    <w:name w:val="font51"/>
    <w:basedOn w:val="19"/>
    <w:autoRedefine/>
    <w:qFormat/>
    <w:uiPriority w:val="0"/>
    <w:rPr>
      <w:rFonts w:hint="eastAsia" w:ascii="宋体" w:hAnsi="宋体" w:eastAsia="宋体" w:cs="宋体"/>
      <w:color w:val="000000"/>
      <w:sz w:val="20"/>
      <w:szCs w:val="20"/>
      <w:u w:val="none"/>
    </w:rPr>
  </w:style>
  <w:style w:type="character" w:customStyle="1" w:styleId="38">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30803</Words>
  <Characters>31768</Characters>
  <Lines>0</Lines>
  <Paragraphs>0</Paragraphs>
  <TotalTime>2</TotalTime>
  <ScaleCrop>false</ScaleCrop>
  <LinksUpToDate>false</LinksUpToDate>
  <CharactersWithSpaces>33442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2022-07-22T06:56:00Z</cp:lastPrinted>
  <dcterms:modified xsi:type="dcterms:W3CDTF">2024-04-23T08:40:50Z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3B8167D91B4B4976B7483BA3AD556B9C_13</vt:lpwstr>
  </property>
</Properties>
</file>