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东莞市大朗镇鸣凤小学采购食材配送服务项目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东莞市大朗镇鸣凤小学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8"/>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东莞市大朗镇鸣凤小学采购食材配送服务项目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79"/>
      <w:bookmarkStart w:id="5" w:name="_Toc35393621"/>
      <w:bookmarkStart w:id="6" w:name="_Toc35393790"/>
      <w:bookmarkStart w:id="7" w:name="_Toc28359002"/>
      <w:bookmarkStart w:id="8" w:name="_Toc216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GSDG2024-012C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东莞市大朗镇鸣凤小学采购食材配送服务项目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412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7"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4125"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c>
          <w:tcPr>
            <w:tcW w:w="1962" w:type="dxa"/>
            <w:vAlign w:val="center"/>
          </w:tcPr>
          <w:p>
            <w:pPr>
              <w:spacing w:line="360" w:lineRule="auto"/>
              <w:jc w:val="center"/>
              <w:rPr>
                <w:rFonts w:hint="default" w:hAnsi="宋体"/>
                <w:b/>
                <w:color w:val="auto"/>
                <w:szCs w:val="21"/>
                <w:highlight w:val="none"/>
                <w:lang w:val="en-US" w:eastAsia="zh-CN"/>
              </w:rPr>
            </w:pPr>
            <w:r>
              <w:rPr>
                <w:rFonts w:hint="eastAsia" w:hAnsi="宋体"/>
                <w:b/>
                <w:color w:val="auto"/>
                <w:szCs w:val="21"/>
                <w:highlight w:val="none"/>
                <w:lang w:val="en-US"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2327" w:type="dxa"/>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东莞市大朗镇鸣凤小学</w:t>
            </w:r>
            <w:r>
              <w:rPr>
                <w:rFonts w:hint="eastAsia" w:hAnsi="宋体"/>
                <w:color w:val="auto"/>
                <w:szCs w:val="21"/>
                <w:highlight w:val="none"/>
              </w:rPr>
              <w:t>采购食材配送服务项目</w:t>
            </w:r>
          </w:p>
        </w:tc>
        <w:tc>
          <w:tcPr>
            <w:tcW w:w="4125" w:type="dxa"/>
            <w:vAlign w:val="center"/>
          </w:tcPr>
          <w:p>
            <w:pPr>
              <w:spacing w:line="360" w:lineRule="auto"/>
              <w:jc w:val="center"/>
              <w:rPr>
                <w:rFonts w:hint="eastAsia" w:hAnsi="宋体" w:eastAsia="宋体"/>
                <w:color w:val="auto"/>
                <w:szCs w:val="21"/>
                <w:highlight w:val="none"/>
                <w:lang w:eastAsia="zh-CN"/>
              </w:rPr>
            </w:pPr>
            <w:r>
              <w:rPr>
                <w:rFonts w:ascii="Times New Roman" w:hAnsi="Times New Roman" w:eastAsia="宋体" w:cs="Times New Roman"/>
                <w:color w:val="auto"/>
                <w:highlight w:val="none"/>
              </w:rPr>
              <w:t>签订合同生效之日起</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年。本项目分若干次供货，每次供货量及时间由采购人指定。</w:t>
            </w:r>
          </w:p>
        </w:tc>
        <w:tc>
          <w:tcPr>
            <w:tcW w:w="1962" w:type="dxa"/>
            <w:vAlign w:val="center"/>
          </w:tcPr>
          <w:p>
            <w:pPr>
              <w:spacing w:line="360" w:lineRule="auto"/>
              <w:jc w:val="center"/>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highlight w:val="none"/>
                <w:lang w:val="en-US" w:eastAsia="zh-CN"/>
              </w:rPr>
              <w:t>4,200,000.00</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5198"/>
      <w:bookmarkStart w:id="11" w:name="_Toc35393791"/>
      <w:bookmarkStart w:id="12" w:name="_Toc35393622"/>
      <w:bookmarkStart w:id="13" w:name="_Toc28359080"/>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792"/>
      <w:bookmarkStart w:id="20" w:name="_Toc173"/>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 xml:space="preserve">日（节假日除外），上午9：00～12：00，下午14：30～17：30（北京时间）； </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3"/>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3"/>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4"/>
        <w:spacing w:line="360" w:lineRule="auto"/>
        <w:jc w:val="left"/>
        <w:rPr>
          <w:rFonts w:ascii="宋体" w:hAnsi="宋体" w:cs="宋体"/>
          <w:bCs/>
          <w:color w:val="auto"/>
          <w:sz w:val="21"/>
          <w:szCs w:val="21"/>
          <w:highlight w:val="none"/>
        </w:rPr>
      </w:pPr>
      <w:bookmarkStart w:id="27" w:name="_Toc25695"/>
      <w:bookmarkStart w:id="28" w:name="_Toc35393625"/>
      <w:bookmarkStart w:id="29" w:name="_Toc28359007"/>
      <w:bookmarkStart w:id="30" w:name="_Toc35393794"/>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1519"/>
      <w:bookmarkStart w:id="33" w:name="_Toc35393626"/>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08"/>
      <w:bookmarkStart w:id="36" w:name="_Toc28359085"/>
      <w:bookmarkStart w:id="37" w:name="_Toc35393796"/>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东莞市大朗镇鸣凤小学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址：东莞东莞市大朗镇竹山社区鸣凤路23号</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联系人：刘文浩</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bCs/>
          <w:color w:val="auto"/>
          <w:szCs w:val="21"/>
          <w:highlight w:val="none"/>
        </w:rPr>
        <w:t>0769-83316009</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28359086"/>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396137231"/>
      <w:bookmarkStart w:id="50" w:name="_Toc497983494"/>
      <w:bookmarkStart w:id="51" w:name="_Toc652"/>
      <w:r>
        <w:rPr>
          <w:rFonts w:hint="eastAsia"/>
          <w:color w:val="auto"/>
          <w:highlight w:val="none"/>
          <w:lang w:val="zh-CN"/>
        </w:rPr>
        <w:t>一、投标须知前附表</w:t>
      </w:r>
      <w:bookmarkEnd w:id="48"/>
      <w:bookmarkEnd w:id="49"/>
      <w:bookmarkEnd w:id="50"/>
      <w:bookmarkEnd w:id="51"/>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numPr>
                <w:ilvl w:val="0"/>
                <w:numId w:val="3"/>
              </w:numPr>
              <w:kinsoku/>
              <w:wordWrap/>
              <w:overflowPunct/>
              <w:topLinePunct w:val="0"/>
              <w:autoSpaceDE/>
              <w:autoSpaceDN/>
              <w:bidi w:val="0"/>
              <w:spacing w:line="360" w:lineRule="auto"/>
              <w:jc w:val="both"/>
              <w:textAlignment w:val="auto"/>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pageBreakBefore w:val="0"/>
              <w:kinsoku/>
              <w:wordWrap/>
              <w:overflowPunct/>
              <w:topLinePunct w:val="0"/>
              <w:autoSpaceDE/>
              <w:autoSpaceDN/>
              <w:bidi w:val="0"/>
              <w:spacing w:line="360" w:lineRule="auto"/>
              <w:textAlignment w:val="auto"/>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right="-38" w:rightChars="-18"/>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cs="宋体"/>
                <w:bCs/>
                <w:color w:val="auto"/>
                <w:szCs w:val="21"/>
                <w:highlight w:val="none"/>
              </w:rPr>
              <w:t>说明：</w:t>
            </w:r>
            <w:r>
              <w:rPr>
                <w:rFonts w:hint="eastAsia"/>
                <w:color w:val="auto"/>
                <w:sz w:val="21"/>
                <w:szCs w:val="21"/>
                <w:highlight w:val="none"/>
                <w:lang w:val="en-US" w:eastAsia="zh-CN"/>
              </w:rPr>
              <w:t>中标人应在领取中标通知书之后签订合同之前递交履约保证金</w:t>
            </w:r>
            <w:r>
              <w:rPr>
                <w:rFonts w:ascii="宋体" w:hAnsi="宋体" w:eastAsia="宋体"/>
                <w:color w:val="auto"/>
                <w:sz w:val="21"/>
                <w:szCs w:val="21"/>
                <w:highlight w:val="none"/>
              </w:rPr>
              <w:t>，应按以上规定的金额，采用履约保证金保函形式向</w:t>
            </w:r>
            <w:r>
              <w:rPr>
                <w:rFonts w:hint="eastAsia" w:ascii="宋体" w:hAnsi="宋体"/>
                <w:color w:val="auto"/>
                <w:sz w:val="21"/>
                <w:szCs w:val="21"/>
                <w:highlight w:val="none"/>
                <w:lang w:val="en-US" w:eastAsia="zh-CN"/>
              </w:rPr>
              <w:t>招标</w:t>
            </w:r>
            <w:r>
              <w:rPr>
                <w:rFonts w:ascii="宋体" w:hAnsi="宋体" w:eastAsia="宋体"/>
                <w:color w:val="auto"/>
                <w:sz w:val="21"/>
                <w:szCs w:val="21"/>
                <w:highlight w:val="none"/>
              </w:rPr>
              <w:t>人提供履约保函。</w:t>
            </w:r>
          </w:p>
          <w:p>
            <w:pPr>
              <w:spacing w:line="360" w:lineRule="auto"/>
              <w:rPr>
                <w:rFonts w:ascii="宋体" w:hAnsi="宋体" w:cs="宋体"/>
                <w:b/>
                <w:bCs/>
                <w:color w:val="auto"/>
                <w:szCs w:val="21"/>
                <w:highlight w:val="none"/>
              </w:rPr>
            </w:pPr>
            <w:r>
              <w:rPr>
                <w:rFonts w:hint="eastAsia" w:ascii="宋体" w:hAnsi="宋体" w:eastAsia="宋体"/>
                <w:color w:val="auto"/>
                <w:sz w:val="21"/>
                <w:szCs w:val="21"/>
                <w:highlight w:val="none"/>
              </w:rPr>
              <w:t>注:保函可由银行或第三方有资质公司出具,相应办理可咨询代理公司报名处。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ascii="宋体" w:hAnsi="宋体" w:cs="宋体"/>
                <w:color w:val="auto"/>
                <w:highlight w:val="none"/>
              </w:rPr>
            </w:pPr>
            <w:r>
              <w:rPr>
                <w:rFonts w:hint="eastAsia" w:ascii="宋体" w:hAnsi="宋体" w:eastAsia="宋体"/>
                <w:color w:val="auto"/>
                <w:sz w:val="21"/>
                <w:szCs w:val="21"/>
                <w:highlight w:val="none"/>
              </w:rPr>
              <w:t>中标服务费</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国家计委[计价格[2002]1980号]文和国家发改委[发改价格[2011]534号]文及相关规定</w:t>
            </w:r>
            <w:r>
              <w:rPr>
                <w:rFonts w:hint="eastAsia" w:ascii="宋体" w:hAnsi="宋体" w:eastAsia="宋体"/>
                <w:color w:val="auto"/>
                <w:sz w:val="21"/>
                <w:szCs w:val="21"/>
                <w:highlight w:val="none"/>
                <w:lang w:val="en-US" w:eastAsia="zh-CN"/>
              </w:rPr>
              <w:t>下浮20%</w:t>
            </w:r>
            <w:r>
              <w:rPr>
                <w:rFonts w:hint="eastAsia" w:ascii="宋体" w:hAnsi="宋体" w:eastAsia="宋体"/>
                <w:color w:val="auto"/>
                <w:sz w:val="21"/>
                <w:szCs w:val="21"/>
                <w:highlight w:val="none"/>
              </w:rPr>
              <w:t>向中标单位收取，按差额定率累进法计算，以</w:t>
            </w:r>
            <w:r>
              <w:rPr>
                <w:rFonts w:hint="eastAsia" w:ascii="宋体" w:hAnsi="宋体" w:eastAsia="宋体"/>
                <w:color w:val="auto"/>
                <w:sz w:val="21"/>
                <w:szCs w:val="21"/>
                <w:highlight w:val="none"/>
                <w:lang w:eastAsia="zh-CN"/>
              </w:rPr>
              <w:t>项目预估金额（</w:t>
            </w:r>
            <w:r>
              <w:rPr>
                <w:rFonts w:hint="eastAsia" w:ascii="宋体" w:hAnsi="宋体" w:eastAsia="宋体"/>
                <w:color w:val="auto"/>
                <w:sz w:val="21"/>
                <w:szCs w:val="21"/>
                <w:highlight w:val="none"/>
                <w:lang w:val="en-US" w:eastAsia="zh-CN"/>
              </w:rPr>
              <w:t>4,200,000.00元</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作为收费的计算</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（2）中标服务费以转账或现金的形式支付。招标代理机构服务费汇入账号：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收 款 人：国顺招标有限公司</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开户银行：广发银行股份有限公司东莞南城支行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1530"/>
      <w:bookmarkStart w:id="58" w:name="_Toc298847174"/>
      <w:bookmarkStart w:id="59" w:name="_Toc382049092"/>
      <w:bookmarkStart w:id="60" w:name="_Toc303084246"/>
      <w:r>
        <w:rPr>
          <w:rFonts w:hint="eastAsia"/>
          <w:color w:val="auto"/>
          <w:highlight w:val="none"/>
        </w:rPr>
        <w:t>定义</w:t>
      </w:r>
      <w:bookmarkEnd w:id="55"/>
      <w:bookmarkEnd w:id="56"/>
      <w:bookmarkEnd w:id="57"/>
      <w:bookmarkEnd w:id="58"/>
      <w:bookmarkEnd w:id="59"/>
      <w:bookmarkEnd w:id="60"/>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3"/>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3"/>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9"/>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28866"/>
      <w:bookmarkStart w:id="80" w:name="_Toc307934854"/>
      <w:bookmarkStart w:id="81" w:name="_Toc303084256"/>
      <w:bookmarkStart w:id="82" w:name="_Toc8246"/>
      <w:bookmarkStart w:id="83" w:name="_Toc29420"/>
      <w:bookmarkStart w:id="84" w:name="_Toc382049103"/>
      <w:r>
        <w:rPr>
          <w:rFonts w:hint="eastAsia"/>
          <w:color w:val="auto"/>
          <w:highlight w:val="none"/>
        </w:rPr>
        <w:t>11.投标文件的组成</w:t>
      </w:r>
      <w:bookmarkEnd w:id="79"/>
      <w:bookmarkEnd w:id="80"/>
      <w:bookmarkEnd w:id="81"/>
      <w:bookmarkEnd w:id="82"/>
      <w:bookmarkEnd w:id="83"/>
      <w:bookmarkEnd w:id="84"/>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3"/>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3"/>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3"/>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9"/>
        <w:rPr>
          <w:color w:val="auto"/>
          <w:sz w:val="21"/>
          <w:szCs w:val="21"/>
          <w:highlight w:val="none"/>
        </w:rPr>
      </w:pPr>
    </w:p>
    <w:p>
      <w:pPr>
        <w:pStyle w:val="5"/>
        <w:rPr>
          <w:color w:val="auto"/>
          <w:highlight w:val="none"/>
        </w:rPr>
      </w:pPr>
      <w:bookmarkStart w:id="99" w:name="_Toc303084264"/>
      <w:bookmarkStart w:id="100" w:name="_Toc16724"/>
      <w:bookmarkStart w:id="101" w:name="_Toc382049111"/>
      <w:bookmarkStart w:id="102" w:name="_Toc16286"/>
      <w:bookmarkStart w:id="103" w:name="_Toc24997"/>
      <w:r>
        <w:rPr>
          <w:rFonts w:hint="eastAsia"/>
          <w:color w:val="auto"/>
          <w:highlight w:val="none"/>
        </w:rPr>
        <w:t>17.投标文件的装订，签署，密封和标记</w:t>
      </w:r>
      <w:bookmarkEnd w:id="99"/>
      <w:bookmarkEnd w:id="100"/>
      <w:bookmarkEnd w:id="101"/>
      <w:bookmarkEnd w:id="102"/>
      <w:bookmarkEnd w:id="103"/>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82049112"/>
      <w:bookmarkStart w:id="109" w:name="_Toc9777"/>
      <w:bookmarkStart w:id="110" w:name="_Toc303084265"/>
      <w:bookmarkStart w:id="111" w:name="_Toc22355"/>
      <w:bookmarkStart w:id="112" w:name="_Toc28098"/>
      <w:r>
        <w:rPr>
          <w:rFonts w:hint="eastAsia"/>
          <w:color w:val="auto"/>
          <w:highlight w:val="none"/>
        </w:rPr>
        <w:t>20.投标截止期</w:t>
      </w:r>
      <w:bookmarkEnd w:id="108"/>
      <w:bookmarkEnd w:id="109"/>
      <w:bookmarkEnd w:id="110"/>
      <w:bookmarkEnd w:id="111"/>
      <w:bookmarkEnd w:id="112"/>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3"/>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5898"/>
      <w:bookmarkStart w:id="126" w:name="_Toc382049120"/>
      <w:bookmarkStart w:id="127" w:name="_Toc19304"/>
      <w:bookmarkStart w:id="128" w:name="_Toc2032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508284011"/>
      <w:bookmarkStart w:id="130" w:name="_Toc1994"/>
      <w:bookmarkStart w:id="131" w:name="_Toc4954"/>
      <w:r>
        <w:rPr>
          <w:rFonts w:hint="eastAsia"/>
          <w:color w:val="auto"/>
          <w:highlight w:val="none"/>
        </w:rPr>
        <w:t>28.合同授予标准</w:t>
      </w:r>
      <w:bookmarkEnd w:id="129"/>
      <w:bookmarkEnd w:id="130"/>
      <w:bookmarkEnd w:id="131"/>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9"/>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3"/>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rFonts w:hint="eastAsia" w:eastAsia="宋体"/>
          <w:b/>
          <w:bCs/>
          <w:color w:val="auto"/>
          <w:sz w:val="28"/>
          <w:szCs w:val="36"/>
          <w:highlight w:val="none"/>
          <w:lang w:eastAsia="zh-CN"/>
        </w:rPr>
      </w:pPr>
      <w:bookmarkStart w:id="140" w:name="_Toc16006"/>
      <w:r>
        <w:rPr>
          <w:rFonts w:hint="eastAsia"/>
          <w:b/>
          <w:bCs/>
          <w:color w:val="auto"/>
          <w:sz w:val="28"/>
          <w:szCs w:val="36"/>
          <w:highlight w:val="none"/>
        </w:rPr>
        <w:t>商务要求</w:t>
      </w:r>
      <w:bookmarkEnd w:id="140"/>
    </w:p>
    <w:tbl>
      <w:tblPr>
        <w:tblStyle w:val="1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ascii="Times New Roman" w:hAnsi="Times New Roman" w:eastAsia="宋体" w:cs="Times New Roman"/>
                <w:color w:val="auto"/>
                <w:highlight w:val="none"/>
              </w:rPr>
              <w:t>签订合同生效之日起</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年。本项目分若干次供货，每次供货量及时间由采购人指定。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ascii="Times New Roman" w:hAnsi="Times New Roman" w:eastAsia="宋体" w:cs="Times New Roman"/>
                <w:color w:val="auto"/>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月结算费用，中标人每月10号前根据上月的收货凭证与采购人对上月货款进行确认，并向采购人提出付款申请及开具相应数额的含税发票。采购人应在收到中标人发票后的15日内支付上月的货款，并以银行转账方式将货款一次性全额转入中标人书面指定的银行账户【其中：货品结算价格=经采购人核定确认的基准价×（1-中标下浮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2、收款方、发票的销售方、合同乙方均必须与中标人名称一致。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3、因特殊原因需要提早或延迟结算的，经采购人和中标人双方协商一致后执行。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结算价包括所有成本费、运输费、人工费、保险费、检查费、检验费、税费以及服务期内的所有相关食品采购、检验费用在内的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指定地点交货全包价、合同实施过程中的可预见及不可预见的一切费用，</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漏报或不报费用时，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将视为该漏报或不报部分的费用已包括在已报的分项报价中而不予支付。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收款方、出具发票方均须与</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名称一致。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501" w:type="dxa"/>
            <w:vAlign w:val="center"/>
          </w:tcPr>
          <w:p>
            <w:pPr>
              <w:spacing w:line="276" w:lineRule="auto"/>
              <w:jc w:val="center"/>
              <w:rPr>
                <w:rFonts w:hint="default" w:ascii="宋体" w:hAnsi="宋体" w:eastAsia="宋体" w:cs="宋体"/>
                <w:color w:val="auto"/>
                <w:sz w:val="21"/>
                <w:szCs w:val="21"/>
                <w:highlight w:val="none"/>
                <w:lang w:val="en-US" w:eastAsia="zh-CN"/>
              </w:rPr>
            </w:pPr>
            <w:r>
              <w:rPr>
                <w:rFonts w:ascii="Times New Roman" w:hAnsi="Times New Roman" w:eastAsia="宋体" w:cs="Times New Roman"/>
                <w:color w:val="auto"/>
                <w:highlight w:val="none"/>
              </w:rPr>
              <w:t>验收要求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所供应的货品需要符合国家、广东省和东莞市的相关安全质量标准、卫生标准等，同时符合采购人的使用要求，包括但不限于各类所列的货品质量要求。中标人在接受订单时需要确认采购人对货品的使用要求，对于不符合采购人要求的货品，采购人有权拒收或要求更换。</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退（补）货流程：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蔬菜，应按国家有关规定处理或进行协议销毁，所产生的费用</w:t>
            </w:r>
            <w:r>
              <w:rPr>
                <w:rFonts w:hint="eastAsia" w:ascii="宋体" w:hAnsi="宋体" w:cs="宋体"/>
                <w:color w:val="auto"/>
                <w:sz w:val="21"/>
                <w:szCs w:val="21"/>
                <w:highlight w:val="none"/>
                <w:lang w:val="en-US" w:eastAsia="zh-CN"/>
              </w:rPr>
              <w:t>经济法律责任</w:t>
            </w:r>
            <w:r>
              <w:rPr>
                <w:rFonts w:hint="eastAsia" w:ascii="宋体" w:hAnsi="宋体" w:eastAsia="宋体" w:cs="宋体"/>
                <w:color w:val="auto"/>
                <w:sz w:val="21"/>
                <w:szCs w:val="21"/>
                <w:highlight w:val="none"/>
                <w:lang w:val="en-US" w:eastAsia="zh-CN"/>
              </w:rPr>
              <w:t>由中标人自行承担。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（3）验收记录：</w:t>
            </w:r>
            <w:r>
              <w:rPr>
                <w:rFonts w:hint="eastAsia" w:ascii="宋体" w:hAnsi="宋体" w:eastAsia="宋体"/>
                <w:color w:val="auto"/>
                <w:sz w:val="21"/>
                <w:szCs w:val="21"/>
                <w:highlight w:val="none"/>
              </w:rPr>
              <w:t>验收要求：（1）采取现场验收的方式，</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验收小组成员负责按照清单-过磅-核对-入库的程序完成对当天所供货物的验收，验收内容包括证明文件、货物数量、质量、规格及单价品种，如发现不符合要求的货物，则</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有权拒绝接收，</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应按</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要求在规定时间内重新送货。（2）验收发现食品安全有质量、数量、规格问题的处理：对危及人身安全的食品质量问题采取零容忍措施，如发现腐败变质异味、污染变质等情形，原则上</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应在1小时内无条件按</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需求对该批次的全部货物进行退换货处理，若</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无法在规定时间内完成货物退换，影响到</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使用，则</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有权自行进行采购，并由</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承担由此产生的一切费用。如</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送货数量与订单不符，则对于少送部分，</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有权选择按照实收数量更改订单，或要求</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在1小时内补齐；对于多送部分，</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有权拒收。（3）</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应在每次验收时在验收记录本上详细注明所验收货物的名称、数量等事项并交由</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进行核对，</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核对无误后，</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在采购登记记录本上签明意见和签收人的名字及日期。（4）</w:t>
            </w:r>
            <w:r>
              <w:rPr>
                <w:rFonts w:hint="eastAsia" w:ascii="宋体" w:hAnsi="宋体"/>
                <w:color w:val="auto"/>
                <w:sz w:val="21"/>
                <w:szCs w:val="21"/>
                <w:highlight w:val="none"/>
                <w:lang w:eastAsia="zh-CN"/>
              </w:rPr>
              <w:t>中标人</w:t>
            </w:r>
            <w:r>
              <w:rPr>
                <w:rFonts w:hint="eastAsia" w:ascii="宋体" w:hAnsi="宋体" w:eastAsia="宋体"/>
                <w:color w:val="auto"/>
                <w:sz w:val="21"/>
                <w:szCs w:val="21"/>
                <w:highlight w:val="none"/>
              </w:rPr>
              <w:t>无正当理由不得变更供货清单，应严格按招标要求（含商标、名称、产地、采购来源地、规格和重量等）供应，否则，</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有权拒收。如因市场流通问题确实需要变更的，应书面向</w:t>
            </w:r>
            <w:r>
              <w:rPr>
                <w:rFonts w:hint="eastAsia" w:ascii="宋体" w:hAnsi="宋体"/>
                <w:color w:val="auto"/>
                <w:sz w:val="21"/>
                <w:szCs w:val="21"/>
                <w:highlight w:val="none"/>
                <w:lang w:eastAsia="zh-CN"/>
              </w:rPr>
              <w:t>采购人</w:t>
            </w:r>
            <w:r>
              <w:rPr>
                <w:rFonts w:hint="eastAsia" w:ascii="宋体" w:hAnsi="宋体" w:eastAsia="宋体"/>
                <w:color w:val="auto"/>
                <w:sz w:val="21"/>
                <w:szCs w:val="21"/>
                <w:highlight w:val="none"/>
              </w:rPr>
              <w:t>申请。（5）包装与标志要求。包装：容器(框、箱、袋)要求清洁、干燥、牢固、透气，无污染、无异味、无霉变现象；标志：每件包装需按《农产品包装和标识管理办法》贴标签，并标明产地、品种、净含量、生产单位及地址和采收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ascii="Segoe UI Symbol" w:hAnsi="Segoe UI Symbol" w:eastAsia="宋体" w:cs="Segoe UI Symbol"/>
                <w:color w:val="auto"/>
                <w:szCs w:val="21"/>
                <w:highlight w:val="none"/>
              </w:rPr>
              <w:t>★</w:t>
            </w:r>
            <w:r>
              <w:rPr>
                <w:rFonts w:ascii="Times New Roman" w:hAnsi="Times New Roman" w:eastAsia="宋体" w:cs="Times New Roman"/>
                <w:color w:val="auto"/>
                <w:szCs w:val="21"/>
                <w:highlight w:val="none"/>
              </w:rPr>
              <w:t>报价方式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（1）本项目采用下浮率报价，报价范围：0%-100%，投标下浮率报价不得大于或等于100%，不得为负数，且是固定唯一值。例：若投标人打八折，即投标下浮率为：20%。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基准价：采购人参考供货当前时段东莞市发展和改革局公布同期“广东省菜篮子价格监测表”中最新一期的“东莞市菜篮子价格监测表”的价格，若“广东省菜篮子价格监测表”无采购人所需的货品，则采购人和中标人双方共同在就近市场（</w:t>
            </w:r>
            <w:r>
              <w:rPr>
                <w:rFonts w:hint="eastAsia" w:ascii="Times New Roman" w:hAnsi="Times New Roman" w:eastAsia="宋体" w:cs="Times New Roman"/>
                <w:color w:val="auto"/>
                <w:szCs w:val="21"/>
                <w:highlight w:val="none"/>
              </w:rPr>
              <w:t>大朗市场</w:t>
            </w:r>
            <w:r>
              <w:rPr>
                <w:rFonts w:ascii="Times New Roman" w:hAnsi="Times New Roman" w:eastAsia="宋体" w:cs="Times New Roman"/>
                <w:color w:val="auto"/>
                <w:szCs w:val="21"/>
                <w:highlight w:val="none"/>
              </w:rPr>
              <w:t>）参考同类产品价格的平均价作为基准价，确定供货价格。</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（3）定价周期：每15日更新一次，中标人须每次至少提前2天提交下次报价清单给采购人审核，双方签字后生效。</w:t>
            </w:r>
          </w:p>
          <w:p>
            <w:pPr>
              <w:widowControl/>
              <w:adjustRightInd w:val="0"/>
              <w:snapToGrid w:val="0"/>
              <w:spacing w:after="0" w:line="360" w:lineRule="auto"/>
              <w:ind w:firstLine="420" w:firstLineChars="200"/>
              <w:jc w:val="left"/>
              <w:rPr>
                <w:rFonts w:hint="default"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rPr>
              <w:t>（4）若遇台风、暴雨等意外原因造成的个别品种价格需临时调整，应通知采购人，并征得采购人同意后方可调整，每次送货按通知价格计算。</w:t>
            </w:r>
            <w:r>
              <w:rPr>
                <w:rFonts w:hint="default" w:ascii="Times New Roman" w:hAnsi="Times New Roman" w:eastAsia="宋体" w:cs="Times New Roman"/>
                <w:color w:val="auto"/>
                <w:szCs w:val="21"/>
                <w:highlight w:val="none"/>
                <w:u w:val="none"/>
              </w:rPr>
              <w:t>否则按约定</w:t>
            </w:r>
            <w:r>
              <w:rPr>
                <w:rFonts w:hint="default" w:ascii="Times New Roman" w:hAnsi="Times New Roman" w:cs="Times New Roman"/>
                <w:color w:val="auto"/>
                <w:szCs w:val="21"/>
                <w:highlight w:val="none"/>
                <w:u w:val="none"/>
                <w:lang w:val="en-US" w:eastAsia="zh-CN"/>
              </w:rPr>
              <w:t>实际</w:t>
            </w:r>
            <w:r>
              <w:rPr>
                <w:rFonts w:hint="default" w:ascii="Times New Roman" w:hAnsi="Times New Roman" w:eastAsia="宋体" w:cs="Times New Roman"/>
                <w:color w:val="auto"/>
                <w:szCs w:val="21"/>
                <w:highlight w:val="none"/>
                <w:u w:val="none"/>
              </w:rPr>
              <w:t>报价进行结算。</w:t>
            </w:r>
          </w:p>
          <w:p>
            <w:pPr>
              <w:widowControl/>
              <w:adjustRightInd w:val="0"/>
              <w:snapToGrid w:val="0"/>
              <w:spacing w:after="0" w:line="360" w:lineRule="auto"/>
              <w:ind w:firstLine="420" w:firstLineChars="200"/>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2"/>
                <w:sz w:val="21"/>
                <w:szCs w:val="21"/>
                <w:highlight w:val="none"/>
                <w:lang w:val="en-US" w:eastAsia="zh-CN"/>
              </w:rPr>
              <w:t>（5）</w:t>
            </w:r>
            <w:r>
              <w:rPr>
                <w:rFonts w:hint="eastAsia" w:ascii="Times New Roman" w:hAnsi="Times New Roman"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有权随时对任意品目食材零售价格进行抽查，如果发现价格偏高情况（高于同期周边不少于三家市场同类食材的平均零售价格或大型超市最低价），</w:t>
            </w:r>
            <w:r>
              <w:rPr>
                <w:rFonts w:hint="eastAsia" w:ascii="Times New Roman" w:hAnsi="Times New Roman"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当月有权按照调查结果（周边不少于三家市场同类食材的平均零售价格或大型超市最低价）进行结算，</w:t>
            </w:r>
            <w:r>
              <w:rPr>
                <w:rFonts w:hint="eastAsia" w:ascii="Times New Roman" w:hAnsi="Times New Roman"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必须执行。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临时需求的食材不在核定的供货价格清单内的，</w:t>
            </w:r>
            <w:r>
              <w:rPr>
                <w:rFonts w:hint="eastAsia" w:ascii="Times New Roman" w:hAnsi="Times New Roman"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必须按</w:t>
            </w:r>
            <w:r>
              <w:rPr>
                <w:rFonts w:hint="eastAsia" w:ascii="Times New Roman" w:hAnsi="Times New Roman"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要求供货配送。供货价格由双方临时确定。将该食材应纳入下一周期的食材报价清单内，并按上述定价原则确定供货价格。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ascii="Times New Roman" w:hAnsi="Times New Roman" w:eastAsia="宋体" w:cs="Times New Roman"/>
                <w:color w:val="auto"/>
                <w:szCs w:val="21"/>
                <w:highlight w:val="none"/>
              </w:rPr>
              <w:t>保质期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保质期超过15日的，投标人拟提供货品的剩余保质期不得短于货品标记保质期的</w:t>
            </w:r>
            <w:r>
              <w:rPr>
                <w:rFonts w:hint="eastAsia" w:ascii="Times New Roman" w:hAnsi="Times New Roman" w:cs="Times New Roman"/>
                <w:color w:val="auto"/>
                <w:szCs w:val="21"/>
                <w:highlight w:val="none"/>
                <w:u w:val="none"/>
                <w:lang w:val="en-US" w:eastAsia="zh-CN"/>
              </w:rPr>
              <w:t>60</w:t>
            </w:r>
            <w:r>
              <w:rPr>
                <w:rFonts w:ascii="Times New Roman" w:hAnsi="Times New Roman" w:eastAsia="宋体" w:cs="Times New Roman"/>
                <w:color w:val="auto"/>
                <w:szCs w:val="21"/>
                <w:highlight w:val="none"/>
                <w:u w:val="none"/>
              </w:rPr>
              <w:t>%</w:t>
            </w:r>
            <w:r>
              <w:rPr>
                <w:rFonts w:ascii="Times New Roman" w:hAnsi="Times New Roman" w:eastAsia="宋体" w:cs="Times New Roman"/>
                <w:color w:val="auto"/>
                <w:szCs w:val="21"/>
                <w:highlight w:val="none"/>
              </w:rPr>
              <w:t>；保质期低于或等于15日的，投标人拟提供货品必须为送货当日屠宰或制作的货品。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ascii="Times New Roman" w:hAnsi="Times New Roman" w:eastAsia="宋体" w:cs="Times New Roman"/>
                <w:color w:val="auto"/>
                <w:szCs w:val="21"/>
                <w:highlight w:val="none"/>
              </w:rPr>
              <w:t>售后服务</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售后服务方式均为中标人上门服务。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非采购人的人为原因而出现产品质量问题，由中标人负责包换或包退，并承</w:t>
            </w:r>
            <w:r>
              <w:rPr>
                <w:rFonts w:hint="eastAsia" w:ascii="Times New Roman" w:hAnsi="Times New Roman" w:eastAsia="宋体" w:cs="Times New Roman"/>
                <w:color w:val="auto"/>
                <w:szCs w:val="21"/>
                <w:highlight w:val="none"/>
              </w:rPr>
              <w:t>担因此而产生的一切费用。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中标人应具备完善的售后服务体系和客户投诉处理机制，有专门负责售后的</w:t>
            </w:r>
            <w:r>
              <w:rPr>
                <w:rFonts w:hint="eastAsia" w:ascii="Times New Roman" w:hAnsi="Times New Roman" w:eastAsia="宋体" w:cs="Times New Roman"/>
                <w:color w:val="auto"/>
                <w:szCs w:val="21"/>
                <w:highlight w:val="none"/>
              </w:rPr>
              <w:t>服务人员，能够满足服务过程中采购人的响应需求。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01" w:type="dxa"/>
            <w:vAlign w:val="center"/>
          </w:tcPr>
          <w:p>
            <w:pPr>
              <w:spacing w:line="276" w:lineRule="auto"/>
              <w:jc w:val="center"/>
              <w:rPr>
                <w:rFonts w:ascii="Times New Roman" w:hAnsi="Times New Roman" w:eastAsia="宋体" w:cs="Times New Roman"/>
                <w:color w:val="auto"/>
                <w:szCs w:val="21"/>
                <w:highlight w:val="none"/>
              </w:rPr>
            </w:pPr>
            <w:r>
              <w:rPr>
                <w:rFonts w:ascii="宋体" w:hAnsi="宋体" w:eastAsia="宋体"/>
                <w:color w:val="auto"/>
                <w:szCs w:val="21"/>
                <w:highlight w:val="none"/>
              </w:rPr>
              <w:t>合同条款</w:t>
            </w:r>
            <w:r>
              <w:rPr>
                <w:rFonts w:hint="eastAsia" w:ascii="宋体" w:hAnsi="宋体" w:eastAsia="宋体"/>
                <w:color w:val="auto"/>
                <w:szCs w:val="21"/>
                <w:highlight w:val="none"/>
                <w:lang w:eastAsia="zh-CN"/>
              </w:rPr>
              <w:t>及签订模式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rPr>
            </w:pPr>
            <w:r>
              <w:rPr>
                <w:rFonts w:hint="eastAsia" w:ascii="宋体" w:hAnsi="宋体" w:eastAsia="宋体"/>
                <w:color w:val="auto"/>
                <w:szCs w:val="21"/>
                <w:highlight w:val="none"/>
                <w:lang w:eastAsia="zh-CN"/>
              </w:rPr>
              <w:t>投标人</w:t>
            </w:r>
            <w:r>
              <w:rPr>
                <w:rFonts w:ascii="宋体" w:hAnsi="宋体" w:eastAsia="宋体"/>
                <w:color w:val="auto"/>
                <w:szCs w:val="21"/>
                <w:highlight w:val="none"/>
              </w:rPr>
              <w:t>实质响应合同各条款</w:t>
            </w:r>
            <w:r>
              <w:rPr>
                <w:rFonts w:hint="eastAsia" w:ascii="宋体" w:hAnsi="宋体" w:eastAsia="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r>
              <w:rPr>
                <w:rFonts w:hint="eastAsia" w:ascii="宋体" w:hAnsi="宋体" w:eastAsia="宋体"/>
                <w:color w:val="auto"/>
                <w:sz w:val="21"/>
                <w:szCs w:val="21"/>
                <w:highlight w:val="none"/>
              </w:rPr>
              <w:t>若遇政策影响，甲方无法履行合同双方无条件解除合同，且双方不承担任何责任。</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9"/>
        <w:jc w:val="center"/>
        <w:rPr>
          <w:rFonts w:hint="eastAsia"/>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本次采购项目为</w:t>
      </w:r>
      <w:r>
        <w:rPr>
          <w:rFonts w:hint="eastAsia" w:ascii="Times New Roman" w:hAnsi="Times New Roman" w:eastAsia="宋体" w:cs="Times New Roman"/>
          <w:color w:val="auto"/>
          <w:szCs w:val="21"/>
          <w:highlight w:val="none"/>
        </w:rPr>
        <w:t>东莞市大朗镇鸣凤小学</w:t>
      </w:r>
      <w:r>
        <w:rPr>
          <w:rFonts w:ascii="Times New Roman" w:hAnsi="Times New Roman" w:eastAsia="宋体" w:cs="Times New Roman"/>
          <w:color w:val="auto"/>
          <w:szCs w:val="21"/>
          <w:highlight w:val="none"/>
        </w:rPr>
        <w:t>采购食材配送服务，每天承接</w:t>
      </w:r>
      <w:r>
        <w:rPr>
          <w:rFonts w:hint="eastAsia" w:ascii="Times New Roman" w:hAnsi="Times New Roman" w:eastAsia="宋体" w:cs="Times New Roman"/>
          <w:color w:val="auto"/>
          <w:szCs w:val="21"/>
          <w:highlight w:val="none"/>
        </w:rPr>
        <w:t>教职工</w:t>
      </w:r>
      <w:r>
        <w:rPr>
          <w:rFonts w:ascii="Times New Roman" w:hAnsi="Times New Roman" w:eastAsia="宋体" w:cs="Times New Roman"/>
          <w:color w:val="auto"/>
          <w:szCs w:val="21"/>
          <w:highlight w:val="none"/>
        </w:rPr>
        <w:t>用餐人</w:t>
      </w:r>
      <w:r>
        <w:rPr>
          <w:rFonts w:hint="eastAsia" w:ascii="Times New Roman" w:hAnsi="Times New Roman" w:eastAsia="宋体" w:cs="Times New Roman"/>
          <w:color w:val="auto"/>
          <w:szCs w:val="21"/>
          <w:highlight w:val="none"/>
        </w:rPr>
        <w:t>数</w:t>
      </w:r>
      <w:r>
        <w:rPr>
          <w:rFonts w:ascii="Times New Roman" w:hAnsi="Times New Roman" w:eastAsia="宋体" w:cs="Times New Roman"/>
          <w:color w:val="auto"/>
          <w:szCs w:val="21"/>
          <w:highlight w:val="none"/>
        </w:rPr>
        <w:t>约为</w:t>
      </w:r>
      <w:r>
        <w:rPr>
          <w:rFonts w:hint="eastAsia" w:ascii="Times New Roman" w:hAnsi="Times New Roman" w:cs="Times New Roman"/>
          <w:color w:val="auto"/>
          <w:szCs w:val="21"/>
          <w:highlight w:val="none"/>
          <w:u w:val="single"/>
          <w:lang w:val="en-US" w:eastAsia="zh-CN"/>
        </w:rPr>
        <w:t xml:space="preserve"> 65 </w:t>
      </w:r>
      <w:r>
        <w:rPr>
          <w:rFonts w:ascii="Times New Roman" w:hAnsi="Times New Roman" w:eastAsia="宋体" w:cs="Times New Roman"/>
          <w:color w:val="auto"/>
          <w:szCs w:val="21"/>
          <w:highlight w:val="none"/>
        </w:rPr>
        <w:t>人（以在校实际教职工人数为准）</w:t>
      </w:r>
      <w:r>
        <w:rPr>
          <w:rFonts w:hint="eastAsia" w:ascii="Times New Roman" w:hAnsi="Times New Roman" w:eastAsia="宋体" w:cs="Times New Roman"/>
          <w:color w:val="auto"/>
          <w:szCs w:val="21"/>
          <w:highlight w:val="none"/>
        </w:rPr>
        <w:t>、学生</w:t>
      </w:r>
      <w:r>
        <w:rPr>
          <w:rFonts w:ascii="Times New Roman" w:hAnsi="Times New Roman" w:eastAsia="宋体" w:cs="Times New Roman"/>
          <w:color w:val="auto"/>
          <w:szCs w:val="21"/>
          <w:highlight w:val="none"/>
        </w:rPr>
        <w:t>用餐人</w:t>
      </w:r>
      <w:r>
        <w:rPr>
          <w:rFonts w:hint="eastAsia" w:ascii="Times New Roman" w:hAnsi="Times New Roman" w:eastAsia="宋体" w:cs="Times New Roman"/>
          <w:color w:val="auto"/>
          <w:szCs w:val="21"/>
          <w:highlight w:val="none"/>
        </w:rPr>
        <w:t>数</w:t>
      </w:r>
      <w:r>
        <w:rPr>
          <w:rFonts w:ascii="Times New Roman" w:hAnsi="Times New Roman" w:eastAsia="宋体" w:cs="Times New Roman"/>
          <w:color w:val="auto"/>
          <w:szCs w:val="21"/>
          <w:highlight w:val="none"/>
        </w:rPr>
        <w:t>约为</w:t>
      </w:r>
      <w:r>
        <w:rPr>
          <w:rFonts w:hint="eastAsia" w:ascii="Times New Roman" w:hAnsi="Times New Roman" w:cs="Times New Roman"/>
          <w:color w:val="auto"/>
          <w:szCs w:val="21"/>
          <w:highlight w:val="none"/>
          <w:u w:val="single"/>
          <w:lang w:val="en-US" w:eastAsia="zh-CN"/>
        </w:rPr>
        <w:t xml:space="preserve"> 800 </w:t>
      </w:r>
      <w:r>
        <w:rPr>
          <w:rFonts w:ascii="Times New Roman" w:hAnsi="Times New Roman" w:eastAsia="宋体" w:cs="Times New Roman"/>
          <w:color w:val="auto"/>
          <w:szCs w:val="21"/>
          <w:highlight w:val="none"/>
        </w:rPr>
        <w:t>人（以在校实际</w:t>
      </w:r>
      <w:r>
        <w:rPr>
          <w:rFonts w:hint="eastAsia" w:ascii="Times New Roman" w:hAnsi="Times New Roman" w:eastAsia="宋体" w:cs="Times New Roman"/>
          <w:color w:val="auto"/>
          <w:szCs w:val="21"/>
          <w:highlight w:val="none"/>
        </w:rPr>
        <w:t>学生</w:t>
      </w:r>
      <w:r>
        <w:rPr>
          <w:rFonts w:ascii="Times New Roman" w:hAnsi="Times New Roman" w:eastAsia="宋体" w:cs="Times New Roman"/>
          <w:color w:val="auto"/>
          <w:szCs w:val="21"/>
          <w:highlight w:val="none"/>
        </w:rPr>
        <w:t>人数为准），主要目的是采购一家食堂食材配送供货商。结算金额根据实际所送货物数量进行结算</w:t>
      </w:r>
      <w:r>
        <w:rPr>
          <w:rFonts w:hint="eastAsia" w:ascii="Times New Roman" w:hAnsi="Times New Roman" w:eastAsia="宋体" w:cs="Times New Roman"/>
          <w:color w:val="auto"/>
          <w:szCs w:val="21"/>
          <w:highlight w:val="none"/>
        </w:rPr>
        <w:t>。</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二、项目总体要求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1、本项目为在</w:t>
      </w:r>
      <w:r>
        <w:rPr>
          <w:rFonts w:hint="eastAsia" w:ascii="宋体" w:hAnsi="宋体" w:cs="宋体"/>
          <w:color w:val="auto"/>
          <w:sz w:val="21"/>
          <w:szCs w:val="21"/>
          <w:highlight w:val="none"/>
          <w:lang w:eastAsia="zh-CN"/>
        </w:rPr>
        <w:t>东莞市大朗镇鸣凤小学</w:t>
      </w:r>
      <w:r>
        <w:rPr>
          <w:rFonts w:hint="eastAsia" w:ascii="宋体" w:hAnsi="宋体" w:eastAsia="宋体" w:cs="宋体"/>
          <w:color w:val="auto"/>
          <w:sz w:val="21"/>
          <w:szCs w:val="21"/>
          <w:highlight w:val="none"/>
        </w:rPr>
        <w:t>食堂用餐的教职工</w:t>
      </w:r>
      <w:r>
        <w:rPr>
          <w:rFonts w:hint="eastAsia" w:ascii="宋体" w:hAnsi="宋体" w:cs="宋体"/>
          <w:color w:val="auto"/>
          <w:sz w:val="21"/>
          <w:szCs w:val="21"/>
          <w:highlight w:val="none"/>
          <w:lang w:val="en-US" w:eastAsia="zh-CN"/>
        </w:rPr>
        <w:t>与学生</w:t>
      </w:r>
      <w:r>
        <w:rPr>
          <w:rFonts w:hint="eastAsia" w:ascii="宋体" w:hAnsi="宋体" w:eastAsia="宋体" w:cs="宋体"/>
          <w:color w:val="auto"/>
          <w:sz w:val="21"/>
          <w:szCs w:val="21"/>
          <w:highlight w:val="none"/>
        </w:rPr>
        <w:t>提供午餐食材。</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2、中标人为采购人供应肉类、三鸟类、冻品类、海产品、豆制品、蔬菜类、水果类、油脂类、米面制品、调料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干货类</w:t>
      </w:r>
      <w:r>
        <w:rPr>
          <w:rFonts w:hint="eastAsia" w:ascii="宋体" w:hAnsi="宋体" w:eastAsia="宋体" w:cs="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3、中标人按照采购人提出的物品订货清单，不论数量多少，必须保证在规定的时间（以采购人下达供货通知单为依据）、地点（食堂）送货。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4、中标人对采购人提出的临时性服务要求应按时、按质、按量将货品送到指定地点。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5、所供的货物必须符合《中华人民共和国食品安全法》要求。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6、中标人不得将中标项目转包、分包，否则采购人有权单方终止合同，由此产生的一切经济损失由中标人自行承担。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7、由于采购人工作的特殊性，中标人应做好本单位工作人员的教育工作，遵守采购人各项规定，并有明确的服务标准和规范的服务细则。</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8、中标人提供的货物必须出示真实有效的检验合格报告。凡国家有明文规定的必须提供产品检验报告交采购人存档。</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中标人须</w:t>
      </w:r>
      <w:r>
        <w:rPr>
          <w:rFonts w:hint="eastAsia" w:ascii="宋体" w:hAnsi="宋体" w:cs="宋体"/>
          <w:b/>
          <w:bCs/>
          <w:color w:val="auto"/>
          <w:sz w:val="21"/>
          <w:szCs w:val="21"/>
          <w:highlight w:val="none"/>
          <w:lang w:val="en-US" w:eastAsia="zh-CN"/>
        </w:rPr>
        <w:t>符合国家相关规定，</w:t>
      </w:r>
      <w:r>
        <w:rPr>
          <w:rFonts w:hint="eastAsia" w:ascii="宋体" w:hAnsi="宋体" w:eastAsia="宋体" w:cs="宋体"/>
          <w:b/>
          <w:bCs/>
          <w:color w:val="auto"/>
          <w:sz w:val="21"/>
          <w:szCs w:val="21"/>
          <w:highlight w:val="none"/>
        </w:rPr>
        <w:t>服从采购人和市场监督部门的监督管理</w:t>
      </w:r>
      <w:r>
        <w:rPr>
          <w:rFonts w:hint="eastAsia" w:ascii="宋体" w:hAnsi="宋体" w:cs="宋体"/>
          <w:b/>
          <w:bCs/>
          <w:color w:val="auto"/>
          <w:sz w:val="21"/>
          <w:szCs w:val="21"/>
          <w:highlight w:val="none"/>
          <w:lang w:val="en-US" w:eastAsia="zh-CN"/>
        </w:rPr>
        <w:t>及要求</w:t>
      </w:r>
      <w:r>
        <w:rPr>
          <w:rFonts w:hint="eastAsia" w:ascii="宋体" w:hAnsi="宋体" w:eastAsia="宋体" w:cs="宋体"/>
          <w:b/>
          <w:bCs/>
          <w:color w:val="auto"/>
          <w:sz w:val="21"/>
          <w:szCs w:val="21"/>
          <w:highlight w:val="none"/>
        </w:rPr>
        <w:t>，配合采购人及时更新所提供的符合市场监督部门的有效证明材料，如营业执照、产品合格证</w:t>
      </w:r>
      <w:r>
        <w:rPr>
          <w:rFonts w:hint="eastAsia" w:ascii="宋体" w:hAnsi="宋体" w:cs="宋体"/>
          <w:b/>
          <w:bCs/>
          <w:color w:val="auto"/>
          <w:sz w:val="21"/>
          <w:szCs w:val="21"/>
          <w:highlight w:val="none"/>
          <w:lang w:eastAsia="zh-CN"/>
        </w:rPr>
        <w:t>、食品经营许可</w:t>
      </w:r>
      <w:r>
        <w:rPr>
          <w:rFonts w:hint="eastAsia" w:ascii="宋体" w:hAnsi="宋体" w:cs="宋体"/>
          <w:b/>
          <w:bCs/>
          <w:color w:val="auto"/>
          <w:sz w:val="21"/>
          <w:szCs w:val="21"/>
          <w:highlight w:val="none"/>
          <w:lang w:val="en-US" w:eastAsia="zh-CN"/>
        </w:rPr>
        <w:t>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备案等</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rPr>
        <w:t>（须提供承诺函并加盖投标人公章）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采购人按合同对货物进行认真验收，对不符合规格要求的货物，供应商必须无条件退货；中标人未能履行招标文件和合同所定事项，或供应不合格、假冒伪劣、以次充好的货物，采购人退货后将记录在案，并对中标人予以处罚，除要承担因此产生的一切损失和费用外，情节严重的可取消其供应资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11、本项目执行过程中应遵循国家、省、市有关法律、法规、标准、技术规范和规范性文件的最新规定。如同一参数标准在不同的规定中有不一致的地方，按最高标准执行。</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三、食材安全保障措施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必须遵守国家规定的《中华人民共和国食品安全法》、《中华人民共和国农产品质量安全法》等法律和行政法规的规定，提供的货品必须符合国家有关卫生标准，保质、保量、保鲜，严禁配送假冒、变质、过期的农副产品。不合格的货品，中标人必须包退包换。</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2、中标人须对采购人购买的食材进行分类并用器具装载，不得混装，运输过程应采取相应的保鲜防护措施。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3、如因中标人所送的食材引起食用人的身体不适、发生食物中毒等问题，经市级质量检验部门确定后为中标人责任的，由中标人承担全部经济赔偿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医药费等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承担相应的民事及刑事</w:t>
      </w:r>
      <w:r>
        <w:rPr>
          <w:rFonts w:hint="eastAsia" w:ascii="宋体" w:hAnsi="宋体" w:eastAsia="宋体" w:cs="宋体"/>
          <w:color w:val="auto"/>
          <w:sz w:val="21"/>
          <w:szCs w:val="21"/>
          <w:highlight w:val="none"/>
        </w:rPr>
        <w:t>法律责任</w:t>
      </w:r>
      <w:r>
        <w:rPr>
          <w:rFonts w:hint="eastAsia" w:ascii="宋体" w:hAnsi="宋体" w:eastAsia="宋体" w:cs="宋体"/>
          <w:color w:val="auto"/>
          <w:sz w:val="21"/>
          <w:szCs w:val="21"/>
          <w:highlight w:val="none"/>
          <w:lang w:val="en-US" w:eastAsia="zh-CN"/>
        </w:rPr>
        <w:t>及放弃先诉抗辩权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lang w:eastAsia="zh-CN"/>
        </w:rPr>
        <w:t>并</w:t>
      </w:r>
      <w:r>
        <w:rPr>
          <w:rFonts w:hint="eastAsia" w:ascii="宋体" w:hAnsi="宋体" w:cs="宋体"/>
          <w:color w:val="auto"/>
          <w:sz w:val="21"/>
          <w:szCs w:val="21"/>
          <w:highlight w:val="none"/>
          <w:lang w:val="en-US" w:eastAsia="zh-CN"/>
        </w:rPr>
        <w:t>立即</w:t>
      </w:r>
      <w:r>
        <w:rPr>
          <w:rFonts w:hint="eastAsia" w:ascii="宋体" w:hAnsi="宋体" w:cs="宋体"/>
          <w:color w:val="auto"/>
          <w:sz w:val="21"/>
          <w:szCs w:val="21"/>
          <w:highlight w:val="none"/>
          <w:lang w:eastAsia="zh-CN"/>
        </w:rPr>
        <w:t>终止合同。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充分理解并认真遵循本招标文件的要求，所提供的货物必须满足招标文件要求。中标人应保证供应的货品均为正规生产的新鲜（冰鲜除外）检验合格、无毒、无辐射、无侵权货品，符合国家有关卫生、质量、包装和保质标准，保质期超过15日的，其剩余保质期不得少于标注保质期的</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%。保质期低于或等于15日的，</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拟提供货品必须为送货当日生产或制作的货品。其中，生鲜货品必须当天屠宰或鲜活的货品。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5、中标人提供的鲜鱼、肉类保证每日新鲜，提供的猪</w:t>
      </w:r>
      <w:bookmarkStart w:id="180" w:name="_GoBack"/>
      <w:bookmarkEnd w:id="180"/>
      <w:r>
        <w:rPr>
          <w:rFonts w:hint="eastAsia" w:ascii="宋体" w:hAnsi="宋体" w:eastAsia="宋体" w:cs="宋体"/>
          <w:color w:val="auto"/>
          <w:sz w:val="21"/>
          <w:szCs w:val="21"/>
          <w:highlight w:val="none"/>
        </w:rPr>
        <w:t>肉牛肉羊肉均为东莞市定点屠宰厂（场）经检疫和肉品品质检验合格的产品，具有由定点屠宰厂（场）加盖验讫印章并出具《畜产品检验证明》或《动物检疫合格证明》，所有产品均可追索。中标人提供的蔬菜必须保证每日新鲜，优先选择取得无公害认证产品，符合《中华人民共和国食品安全法》要求并出具有效的《农产品检验报告》。配送的农副产品经相关检验部门检验超标的，要求中标人无条件换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6、中标人保证所提供的鲜肉类、生禽、鲜水产、蔬菜种类的多样性和季节性，以保证新鲜感。</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7、货物有包装的，货物的包装必须完整清洁（无损、无污、无皱），采购人有权拒收包装不整齐、已拆封的商品。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发现商品出现损坏（包括表面损坏），或出现水渍、串味、受潮等导致货物性质改变的，中标人必须无条件退货或更换商品。包装与标志要求。（1）包装：容器(框、箱、袋)要求清洁、干燥、牢固、透气，无污染、无异味、无霉变现象；（2）标志：每件包装需按《农产品包装和标识管理办法》贴标签，并标明产地、品种、净含量、生产单位及地址和采收日期。</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9、中标人提供过期、变质的、有毒食材的，一经发现，除按采购人要求无条件退货或换货外，还将受到如下处罚：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过期、变质食材的，采购人有权要求无条件退货或换货，中标人将被处以当次供应食材货款2倍的罚款，罚款由供货结算款内扣除。如提供过期、变质食材的累计达三次，采购人有权单方终止合同，并</w:t>
      </w:r>
      <w:r>
        <w:rPr>
          <w:rFonts w:hint="eastAsia" w:ascii="宋体" w:hAnsi="宋体" w:cs="宋体"/>
          <w:color w:val="auto"/>
          <w:sz w:val="21"/>
          <w:szCs w:val="21"/>
          <w:highlight w:val="none"/>
          <w:lang w:val="en-US" w:eastAsia="zh-CN"/>
        </w:rPr>
        <w:t>要求中标人</w:t>
      </w:r>
      <w:r>
        <w:rPr>
          <w:rFonts w:hint="eastAsia" w:ascii="宋体" w:hAnsi="宋体" w:eastAsia="宋体" w:cs="宋体"/>
          <w:color w:val="auto"/>
          <w:sz w:val="21"/>
          <w:szCs w:val="21"/>
          <w:highlight w:val="none"/>
        </w:rPr>
        <w:t>进行任何赔偿。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（2）中标人若提供有毒食材，造成食材安全事故的，经有关单位鉴定原因后，如确实为中标人提供的食材问题，中标人须负担全数的医药费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精神损害等费用</w:t>
      </w:r>
      <w:r>
        <w:rPr>
          <w:rFonts w:hint="eastAsia" w:ascii="宋体" w:hAnsi="宋体" w:eastAsia="宋体" w:cs="宋体"/>
          <w:color w:val="auto"/>
          <w:sz w:val="21"/>
          <w:szCs w:val="21"/>
          <w:highlight w:val="none"/>
        </w:rPr>
        <w:t>，采购人有权终止合同，中标人同时承担相应的民事及刑事法律责任及放弃先诉抗辩权，并</w:t>
      </w:r>
      <w:r>
        <w:rPr>
          <w:rFonts w:hint="eastAsia" w:ascii="宋体" w:hAnsi="宋体" w:cs="宋体"/>
          <w:color w:val="auto"/>
          <w:sz w:val="21"/>
          <w:szCs w:val="21"/>
          <w:highlight w:val="none"/>
          <w:lang w:val="en-US" w:eastAsia="zh-CN"/>
        </w:rPr>
        <w:t>立即</w:t>
      </w:r>
      <w:r>
        <w:rPr>
          <w:rFonts w:hint="eastAsia" w:ascii="宋体" w:hAnsi="宋体" w:eastAsia="宋体" w:cs="宋体"/>
          <w:color w:val="auto"/>
          <w:sz w:val="21"/>
          <w:szCs w:val="21"/>
          <w:highlight w:val="none"/>
        </w:rPr>
        <w:t>终止合同。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10、中标人应做好货物的安全管理工作。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11、食材配送管理必须建立出入库台账，做到票据溯源，</w:t>
      </w:r>
      <w:r>
        <w:rPr>
          <w:rFonts w:hint="eastAsia" w:ascii="宋体" w:hAnsi="宋体" w:eastAsia="宋体" w:cs="宋体"/>
          <w:b/>
          <w:bCs/>
          <w:color w:val="auto"/>
          <w:sz w:val="21"/>
          <w:szCs w:val="21"/>
          <w:highlight w:val="none"/>
          <w:lang w:val="en-US" w:eastAsia="zh-CN"/>
        </w:rPr>
        <w:t>且每</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个月须按照</w:t>
      </w:r>
      <w:r>
        <w:rPr>
          <w:rFonts w:hint="eastAsia" w:ascii="宋体" w:hAnsi="宋体" w:eastAsia="宋体" w:cs="宋体"/>
          <w:color w:val="auto"/>
          <w:sz w:val="21"/>
          <w:szCs w:val="21"/>
          <w:highlight w:val="none"/>
          <w:lang w:val="en-US" w:eastAsia="zh-CN"/>
        </w:rPr>
        <w:t>采购人要求整理报表，食材需提供第三方的检测报告。</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因本项目为食材配送服务，可能因疏忽或过失致使食物中毒或其他食源性疾患，或因食物中掺有异物，造成人身损害或财产损失，为保证采购人权益，中标人须以承诺函形式承诺：中标后为采购人提供一份以采购人为受益人、额度不低于人民币</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000万元（含</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000万元）的保险（食品安全责任险或公众责任保险），保险承保期限不短于合同有效期。</w:t>
      </w:r>
      <w:r>
        <w:rPr>
          <w:rFonts w:hint="eastAsia" w:cs="宋体"/>
          <w:b/>
          <w:bCs/>
          <w:color w:val="auto"/>
          <w:sz w:val="21"/>
          <w:szCs w:val="21"/>
          <w:highlight w:val="none"/>
          <w:lang w:val="en-US" w:eastAsia="zh-CN"/>
        </w:rPr>
        <w:t>保单需给采购人保存。</w:t>
      </w:r>
      <w:r>
        <w:rPr>
          <w:rFonts w:hint="eastAsia" w:ascii="宋体" w:hAnsi="宋体" w:eastAsia="宋体" w:cs="宋体"/>
          <w:b/>
          <w:bCs/>
          <w:color w:val="auto"/>
          <w:sz w:val="21"/>
          <w:szCs w:val="21"/>
          <w:highlight w:val="none"/>
        </w:rPr>
        <w:t>（须提供承诺函并加盖投标人公章）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四、质量和数量要求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1、蔬果类应保持较好的色泽和新鲜度，符合国家食品安全标准，不得有黄叶、腐烂，泥沙等现象，蔬果类农药等化学物不得超标，并提供农药残留检测证明（蔬菜利用率不低于95%）。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2、冷冻类食材应选购标有厂名、地址、电话、保存期且包装完好的产品。食材在验货时不能有变软的现象，不得食材表面或包装袋内附有许多霜的食材当做复冻食材，退货处理。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3、海鲜、河鲜类水产必须鲜活。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4、鲜肉类全部来源于正规肉联厂，保证为当日新鲜肉，并提供政府检疫部门出示的检疫合格证明。（鲜肉类利用率不低于98%）。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5、蛋类需新鲜、蛋黄完整、非人造。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6、豆制品来源于政府许可的正规厂商。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7、粮油、调料类食材由正规厂商供货，符合国家食品安全标准，且不得使用由转基因原料制作。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8、水果须保证新鲜，做到种类多、营养搭配，符合中小学膳食服务要求。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、对于不符合采购人质量要求的品种可无偿退货或换货；如需换货，中标人必须在采购人规定的时间内把货品送到目的地。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、中标人提供的所有货物来源须清晰，可溯源。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11、★食用油不能使用含有转基因食品，调和油、棕榈油等含量不能超过总含量的30%</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（须提供承诺函并加盖投标人公章）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rPr>
        <w:t>12、★投标人须保证提供的食材及其它副食等所有用于本项目的材料不使用转基因食材或由转基因原料制作的产品。（须提供承诺函并加盖投标人公章）</w:t>
      </w:r>
      <w:r>
        <w:rPr>
          <w:rFonts w:hint="eastAsia" w:ascii="宋体" w:hAnsi="宋体" w:cs="宋体"/>
          <w:b/>
          <w:bCs/>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13、要建立食品留样制度(即每餐每种食品200克专用于留样冰箱内,48小时后如无发生食物中毒事故,方可弃去),并有留样记录。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（二）数量要求：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应保证千克、克的准确性，以采购人的验收数量为准，中标人每次随货携带一式两联的送货清单，食材经双方验收后须签字确认，双方各持一份，全部作为收货与货款结算的凭证。</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五、供货价格要求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中标人的供货价应包含交给采购人之前的一切可预见及不可预见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费用，包括购置费、包装费、运输费、装卸费、搬运费、储存费、人工费、保险费、各种税费等，并承担送货途中的一切风险。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kern w:val="2"/>
          <w:sz w:val="21"/>
          <w:szCs w:val="21"/>
          <w:highlight w:val="none"/>
          <w:lang w:val="en-US" w:eastAsia="zh-CN"/>
        </w:rPr>
        <w:t>中标人采购的食材不能高于市场价，如经发现食材价格高于市场价，需双倍赔偿采购人损失。</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六、订货、交货及运输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1、采购人向中标人订购的蔬菜、肉类等农副产品，应在前一天的16:00之前，以电话、传真或电子邮件</w:t>
      </w:r>
      <w:r>
        <w:rPr>
          <w:rFonts w:hint="eastAsia" w:ascii="宋体" w:hAnsi="宋体" w:cs="宋体"/>
          <w:color w:val="auto"/>
          <w:szCs w:val="21"/>
          <w:highlight w:val="none"/>
          <w:lang w:val="en-US" w:eastAsia="zh-CN"/>
        </w:rPr>
        <w:t>或微信</w:t>
      </w:r>
      <w:r>
        <w:rPr>
          <w:rFonts w:hint="eastAsia" w:ascii="宋体" w:hAnsi="宋体" w:eastAsia="宋体" w:cs="宋体"/>
          <w:color w:val="auto"/>
          <w:szCs w:val="21"/>
          <w:highlight w:val="none"/>
        </w:rPr>
        <w:t>等方式下单，订单内容应说明清楚品名、数量、规格、质量和餐次等要求。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2、中标人应保证每天早上6:30之前将采购人所订的货物按照约定时间送至采购人指定地方，运输车辆内外必须清洁干净，无污渍，无异味。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3、中标人在发货前，应对货品的外观质量、规格、数量等进行准确和全面的检验。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4、中标人的送货单必须详细注明商品的品牌、品种、单价、数量、送货单不得涂改。标记不清的，采购人将拒绝签收。结算期末中标人还应提供送货清单供采购人结算。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应设专人服务、跟踪、对账、快速处理突发事件。对送货过程中出现货不对板或达不到订单注明质量要求的品种，以及采购人根据就餐需要临时加补的品种，中标人应在采购人指定的时间补送到位，保证采购人的正常就餐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3次或以上上述情况的，并处以中标人人民币1000元罚款，罚款在供货结算款内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7、中标人负责货品的仓储，采购人不提供仓库。中标人须准时送货到采购人指定地点，采购人不另行支付配送交通费。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8、在采购人签收之前，货物的所有权和风险属于中标人，货物发生遗失、损坏由中标人负责。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9、中标人须严格按照采购人的指令配送商品的数量，不得随意增减数量，否则，采购人有权拒收。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除客观不可抗力外，中标人不得更改送货内容。如因市场流通问题确实需要变更供货内容的，中标人应在得知情况的同时告知采购人并事先征得书面申请，并经采购人同意后方可改变。经发现中标人有私自更改菜单中货品时以违约论处，由此产生的一切损失和费用由中标人承担。出现3次或以上上述情况的，并处以人民币1000元罚款，罚款在供货结算款内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11、产品储存及原材料配备要求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（1）中标人应做好产品储存方案及原料配备；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（2）中标人应具备安全、无害的贮存场所、容器、工具和设备，并保持清洁；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（3）中标人要确保产品质量，保持食材原材料在储存期间的使用价值。</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七、中标人责任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派驻采购人单位的服务人员必须经卫生防疫部门检查和培训，持有健康证上岗，必须穿着便于辨认的工衣和配戴胸卡，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2、中标人运送货物时须对场地内的设备、设施有良好保护措施，若中标人在配送过程中损坏采购人的物品，中标人应照价赔偿。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3、中标人不得泄露采购人的商业秘密。泄密造成采购人损失的或声誉损害的，中标人将承担由此产生的一切损失和法律责任。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4、节假日按照采购人要求照常运作，特殊情况停止供货，中标人必须提前</w:t>
      </w:r>
      <w:r>
        <w:rPr>
          <w:rFonts w:hint="eastAsia" w:ascii="宋体" w:hAnsi="宋体" w:cs="宋体"/>
          <w:color w:val="auto"/>
          <w:szCs w:val="21"/>
          <w:highlight w:val="none"/>
          <w:lang w:val="en-US" w:eastAsia="zh-CN"/>
        </w:rPr>
        <w:t>三天</w:t>
      </w:r>
      <w:r>
        <w:rPr>
          <w:rFonts w:hint="eastAsia" w:ascii="宋体" w:hAnsi="宋体" w:eastAsia="宋体" w:cs="宋体"/>
          <w:color w:val="auto"/>
          <w:szCs w:val="21"/>
          <w:highlight w:val="none"/>
        </w:rPr>
        <w:t>通知采购人，在取得采购人同意后方可停止供货，否则将按照单次货款总额的10%进行罚款。由于中标人不履行购销合同造成采购人经济损失由中标人承担责</w:t>
      </w:r>
      <w:r>
        <w:rPr>
          <w:rFonts w:hint="eastAsia" w:ascii="宋体" w:hAnsi="宋体" w:cs="宋体"/>
          <w:color w:val="auto"/>
          <w:szCs w:val="21"/>
          <w:highlight w:val="none"/>
          <w:lang w:val="en-US" w:eastAsia="zh-CN"/>
        </w:rPr>
        <w:t>任</w:t>
      </w:r>
      <w:r>
        <w:rPr>
          <w:rFonts w:hint="eastAsia" w:ascii="宋体" w:hAnsi="宋体" w:eastAsia="宋体" w:cs="宋体"/>
          <w:color w:val="auto"/>
          <w:szCs w:val="21"/>
          <w:highlight w:val="none"/>
        </w:rPr>
        <w:t>，并终止合同。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的采购人员不得给采购人负责合约洽谈、价格监督、食材验收的人员任何好处，如查实有上述情况，取消中标人配送资格。中标人可向采购人举报采购人相关人员故意刁难及索取好处的行为，经采购人查实，相关人员立即解除劳动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采购人对应急食材及政府扶贫农副产品采购有自主权，采购人有权直接采购，不受中标人和本项目制约。为贯彻落实党中央、国务院和广东省委、省政府关于打赢脱贫攻坚战的有关决策部署，在本项目饭堂食材配送服务期内，采购人或采购人委托中标人通过脱贫地区农副产品网络销售平台（832平台）预留不少于10%的比例采购脱贫地区农副产品或通过广东省政府采购扶贫馆平台等政府部门认可的平台采购部分既定预留份额的食堂食材，中标人必须无条件配合，采购人对此不承担任何经济补偿或违约责任。（须提供承诺函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中标人须承诺遇台风、暴雨等意外造成停课的，所有已订食材须无条件接受退回。</w:t>
      </w:r>
      <w:r>
        <w:rPr>
          <w:rFonts w:hint="eastAsia" w:ascii="宋体" w:hAnsi="宋体" w:eastAsia="宋体" w:cs="宋体"/>
          <w:b/>
          <w:bCs/>
          <w:color w:val="auto"/>
          <w:szCs w:val="21"/>
          <w:highlight w:val="none"/>
        </w:rPr>
        <w:t>（须提供承诺函加盖投标人公章）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八、合同解除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1、中标人提供的货品质量未达到上述质量要求标准达三次（含）以上，且经采购人提出后仍不改进的，采购人有权单方终止合同，相关经济损失由中标人承担。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2、如因中标人所送的食材引起食用的人身体不适、发生食物中毒等问题，经市级质量检验部门确定后是中标人的责任，采购人有权立即</w:t>
      </w:r>
      <w:r>
        <w:rPr>
          <w:rFonts w:hint="eastAsia" w:ascii="宋体" w:hAnsi="宋体" w:cs="宋体"/>
          <w:color w:val="auto"/>
          <w:szCs w:val="21"/>
          <w:highlight w:val="none"/>
          <w:lang w:val="en-US" w:eastAsia="zh-CN"/>
        </w:rPr>
        <w:t>单方</w:t>
      </w:r>
      <w:r>
        <w:rPr>
          <w:rFonts w:hint="eastAsia" w:ascii="宋体" w:hAnsi="宋体" w:eastAsia="宋体" w:cs="宋体"/>
          <w:color w:val="auto"/>
          <w:szCs w:val="21"/>
          <w:highlight w:val="none"/>
        </w:rPr>
        <w:t>终止合约。</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九、企业管理制度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1、中标人应具备有利于本项目实施的管理服务理念与管理模式；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2、中标人应具备完善的组织管理架构及岗位职责；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3、中标人应具备健全的各类食材检测制度。</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十、应急处理要求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中标人应具备完善的应急处理方案，包括但不限于下列要求：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1、针对食材仓储环节中可能出现的导致食材种类、数量不足的紧急情况（如突发火灾、被水淹没等），应有相应的处置措施；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2、针对食材流通和使用环节可能会出现的质量问题（如仓储、运具不达标致使食材变得不合格等），应有相应的处置措施；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3、针对台风、暴雨等恶劣天气，应有相应的配送保障措施；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4、针对配送人员在配送途中突发车辆故障、交通事故等情况，应有相应的人员替换保障措施。</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7"/>
        <w:tblW w:w="90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123"/>
        <w:gridCol w:w="730"/>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color w:val="auto"/>
                <w:sz w:val="21"/>
                <w:szCs w:val="21"/>
                <w:highlight w:val="none"/>
                <w:shd w:val="clear" w:color="auto" w:fill="auto"/>
                <w:lang w:val="en-US" w:eastAsia="zh-CN"/>
              </w:rPr>
              <w:t>企业实力</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9</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1.投标人具有有效期内的质量管理体系认证证书，得1分；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2.投标人具有有效期内的环境管理体系认证证书，得1分；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3.投标人具有有效期内的职业健康安全管理体系认证证书 ，得1分；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4.投标人具有有效期内的HACCP危害分析和关键控制点体系认证证书，得1分；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5.投标人具有有效期内的食品安全管理体系认证证书，得得1分；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6.投标人具有有效期内的供应链安全管理体系认证证书，得1分；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7.投标人具有有效期内的五星级售后服务认证证书，得1分；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8.投标人具有有效期内的可追溯管理体系体系认证证书，得1分；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9.投标人具有有效期内的初级生鲜食品配送管理体系认证证书，得1分；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val="en-US" w:eastAsia="zh-CN"/>
              </w:rPr>
              <w:t>须提供有效期内证书复印件加盖</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r>
              <w:rPr>
                <w:rFonts w:hint="eastAsia" w:ascii="宋体" w:hAnsi="宋体" w:eastAsia="宋体" w:cs="宋体"/>
                <w:bCs/>
                <w:color w:val="auto"/>
                <w:sz w:val="21"/>
                <w:szCs w:val="21"/>
                <w:highlight w:val="none"/>
                <w:lang w:val="pt-BR"/>
              </w:rPr>
              <w:t>，否则不得分</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rPr>
              <w:t>6</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w:t>
            </w:r>
            <w:r>
              <w:rPr>
                <w:rFonts w:hint="eastAsia" w:ascii="宋体" w:hAnsi="宋体" w:cs="宋体"/>
                <w:color w:val="auto"/>
                <w:kern w:val="2"/>
                <w:sz w:val="21"/>
                <w:szCs w:val="21"/>
                <w:highlight w:val="none"/>
                <w:lang w:val="en-US" w:eastAsia="zh-CN"/>
              </w:rPr>
              <w:t>学校</w:t>
            </w:r>
            <w:r>
              <w:rPr>
                <w:rFonts w:hint="eastAsia" w:ascii="宋体" w:hAnsi="宋体" w:eastAsia="宋体" w:cs="宋体"/>
                <w:color w:val="auto"/>
                <w:kern w:val="2"/>
                <w:sz w:val="21"/>
                <w:szCs w:val="21"/>
                <w:highlight w:val="none"/>
              </w:rPr>
              <w:t>食材配送</w:t>
            </w:r>
            <w:r>
              <w:rPr>
                <w:rFonts w:hint="eastAsia" w:ascii="宋体" w:hAnsi="宋体" w:cs="宋体"/>
                <w:color w:val="auto"/>
                <w:kern w:val="2"/>
                <w:sz w:val="21"/>
                <w:szCs w:val="21"/>
                <w:highlight w:val="none"/>
                <w:lang w:val="en-US" w:eastAsia="zh-CN"/>
              </w:rPr>
              <w:t>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vMerge w:val="restart"/>
            <w:tcBorders>
              <w:top w:val="single" w:color="auto" w:sz="4" w:space="0"/>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123" w:type="dxa"/>
            <w:vMerge w:val="restart"/>
            <w:tcBorders>
              <w:top w:val="single" w:color="auto" w:sz="4" w:space="0"/>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宋体" w:cs="宋体"/>
                <w:color w:val="auto"/>
                <w:szCs w:val="21"/>
                <w:highlight w:val="none"/>
              </w:rPr>
            </w:pPr>
            <w:r>
              <w:rPr>
                <w:rFonts w:hint="eastAsia" w:ascii="宋体" w:eastAsia="宋体" w:cs="宋体"/>
                <w:color w:val="auto"/>
                <w:sz w:val="21"/>
                <w:szCs w:val="21"/>
                <w:highlight w:val="none"/>
                <w:lang w:eastAsia="zh-CN"/>
              </w:rPr>
              <w:t>技术力量</w:t>
            </w: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Cs w:val="21"/>
                <w:highlight w:val="none"/>
                <w:lang w:eastAsia="zh-CN"/>
              </w:rPr>
            </w:pPr>
            <w:r>
              <w:rPr>
                <w:rFonts w:hint="eastAsia" w:ascii="宋体" w:eastAsia="宋体" w:cs="宋体"/>
                <w:color w:val="auto"/>
                <w:sz w:val="21"/>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投标人拟投入项目负责人</w:t>
            </w:r>
            <w:r>
              <w:rPr>
                <w:rFonts w:hint="eastAsia" w:ascii="宋体" w:eastAsia="宋体" w:cs="宋体"/>
                <w:bCs/>
                <w:color w:val="auto"/>
                <w:sz w:val="21"/>
                <w:szCs w:val="21"/>
                <w:highlight w:val="none"/>
                <w:lang w:val="en-US" w:eastAsia="zh-CN"/>
              </w:rPr>
              <w:t>同时</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lang w:val="en-US" w:eastAsia="zh-CN"/>
              </w:rPr>
              <w:t>高级食品安全管理员、高级食品检验员</w:t>
            </w:r>
            <w:r>
              <w:rPr>
                <w:rFonts w:hint="eastAsia" w:ascii="宋体" w:hAnsi="宋体" w:eastAsia="宋体" w:cs="宋体"/>
                <w:bCs/>
                <w:color w:val="auto"/>
                <w:sz w:val="21"/>
                <w:szCs w:val="21"/>
                <w:highlight w:val="none"/>
                <w:lang w:eastAsia="zh-CN"/>
              </w:rPr>
              <w:t>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r>
              <w:rPr>
                <w:rFonts w:hint="eastAsia" w:ascii="宋体" w:eastAsia="宋体" w:cs="宋体"/>
                <w:bCs/>
                <w:color w:val="auto"/>
                <w:sz w:val="21"/>
                <w:szCs w:val="21"/>
                <w:highlight w:val="none"/>
                <w:lang w:val="en-US" w:eastAsia="zh-CN"/>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eastAsia="zh-CN"/>
              </w:rPr>
              <w:t>注：上述人员提供有效相关证书复印件及</w:t>
            </w:r>
            <w:r>
              <w:rPr>
                <w:rFonts w:hint="eastAsia" w:ascii="宋体" w:eastAsia="宋体" w:cs="宋体"/>
                <w:bCs/>
                <w:color w:val="auto"/>
                <w:sz w:val="21"/>
                <w:szCs w:val="21"/>
                <w:highlight w:val="none"/>
                <w:lang w:val="en-US" w:eastAsia="zh-CN"/>
              </w:rPr>
              <w:t>开标前六个月内（不含开标当月）</w:t>
            </w:r>
            <w:r>
              <w:rPr>
                <w:rFonts w:hint="eastAsia" w:ascii="宋体" w:hAnsi="宋体" w:eastAsia="宋体" w:cs="宋体"/>
                <w:bCs/>
                <w:color w:val="auto"/>
                <w:sz w:val="21"/>
                <w:szCs w:val="21"/>
                <w:highlight w:val="none"/>
                <w:lang w:eastAsia="zh-CN"/>
              </w:rPr>
              <w:t>任意一个月的社保证明加盖公章，不提供或提供不全不得分。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vMerge w:val="continue"/>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123" w:type="dxa"/>
            <w:vMerge w:val="continue"/>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投标人拟投入团队人员（除项目负责人外）中</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bCs/>
                <w:color w:val="auto"/>
                <w:sz w:val="21"/>
                <w:szCs w:val="21"/>
                <w:highlight w:val="none"/>
                <w:lang w:eastAsia="zh-CN"/>
              </w:rPr>
              <w:t>高级食品安全管理证书、</w:t>
            </w:r>
            <w:r>
              <w:rPr>
                <w:rFonts w:hint="eastAsia" w:ascii="宋体" w:hAnsi="宋体" w:eastAsia="宋体" w:cs="宋体"/>
                <w:bCs/>
                <w:color w:val="auto"/>
                <w:sz w:val="21"/>
                <w:szCs w:val="21"/>
                <w:highlight w:val="none"/>
                <w:lang w:val="en-US" w:eastAsia="zh-CN"/>
              </w:rPr>
              <w:t>高级食品安全总监</w:t>
            </w:r>
            <w:r>
              <w:rPr>
                <w:rFonts w:hint="eastAsia" w:ascii="宋体" w:hAnsi="宋体" w:eastAsia="宋体" w:cs="宋体"/>
                <w:bCs/>
                <w:color w:val="auto"/>
                <w:sz w:val="21"/>
                <w:szCs w:val="21"/>
                <w:highlight w:val="none"/>
                <w:lang w:eastAsia="zh-CN"/>
              </w:rPr>
              <w:t>的，每提供</w:t>
            </w:r>
            <w:r>
              <w:rPr>
                <w:rFonts w:hint="eastAsia" w:ascii="宋体" w:hAnsi="宋体" w:eastAsia="宋体" w:cs="宋体"/>
                <w:bCs/>
                <w:color w:val="auto"/>
                <w:sz w:val="21"/>
                <w:szCs w:val="21"/>
                <w:highlight w:val="none"/>
                <w:lang w:val="en-US" w:eastAsia="zh-CN"/>
              </w:rPr>
              <w:t>1个证书得1分，</w:t>
            </w:r>
            <w:r>
              <w:rPr>
                <w:rFonts w:hint="eastAsia" w:ascii="宋体" w:hAnsi="宋体" w:eastAsia="宋体" w:cs="宋体"/>
                <w:bCs/>
                <w:color w:val="auto"/>
                <w:sz w:val="21"/>
                <w:szCs w:val="21"/>
                <w:highlight w:val="none"/>
                <w:lang w:eastAsia="zh-CN"/>
              </w:rPr>
              <w:t>本项最高得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eastAsia="zh-CN"/>
              </w:rPr>
              <w:t>注：以上人员不得重复得分，上述人员提供有效相关证书复印件及</w:t>
            </w:r>
            <w:r>
              <w:rPr>
                <w:rFonts w:hint="eastAsia" w:ascii="宋体" w:hAnsi="宋体" w:eastAsia="宋体" w:cs="宋体"/>
                <w:bCs/>
                <w:color w:val="auto"/>
                <w:sz w:val="21"/>
                <w:szCs w:val="21"/>
                <w:highlight w:val="none"/>
                <w:lang w:val="en-US" w:eastAsia="zh-CN"/>
              </w:rPr>
              <w:t>开标前六个月内（不含开标当月）</w:t>
            </w:r>
            <w:r>
              <w:rPr>
                <w:rFonts w:hint="eastAsia" w:ascii="宋体" w:hAnsi="宋体" w:eastAsia="宋体" w:cs="宋体"/>
                <w:bCs/>
                <w:color w:val="auto"/>
                <w:sz w:val="21"/>
                <w:szCs w:val="21"/>
                <w:highlight w:val="none"/>
                <w:lang w:eastAsia="zh-CN"/>
              </w:rPr>
              <w:t>任意一个月的社保证明加盖公章，不提供或提供不全不得分。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123"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eastAsia="zh-CN"/>
              </w:rPr>
              <w:t>冷链配送车辆</w:t>
            </w: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投标人每提供一台冷链配送车辆的，得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分，本项最高得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分。不提供不得分。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自有车辆需提供有效</w:t>
            </w:r>
            <w:r>
              <w:rPr>
                <w:rFonts w:hint="eastAsia" w:ascii="宋体" w:eastAsia="宋体" w:cs="宋体"/>
                <w:bCs/>
                <w:color w:val="auto"/>
                <w:sz w:val="21"/>
                <w:szCs w:val="21"/>
                <w:highlight w:val="none"/>
                <w:lang w:val="en-US" w:eastAsia="zh-CN"/>
              </w:rPr>
              <w:t>期内</w:t>
            </w:r>
            <w:r>
              <w:rPr>
                <w:rFonts w:hint="eastAsia" w:ascii="宋体" w:hAnsi="宋体" w:eastAsia="宋体" w:cs="宋体"/>
                <w:bCs/>
                <w:color w:val="auto"/>
                <w:sz w:val="21"/>
                <w:szCs w:val="21"/>
                <w:highlight w:val="none"/>
                <w:lang w:eastAsia="zh-CN"/>
              </w:rPr>
              <w:t>的行驶证复印件、机动车登记证复印件、购买车辆发票复印件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租赁车辆需提供</w:t>
            </w:r>
            <w:r>
              <w:rPr>
                <w:rFonts w:hint="eastAsia" w:ascii="宋体" w:eastAsia="宋体" w:cs="宋体"/>
                <w:bCs/>
                <w:color w:val="auto"/>
                <w:sz w:val="21"/>
                <w:szCs w:val="21"/>
                <w:highlight w:val="none"/>
              </w:rPr>
              <w:t>有效期内的</w:t>
            </w:r>
            <w:r>
              <w:rPr>
                <w:rFonts w:hint="eastAsia" w:ascii="宋体" w:hAnsi="宋体" w:eastAsia="宋体" w:cs="宋体"/>
                <w:bCs/>
                <w:color w:val="auto"/>
                <w:sz w:val="21"/>
                <w:szCs w:val="21"/>
                <w:highlight w:val="none"/>
                <w:lang w:eastAsia="zh-CN"/>
              </w:rPr>
              <w:t>租赁合同复印件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rPr>
              <w:t>租赁车辆有效内的行驶证复印件；</w:t>
            </w:r>
            <w:r>
              <w:rPr>
                <w:rFonts w:hint="eastAsia" w:ascii="宋体" w:eastAsia="宋体" w:cs="宋体"/>
                <w:bCs/>
                <w:color w:val="auto"/>
                <w:sz w:val="21"/>
                <w:szCs w:val="21"/>
                <w:highlight w:val="none"/>
                <w:lang w:eastAsia="zh-CN"/>
              </w:rPr>
              <w:t>资料须</w:t>
            </w:r>
            <w:r>
              <w:rPr>
                <w:rFonts w:hint="eastAsia" w:ascii="宋体" w:hAnsi="宋体" w:eastAsia="宋体" w:cs="宋体"/>
                <w:bCs/>
                <w:color w:val="auto"/>
                <w:sz w:val="21"/>
                <w:szCs w:val="21"/>
                <w:highlight w:val="none"/>
                <w:lang w:eastAsia="zh-CN"/>
              </w:rPr>
              <w:t xml:space="preserve">加盖投标人公章，不提供不得分。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123"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食品卫生检测</w:t>
            </w: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w:t>
            </w:r>
            <w:r>
              <w:rPr>
                <w:rFonts w:hint="eastAsia" w:asci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lang w:val="en-US" w:eastAsia="zh-CN"/>
              </w:rPr>
              <w:t>农药残留检测仪、肉类水分快速检测仪、多功能食品安全综合检测仪、食品重金属检测仪、食品污染物检测仪、兽药残留检测仪、台式离心机、样品浓缩仪</w:t>
            </w:r>
            <w:r>
              <w:rPr>
                <w:rFonts w:hint="eastAsia" w:ascii="宋体" w:hAnsi="宋体" w:eastAsia="宋体" w:cs="宋体"/>
                <w:bCs/>
                <w:color w:val="auto"/>
                <w:sz w:val="21"/>
                <w:szCs w:val="21"/>
                <w:highlight w:val="none"/>
                <w:lang w:eastAsia="zh-CN"/>
              </w:rPr>
              <w:t>检测设备，以上</w:t>
            </w:r>
            <w:r>
              <w:rPr>
                <w:rFonts w:hint="eastAsia" w:ascii="宋体" w:eastAsia="宋体" w:cs="宋体"/>
                <w:bCs/>
                <w:color w:val="auto"/>
                <w:sz w:val="21"/>
                <w:szCs w:val="21"/>
                <w:highlight w:val="none"/>
                <w:lang w:eastAsia="zh-CN"/>
              </w:rPr>
              <w:t>设备每提供</w:t>
            </w:r>
            <w:r>
              <w:rPr>
                <w:rFonts w:hint="eastAsia" w:ascii="宋体" w:hAnsi="宋体" w:eastAsia="宋体" w:cs="宋体"/>
                <w:bCs/>
                <w:color w:val="auto"/>
                <w:sz w:val="21"/>
                <w:szCs w:val="21"/>
                <w:highlight w:val="none"/>
                <w:lang w:eastAsia="zh-CN"/>
              </w:rPr>
              <w:t>一种得</w:t>
            </w:r>
            <w:r>
              <w:rPr>
                <w:rFonts w:hint="eastAsia" w:asci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eastAsia="zh-CN"/>
              </w:rPr>
              <w:t>分，最高得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自有设备的提供设备现场图片和设备购买发票复印件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eastAsia="zh-CN"/>
              </w:rPr>
              <w:t>）租赁设备需提供</w:t>
            </w:r>
            <w:r>
              <w:rPr>
                <w:rFonts w:hint="eastAsia" w:ascii="宋体" w:eastAsia="宋体" w:cs="宋体"/>
                <w:bCs/>
                <w:color w:val="auto"/>
                <w:sz w:val="21"/>
                <w:szCs w:val="21"/>
                <w:highlight w:val="none"/>
              </w:rPr>
              <w:t>有效期内的</w:t>
            </w:r>
            <w:r>
              <w:rPr>
                <w:rFonts w:hint="eastAsia" w:ascii="宋体" w:eastAsia="宋体" w:cs="宋体"/>
                <w:bCs/>
                <w:color w:val="auto"/>
                <w:sz w:val="21"/>
                <w:szCs w:val="21"/>
                <w:highlight w:val="none"/>
                <w:lang w:eastAsia="zh-CN"/>
              </w:rPr>
              <w:t>租赁合同，资料须</w:t>
            </w:r>
            <w:r>
              <w:rPr>
                <w:rFonts w:hint="eastAsia" w:ascii="宋体" w:hAnsi="宋体" w:eastAsia="宋体" w:cs="宋体"/>
                <w:bCs/>
                <w:color w:val="auto"/>
                <w:sz w:val="21"/>
                <w:szCs w:val="21"/>
                <w:highlight w:val="none"/>
                <w:lang w:eastAsia="zh-CN"/>
              </w:rPr>
              <w:t>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123" w:type="dxa"/>
            <w:tcBorders>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rPr>
              <w:t>服务便利性</w:t>
            </w:r>
          </w:p>
        </w:tc>
        <w:tc>
          <w:tcPr>
            <w:tcW w:w="73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根据投标人提供的服务响应时间承诺进行评分。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小时到现场，不得分。</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10</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15</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10</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90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0" w:firstLineChars="0"/>
              <w:jc w:val="both"/>
              <w:textAlignment w:val="auto"/>
              <w:rPr>
                <w:rFonts w:ascii="宋体" w:hAnsi="宋体"/>
                <w:b/>
                <w:color w:val="auto"/>
                <w:szCs w:val="21"/>
                <w:highlight w:val="none"/>
              </w:rPr>
            </w:pPr>
            <w:r>
              <w:rPr>
                <w:rFonts w:hint="eastAsia" w:ascii="宋体" w:hAnsi="宋体"/>
                <w:b/>
                <w:color w:val="auto"/>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0" w:firstLineChars="0"/>
              <w:jc w:val="both"/>
              <w:textAlignment w:val="auto"/>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0" w:firstLineChars="0"/>
              <w:jc w:val="both"/>
              <w:textAlignment w:val="auto"/>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0" w:firstLineChars="0"/>
              <w:jc w:val="both"/>
              <w:textAlignment w:val="auto"/>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right"/>
        </w:trPr>
        <w:tc>
          <w:tcPr>
            <w:tcW w:w="43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投标下浮率</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c>
          <w:tcPr>
            <w:tcW w:w="678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宋体" w:hAnsi="宋体" w:cs="宋体"/>
                <w:color w:val="auto"/>
                <w:szCs w:val="21"/>
                <w:highlight w:val="none"/>
              </w:rPr>
            </w:pPr>
            <w:r>
              <w:rPr>
                <w:rFonts w:hint="eastAsia" w:ascii="宋体" w:eastAsia="宋体" w:cs="宋体"/>
                <w:bCs/>
                <w:color w:val="auto"/>
                <w:sz w:val="21"/>
                <w:szCs w:val="21"/>
                <w:highlight w:val="none"/>
                <w:lang w:val="en-US" w:eastAsia="zh-CN"/>
              </w:rPr>
              <w:t>价</w:t>
            </w: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的价格分统一按照下列公式计算：投标报价得分=[(1-最大下浮率)／(1-投标下浮率)] ×价格权重</w:t>
            </w:r>
          </w:p>
        </w:tc>
      </w:tr>
    </w:tbl>
    <w:p>
      <w:pPr>
        <w:rPr>
          <w:rFonts w:hint="eastAsia"/>
          <w:color w:val="auto"/>
          <w:highlight w:val="none"/>
          <w:lang w:val="en-US" w:eastAsia="zh-CN"/>
        </w:rPr>
      </w:pPr>
      <w:r>
        <w:rPr>
          <w:rFonts w:hint="eastAsia"/>
          <w:color w:val="auto"/>
          <w:highlight w:val="none"/>
          <w:lang w:val="en-US" w:eastAsia="zh-CN"/>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最终以实际签订合同为准</w:t>
      </w:r>
      <w:r>
        <w:rPr>
          <w:rFonts w:hint="eastAsia" w:ascii="宋体" w:hAnsi="宋体" w:cs="宋体"/>
          <w:b/>
          <w:bCs/>
          <w:color w:val="auto"/>
          <w:sz w:val="22"/>
          <w:szCs w:val="22"/>
          <w:highlight w:val="none"/>
        </w:rPr>
        <w:t>）</w:t>
      </w:r>
      <w:bookmarkEnd w:id="144"/>
    </w:p>
    <w:p>
      <w:pPr>
        <w:spacing w:line="360" w:lineRule="auto"/>
        <w:jc w:val="center"/>
        <w:rPr>
          <w:rFonts w:ascii="宋体" w:hAnsi="宋体"/>
          <w:b/>
          <w:bCs/>
          <w:color w:val="auto"/>
          <w:szCs w:val="21"/>
          <w:highlight w:val="none"/>
        </w:rPr>
      </w:pPr>
      <w:bookmarkStart w:id="145" w:name="_Hlk140825406"/>
      <w:r>
        <w:rPr>
          <w:rFonts w:hint="eastAsia" w:ascii="宋体" w:hAnsi="宋体" w:cs="宋体"/>
          <w:b/>
          <w:bCs/>
          <w:color w:val="auto"/>
          <w:szCs w:val="21"/>
          <w:highlight w:val="none"/>
        </w:rPr>
        <w:t>饭堂食材配送服务合同</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乙方：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电话：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rPr>
        <w:t>受甲方委托，</w:t>
      </w:r>
      <w:r>
        <w:rPr>
          <w:rFonts w:hint="eastAsia" w:ascii="宋体" w:hAnsi="宋体" w:eastAsia="宋体" w:cs="宋体"/>
          <w:color w:val="auto"/>
          <w:sz w:val="21"/>
          <w:szCs w:val="21"/>
          <w:highlight w:val="none"/>
          <w:u w:val="single"/>
        </w:rPr>
        <w:t xml:space="preserve">           (采购代理机构)</w:t>
      </w:r>
      <w:r>
        <w:rPr>
          <w:rFonts w:hint="eastAsia" w:ascii="宋体" w:hAnsi="宋体" w:eastAsia="宋体" w:cs="宋体"/>
          <w:color w:val="auto"/>
          <w:sz w:val="21"/>
          <w:szCs w:val="21"/>
          <w:highlight w:val="none"/>
        </w:rPr>
        <w:t>组织对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采购项目（项目编号为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）进行采购，于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日通过</w:t>
      </w:r>
      <w:r>
        <w:rPr>
          <w:rFonts w:hint="eastAsia" w:ascii="宋体" w:hAnsi="宋体" w:eastAsia="宋体" w:cs="宋体"/>
          <w:color w:val="auto"/>
          <w:sz w:val="21"/>
          <w:szCs w:val="21"/>
          <w:highlight w:val="none"/>
          <w:u w:val="single"/>
        </w:rPr>
        <w:t xml:space="preserve">        （招标方式）</w:t>
      </w:r>
      <w:r>
        <w:rPr>
          <w:rFonts w:hint="eastAsia" w:ascii="宋体" w:hAnsi="宋体" w:eastAsia="宋体" w:cs="宋体"/>
          <w:color w:val="auto"/>
          <w:sz w:val="21"/>
          <w:szCs w:val="21"/>
          <w:highlight w:val="none"/>
        </w:rPr>
        <w:t>，经评标委员会评定乙方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为成交供应商。为了保护甲、乙双方合法权益，根据《中华人民共和国政府采购法》及其实施条例、《中华人民共和国民法典》，在平等自愿的基础上，按照下面的条款和条件，签署本合同。</w:t>
      </w:r>
    </w:p>
    <w:p>
      <w:pPr>
        <w:pStyle w:val="7"/>
        <w:spacing w:before="156" w:beforeLines="50" w:after="156" w:afterLines="50"/>
        <w:ind w:firstLine="422"/>
        <w:rPr>
          <w:rFonts w:ascii="宋体" w:hAnsi="宋体"/>
          <w:b/>
          <w:bCs/>
          <w:color w:val="auto"/>
          <w:szCs w:val="21"/>
          <w:highlight w:val="none"/>
        </w:rPr>
      </w:pPr>
      <w:bookmarkStart w:id="146" w:name="_Toc864"/>
      <w:r>
        <w:rPr>
          <w:rFonts w:hint="eastAsia" w:ascii="宋体" w:hAnsi="宋体"/>
          <w:b/>
          <w:bCs/>
          <w:color w:val="auto"/>
          <w:szCs w:val="21"/>
          <w:highlight w:val="none"/>
        </w:rPr>
        <w:t>一、合同金额</w:t>
      </w:r>
      <w:bookmarkEnd w:id="1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根据合作期间内</w:t>
      </w:r>
      <w:r>
        <w:rPr>
          <w:rFonts w:ascii="宋体" w:hAnsi="宋体"/>
          <w:color w:val="auto"/>
          <w:szCs w:val="21"/>
          <w:highlight w:val="none"/>
        </w:rPr>
        <w:t>实际所送货物数量</w:t>
      </w:r>
      <w:r>
        <w:rPr>
          <w:rFonts w:hint="eastAsia" w:ascii="宋体" w:hAnsi="宋体"/>
          <w:color w:val="auto"/>
          <w:szCs w:val="21"/>
          <w:highlight w:val="none"/>
        </w:rPr>
        <w:t>进行结算。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color w:val="auto"/>
          <w:szCs w:val="21"/>
          <w:highlight w:val="none"/>
        </w:rPr>
      </w:pPr>
      <w:bookmarkStart w:id="147" w:name="_Toc32599"/>
      <w:r>
        <w:rPr>
          <w:rFonts w:hint="eastAsia" w:ascii="宋体" w:hAnsi="宋体"/>
          <w:b w:val="0"/>
          <w:bCs w:val="0"/>
          <w:color w:val="auto"/>
          <w:szCs w:val="21"/>
          <w:highlight w:val="none"/>
          <w:lang w:val="en-US" w:eastAsia="zh-CN"/>
        </w:rPr>
        <w:t>2.</w:t>
      </w:r>
      <w:r>
        <w:rPr>
          <w:rFonts w:hint="eastAsia" w:ascii="Times New Roman" w:hAnsi="Times New Roman" w:cs="Times New Roman"/>
          <w:color w:val="auto"/>
          <w:szCs w:val="21"/>
          <w:highlight w:val="none"/>
        </w:rPr>
        <w:t>乙方</w:t>
      </w:r>
      <w:r>
        <w:rPr>
          <w:rFonts w:ascii="Times New Roman" w:hAnsi="Times New Roman" w:cs="Times New Roman"/>
          <w:color w:val="auto"/>
          <w:szCs w:val="21"/>
          <w:highlight w:val="none"/>
        </w:rPr>
        <w:t>参考供货当前时段东莞市发展和改革局公布同期</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广东省菜篮子价格监测表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中最新一期的</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东莞市菜篮子价格监测表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的价格，若</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广东省菜篮子价格监测表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无采购人所需的货品，则采购人和中标人双方共同在就近市场（</w:t>
      </w:r>
      <w:r>
        <w:rPr>
          <w:rFonts w:hint="eastAsia" w:ascii="Times New Roman" w:hAnsi="Times New Roman" w:cs="Times New Roman"/>
          <w:color w:val="auto"/>
          <w:szCs w:val="21"/>
          <w:highlight w:val="none"/>
        </w:rPr>
        <w:t>大朗市场</w:t>
      </w:r>
      <w:r>
        <w:rPr>
          <w:rFonts w:ascii="Times New Roman" w:hAnsi="Times New Roman" w:cs="Times New Roman"/>
          <w:color w:val="auto"/>
          <w:szCs w:val="21"/>
          <w:highlight w:val="none"/>
        </w:rPr>
        <w:t>）参考同类产品价格的平均价作为基准价，确定供货价格</w:t>
      </w:r>
      <w:r>
        <w:rPr>
          <w:rFonts w:hint="eastAsia" w:ascii="Times New Roman" w:hAnsi="Times New Roman" w:cs="Times New Roman"/>
          <w:color w:val="auto"/>
          <w:szCs w:val="21"/>
          <w:highlight w:val="none"/>
        </w:rPr>
        <w:t>，并按投标下浮率计算食材单价。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b w:val="0"/>
          <w:bCs w:val="0"/>
          <w:color w:val="auto"/>
          <w:szCs w:val="21"/>
          <w:highlight w:val="none"/>
          <w:lang w:val="en-US" w:eastAsia="zh-CN"/>
        </w:rPr>
      </w:pPr>
      <w:r>
        <w:rPr>
          <w:rFonts w:hint="eastAsia"/>
          <w:color w:val="auto"/>
          <w:highlight w:val="none"/>
        </w:rPr>
        <w:t>3</w:t>
      </w:r>
      <w:r>
        <w:rPr>
          <w:color w:val="auto"/>
          <w:highlight w:val="none"/>
        </w:rPr>
        <w:t>.</w:t>
      </w:r>
      <w:r>
        <w:rPr>
          <w:rFonts w:hint="eastAsia"/>
          <w:color w:val="auto"/>
          <w:highlight w:val="none"/>
        </w:rPr>
        <w:t>计算公式：</w:t>
      </w:r>
      <w:r>
        <w:rPr>
          <w:rFonts w:hint="eastAsia" w:ascii="宋体" w:hAnsi="宋体" w:eastAsia="宋体" w:cs="宋体"/>
          <w:color w:val="auto"/>
          <w:sz w:val="21"/>
          <w:szCs w:val="21"/>
          <w:highlight w:val="none"/>
        </w:rPr>
        <w:t>实际采购量×</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审核后的基准价格×（1-中标下浮率%）×（1-服务考核满意度评分扣减比例） =当期食材总金额</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二、服务范围</w:t>
      </w:r>
      <w:bookmarkEnd w:id="14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甲方聘请乙方提供以下服务：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s="宋体"/>
          <w:color w:val="auto"/>
          <w:szCs w:val="21"/>
          <w:highlight w:val="none"/>
        </w:rPr>
        <w:t>为在</w:t>
      </w:r>
      <w:r>
        <w:rPr>
          <w:rFonts w:hint="eastAsia" w:ascii="宋体" w:hAnsi="宋体" w:cs="宋体"/>
          <w:color w:val="auto"/>
          <w:szCs w:val="21"/>
          <w:highlight w:val="none"/>
          <w:lang w:eastAsia="zh-CN"/>
        </w:rPr>
        <w:t>东莞市大朗镇鸣凤小学</w:t>
      </w:r>
      <w:r>
        <w:rPr>
          <w:rFonts w:hint="eastAsia" w:ascii="宋体" w:hAnsi="宋体" w:cs="宋体"/>
          <w:color w:val="auto"/>
          <w:szCs w:val="21"/>
          <w:highlight w:val="none"/>
        </w:rPr>
        <w:t>食堂用餐的教职工</w:t>
      </w:r>
      <w:r>
        <w:rPr>
          <w:rFonts w:hint="eastAsia" w:ascii="宋体" w:hAnsi="宋体" w:cs="宋体"/>
          <w:color w:val="auto"/>
          <w:szCs w:val="21"/>
          <w:highlight w:val="none"/>
          <w:lang w:val="en-US" w:eastAsia="zh-CN"/>
        </w:rPr>
        <w:t>与学生</w:t>
      </w:r>
      <w:r>
        <w:rPr>
          <w:rFonts w:hint="eastAsia" w:ascii="宋体" w:hAnsi="宋体" w:cs="宋体"/>
          <w:color w:val="auto"/>
          <w:szCs w:val="21"/>
          <w:highlight w:val="none"/>
        </w:rPr>
        <w:t>提供午餐食材。</w:t>
      </w:r>
      <w:r>
        <w:rPr>
          <w:rFonts w:hint="eastAsia" w:ascii="宋体" w:hAnsi="宋体"/>
          <w:color w:val="auto"/>
          <w:szCs w:val="21"/>
          <w:highlight w:val="none"/>
        </w:rPr>
        <w:t xml:space="preserve"> </w:t>
      </w:r>
    </w:p>
    <w:p>
      <w:pPr>
        <w:spacing w:line="360" w:lineRule="auto"/>
        <w:outlineLvl w:val="1"/>
        <w:rPr>
          <w:rFonts w:ascii="宋体" w:hAnsi="宋体"/>
          <w:b/>
          <w:bCs/>
          <w:color w:val="auto"/>
          <w:szCs w:val="21"/>
          <w:highlight w:val="none"/>
        </w:rPr>
      </w:pPr>
      <w:bookmarkStart w:id="148" w:name="_Toc28304"/>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三、甲方乙方的权利和义务</w:t>
      </w:r>
      <w:bookmarkEnd w:id="148"/>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（一）甲方的权利和义务：</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1</w:t>
      </w:r>
      <w:r>
        <w:rPr>
          <w:rFonts w:hint="eastAsia" w:ascii="宋体" w:hAnsi="宋体" w:cstheme="minorBidi"/>
          <w:color w:val="auto"/>
          <w:kern w:val="2"/>
          <w:sz w:val="21"/>
          <w:szCs w:val="21"/>
          <w:highlight w:val="none"/>
        </w:rPr>
        <w:t>、甲方需为乙方提供配送食材的便利场地及条件。</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2、甲方安排专人负责食材采购订单的确定。</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3、甲方安排专人负责食材的验收工作。</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4、甲方应严格按照本合同约定向乙方支付款项。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（二）乙方的权利和义务：</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1</w:t>
      </w:r>
      <w:r>
        <w:rPr>
          <w:rFonts w:hint="eastAsia" w:ascii="宋体" w:hAnsi="宋体" w:cstheme="minorBidi"/>
          <w:color w:val="auto"/>
          <w:kern w:val="2"/>
          <w:sz w:val="21"/>
          <w:szCs w:val="21"/>
          <w:highlight w:val="none"/>
        </w:rPr>
        <w:t>、按照甲方需求供应肉类、三鸟类、冻品类、海产品、豆制品、蔬菜类、水果类、油脂类、米面制品、调料等。</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theme="minorBidi"/>
          <w:color w:val="auto"/>
          <w:kern w:val="2"/>
          <w:sz w:val="21"/>
          <w:szCs w:val="21"/>
          <w:highlight w:val="none"/>
        </w:rPr>
        <w:t>2</w:t>
      </w:r>
      <w:r>
        <w:rPr>
          <w:rFonts w:hint="eastAsia" w:ascii="宋体" w:hAnsi="宋体" w:cstheme="minorBidi"/>
          <w:color w:val="auto"/>
          <w:kern w:val="2"/>
          <w:sz w:val="21"/>
          <w:szCs w:val="21"/>
          <w:highlight w:val="none"/>
        </w:rPr>
        <w:t>、</w:t>
      </w:r>
      <w:r>
        <w:rPr>
          <w:rFonts w:hint="eastAsia" w:ascii="宋体" w:hAnsi="宋体" w:cs="宋体"/>
          <w:color w:val="auto"/>
          <w:sz w:val="21"/>
          <w:szCs w:val="21"/>
          <w:highlight w:val="none"/>
        </w:rPr>
        <w:t>按照甲方提出的物品订货清单，在规定的时间（以甲方指定专人下达的订单或供货通知单为依据）、地点（甲方食堂）送货。</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theme="minorBidi"/>
          <w:color w:val="auto"/>
          <w:kern w:val="2"/>
          <w:sz w:val="21"/>
          <w:szCs w:val="21"/>
          <w:highlight w:val="none"/>
        </w:rPr>
      </w:pPr>
      <w:r>
        <w:rPr>
          <w:rFonts w:hint="eastAsia" w:ascii="宋体" w:hAnsi="宋体" w:cs="宋体"/>
          <w:color w:val="auto"/>
          <w:sz w:val="21"/>
          <w:szCs w:val="21"/>
          <w:highlight w:val="none"/>
        </w:rPr>
        <w:t>3、所供的货物必须符合《中华人民共和国食品安全法》要求。</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theme="minorBidi"/>
          <w:color w:val="auto"/>
          <w:kern w:val="2"/>
          <w:sz w:val="21"/>
          <w:szCs w:val="21"/>
          <w:highlight w:val="none"/>
        </w:rPr>
        <w:t>4</w:t>
      </w:r>
      <w:r>
        <w:rPr>
          <w:rFonts w:hint="eastAsia" w:ascii="宋体" w:hAnsi="宋体" w:cstheme="minorBidi"/>
          <w:color w:val="auto"/>
          <w:kern w:val="2"/>
          <w:sz w:val="21"/>
          <w:szCs w:val="21"/>
          <w:highlight w:val="none"/>
        </w:rPr>
        <w:t>、配送人员</w:t>
      </w:r>
      <w:r>
        <w:rPr>
          <w:rFonts w:hint="eastAsia" w:ascii="宋体" w:hAnsi="宋体" w:cs="宋体"/>
          <w:color w:val="auto"/>
          <w:sz w:val="21"/>
          <w:szCs w:val="21"/>
          <w:highlight w:val="none"/>
        </w:rPr>
        <w:t>必须经卫生防疫部门检查和培训，持有健康证上岗，必须穿着便于辨认的工衣和配戴胸卡，配送人员在甲方单位活动必须严格遵守甲方单位各项规章制度，不得做出有损甲方形象和利益的事情。运送货物时须对场地内的设备、设施有良好保护措施，若乙方在配送过程中损坏采购人的物品，乙方应照价赔偿。</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、提供的货物必须出示真实有效的检验合格报告。凡国家有明文规定的必须提供产品检验报告交甲方存档。</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配合甲方及时更新所提供的符合市场监督部门的有效证明材料，如营业执照、产品合格证、食品经营许可（含食品销售、食品经营管理）。</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w:t>
      </w:r>
      <w:r>
        <w:rPr>
          <w:rFonts w:hint="eastAsia" w:ascii="宋体" w:hAnsi="宋体" w:cs="宋体"/>
          <w:color w:val="auto"/>
          <w:sz w:val="21"/>
          <w:szCs w:val="21"/>
          <w:highlight w:val="none"/>
        </w:rPr>
        <w:t>必须遵守国家规定的《中华人民共和国食品安全法》、《中华人民共和国农产品质量安全法》等法律和行政法规的规定，提供的货品必须符合国家有关卫生标准，保质、保量、保鲜，严禁配送假冒、变质、过期的农副产品。不合格的货品，乙方承诺包退包换。</w:t>
      </w:r>
    </w:p>
    <w:p>
      <w:pPr>
        <w:pStyle w:val="7"/>
        <w:spacing w:after="0" w:line="360" w:lineRule="auto"/>
        <w:rPr>
          <w:rFonts w:ascii="宋体" w:hAnsi="宋体" w:eastAsia="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、对配送的食材进行分类并用器具装载，不得混装，运输过程应采取相应的保鲜防护措施，货物有包装的，货物的包装必须完整清洁（无损、无污、无皱），否则甲方有权拒收包装不整齐、已拆封的商品。</w:t>
      </w:r>
      <w:r>
        <w:rPr>
          <w:rFonts w:hint="eastAsia" w:ascii="宋体" w:hAnsi="宋体" w:eastAsia="宋体" w:cs="宋体"/>
          <w:color w:val="auto"/>
          <w:sz w:val="21"/>
          <w:szCs w:val="21"/>
          <w:highlight w:val="none"/>
        </w:rPr>
        <w:t>包装与标志要求。（1）包装：容器(框、箱、袋)要求清洁、干燥、牢固、透气，无污染、无异味、无霉变现象；（2）标志：每件包装需按《农产品包装和标识管理办法》贴标签，并标明产地、品种、净含量、生产单位及地址和采收日期。</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9、食材或货物出现损坏（包括表面损坏），或出现水渍、串味、受潮等导致货物性质改变的，乙方必须无条件退货或更换商品。</w:t>
      </w: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乙方提供过期、变质食材的，甲方有权要求无条件退货或换货，乙方将被处以当次供应食材货款2倍的罚款，罚款由供货结算款内扣除。如提供过期、变质食材的累计达三次，甲方有权单方终止合同，并进行任何赔偿。</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若提供有毒食材，造成食材安全事故的，经有关单位鉴定原因后，如确实为乙方提供的食材问题，乙方须负担全数的医药费，甲方有权终止合同，乙方同时承担相应的民事及刑事法律责任及放弃先诉抗辩权，并</w:t>
      </w:r>
      <w:r>
        <w:rPr>
          <w:rFonts w:hint="eastAsia" w:ascii="宋体" w:hAnsi="宋体" w:cs="宋体"/>
          <w:color w:val="auto"/>
          <w:sz w:val="21"/>
          <w:szCs w:val="21"/>
          <w:highlight w:val="none"/>
          <w:lang w:val="en-US" w:eastAsia="zh-CN"/>
        </w:rPr>
        <w:t>立即</w:t>
      </w:r>
      <w:r>
        <w:rPr>
          <w:rFonts w:hint="eastAsia" w:ascii="宋体" w:hAnsi="宋体" w:cs="宋体"/>
          <w:color w:val="auto"/>
          <w:sz w:val="21"/>
          <w:szCs w:val="21"/>
          <w:highlight w:val="none"/>
        </w:rPr>
        <w:t>终止合同。</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保证所提供的鲜肉类、生禽、鲜水产、蔬菜种类的多样性和季节性，以保证新鲜感。提供的货物必须满足招标文件要求。乙方应保证供应的货品均为正规生产的新鲜（冰鲜除外）检验合格、无毒、无辐射、无侵权货品，符合国家有关卫生、质量、包装和保质标准，保质期超过15日的，其剩余保质期不得少于标注保质期</w:t>
      </w:r>
      <w:r>
        <w:rPr>
          <w:rFonts w:hint="eastAsia" w:ascii="宋体" w:hAnsi="宋体" w:cs="宋体"/>
          <w:color w:val="auto"/>
          <w:kern w:val="2"/>
          <w:sz w:val="21"/>
          <w:szCs w:val="21"/>
          <w:highlight w:val="none"/>
        </w:rPr>
        <w:t>的60%。</w:t>
      </w:r>
      <w:r>
        <w:rPr>
          <w:rFonts w:hint="eastAsia" w:ascii="宋体" w:hAnsi="宋体" w:eastAsia="宋体" w:cs="宋体"/>
          <w:color w:val="auto"/>
          <w:sz w:val="21"/>
          <w:szCs w:val="21"/>
          <w:highlight w:val="none"/>
        </w:rPr>
        <w:t>保质期低于或等于15日的，乙方拟提供货品必须为送货当日生产或制作的货品。其中，生鲜货品必须当天屠宰或鲜活的货品。</w:t>
      </w:r>
      <w:r>
        <w:rPr>
          <w:rFonts w:hint="eastAsia" w:ascii="宋体" w:hAnsi="宋体" w:cs="宋体"/>
          <w:color w:val="auto"/>
          <w:sz w:val="21"/>
          <w:szCs w:val="21"/>
          <w:highlight w:val="none"/>
        </w:rPr>
        <w:t>提供的鲜鱼、肉类保证每日新鲜，提供的猪肉牛肉羊肉均为东莞市定点屠宰厂（场）经检疫和肉品品质检验合格的产品，具有由定点屠宰厂（场）加盖验讫印章并出具《畜产品检验证明》或《动物检疫合格证明》，所有产品均可追索。提供的蔬菜必须保证每日新鲜，优先选择取得无公害认证产品，符合《中华人民共和国食品安全法》要求并出具有效的《农产品检验报告》。配送的农副产品经相关检验部门检验超标的，乙方需无条件换货。</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、食材配送管理必须建立出入库台账，做到票据溯源，且每</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个月须按照甲方要求整理报表，食材需提供第三方的检测报告。</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因本项目为食材配送服务，可能因疏忽或过失致使食物中毒或其他食源性疾患，或因食物中掺有异物，造成人身损害或财产损失，为保证甲方权益，乙方须以承诺函形式承诺：中标后为甲方提供一份以甲方为受益人、额度不低于人民币5000万元（含5000万元）的保险（食品安全责任险或公众责任保险），保险承保期限不短于合同有效期。</w:t>
      </w:r>
      <w:r>
        <w:rPr>
          <w:rFonts w:hint="eastAsia" w:ascii="Times New Roman" w:hAnsi="Times New Roman" w:cs="Times New Roman"/>
          <w:color w:val="auto"/>
          <w:szCs w:val="21"/>
          <w:highlight w:val="none"/>
          <w:lang w:val="en-US" w:eastAsia="zh-CN"/>
        </w:rPr>
        <w:t>保单原件需由甲方保存。</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13、乙方不得泄露甲方的商业秘密。泄密造成甲方损失的或声誉损害的，乙方将承担由此产生的一切损失和法律责任。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节假日按照甲方要求照常运作，特殊情况停止供货，乙方必须提前三天通知甲方，在取得甲方同意后方可停止供货，否则将按照单次货款总额的10%进行罚款。由于乙方不履行购销合同造成甲方经济损失由乙方承担责任，并终止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乙方的甲方员不得给甲方负责合约洽谈、价格监督、食材验收的人员任何好处，如查实有上述情况，取消乙方配送资格。乙方可向甲方举报甲方相关人员故意刁难及索取好处的行为，经甲方查实，相关人员立即解除劳动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甲方对应急食材及政府扶贫农副产品采购有自主权，甲方有权直接采购，不受乙方和本项目制约。为贯彻落实党中央、国务院和广东省委、省政府关于打赢脱贫攻坚战的有关决策部署，在本项目饭堂食材配送服务期内，甲方或甲方委托乙方通过脱贫地区农副产品网络销售平台（832平台）预留不少于10%的比例采购脱贫地区农副产品或通过广东省政府采购扶贫馆平台等政府部门认可的平台采购部分既定预留份额的食堂食材，乙方必须无条件配合，甲方对此不承担任何经济补偿或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17、乙方须承诺遇台风、暴雨等意外造成停课的，所有已订食材须无条件接受退回。</w:t>
      </w:r>
    </w:p>
    <w:p>
      <w:pPr>
        <w:pStyle w:val="7"/>
        <w:spacing w:before="156" w:beforeLines="50" w:after="156" w:afterLines="50"/>
        <w:ind w:firstLine="422"/>
        <w:rPr>
          <w:rFonts w:ascii="宋体" w:hAnsi="宋体"/>
          <w:b/>
          <w:bCs/>
          <w:color w:val="auto"/>
          <w:szCs w:val="21"/>
          <w:highlight w:val="none"/>
        </w:rPr>
      </w:pPr>
      <w:bookmarkStart w:id="149" w:name="_Toc31228"/>
      <w:r>
        <w:rPr>
          <w:rFonts w:hint="eastAsia" w:ascii="宋体" w:hAnsi="宋体"/>
          <w:b/>
          <w:bCs/>
          <w:color w:val="auto"/>
          <w:szCs w:val="21"/>
          <w:highlight w:val="none"/>
        </w:rPr>
        <w:t>四、服务期间（项目完成期限）</w:t>
      </w:r>
      <w:bookmarkEnd w:id="149"/>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本合同</w:t>
      </w:r>
      <w:r>
        <w:rPr>
          <w:rFonts w:hint="eastAsia" w:ascii="宋体" w:hAnsi="宋体"/>
          <w:color w:val="auto"/>
          <w:szCs w:val="21"/>
          <w:highlight w:val="none"/>
        </w:rPr>
        <w:t>委托服务期限为</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年，自 </w:t>
      </w: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年 </w:t>
      </w:r>
      <w:r>
        <w:rPr>
          <w:rFonts w:hint="eastAsia" w:ascii="宋体" w:hAnsi="宋体"/>
          <w:color w:val="auto"/>
          <w:szCs w:val="21"/>
          <w:highlight w:val="none"/>
        </w:rPr>
        <w:tab/>
      </w:r>
      <w:r>
        <w:rPr>
          <w:rFonts w:hint="eastAsia" w:ascii="宋体" w:hAnsi="宋体"/>
          <w:color w:val="auto"/>
          <w:szCs w:val="21"/>
          <w:highlight w:val="none"/>
        </w:rPr>
        <w:t xml:space="preserve">月至     年 </w:t>
      </w:r>
      <w:r>
        <w:rPr>
          <w:rFonts w:hint="eastAsia" w:ascii="宋体" w:hAnsi="宋体"/>
          <w:color w:val="auto"/>
          <w:szCs w:val="21"/>
          <w:highlight w:val="none"/>
        </w:rPr>
        <w:tab/>
      </w:r>
      <w:r>
        <w:rPr>
          <w:rFonts w:hint="eastAsia" w:ascii="宋体" w:hAnsi="宋体"/>
          <w:color w:val="auto"/>
          <w:szCs w:val="21"/>
          <w:highlight w:val="none"/>
        </w:rPr>
        <w:t>止。</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r>
        <w:rPr>
          <w:rFonts w:hint="eastAsia" w:ascii="宋体" w:hAnsi="宋体"/>
          <w:color w:val="auto"/>
          <w:szCs w:val="21"/>
          <w:highlight w:val="none"/>
          <w:lang w:eastAsia="zh-CN"/>
        </w:rPr>
        <w:t>）</w:t>
      </w:r>
      <w:r>
        <w:rPr>
          <w:rFonts w:hint="eastAsia" w:ascii="宋体" w:hAnsi="宋体" w:eastAsia="宋体"/>
          <w:color w:val="auto"/>
          <w:sz w:val="21"/>
          <w:szCs w:val="21"/>
          <w:highlight w:val="none"/>
        </w:rPr>
        <w:t>若遇政策影响，甲方无法履行合同双方无条件解除合同，且双方不承担任何责任。</w:t>
      </w:r>
    </w:p>
    <w:p>
      <w:pPr>
        <w:pStyle w:val="7"/>
        <w:spacing w:before="156" w:beforeLines="50" w:after="156" w:afterLines="50"/>
        <w:ind w:firstLine="422"/>
        <w:rPr>
          <w:rFonts w:ascii="宋体" w:hAnsi="宋体"/>
          <w:b/>
          <w:bCs/>
          <w:color w:val="auto"/>
          <w:szCs w:val="21"/>
          <w:highlight w:val="none"/>
        </w:rPr>
      </w:pPr>
      <w:bookmarkStart w:id="150" w:name="_Toc1315"/>
      <w:r>
        <w:rPr>
          <w:rFonts w:hint="eastAsia" w:ascii="宋体" w:hAnsi="宋体"/>
          <w:b/>
          <w:bCs/>
          <w:color w:val="auto"/>
          <w:szCs w:val="21"/>
          <w:highlight w:val="none"/>
        </w:rPr>
        <w:t>五、付款方式</w:t>
      </w:r>
      <w:bookmarkEnd w:id="150"/>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1.本合同的付款方式为：</w:t>
      </w:r>
      <w:r>
        <w:rPr>
          <w:rFonts w:hint="eastAsia" w:ascii="宋体" w:hAnsi="宋体" w:cs="宋体"/>
          <w:color w:val="auto"/>
          <w:szCs w:val="21"/>
          <w:highlight w:val="none"/>
        </w:rPr>
        <w:t>按月结算费用，乙方每月10号前根据上月的收货凭证与甲方对上月货款进行确认，并向甲方提出付款申请及开具相应数额的含税发票。甲方应在收到乙方发票后的15日内支付上月的货款，并以银行转账方式将货款一次性全额转入乙方书面指定的银行账户。</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乙方银行账户：</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开户行：</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账号：</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2、因特殊原因需要提早或延迟结算的，经双方协商一致后执行。</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的经费由政府拨款，如因政策影响（甲方提供确切政策文件或消息），拨款未能及时到位，乙方不得以此为由而不履行本合同规定的义务。如果乙方怠于或者拒绝提供资料或者办理手续的，则因此产生的付款迟延的责任全部由乙方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结算价包括所有成本费、运输费、人工费、保险费、检查费、检验费、税费以及服务期内的所有相关食品采购、检验费用在内的甲方指定地点交货全包价、合同实施过程中的可预见及不可预见的一切费用，乙方漏报或不报费用时，甲方将视为该漏报或不报部分的费用已包括在已报的分项报价中而不予支付。</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、收款方、出具发票方均须与乙方名称一致。</w:t>
      </w:r>
    </w:p>
    <w:p>
      <w:pPr>
        <w:pStyle w:val="7"/>
        <w:spacing w:before="156" w:beforeLines="50" w:after="156" w:afterLines="50" w:line="360" w:lineRule="auto"/>
        <w:ind w:firstLine="422"/>
        <w:rPr>
          <w:rFonts w:ascii="宋体" w:hAnsi="宋体" w:cs="宋体"/>
          <w:b/>
          <w:color w:val="auto"/>
          <w:szCs w:val="21"/>
          <w:highlight w:val="none"/>
        </w:rPr>
      </w:pPr>
      <w:r>
        <w:rPr>
          <w:rFonts w:hint="eastAsia" w:ascii="宋体" w:hAnsi="宋体"/>
          <w:b/>
          <w:bCs/>
          <w:color w:val="auto"/>
          <w:szCs w:val="21"/>
          <w:highlight w:val="none"/>
        </w:rPr>
        <w:t>六、</w:t>
      </w:r>
      <w:r>
        <w:rPr>
          <w:rFonts w:hint="eastAsia" w:ascii="宋体" w:hAnsi="宋体" w:cs="宋体"/>
          <w:b/>
          <w:color w:val="auto"/>
          <w:szCs w:val="21"/>
          <w:highlight w:val="none"/>
        </w:rPr>
        <w:t>供货价格要求及报价</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乙方的供货价应包含交给甲方之前的一切可预见及不可预见的费用，包括购置费、包装费、运输费、装卸费、搬运费、储存费、人工费、保险费、各种税费等，并承担送货途中的一切风险。</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定价周期：每15日更新一次，乙方须每次至少提前2天提交下次报价清单给甲方审核，双方签字后生效。</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3、</w:t>
      </w:r>
      <w:r>
        <w:rPr>
          <w:rFonts w:ascii="宋体" w:hAnsi="宋体" w:cstheme="minorBidi"/>
          <w:color w:val="auto"/>
          <w:kern w:val="2"/>
          <w:sz w:val="21"/>
          <w:szCs w:val="21"/>
          <w:highlight w:val="none"/>
        </w:rPr>
        <w:t>若遇台风、暴雨等意外原因造成的个别品种价格需临时调整，应通知甲方，并征得甲方同意后方可调整，每次送货按通知价格计算。</w:t>
      </w:r>
      <w:r>
        <w:rPr>
          <w:rFonts w:hint="eastAsia" w:ascii="宋体" w:hAnsi="宋体" w:cstheme="minorBidi"/>
          <w:color w:val="auto"/>
          <w:kern w:val="2"/>
          <w:sz w:val="21"/>
          <w:szCs w:val="21"/>
          <w:highlight w:val="none"/>
        </w:rPr>
        <w:t>否则按约定报价进行结算。</w:t>
      </w:r>
    </w:p>
    <w:p>
      <w:pPr>
        <w:spacing w:after="0" w:line="360" w:lineRule="auto"/>
        <w:ind w:firstLine="420" w:firstLineChars="200"/>
        <w:jc w:val="both"/>
        <w:rPr>
          <w:rFonts w:hint="eastAsia" w:ascii="宋体" w:hAnsi="宋体" w:eastAsia="宋体"/>
          <w:color w:val="auto"/>
          <w:sz w:val="21"/>
          <w:szCs w:val="21"/>
          <w:highlight w:val="none"/>
        </w:rPr>
      </w:pPr>
      <w:r>
        <w:rPr>
          <w:rFonts w:hint="eastAsia" w:ascii="宋体" w:hAnsi="宋体" w:cstheme="minorBidi"/>
          <w:color w:val="auto"/>
          <w:kern w:val="2"/>
          <w:sz w:val="21"/>
          <w:szCs w:val="21"/>
          <w:highlight w:val="none"/>
          <w:lang w:val="en-US" w:eastAsia="zh-CN"/>
        </w:rPr>
        <w:t>4、</w:t>
      </w:r>
      <w:r>
        <w:rPr>
          <w:rFonts w:hint="eastAsia" w:ascii="宋体" w:hAnsi="宋体" w:eastAsia="宋体"/>
          <w:color w:val="auto"/>
          <w:sz w:val="21"/>
          <w:szCs w:val="21"/>
          <w:highlight w:val="none"/>
        </w:rPr>
        <w:t>甲方有权随时对任意品目食材零售价格进行抽查，如果发现价格偏高情况（高于同期周边不少于三家市场同类食材的平均零售价格或大型超市最低价），甲方当月有权按照调查结果（周边不少于三家市场同类食材的平均零售价格或大型超市最低价）进行结算，乙方必须执行。</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theme="minorBidi"/>
          <w:color w:val="auto"/>
          <w:kern w:val="2"/>
          <w:sz w:val="21"/>
          <w:szCs w:val="21"/>
          <w:highlight w:val="none"/>
          <w:lang w:val="en-US" w:eastAsia="zh-CN"/>
        </w:rPr>
      </w:pPr>
      <w:r>
        <w:rPr>
          <w:rFonts w:hint="eastAsia" w:ascii="宋体" w:hAnsi="宋体" w:eastAsia="宋体"/>
          <w:color w:val="auto"/>
          <w:sz w:val="21"/>
          <w:szCs w:val="21"/>
          <w:highlight w:val="none"/>
        </w:rPr>
        <w:t>5、甲方临时需求的食材不在核定的供货价格清单内的，乙方必须按甲方要求供货配送。供货价格由双方临时确定。将该食材应纳入下一周期的食材报价清单内，并按上述定价原则确定供货价格。</w:t>
      </w:r>
    </w:p>
    <w:p>
      <w:pPr>
        <w:pStyle w:val="7"/>
        <w:spacing w:before="156" w:beforeLines="50" w:after="156" w:afterLines="50" w:line="360" w:lineRule="auto"/>
        <w:ind w:firstLine="422"/>
        <w:rPr>
          <w:rFonts w:hint="eastAsia" w:ascii="宋体" w:hAnsi="宋体" w:cstheme="minorBidi"/>
          <w:b/>
          <w:bCs/>
          <w:color w:val="auto"/>
          <w:szCs w:val="21"/>
          <w:highlight w:val="none"/>
        </w:rPr>
      </w:pPr>
      <w:r>
        <w:rPr>
          <w:rFonts w:hint="eastAsia" w:ascii="宋体" w:hAnsi="宋体"/>
          <w:b/>
          <w:bCs/>
          <w:color w:val="auto"/>
          <w:szCs w:val="21"/>
          <w:highlight w:val="none"/>
        </w:rPr>
        <w:t>七、</w:t>
      </w:r>
      <w:r>
        <w:rPr>
          <w:rFonts w:hint="eastAsia" w:ascii="宋体" w:hAnsi="宋体" w:cstheme="minorBidi"/>
          <w:b/>
          <w:bCs/>
          <w:color w:val="auto"/>
          <w:szCs w:val="21"/>
          <w:highlight w:val="none"/>
        </w:rPr>
        <w:t>质量和数量要求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（一）质量要求：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1、蔬果类应保持较好的色泽和新鲜度，符合国家食品安全标准，不得有黄叶、腐烂，泥沙等现象，蔬果类农药等化学物不得超标，并提供农药残留检测证明（蔬菜利用率不低于95%）。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2、冷冻类食材应选购标有厂名、地址、电话、保存期且包装完好的产品。食材在验货时不能有变软的现象，不得食材表面或包装袋内附有许多霜的食材当做复冻食材，退货处理。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3、海鲜、河鲜类水产必须鲜活。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4、鲜肉类全部来源于正规肉联厂，保证为当日新鲜肉，并提供政府检疫部门出示的检疫合格证明。（鲜肉类利用率不低于98%）。</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5、蛋类需新鲜、蛋黄完整、非人造。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6、豆制品来源于政府许可的正规厂商。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7、粮油、调料类食材由正规厂商供货，符合国家食品安全标准，且不得使用由转基因原料制作。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8、水果须保证新鲜，做到种类多、营养搭配，符合中小学膳食服务要求。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9、对于不符合甲方质量要求的品种可无偿退货或换货；如需换货，乙方必须在甲方规定的时间内把货品送到目的地。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10、乙方提供的所有货物来源须清晰，可溯源。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11、食用油不能使用含有转基因食品，调和油、棕榈油等含量不能超过总含量的30%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12、乙方须保证提供的食材及其它副食等所有用于本合同的材料不使用转基因食材或由转基因原料制作的产品。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（二）数量要求：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应保证千克、克的准确性，以甲方的验收数量为准，乙方每次随货携带一式两联的送货清单，食材经双方验收后须签字确认，双方各持一份，全部作为收货与货款结算的凭证。</w:t>
      </w:r>
    </w:p>
    <w:p>
      <w:pPr>
        <w:pStyle w:val="7"/>
        <w:spacing w:before="156" w:beforeLines="50" w:after="156" w:afterLines="50" w:line="360" w:lineRule="auto"/>
        <w:ind w:firstLine="422"/>
        <w:rPr>
          <w:rFonts w:hint="eastAsia" w:ascii="宋体" w:hAnsi="宋体" w:cstheme="minorBidi"/>
          <w:b/>
          <w:bCs/>
          <w:color w:val="auto"/>
          <w:szCs w:val="21"/>
          <w:highlight w:val="none"/>
        </w:rPr>
      </w:pPr>
      <w:r>
        <w:rPr>
          <w:rFonts w:hint="eastAsia" w:ascii="宋体" w:hAnsi="宋体"/>
          <w:b/>
          <w:bCs/>
          <w:color w:val="auto"/>
          <w:szCs w:val="21"/>
          <w:highlight w:val="none"/>
        </w:rPr>
        <w:t>八、</w:t>
      </w:r>
      <w:r>
        <w:rPr>
          <w:rFonts w:hint="eastAsia" w:ascii="宋体" w:hAnsi="宋体" w:cstheme="minorBidi"/>
          <w:b/>
          <w:bCs/>
          <w:color w:val="auto"/>
          <w:szCs w:val="21"/>
          <w:highlight w:val="none"/>
        </w:rPr>
        <w:t>订货、交货及运输</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1、甲方向乙方订购的蔬菜、肉类等农副产品，应在前一天的16:00之前，以电话、传真或电子邮件或微信等方式下单，订单内容应说明清楚品名、数量、规格、质量和餐次等要求。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2、乙方应保证每天早上6:30之前将甲方所订的货物按照约定时间送至甲方指定地方，运输车辆内外必须清洁干净，无污渍，无异味。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3、乙方在发货前，应对货品的外观质量、规格、数量等进行准确和全面的检验。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4、乙方的送货单必须详细注明商品的品牌、品种、单价、数量、送货单不得涂改。标记不清的，甲方将拒绝签收。结算期末乙方还应提供送货清单供甲方结算。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乙方应设专人服务、跟踪、对账、快速处理突发事件。对送货过程中出现货不对板或达不到订单注明质量要求的品种，以及甲方根据就餐需要临时加补的品种，乙方应在甲方指定的时间补送到位，保证甲方的正常就餐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应当根据甲方实际情况，按照与甲方的约定，在规定的时间内将预定的货物如数送到指定地点。如遇不可抗力因素而造成配送延误时，乙方应提前通知甲方，并配合甲方共同解决。除发生客观不可抗力的情况外，乙方不得推迟送货。如确需延迟送货的，乙方应在得知情况的同时告知甲方并征得甲方同意，由于乙方拖沓造成甲方利益受损的，甲方有权要求乙方赔偿，出现3次或以上上述情况的，并处以乙方人民币1000元罚款，罚款在供货结算款内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7、乙方负责货品的仓储，甲方不提供仓库。乙方须准时送货到甲方指定地点，甲方不另行支付配送交通费。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8、在甲方签收之前，货物的所有权和风险属于乙方，货物发生遗失、损坏由乙方负责。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9、乙方须严格按照甲方的指令配送商品的数量，不得随意增减数量，否则，甲方有权拒收。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除客观不可抗力外，乙方不得更改送货内容。如因市场流通问题确实需要变更供货内容的，乙方应在得知情况的同时告知甲方并事先征得书面申请，并经甲方同意后方可改变。经发现乙方有私自更改菜单中货品时以违约论处，由此产生的一切损失和费用由乙方承担。出现3次或以上上述情况的，并处以人民币1000元罚款，罚款在供货结算款内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11、产品储存及原材料配备要求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（1）乙方应做好产品储存方案及原料配备；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（2）乙方应具备安全、无害的贮存场所、容器、工具和设备，并保持清洁；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（3）乙方要确保产品质量，保持食材原材料在储存期间的使用价值。</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九、验收</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所供应的货品需要符合国家、广东省和东莞市的相关安全质量标准、卫生标准等，同时符合甲方的使用要求，包括但不限于各类所列的货品质量要求。乙方在接受订单时需要确认甲方对货品的使用要求，对于不符合甲方要求的货品，甲方有权拒收或要求更换。</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退（补）货流程：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蔬菜，应按国家有关规定处理或进行协议销毁，所产生的费用由乙方自行承担。</w:t>
      </w:r>
    </w:p>
    <w:p>
      <w:pPr>
        <w:pStyle w:val="7"/>
        <w:spacing w:after="0" w:line="360" w:lineRule="auto"/>
        <w:rPr>
          <w:rFonts w:ascii="宋体" w:hAnsi="宋体" w:eastAsia="宋体" w:cs="宋体"/>
          <w:color w:val="auto"/>
          <w:sz w:val="21"/>
          <w:szCs w:val="21"/>
          <w:highlight w:val="none"/>
        </w:rPr>
      </w:pPr>
      <w:r>
        <w:rPr>
          <w:rFonts w:hint="eastAsia" w:ascii="宋体" w:hAnsi="宋体" w:cs="宋体"/>
          <w:color w:val="auto"/>
          <w:sz w:val="21"/>
          <w:szCs w:val="21"/>
          <w:highlight w:val="none"/>
        </w:rPr>
        <w:t>3、验收记录：</w:t>
      </w:r>
      <w:r>
        <w:rPr>
          <w:rFonts w:hint="eastAsia" w:ascii="宋体" w:hAnsi="宋体" w:eastAsia="宋体"/>
          <w:color w:val="auto"/>
          <w:sz w:val="21"/>
          <w:szCs w:val="21"/>
          <w:highlight w:val="none"/>
        </w:rPr>
        <w:t>验收要求：（1）采取现场验收的方式，甲方验收小组成员负责按照清单-过磅-核对-入库的程序完成对当天所供货物的验收，验收内容包括证明文件、货物数量、质量、规格及单价品种，如发现不符合要求的货物，则甲方有权拒绝接收，乙方应按甲方要求在规定时间内重新送货。（2）验收发现食品安全有质量、数量、规格问题的处理：对危及人身安全的食品质量问题采取零容忍措施，如发现腐败变质异味、污染变质等情形，原则上乙方应在1小时内无条件按甲方需求对该批次的全部货物进行退换货处理，若乙方无法在规定时间内完成货物退换，影响到甲方使用，则甲方有权自行进行采购，并由乙方承担由此产生的一切费用。如甲方送货数量与订单不符，则对于少送部分，甲方有权选择按照实收数量更改订单，或要求乙方在1小时内补齐；对于多送部分，甲方有权拒收。（3）</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应在每次验收时在验收记录本上详细注明所验收货物的名称、数量等事项并交由</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进行核对，</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核对无误后，</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在采购登记记录本上签明意见和签收人的名字及日期。（4）</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无正当理由不得变更供货清单，应严格按招标要求（含商标、名称、产地、采购来源地、规格和重量等）供应，否则，</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有权拒收。如因市场流通问题确实需要变更的，应书面向</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 xml:space="preserve">申请。（5）包装与标志要求。包装：容器(框、箱、袋)要求清洁、干燥、牢固、透气，无污染、无异味、无霉变现象；标志：每件包装需按《农产品包装和标识管理办法》贴标签，并标明产地、品种、净含量、生产单位及地址和采收日期。 </w:t>
      </w:r>
    </w:p>
    <w:p>
      <w:pPr>
        <w:pStyle w:val="7"/>
        <w:spacing w:before="156" w:beforeLines="50" w:after="156" w:afterLines="50"/>
        <w:ind w:firstLine="422"/>
        <w:rPr>
          <w:rFonts w:ascii="宋体" w:hAnsi="宋体"/>
          <w:b/>
          <w:bCs/>
          <w:color w:val="auto"/>
          <w:szCs w:val="21"/>
          <w:highlight w:val="none"/>
        </w:rPr>
      </w:pPr>
      <w:bookmarkStart w:id="151" w:name="_Toc5642"/>
      <w:r>
        <w:rPr>
          <w:rFonts w:hint="eastAsia" w:ascii="宋体" w:hAnsi="宋体"/>
          <w:b/>
          <w:bCs/>
          <w:color w:val="auto"/>
          <w:szCs w:val="21"/>
          <w:highlight w:val="none"/>
        </w:rPr>
        <w:t>十、违约责任与赔偿损失</w:t>
      </w:r>
      <w:bookmarkEnd w:id="151"/>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乙方提供的服务不符合本合同规定的，甲方有权拒收，并且乙方须向甲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2.甲方无正当理由拒收接受服务，到期拒付服务款项的，甲方向乙方偿付本合同总的5%的违约金。甲方向镇财政提交相关申请文件视为已履行付款手续，政府财政支付部门审核时间等风险不由甲方承担。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 xml:space="preserve"> 乙方不得将中标项目转包、分包，否则甲方有权单方终止合同，由此产生的一切经济损失由乙方自行承担。</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5.</w:t>
      </w:r>
      <w:r>
        <w:rPr>
          <w:rFonts w:hint="eastAsia" w:ascii="宋体" w:hAnsi="宋体" w:cstheme="minorBidi"/>
          <w:color w:val="auto"/>
          <w:kern w:val="2"/>
          <w:sz w:val="21"/>
          <w:szCs w:val="21"/>
          <w:highlight w:val="none"/>
        </w:rPr>
        <w:t>对不符合规格要求的货物，乙方必须无条件退货；乙方未能履行招标文件和合同所定事项，或供应不合格、假冒伪劣、以次充好的货物，甲方在退货后将记录在案，由乙方承担因此产生的一切损失和费用外，出现重大食品安全事故的甲方可取消其乙方供应资格。</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ascii="宋体" w:hAnsi="宋体"/>
          <w:color w:val="auto"/>
          <w:szCs w:val="21"/>
          <w:highlight w:val="none"/>
        </w:rPr>
        <w:t>6.</w:t>
      </w:r>
      <w:r>
        <w:rPr>
          <w:rFonts w:hint="eastAsia" w:ascii="宋体" w:hAnsi="宋体" w:cs="宋体"/>
          <w:color w:val="auto"/>
          <w:szCs w:val="21"/>
          <w:highlight w:val="none"/>
        </w:rPr>
        <w:t>如乙方提供过期、变质的、有毒食材的，一经发现，除按甲方要求无条件退货或换货外，还将受到如下处罚：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提供过期、变质食材的，甲方有权要求无条件退货或换货，乙方将被处以当次供应食材货款2倍的罚款，罚款由供货结算款内扣除。如提供过期、变质食材的累计达三次，甲方有权单方终止合同，由乙方进行任何赔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若提供有毒食材，造成食材安全事故的，经有关单位鉴定原因后，如确实为乙方提供的食材问题，乙方须负担全数的医药费，甲方有权终止合同，乙方同时承担相应的民事及刑事法律责任及放弃先诉抗辩权，甲方有权</w:t>
      </w:r>
      <w:r>
        <w:rPr>
          <w:rFonts w:hint="eastAsia" w:ascii="宋体" w:hAnsi="宋体" w:cs="宋体"/>
          <w:color w:val="auto"/>
          <w:szCs w:val="21"/>
          <w:highlight w:val="none"/>
          <w:lang w:val="en-US" w:eastAsia="zh-CN"/>
        </w:rPr>
        <w:t>立即</w:t>
      </w:r>
      <w:r>
        <w:rPr>
          <w:rFonts w:hint="eastAsia" w:ascii="宋体" w:hAnsi="宋体" w:cs="宋体"/>
          <w:color w:val="auto"/>
          <w:szCs w:val="21"/>
          <w:highlight w:val="none"/>
        </w:rPr>
        <w:t>终止合同。</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bCs/>
          <w:color w:val="auto"/>
          <w:kern w:val="2"/>
          <w:sz w:val="21"/>
          <w:szCs w:val="21"/>
          <w:highlight w:val="none"/>
        </w:rPr>
      </w:pPr>
      <w:r>
        <w:rPr>
          <w:rFonts w:ascii="宋体" w:hAnsi="宋体" w:cs="宋体"/>
          <w:bCs/>
          <w:color w:val="auto"/>
          <w:kern w:val="2"/>
          <w:sz w:val="21"/>
          <w:szCs w:val="21"/>
          <w:highlight w:val="none"/>
        </w:rPr>
        <w:t>7</w:t>
      </w:r>
      <w:r>
        <w:rPr>
          <w:rFonts w:hint="eastAsia" w:ascii="宋体" w:hAnsi="宋体" w:cs="宋体"/>
          <w:bCs/>
          <w:color w:val="auto"/>
          <w:kern w:val="2"/>
          <w:sz w:val="21"/>
          <w:szCs w:val="21"/>
          <w:highlight w:val="none"/>
        </w:rPr>
        <w:t>、甲方需严格按照本合同付款，逾期付款的按照日万分之五的标准向乙方支付违约金，逾期超过两个月的，乙方有权单方面终止合作，并由甲方承担一切因此而起的损失。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其它违约责任按《中华人民共和国民法典(合同编)》处理。</w:t>
      </w:r>
    </w:p>
    <w:p>
      <w:pPr>
        <w:pStyle w:val="7"/>
        <w:spacing w:before="156" w:beforeLines="50" w:after="156" w:afterLines="50"/>
        <w:ind w:firstLine="422"/>
        <w:rPr>
          <w:rFonts w:ascii="宋体" w:hAnsi="宋体"/>
          <w:b/>
          <w:bCs/>
          <w:color w:val="auto"/>
          <w:szCs w:val="21"/>
          <w:highlight w:val="none"/>
        </w:rPr>
      </w:pPr>
      <w:bookmarkStart w:id="152" w:name="_Toc30679"/>
      <w:r>
        <w:rPr>
          <w:rFonts w:hint="eastAsia" w:ascii="宋体" w:hAnsi="宋体"/>
          <w:b/>
          <w:bCs/>
          <w:color w:val="auto"/>
          <w:szCs w:val="21"/>
          <w:highlight w:val="none"/>
        </w:rPr>
        <w:t>十一、争议的解决</w:t>
      </w:r>
      <w:bookmarkEnd w:id="152"/>
    </w:p>
    <w:p>
      <w:pPr>
        <w:pStyle w:val="2"/>
        <w:spacing w:line="360" w:lineRule="auto"/>
        <w:ind w:firstLine="420"/>
        <w:rPr>
          <w:rFonts w:hint="eastAsia" w:ascii="宋体" w:hAnsi="宋体" w:cs="宋体"/>
          <w:b w:val="0"/>
          <w:bCs/>
          <w:color w:val="auto"/>
          <w:kern w:val="2"/>
          <w:sz w:val="21"/>
          <w:szCs w:val="21"/>
          <w:highlight w:val="none"/>
        </w:rPr>
      </w:pPr>
      <w:bookmarkStart w:id="153" w:name="_Toc26856"/>
      <w:r>
        <w:rPr>
          <w:rFonts w:hint="eastAsia" w:ascii="宋体" w:hAnsi="宋体" w:cs="宋体"/>
          <w:b w:val="0"/>
          <w:bCs/>
          <w:color w:val="auto"/>
          <w:kern w:val="2"/>
          <w:sz w:val="21"/>
          <w:szCs w:val="21"/>
          <w:highlight w:val="none"/>
        </w:rPr>
        <w:t>1、凡与本合同有关而引起的一切争议，甲乙双方应首先通过友好协商解决，如经协商后仍不能达成协议时，任何一方可以向法院提出诉讼。</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2、本合同发生的诉讼管辖地为甲方所在地的法院。</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3、在进行法院审理期间，除提交法院审理的事项外，合同其他部分仍继续履行。</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4、本合同按照中华人民共和国的法律进行解释。</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十二、不可抗力</w:t>
      </w:r>
      <w:bookmarkEnd w:id="15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7"/>
        <w:spacing w:before="156" w:beforeLines="50" w:after="156" w:afterLines="50"/>
        <w:ind w:firstLine="422"/>
        <w:rPr>
          <w:rFonts w:ascii="宋体" w:hAnsi="宋体"/>
          <w:b/>
          <w:bCs/>
          <w:color w:val="auto"/>
          <w:szCs w:val="21"/>
          <w:highlight w:val="none"/>
        </w:rPr>
      </w:pPr>
      <w:bookmarkStart w:id="154" w:name="_Toc16247"/>
      <w:r>
        <w:rPr>
          <w:rFonts w:hint="eastAsia" w:ascii="宋体" w:hAnsi="宋体"/>
          <w:b/>
          <w:bCs/>
          <w:color w:val="auto"/>
          <w:szCs w:val="21"/>
          <w:highlight w:val="none"/>
        </w:rPr>
        <w:t>十三、税费</w:t>
      </w:r>
      <w:bookmarkEnd w:id="15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pStyle w:val="7"/>
        <w:spacing w:before="156" w:beforeLines="50" w:after="156" w:afterLines="50"/>
        <w:ind w:firstLine="422"/>
        <w:rPr>
          <w:rFonts w:ascii="宋体" w:hAnsi="宋体"/>
          <w:b/>
          <w:bCs/>
          <w:color w:val="auto"/>
          <w:szCs w:val="21"/>
          <w:highlight w:val="none"/>
        </w:rPr>
      </w:pPr>
      <w:bookmarkStart w:id="155" w:name="_Toc14065"/>
      <w:r>
        <w:rPr>
          <w:rFonts w:hint="eastAsia" w:ascii="宋体" w:hAnsi="宋体"/>
          <w:b/>
          <w:bCs/>
          <w:color w:val="auto"/>
          <w:szCs w:val="21"/>
          <w:highlight w:val="none"/>
        </w:rPr>
        <w:t>十四、其它</w:t>
      </w:r>
      <w:bookmarkEnd w:id="15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 律效力。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2.在执行本合同的过程中，所有经双方签署确认的文件（包括会议纪要、补充协议、往来信函）即成为本合同的有效组成部分。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3.如一方地址、电话、传真号码有变更，应在变更当日内书面通知对方，否则，应承担相应责任。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4.除甲方事先书面同意外，乙方不得部分或全部转让其应履行的合同项下的义务。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本合同合计   页A4纸张，缺页之合同为无效合同。</w:t>
      </w:r>
    </w:p>
    <w:p>
      <w:pPr>
        <w:pStyle w:val="7"/>
        <w:spacing w:before="156" w:beforeLines="50" w:after="156" w:afterLines="50"/>
        <w:ind w:firstLine="422"/>
        <w:rPr>
          <w:rFonts w:ascii="宋体" w:hAnsi="宋体"/>
          <w:b/>
          <w:bCs/>
          <w:color w:val="auto"/>
          <w:szCs w:val="21"/>
          <w:highlight w:val="none"/>
        </w:rPr>
      </w:pPr>
      <w:bookmarkStart w:id="156" w:name="_Toc13763"/>
      <w:r>
        <w:rPr>
          <w:rFonts w:hint="eastAsia" w:ascii="宋体" w:hAnsi="宋体"/>
          <w:b/>
          <w:bCs/>
          <w:color w:val="auto"/>
          <w:szCs w:val="21"/>
          <w:highlight w:val="none"/>
        </w:rPr>
        <w:t>十五、合同生效</w:t>
      </w:r>
      <w:bookmarkEnd w:id="15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1、本合同由双方法定代表人或委托代理人签字盖章后立即生效，具有同等法律效力，服务期为合同签定日至   年   月   日，合同有效期随服务期结束而自然终止。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本合同一式 伍 份，其中甲方 叁 份、乙方 壹 份，采购代理机构 壹 份（须在合同签订之日起7个工作日内递交）。</w:t>
      </w:r>
    </w:p>
    <w:p>
      <w:pPr>
        <w:spacing w:line="360" w:lineRule="auto"/>
        <w:rPr>
          <w:rFonts w:ascii="宋体" w:hAnsi="宋体"/>
          <w:color w:val="auto"/>
          <w:szCs w:val="21"/>
          <w:highlight w:val="none"/>
        </w:rPr>
      </w:pPr>
      <w:r>
        <w:rPr>
          <w:rFonts w:hint="eastAsia" w:ascii="宋体" w:hAnsi="宋体"/>
          <w:color w:val="auto"/>
          <w:szCs w:val="21"/>
          <w:highlight w:val="none"/>
        </w:rPr>
        <w:t>（以下为签署页，无正文）</w:t>
      </w:r>
    </w:p>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附件：1、招标文件；2、投标文件；3、中标通知书；4、</w:t>
      </w:r>
      <w:r>
        <w:rPr>
          <w:rFonts w:hint="eastAsia" w:ascii="宋体" w:hAnsi="宋体" w:cs="宋体"/>
          <w:color w:val="auto"/>
          <w:szCs w:val="21"/>
          <w:highlight w:val="none"/>
        </w:rPr>
        <w:t>食品经营许可（含食品销售、食品经营管理）复印件</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tc>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p>
        </w:tc>
        <w:tc>
          <w:tcPr>
            <w:tcW w:w="4417"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p>
        </w:tc>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   月   日</w:t>
            </w:r>
          </w:p>
        </w:tc>
      </w:tr>
      <w:bookmarkEnd w:id="145"/>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9"/>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9"/>
        <w:jc w:val="center"/>
        <w:rPr>
          <w:b/>
          <w:color w:val="auto"/>
          <w:sz w:val="12"/>
          <w:highlight w:val="none"/>
        </w:rPr>
      </w:pPr>
      <w:r>
        <w:rPr>
          <w:b/>
          <w:color w:val="auto"/>
          <w:highlight w:val="none"/>
        </w:rPr>
        <w:t>投标函</w:t>
      </w:r>
    </w:p>
    <w:p>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3"/>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9"/>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2"/>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9"/>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3693"/>
        </w:tabs>
        <w:spacing w:line="242" w:lineRule="exact"/>
        <w:ind w:right="104"/>
        <w:jc w:val="right"/>
        <w:rPr>
          <w:color w:val="auto"/>
          <w:sz w:val="21"/>
          <w:szCs w:val="21"/>
          <w:highlight w:val="none"/>
        </w:rPr>
      </w:pPr>
    </w:p>
    <w:p>
      <w:pPr>
        <w:pStyle w:val="9"/>
        <w:tabs>
          <w:tab w:val="left" w:pos="3693"/>
        </w:tabs>
        <w:spacing w:line="242" w:lineRule="exact"/>
        <w:ind w:right="104"/>
        <w:jc w:val="right"/>
        <w:rPr>
          <w:color w:val="auto"/>
          <w:sz w:val="21"/>
          <w:szCs w:val="21"/>
          <w:highlight w:val="none"/>
        </w:rPr>
      </w:pPr>
    </w:p>
    <w:p>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9"/>
        <w:rPr>
          <w:color w:val="auto"/>
          <w:highlight w:val="none"/>
          <w:lang w:val="en-US"/>
        </w:rPr>
      </w:pPr>
    </w:p>
    <w:p>
      <w:pPr>
        <w:rPr>
          <w:color w:val="auto"/>
          <w:highlight w:val="none"/>
        </w:rPr>
      </w:pPr>
    </w:p>
    <w:p>
      <w:pPr>
        <w:pStyle w:val="9"/>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9"/>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9"/>
        <w:tabs>
          <w:tab w:val="left" w:pos="10713"/>
        </w:tabs>
        <w:spacing w:before="0" w:line="360" w:lineRule="auto"/>
        <w:ind w:left="0"/>
        <w:jc w:val="right"/>
        <w:rPr>
          <w:color w:val="auto"/>
          <w:sz w:val="21"/>
          <w:szCs w:val="21"/>
          <w:highlight w:val="none"/>
        </w:rPr>
      </w:pPr>
    </w:p>
    <w:p>
      <w:pPr>
        <w:pStyle w:val="9"/>
        <w:tabs>
          <w:tab w:val="left" w:pos="10713"/>
        </w:tabs>
        <w:spacing w:before="0" w:line="360" w:lineRule="auto"/>
        <w:ind w:left="0"/>
        <w:jc w:val="right"/>
        <w:rPr>
          <w:color w:val="auto"/>
          <w:sz w:val="21"/>
          <w:szCs w:val="21"/>
          <w:highlight w:val="none"/>
        </w:rPr>
      </w:pP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9"/>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9"/>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9"/>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2022年度</w:t>
      </w:r>
      <w:r>
        <w:rPr>
          <w:rFonts w:hint="eastAsia" w:ascii="宋体" w:hAnsi="宋体" w:eastAsia="宋体"/>
          <w:color w:val="auto"/>
          <w:szCs w:val="21"/>
          <w:highlight w:val="none"/>
        </w:rPr>
        <w:t>财务状况报告或基本开户行出具的资信证明）。</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rPr>
          <w:color w:val="auto"/>
          <w:sz w:val="20"/>
          <w:highlight w:val="none"/>
        </w:rPr>
      </w:pPr>
      <w:r>
        <w:rPr>
          <w:rFonts w:hint="eastAsia"/>
          <w:color w:val="auto"/>
          <w:sz w:val="20"/>
          <w:highlight w:val="none"/>
        </w:rPr>
        <w:br w:type="page"/>
      </w:r>
    </w:p>
    <w:p>
      <w:pPr>
        <w:pStyle w:val="9"/>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30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30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rPr>
        <w:br w:type="page"/>
      </w:r>
    </w:p>
    <w:p>
      <w:pPr>
        <w:pStyle w:val="9"/>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9"/>
        <w:jc w:val="center"/>
        <w:rPr>
          <w:b/>
          <w:bCs/>
          <w:color w:val="auto"/>
          <w:highlight w:val="none"/>
          <w:lang w:val="en-US"/>
        </w:rPr>
      </w:pPr>
      <w:r>
        <w:rPr>
          <w:b/>
          <w:bCs/>
          <w:color w:val="auto"/>
          <w:highlight w:val="none"/>
          <w:lang w:val="en-US"/>
        </w:rPr>
        <w:t>投标人业绩情况表</w:t>
      </w:r>
    </w:p>
    <w:p>
      <w:pPr>
        <w:pStyle w:val="9"/>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9"/>
        <w:rPr>
          <w:color w:val="auto"/>
          <w:highlight w:val="none"/>
          <w:lang w:val="en-U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bl>
    <w:p>
      <w:pPr>
        <w:pStyle w:val="9"/>
        <w:rPr>
          <w:color w:val="auto"/>
          <w:highlight w:val="none"/>
          <w:lang w:val="en-US"/>
        </w:rPr>
      </w:pPr>
    </w:p>
    <w:p>
      <w:pPr>
        <w:rPr>
          <w:color w:val="auto"/>
          <w:highlight w:val="none"/>
        </w:rPr>
      </w:pP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3"/>
        <w:tabs>
          <w:tab w:val="left" w:pos="731"/>
        </w:tabs>
        <w:autoSpaceDE w:val="0"/>
        <w:autoSpaceDN w:val="0"/>
        <w:spacing w:line="360" w:lineRule="auto"/>
        <w:ind w:firstLine="423"/>
        <w:rPr>
          <w:rFonts w:ascii="宋体" w:hAnsi="宋体" w:cs="宋体"/>
          <w:color w:val="auto"/>
          <w:w w:val="101"/>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bl>
    <w:p>
      <w:pPr>
        <w:pStyle w:val="9"/>
        <w:rPr>
          <w:color w:val="auto"/>
          <w:sz w:val="21"/>
          <w:szCs w:val="21"/>
          <w:highlight w:val="none"/>
          <w:lang w:val="en-US"/>
        </w:rPr>
      </w:pPr>
    </w:p>
    <w:p>
      <w:pPr>
        <w:rPr>
          <w:color w:val="auto"/>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9"/>
        <w:autoSpaceDE w:val="0"/>
        <w:autoSpaceDN w:val="0"/>
        <w:spacing w:before="0" w:line="360" w:lineRule="auto"/>
        <w:ind w:left="0" w:firstLine="420" w:firstLineChars="200"/>
        <w:rPr>
          <w:color w:val="auto"/>
          <w:sz w:val="21"/>
          <w:szCs w:val="21"/>
          <w:highlight w:val="none"/>
          <w:lang w:val="en-US"/>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9"/>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9"/>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6"/>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9"/>
        <w:jc w:val="center"/>
        <w:rPr>
          <w:b/>
          <w:bCs/>
          <w:color w:val="auto"/>
          <w:highlight w:val="none"/>
        </w:rPr>
      </w:pPr>
      <w:r>
        <w:rPr>
          <w:b/>
          <w:bCs/>
          <w:color w:val="auto"/>
          <w:highlight w:val="none"/>
        </w:rPr>
        <w:t>各类证明材料</w:t>
      </w:r>
    </w:p>
    <w:p>
      <w:pPr>
        <w:pStyle w:val="23"/>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3"/>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3"/>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3"/>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3"/>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3"/>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3"/>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w:t>
      </w:r>
      <w:bookmarkEnd w:id="167"/>
    </w:p>
    <w:p>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9"/>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9"/>
        <w:autoSpaceDE w:val="0"/>
        <w:autoSpaceDN w:val="0"/>
        <w:spacing w:before="0" w:line="360" w:lineRule="auto"/>
        <w:ind w:left="0"/>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6"/>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9"/>
        <w:outlineLvl w:val="1"/>
        <w:rPr>
          <w:b/>
          <w:bCs/>
          <w:color w:val="auto"/>
          <w:highlight w:val="none"/>
          <w:lang w:val="en-US"/>
        </w:rPr>
      </w:pPr>
      <w:bookmarkStart w:id="169" w:name="_Toc25747"/>
      <w:r>
        <w:rPr>
          <w:rFonts w:hint="eastAsia"/>
          <w:b/>
          <w:bCs/>
          <w:color w:val="auto"/>
          <w:highlight w:val="none"/>
          <w:lang w:val="en-US"/>
        </w:rPr>
        <w:t>格式十</w:t>
      </w:r>
      <w:r>
        <w:rPr>
          <w:rFonts w:hint="eastAsia"/>
          <w:b/>
          <w:bCs/>
          <w:color w:val="auto"/>
          <w:highlight w:val="none"/>
          <w:lang w:val="en-US" w:eastAsia="zh-CN"/>
        </w:rPr>
        <w:t>七</w:t>
      </w:r>
      <w:r>
        <w:rPr>
          <w:rFonts w:hint="eastAsia"/>
          <w:b/>
          <w:bCs/>
          <w:color w:val="auto"/>
          <w:highlight w:val="none"/>
          <w:lang w:val="en-US"/>
        </w:rPr>
        <w:t>：</w:t>
      </w:r>
      <w:bookmarkEnd w:id="169"/>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9"/>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9"/>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9"/>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9"/>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3"/>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9"/>
        <w:tabs>
          <w:tab w:val="left" w:pos="10713"/>
        </w:tabs>
        <w:autoSpaceDE w:val="0"/>
        <w:autoSpaceDN w:val="0"/>
        <w:spacing w:before="0" w:line="360" w:lineRule="auto"/>
        <w:ind w:left="0" w:firstLine="420" w:firstLineChars="200"/>
        <w:rPr>
          <w:color w:val="auto"/>
          <w:sz w:val="21"/>
          <w:szCs w:val="21"/>
          <w:highlight w:val="none"/>
        </w:rPr>
      </w:pP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9"/>
        <w:tabs>
          <w:tab w:val="left" w:pos="3165"/>
          <w:tab w:val="left" w:pos="5818"/>
        </w:tabs>
        <w:autoSpaceDE w:val="0"/>
        <w:autoSpaceDN w:val="0"/>
        <w:spacing w:line="360" w:lineRule="auto"/>
        <w:ind w:left="0" w:firstLine="420" w:firstLineChars="200"/>
        <w:rPr>
          <w:color w:val="auto"/>
          <w:sz w:val="21"/>
          <w:szCs w:val="21"/>
          <w:highlight w:val="none"/>
        </w:rPr>
      </w:pPr>
    </w:p>
    <w:p>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9"/>
        <w:autoSpaceDE w:val="0"/>
        <w:autoSpaceDN w:val="0"/>
        <w:spacing w:line="360" w:lineRule="auto"/>
        <w:ind w:left="0" w:firstLine="420" w:firstLineChars="200"/>
        <w:rPr>
          <w:color w:val="auto"/>
          <w:sz w:val="21"/>
          <w:szCs w:val="21"/>
          <w:highlight w:val="none"/>
        </w:rPr>
      </w:pP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3"/>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3"/>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9"/>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9"/>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rPr>
        <w:rFonts w:hint="eastAsia" w:eastAsia="宋体"/>
        <w:lang w:eastAsia="zh-CN"/>
      </w:rPr>
    </w:pPr>
    <w:r>
      <w:rPr>
        <w:rFonts w:hint="eastAsia"/>
        <w:lang w:eastAsia="zh-CN"/>
      </w:rPr>
      <w:t>东莞市大朗镇鸣凤小学采购食材配送服务项目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22532AD9"/>
    <w:multiLevelType w:val="singleLevel"/>
    <w:tmpl w:val="22532AD9"/>
    <w:lvl w:ilvl="0" w:tentative="0">
      <w:start w:val="1"/>
      <w:numFmt w:val="decimal"/>
      <w:lvlText w:val="%1)"/>
      <w:lvlJc w:val="left"/>
      <w:pPr>
        <w:tabs>
          <w:tab w:val="left" w:pos="312"/>
        </w:tabs>
      </w:pPr>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0"/>
  </w:num>
  <w:num w:numId="4">
    <w:abstractNumId w:val="2"/>
  </w:num>
  <w:num w:numId="5">
    <w:abstractNumId w:val="3"/>
  </w:num>
  <w:num w:numId="6">
    <w:abstractNumId w:val="5"/>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625D1A"/>
    <w:rsid w:val="04DB103D"/>
    <w:rsid w:val="057C5CF6"/>
    <w:rsid w:val="05BE394B"/>
    <w:rsid w:val="061F2192"/>
    <w:rsid w:val="07342FC6"/>
    <w:rsid w:val="08F278CA"/>
    <w:rsid w:val="0A0A0DD2"/>
    <w:rsid w:val="0AAB1D08"/>
    <w:rsid w:val="0B5B7E94"/>
    <w:rsid w:val="0B696582"/>
    <w:rsid w:val="0C502C33"/>
    <w:rsid w:val="0CD41D0B"/>
    <w:rsid w:val="0D210F2B"/>
    <w:rsid w:val="0F1622A5"/>
    <w:rsid w:val="0F3021AE"/>
    <w:rsid w:val="0F576E3B"/>
    <w:rsid w:val="106106E5"/>
    <w:rsid w:val="121918AE"/>
    <w:rsid w:val="126E350F"/>
    <w:rsid w:val="13743125"/>
    <w:rsid w:val="14E42122"/>
    <w:rsid w:val="15380D0C"/>
    <w:rsid w:val="15D72029"/>
    <w:rsid w:val="161909DD"/>
    <w:rsid w:val="18062A99"/>
    <w:rsid w:val="1B1014E2"/>
    <w:rsid w:val="1BBB674D"/>
    <w:rsid w:val="1BC548EF"/>
    <w:rsid w:val="1BE705BF"/>
    <w:rsid w:val="1C8C2165"/>
    <w:rsid w:val="1DB725C0"/>
    <w:rsid w:val="1E440D57"/>
    <w:rsid w:val="20332F5E"/>
    <w:rsid w:val="204D444B"/>
    <w:rsid w:val="209314D4"/>
    <w:rsid w:val="213303ED"/>
    <w:rsid w:val="22177CBA"/>
    <w:rsid w:val="23477A98"/>
    <w:rsid w:val="244868B3"/>
    <w:rsid w:val="25170F6E"/>
    <w:rsid w:val="269A0871"/>
    <w:rsid w:val="278772B6"/>
    <w:rsid w:val="28416767"/>
    <w:rsid w:val="28991DCC"/>
    <w:rsid w:val="29C675EF"/>
    <w:rsid w:val="2A213986"/>
    <w:rsid w:val="2A89565E"/>
    <w:rsid w:val="2B775BA3"/>
    <w:rsid w:val="2D3A4F1C"/>
    <w:rsid w:val="2DE33D62"/>
    <w:rsid w:val="2DFE1A7A"/>
    <w:rsid w:val="2E462ABD"/>
    <w:rsid w:val="2ED653F0"/>
    <w:rsid w:val="2F4F681A"/>
    <w:rsid w:val="2FE55D43"/>
    <w:rsid w:val="30C474C2"/>
    <w:rsid w:val="3158095E"/>
    <w:rsid w:val="31ED0D4A"/>
    <w:rsid w:val="32243FC1"/>
    <w:rsid w:val="34BE4BEB"/>
    <w:rsid w:val="35C1129C"/>
    <w:rsid w:val="36663D7E"/>
    <w:rsid w:val="36F40CDF"/>
    <w:rsid w:val="372D3A3D"/>
    <w:rsid w:val="373F6180"/>
    <w:rsid w:val="37423885"/>
    <w:rsid w:val="377F48C7"/>
    <w:rsid w:val="37A82279"/>
    <w:rsid w:val="38D064F5"/>
    <w:rsid w:val="39975486"/>
    <w:rsid w:val="3A730680"/>
    <w:rsid w:val="3B2A432E"/>
    <w:rsid w:val="3C5337E0"/>
    <w:rsid w:val="3C8E00EA"/>
    <w:rsid w:val="3E0202C6"/>
    <w:rsid w:val="402A5D84"/>
    <w:rsid w:val="424D0A23"/>
    <w:rsid w:val="43143B39"/>
    <w:rsid w:val="438833C2"/>
    <w:rsid w:val="45194F13"/>
    <w:rsid w:val="468A6BFD"/>
    <w:rsid w:val="474D06F4"/>
    <w:rsid w:val="47735BD0"/>
    <w:rsid w:val="47B26417"/>
    <w:rsid w:val="47BB609D"/>
    <w:rsid w:val="47CA196A"/>
    <w:rsid w:val="481D3236"/>
    <w:rsid w:val="489659DD"/>
    <w:rsid w:val="498145E0"/>
    <w:rsid w:val="4B783BB4"/>
    <w:rsid w:val="4BE07E65"/>
    <w:rsid w:val="4C573AD4"/>
    <w:rsid w:val="4DAA2866"/>
    <w:rsid w:val="4F2676D5"/>
    <w:rsid w:val="5112378D"/>
    <w:rsid w:val="512813D0"/>
    <w:rsid w:val="525B07C5"/>
    <w:rsid w:val="52E14EC4"/>
    <w:rsid w:val="530D44D2"/>
    <w:rsid w:val="53F51E89"/>
    <w:rsid w:val="56F037AD"/>
    <w:rsid w:val="57EE60DD"/>
    <w:rsid w:val="5A1A1C34"/>
    <w:rsid w:val="5AB06264"/>
    <w:rsid w:val="5B812734"/>
    <w:rsid w:val="5BE04967"/>
    <w:rsid w:val="5C015C21"/>
    <w:rsid w:val="5CB334B0"/>
    <w:rsid w:val="5D744988"/>
    <w:rsid w:val="5D7B6DDF"/>
    <w:rsid w:val="5DFB7E48"/>
    <w:rsid w:val="5E720F58"/>
    <w:rsid w:val="622349C8"/>
    <w:rsid w:val="64344366"/>
    <w:rsid w:val="64D3048A"/>
    <w:rsid w:val="6516700E"/>
    <w:rsid w:val="65851F87"/>
    <w:rsid w:val="66CA48D2"/>
    <w:rsid w:val="67083DFE"/>
    <w:rsid w:val="68226450"/>
    <w:rsid w:val="687065DC"/>
    <w:rsid w:val="69FB3BA8"/>
    <w:rsid w:val="6DEB2E59"/>
    <w:rsid w:val="6E003853"/>
    <w:rsid w:val="6ECE5FF3"/>
    <w:rsid w:val="6ED74C74"/>
    <w:rsid w:val="6F1E75D5"/>
    <w:rsid w:val="6F566CB3"/>
    <w:rsid w:val="6FE10E88"/>
    <w:rsid w:val="70323266"/>
    <w:rsid w:val="7152191D"/>
    <w:rsid w:val="717F42C4"/>
    <w:rsid w:val="7479143D"/>
    <w:rsid w:val="74951BFB"/>
    <w:rsid w:val="74F71418"/>
    <w:rsid w:val="79A13FB1"/>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5"/>
    <w:autoRedefine/>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w:basedOn w:val="1"/>
    <w:next w:val="1"/>
    <w:autoRedefine/>
    <w:qFormat/>
    <w:uiPriority w:val="1"/>
    <w:pPr>
      <w:spacing w:before="161"/>
      <w:ind w:left="120"/>
    </w:pPr>
    <w:rPr>
      <w:rFonts w:ascii="宋体" w:hAnsi="宋体" w:cs="宋体"/>
      <w:sz w:val="24"/>
      <w:lang w:val="zh-CN" w:bidi="zh-CN"/>
    </w:rPr>
  </w:style>
  <w:style w:type="paragraph" w:styleId="10">
    <w:name w:val="Body Text Indent"/>
    <w:basedOn w:val="1"/>
    <w:autoRedefine/>
    <w:qFormat/>
    <w:uiPriority w:val="0"/>
    <w:pPr>
      <w:spacing w:after="120"/>
      <w:ind w:left="420" w:leftChars="200"/>
    </w:pPr>
  </w:style>
  <w:style w:type="paragraph" w:styleId="11">
    <w:name w:val="toc 5"/>
    <w:basedOn w:val="1"/>
    <w:next w:val="1"/>
    <w:autoRedefine/>
    <w:qFormat/>
    <w:uiPriority w:val="39"/>
    <w:pPr>
      <w:widowControl w:val="0"/>
      <w:ind w:left="1680"/>
      <w:jc w:val="both"/>
    </w:pPr>
    <w:rPr>
      <w:kern w:val="2"/>
    </w:rPr>
  </w:style>
  <w:style w:type="paragraph" w:styleId="12">
    <w:name w:val="Plain Text"/>
    <w:basedOn w:val="1"/>
    <w:qFormat/>
    <w:uiPriority w:val="0"/>
    <w:rPr>
      <w:rFonts w:ascii="宋体" w:hAnsi="Courier New" w:eastAsiaTheme="minorEastAsia"/>
      <w:szCs w:val="22"/>
    </w:rPr>
  </w:style>
  <w:style w:type="paragraph" w:styleId="13">
    <w:name w:val="Balloon Text"/>
    <w:basedOn w:val="1"/>
    <w:link w:val="3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Body Text First Indent 2"/>
    <w:basedOn w:val="10"/>
    <w:autoRedefine/>
    <w:qFormat/>
    <w:uiPriority w:val="0"/>
    <w:pPr>
      <w:spacing w:line="360" w:lineRule="auto"/>
      <w:ind w:firstLine="420" w:firstLineChars="200"/>
    </w:pPr>
    <w:rPr>
      <w:bCs/>
      <w:szCs w:val="21"/>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character" w:styleId="22">
    <w:name w:val="annotation reference"/>
    <w:basedOn w:val="19"/>
    <w:autoRedefine/>
    <w:qFormat/>
    <w:uiPriority w:val="0"/>
    <w:rPr>
      <w:sz w:val="21"/>
      <w:szCs w:val="21"/>
    </w:rPr>
  </w:style>
  <w:style w:type="paragraph" w:styleId="23">
    <w:name w:val="List Paragraph"/>
    <w:basedOn w:val="1"/>
    <w:autoRedefine/>
    <w:qFormat/>
    <w:uiPriority w:val="34"/>
    <w:pPr>
      <w:ind w:firstLine="420" w:firstLineChars="200"/>
    </w:pPr>
  </w:style>
  <w:style w:type="paragraph" w:customStyle="1" w:styleId="24">
    <w:name w:val="列出段落1"/>
    <w:basedOn w:val="1"/>
    <w:autoRedefine/>
    <w:qFormat/>
    <w:uiPriority w:val="0"/>
    <w:pPr>
      <w:ind w:firstLine="420" w:firstLineChars="200"/>
    </w:pPr>
    <w:rPr>
      <w:rFonts w:ascii="Calibri" w:hAnsi="Calibri"/>
      <w:kern w:val="0"/>
      <w:sz w:val="20"/>
      <w:szCs w:val="20"/>
    </w:rPr>
  </w:style>
  <w:style w:type="character" w:customStyle="1" w:styleId="25">
    <w:name w:val="标题 1 Char"/>
    <w:link w:val="3"/>
    <w:autoRedefine/>
    <w:qFormat/>
    <w:uiPriority w:val="0"/>
    <w:rPr>
      <w:b/>
      <w:kern w:val="44"/>
      <w:sz w:val="30"/>
    </w:rPr>
  </w:style>
  <w:style w:type="paragraph" w:customStyle="1" w:styleId="26">
    <w:name w:val="Table Paragraph"/>
    <w:basedOn w:val="1"/>
    <w:autoRedefine/>
    <w:qFormat/>
    <w:uiPriority w:val="1"/>
  </w:style>
  <w:style w:type="paragraph" w:customStyle="1" w:styleId="27">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 w:type="paragraph" w:customStyle="1" w:styleId="29">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31">
    <w:name w:val="批注框文本 Char"/>
    <w:basedOn w:val="19"/>
    <w:link w:val="13"/>
    <w:autoRedefine/>
    <w:qFormat/>
    <w:uiPriority w:val="0"/>
    <w:rPr>
      <w:rFonts w:asciiTheme="minorHAnsi" w:hAnsiTheme="minorHAnsi" w:cstheme="minorBidi"/>
      <w:kern w:val="2"/>
      <w:sz w:val="18"/>
      <w:szCs w:val="18"/>
    </w:rPr>
  </w:style>
  <w:style w:type="paragraph" w:customStyle="1" w:styleId="32">
    <w:name w:val="Other|1"/>
    <w:basedOn w:val="1"/>
    <w:autoRedefine/>
    <w:qFormat/>
    <w:uiPriority w:val="0"/>
    <w:pPr>
      <w:jc w:val="center"/>
    </w:pPr>
    <w:rPr>
      <w:rFonts w:ascii="宋体" w:hAnsi="宋体" w:cs="宋体"/>
      <w:sz w:val="14"/>
      <w:szCs w:val="14"/>
      <w:lang w:val="zh-TW" w:eastAsia="zh-TW" w:bidi="zh-TW"/>
    </w:rPr>
  </w:style>
  <w:style w:type="paragraph" w:customStyle="1" w:styleId="33">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4">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79</Pages>
  <Words>42349</Words>
  <Characters>43343</Characters>
  <Lines>343</Lines>
  <Paragraphs>96</Paragraphs>
  <TotalTime>4</TotalTime>
  <ScaleCrop>false</ScaleCrop>
  <LinksUpToDate>false</LinksUpToDate>
  <CharactersWithSpaces>44844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2023-08-02T07:33:00Z</cp:lastPrinted>
  <dcterms:modified xsi:type="dcterms:W3CDTF">2024-06-06T01:30:42Z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155764ABAB8F40C690D9B216AEC2D7B0_13</vt:lpwstr>
  </property>
</Properties>
</file>