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color w:val="auto"/>
          <w:highlight w:val="none"/>
        </w:rPr>
      </w:pPr>
    </w:p>
    <w:p>
      <w:pPr>
        <w:jc w:val="center"/>
        <w:rPr>
          <w:color w:val="auto"/>
          <w:highlight w:val="none"/>
        </w:rPr>
      </w:pPr>
    </w:p>
    <w:p>
      <w:pPr>
        <w:spacing w:beforeLines="50"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pPr>
        <w:spacing w:beforeLines="50"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9" cstate="print"/>
                    <a:stretch>
                      <a:fillRect/>
                    </a:stretch>
                  </pic:blipFill>
                  <pic:spPr>
                    <a:xfrm>
                      <a:off x="0" y="0"/>
                      <a:ext cx="1563370" cy="1588135"/>
                    </a:xfrm>
                    <a:prstGeom prst="rect">
                      <a:avLst/>
                    </a:prstGeom>
                  </pic:spPr>
                </pic:pic>
              </a:graphicData>
            </a:graphic>
          </wp:inline>
        </w:drawing>
      </w:r>
    </w:p>
    <w:p>
      <w:pPr>
        <w:rPr>
          <w:color w:val="auto"/>
          <w:highlight w:val="none"/>
        </w:rPr>
      </w:pPr>
    </w:p>
    <w:p>
      <w:pPr>
        <w:rPr>
          <w:color w:val="auto"/>
          <w:highlight w:val="none"/>
        </w:rPr>
      </w:pP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9"/>
        <w:gridCol w:w="6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1308"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691"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东坑镇黄屋村环卫清扫保洁、生活垃圾收集、“牛皮癣”清理、绿化养护服务采购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08"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691"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GSDG2024-015C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08"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3691"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东莞市东坑镇黄屋股份经济联合社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08"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691"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pPr>
        <w:rPr>
          <w:color w:val="auto"/>
          <w:highlight w:val="none"/>
        </w:rPr>
      </w:pPr>
    </w:p>
    <w:p>
      <w:pPr>
        <w:jc w:val="center"/>
        <w:rPr>
          <w:color w:val="auto"/>
          <w:sz w:val="24"/>
          <w:szCs w:val="32"/>
          <w:highlight w:val="none"/>
        </w:rPr>
      </w:pPr>
    </w:p>
    <w:p>
      <w:pPr>
        <w:jc w:val="center"/>
        <w:rPr>
          <w:color w:val="auto"/>
          <w:sz w:val="24"/>
          <w:szCs w:val="32"/>
          <w:highlight w:val="none"/>
        </w:rPr>
      </w:pPr>
    </w:p>
    <w:p>
      <w:pPr>
        <w:jc w:val="center"/>
        <w:outlineLvl w:val="0"/>
        <w:rPr>
          <w:rFonts w:ascii="黑体" w:hAnsi="黑体" w:eastAsia="黑体" w:cs="黑体"/>
          <w:color w:val="auto"/>
          <w:sz w:val="30"/>
          <w:szCs w:val="30"/>
          <w:highlight w:val="none"/>
        </w:rPr>
        <w:sectPr>
          <w:headerReference r:id="rId3" w:type="default"/>
          <w:headerReference r:id="rId4"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2" w:name="_Toc5265"/>
      <w:r>
        <w:rPr>
          <w:rFonts w:hint="eastAsia" w:ascii="黑体" w:hAnsi="黑体" w:eastAsia="黑体" w:cs="黑体"/>
          <w:color w:val="auto"/>
          <w:sz w:val="30"/>
          <w:szCs w:val="30"/>
          <w:highlight w:val="none"/>
        </w:rPr>
        <w:t>202</w:t>
      </w:r>
      <w:r>
        <w:rPr>
          <w:rFonts w:hint="eastAsia" w:ascii="黑体" w:hAnsi="黑体" w:eastAsia="黑体" w:cs="黑体"/>
          <w:color w:val="auto"/>
          <w:sz w:val="30"/>
          <w:szCs w:val="30"/>
          <w:highlight w:val="none"/>
          <w:lang w:val="en-US" w:eastAsia="zh-CN"/>
        </w:rPr>
        <w:t>4</w:t>
      </w:r>
      <w:r>
        <w:rPr>
          <w:rFonts w:hint="eastAsia" w:ascii="黑体" w:hAnsi="黑体" w:eastAsia="黑体" w:cs="黑体"/>
          <w:color w:val="auto"/>
          <w:sz w:val="30"/>
          <w:szCs w:val="30"/>
          <w:highlight w:val="none"/>
        </w:rPr>
        <w:t>年</w:t>
      </w:r>
      <w:r>
        <w:rPr>
          <w:rFonts w:hint="eastAsia" w:ascii="黑体" w:hAnsi="黑体" w:eastAsia="黑体" w:cs="黑体"/>
          <w:color w:val="auto"/>
          <w:sz w:val="30"/>
          <w:szCs w:val="30"/>
          <w:highlight w:val="none"/>
          <w:lang w:val="en-US" w:eastAsia="zh-CN"/>
        </w:rPr>
        <w:t>7</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25</w:t>
      </w:r>
      <w:r>
        <w:rPr>
          <w:rFonts w:hint="eastAsia" w:ascii="黑体" w:hAnsi="黑体" w:eastAsia="黑体" w:cs="黑体"/>
          <w:color w:val="auto"/>
          <w:sz w:val="30"/>
          <w:szCs w:val="30"/>
          <w:highlight w:val="none"/>
        </w:rPr>
        <w:t>日</w:t>
      </w:r>
      <w:bookmarkEnd w:id="2"/>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pPr>
            <w:jc w:val="center"/>
            <w:rPr>
              <w:b/>
              <w:bCs/>
              <w:color w:val="auto"/>
              <w:sz w:val="24"/>
              <w:szCs w:val="32"/>
              <w:highlight w:val="none"/>
            </w:rPr>
          </w:pPr>
          <w:r>
            <w:rPr>
              <w:rFonts w:ascii="宋体" w:hAnsi="宋体"/>
              <w:b/>
              <w:bCs/>
              <w:color w:val="auto"/>
              <w:sz w:val="24"/>
              <w:szCs w:val="32"/>
              <w:highlight w:val="none"/>
            </w:rPr>
            <w:t>目录</w:t>
          </w:r>
        </w:p>
        <w:p>
          <w:pPr>
            <w:pStyle w:val="24"/>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w:t>
          </w:r>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3"/>
        <w:numPr>
          <w:ilvl w:val="0"/>
          <w:numId w:val="1"/>
        </w:numPr>
        <w:rPr>
          <w:color w:val="auto"/>
          <w:highlight w:val="none"/>
        </w:rPr>
      </w:pPr>
      <w:bookmarkStart w:id="3" w:name="_Toc6185"/>
      <w:r>
        <w:rPr>
          <w:rFonts w:hint="eastAsia"/>
          <w:color w:val="auto"/>
          <w:highlight w:val="none"/>
        </w:rPr>
        <w:t>投标邀请</w:t>
      </w:r>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东坑镇黄屋村环卫清扫保洁、生活垃圾收集、“牛皮癣”清理、绿化养护服务采购</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w:t>
      </w:r>
      <w:r>
        <w:rPr>
          <w:rFonts w:hint="eastAsia" w:ascii="宋体" w:hAnsi="宋体" w:cs="宋体"/>
          <w:b/>
          <w:bCs/>
          <w:color w:val="auto"/>
          <w:szCs w:val="21"/>
          <w:highlight w:val="none"/>
          <w:u w:val="single"/>
          <w:lang w:eastAsia="zh-CN"/>
        </w:rPr>
        <w:t>13A层01</w:t>
      </w:r>
      <w:r>
        <w:rPr>
          <w:rFonts w:hint="eastAsia" w:ascii="宋体" w:hAnsi="宋体" w:cs="宋体"/>
          <w:b/>
          <w:bCs/>
          <w:color w:val="auto"/>
          <w:szCs w:val="21"/>
          <w:highlight w:val="none"/>
          <w:u w:val="single"/>
        </w:rPr>
        <w:t>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w:t>
      </w:r>
      <w:r>
        <w:rPr>
          <w:rFonts w:hint="eastAsia" w:ascii="宋体" w:hAnsi="宋体" w:cs="宋体"/>
          <w:b/>
          <w:bCs/>
          <w:color w:val="auto"/>
          <w:szCs w:val="21"/>
          <w:highlight w:val="none"/>
          <w:u w:val="single"/>
          <w:lang w:val="en-US" w:eastAsia="zh-CN"/>
        </w:rPr>
        <w:t>4</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15</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15</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00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pPr>
        <w:pStyle w:val="2"/>
        <w:spacing w:line="360" w:lineRule="auto"/>
        <w:jc w:val="left"/>
        <w:rPr>
          <w:rFonts w:ascii="宋体" w:hAnsi="宋体" w:cs="宋体"/>
          <w:bCs/>
          <w:color w:val="auto"/>
          <w:sz w:val="21"/>
          <w:szCs w:val="21"/>
          <w:highlight w:val="none"/>
        </w:rPr>
      </w:pPr>
      <w:bookmarkStart w:id="4" w:name="_Toc28359002"/>
      <w:bookmarkStart w:id="5" w:name="_Toc35393621"/>
      <w:bookmarkStart w:id="6" w:name="_Toc28359079"/>
      <w:bookmarkStart w:id="7" w:name="_Toc2169"/>
      <w:bookmarkStart w:id="8" w:name="_Toc35393790"/>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GSDG2024-015C</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东坑镇黄屋村环卫清扫保洁、生活垃圾收集、“牛</w:t>
      </w:r>
      <w:bookmarkStart w:id="211" w:name="_GoBack"/>
      <w:bookmarkEnd w:id="211"/>
      <w:r>
        <w:rPr>
          <w:rFonts w:hint="eastAsia" w:ascii="宋体" w:hAnsi="宋体" w:cs="宋体"/>
          <w:color w:val="auto"/>
          <w:szCs w:val="21"/>
          <w:highlight w:val="none"/>
          <w:lang w:eastAsia="zh-CN"/>
        </w:rPr>
        <w:t>皮癣”清理、绿化养护服务采购</w:t>
      </w:r>
    </w:p>
    <w:bookmarkEnd w:id="9"/>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项目预算</w:t>
      </w:r>
      <w:r>
        <w:rPr>
          <w:rFonts w:hint="eastAsia" w:ascii="宋体" w:hAnsi="宋体" w:cs="宋体"/>
          <w:color w:val="auto"/>
          <w:szCs w:val="21"/>
          <w:highlight w:val="none"/>
        </w:rPr>
        <w:t>：</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4,896,000.00</w:t>
      </w:r>
      <w:r>
        <w:rPr>
          <w:rFonts w:hint="eastAsia" w:ascii="宋体" w:hAnsi="宋体" w:cs="宋体"/>
          <w:b/>
          <w:bCs/>
          <w:color w:val="auto"/>
          <w:szCs w:val="21"/>
          <w:highlight w:val="none"/>
        </w:rPr>
        <w:t>元</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136,000.00元/月</w:t>
      </w:r>
      <w:r>
        <w:rPr>
          <w:rFonts w:hint="eastAsia" w:ascii="宋体" w:hAnsi="宋体" w:cs="宋体"/>
          <w:b/>
          <w:bCs/>
          <w:color w:val="auto"/>
          <w:szCs w:val="21"/>
          <w:highlight w:val="none"/>
          <w:lang w:eastAsia="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3680"/>
        <w:gridCol w:w="4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7" w:type="dxa"/>
            <w:vAlign w:val="center"/>
          </w:tcPr>
          <w:p>
            <w:pPr>
              <w:spacing w:line="360" w:lineRule="auto"/>
              <w:jc w:val="center"/>
              <w:rPr>
                <w:rFonts w:hAnsi="宋体"/>
                <w:color w:val="auto"/>
                <w:szCs w:val="21"/>
                <w:highlight w:val="none"/>
              </w:rPr>
            </w:pPr>
            <w:r>
              <w:rPr>
                <w:rFonts w:hint="eastAsia" w:hAnsi="宋体"/>
                <w:color w:val="auto"/>
                <w:szCs w:val="21"/>
                <w:highlight w:val="none"/>
              </w:rPr>
              <w:t>包号</w:t>
            </w:r>
          </w:p>
        </w:tc>
        <w:tc>
          <w:tcPr>
            <w:tcW w:w="3680" w:type="dxa"/>
            <w:vAlign w:val="center"/>
          </w:tcPr>
          <w:p>
            <w:pPr>
              <w:spacing w:line="360" w:lineRule="auto"/>
              <w:jc w:val="center"/>
              <w:rPr>
                <w:rFonts w:hAnsi="宋体"/>
                <w:color w:val="auto"/>
                <w:szCs w:val="21"/>
                <w:highlight w:val="none"/>
              </w:rPr>
            </w:pPr>
            <w:r>
              <w:rPr>
                <w:rFonts w:hint="eastAsia" w:hAnsi="宋体"/>
                <w:b/>
                <w:color w:val="auto"/>
                <w:szCs w:val="21"/>
                <w:highlight w:val="none"/>
              </w:rPr>
              <w:t>项目内容</w:t>
            </w:r>
          </w:p>
        </w:tc>
        <w:tc>
          <w:tcPr>
            <w:tcW w:w="4017" w:type="dxa"/>
            <w:vAlign w:val="center"/>
          </w:tcPr>
          <w:p>
            <w:pPr>
              <w:spacing w:line="360" w:lineRule="auto"/>
              <w:jc w:val="center"/>
              <w:rPr>
                <w:rFonts w:hAnsi="宋体"/>
                <w:b/>
                <w:color w:val="auto"/>
                <w:szCs w:val="21"/>
                <w:highlight w:val="none"/>
              </w:rPr>
            </w:pPr>
            <w:r>
              <w:rPr>
                <w:rFonts w:hint="eastAsia" w:hAnsi="宋体"/>
                <w:b/>
                <w:color w:val="auto"/>
                <w:szCs w:val="21"/>
                <w:highlight w:val="none"/>
                <w:lang w:val="en-US" w:eastAsia="zh-CN"/>
              </w:rPr>
              <w:t>服务</w:t>
            </w:r>
            <w:r>
              <w:rPr>
                <w:rFonts w:hint="eastAsia" w:hAnsi="宋体"/>
                <w:b/>
                <w:color w:val="auto"/>
                <w:szCs w:val="21"/>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717" w:type="dxa"/>
            <w:vAlign w:val="center"/>
          </w:tcPr>
          <w:p>
            <w:pPr>
              <w:spacing w:line="360" w:lineRule="auto"/>
              <w:jc w:val="center"/>
              <w:rPr>
                <w:rFonts w:hAnsi="宋体"/>
                <w:color w:val="auto"/>
                <w:szCs w:val="21"/>
                <w:highlight w:val="none"/>
              </w:rPr>
            </w:pPr>
            <w:r>
              <w:rPr>
                <w:rFonts w:hint="eastAsia" w:hAnsi="宋体"/>
                <w:color w:val="auto"/>
                <w:szCs w:val="21"/>
                <w:highlight w:val="none"/>
              </w:rPr>
              <w:t>包A</w:t>
            </w:r>
          </w:p>
        </w:tc>
        <w:tc>
          <w:tcPr>
            <w:tcW w:w="3680" w:type="dxa"/>
            <w:vAlign w:val="center"/>
          </w:tcPr>
          <w:p>
            <w:pPr>
              <w:spacing w:line="360" w:lineRule="auto"/>
              <w:jc w:val="center"/>
              <w:rPr>
                <w:rFonts w:hAnsi="宋体"/>
                <w:color w:val="auto"/>
                <w:szCs w:val="21"/>
                <w:highlight w:val="none"/>
              </w:rPr>
            </w:pPr>
            <w:r>
              <w:rPr>
                <w:rFonts w:hint="eastAsia" w:ascii="宋体" w:hAnsi="宋体" w:cs="宋体"/>
                <w:color w:val="auto"/>
                <w:szCs w:val="21"/>
                <w:highlight w:val="none"/>
                <w:lang w:eastAsia="zh-CN"/>
              </w:rPr>
              <w:t>东坑镇黄屋村环卫清扫保洁、生活垃圾收集、“牛皮癣”清理、绿化养护服务</w:t>
            </w:r>
            <w:r>
              <w:rPr>
                <w:rFonts w:hint="eastAsia" w:ascii="宋体" w:hAnsi="宋体" w:cs="宋体"/>
                <w:color w:val="auto"/>
                <w:szCs w:val="21"/>
                <w:highlight w:val="none"/>
                <w:lang w:val="en-US" w:eastAsia="zh-CN"/>
              </w:rPr>
              <w:t>采购</w:t>
            </w:r>
            <w:r>
              <w:rPr>
                <w:rFonts w:hint="eastAsia" w:hAnsi="宋体"/>
                <w:color w:val="auto"/>
                <w:szCs w:val="21"/>
                <w:highlight w:val="none"/>
              </w:rPr>
              <w:t>一项</w:t>
            </w:r>
          </w:p>
        </w:tc>
        <w:tc>
          <w:tcPr>
            <w:tcW w:w="4017" w:type="dxa"/>
            <w:vAlign w:val="center"/>
          </w:tcPr>
          <w:p>
            <w:pPr>
              <w:spacing w:line="360" w:lineRule="auto"/>
              <w:jc w:val="center"/>
              <w:rPr>
                <w:rFonts w:hint="default" w:hAnsi="宋体" w:eastAsia="宋体"/>
                <w:color w:val="auto"/>
                <w:szCs w:val="21"/>
                <w:highlight w:val="none"/>
                <w:lang w:val="en-US" w:eastAsia="zh-CN"/>
              </w:rPr>
            </w:pPr>
            <w:r>
              <w:rPr>
                <w:rFonts w:hint="eastAsia" w:hAnsi="宋体"/>
                <w:color w:val="auto"/>
                <w:szCs w:val="21"/>
                <w:highlight w:val="none"/>
                <w:lang w:val="en-US" w:eastAsia="zh-CN"/>
              </w:rPr>
              <w:t>自合同签订之日起三年</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2024年9月1日-2027年8月31日，具体时间以通知为准</w:t>
            </w:r>
            <w:r>
              <w:rPr>
                <w:rFonts w:hint="eastAsia" w:ascii="宋体" w:hAnsi="宋体"/>
                <w:color w:val="auto"/>
                <w:szCs w:val="21"/>
                <w:highlight w:val="none"/>
                <w:lang w:eastAsia="zh-CN"/>
              </w:rPr>
              <w:t>）</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pPr>
        <w:pStyle w:val="2"/>
        <w:spacing w:line="360" w:lineRule="auto"/>
        <w:jc w:val="left"/>
        <w:rPr>
          <w:rFonts w:ascii="宋体" w:hAnsi="宋体" w:cs="宋体"/>
          <w:b w:val="0"/>
          <w:color w:val="auto"/>
          <w:sz w:val="21"/>
          <w:szCs w:val="21"/>
          <w:highlight w:val="none"/>
        </w:rPr>
      </w:pPr>
      <w:bookmarkStart w:id="10" w:name="_Toc28359003"/>
      <w:bookmarkStart w:id="11" w:name="_Toc35393791"/>
      <w:bookmarkStart w:id="12" w:name="_Toc25198"/>
      <w:bookmarkStart w:id="13" w:name="_Toc28359080"/>
      <w:bookmarkStart w:id="14" w:name="_Toc35393622"/>
      <w:r>
        <w:rPr>
          <w:rFonts w:hint="eastAsia" w:ascii="宋体" w:hAnsi="宋体" w:cs="宋体"/>
          <w:bCs/>
          <w:color w:val="auto"/>
          <w:sz w:val="21"/>
          <w:szCs w:val="21"/>
          <w:highlight w:val="none"/>
        </w:rPr>
        <w:t>二、申请人的资格要求：</w:t>
      </w:r>
      <w:bookmarkEnd w:id="10"/>
      <w:bookmarkEnd w:id="11"/>
      <w:bookmarkEnd w:id="12"/>
      <w:bookmarkEnd w:id="13"/>
      <w:bookmarkEnd w:id="14"/>
    </w:p>
    <w:p>
      <w:pPr>
        <w:widowControl/>
        <w:spacing w:line="360" w:lineRule="auto"/>
        <w:ind w:firstLine="420" w:firstLineChars="200"/>
        <w:outlineLvl w:val="2"/>
        <w:rPr>
          <w:rFonts w:ascii="宋体" w:hAnsi="宋体"/>
          <w:color w:val="auto"/>
          <w:szCs w:val="21"/>
          <w:highlight w:val="none"/>
        </w:rPr>
      </w:pPr>
      <w:bookmarkStart w:id="15" w:name="_Toc16211"/>
      <w:bookmarkStart w:id="16" w:name="_Toc28359004"/>
      <w:bookmarkStart w:id="17" w:name="_Toc28359081"/>
      <w:r>
        <w:rPr>
          <w:rFonts w:hint="eastAsia" w:ascii="宋体" w:hAnsi="宋体"/>
          <w:color w:val="auto"/>
          <w:szCs w:val="21"/>
          <w:highlight w:val="none"/>
        </w:rPr>
        <w:t>1.投标供应商应具备</w:t>
      </w:r>
      <w:r>
        <w:rPr>
          <w:rFonts w:hint="eastAsia" w:ascii="宋体" w:hAnsi="宋体"/>
          <w:color w:val="auto"/>
          <w:szCs w:val="21"/>
          <w:highlight w:val="none"/>
          <w:lang w:val="en-US" w:eastAsia="zh-CN"/>
        </w:rPr>
        <w:t>的</w:t>
      </w:r>
      <w:r>
        <w:rPr>
          <w:rFonts w:hint="eastAsia" w:ascii="宋体" w:hAnsi="宋体"/>
          <w:color w:val="auto"/>
          <w:szCs w:val="21"/>
          <w:highlight w:val="none"/>
        </w:rPr>
        <w:t>条件，提供下列材料：</w:t>
      </w:r>
      <w:bookmarkEnd w:id="15"/>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w:t>
      </w:r>
      <w:r>
        <w:rPr>
          <w:rFonts w:hint="eastAsia" w:ascii="宋体" w:hAnsi="宋体"/>
          <w:color w:val="auto"/>
          <w:szCs w:val="21"/>
          <w:highlight w:val="none"/>
          <w:lang w:eastAsia="zh-CN"/>
        </w:rPr>
        <w:t>（提供相关证明资料或参考响应文件格式“资格条件声明函”作相关承诺</w:t>
      </w:r>
      <w:r>
        <w:rPr>
          <w:rFonts w:hint="eastAsia" w:ascii="宋体" w:hAnsi="宋体"/>
          <w:color w:val="auto"/>
          <w:szCs w:val="21"/>
          <w:highlight w:val="none"/>
        </w:rPr>
        <w:t>）</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w:t>
      </w:r>
      <w:r>
        <w:rPr>
          <w:rFonts w:hint="eastAsia" w:ascii="宋体" w:hAnsi="宋体"/>
          <w:color w:val="auto"/>
          <w:szCs w:val="21"/>
          <w:highlight w:val="none"/>
          <w:lang w:val="en-US" w:eastAsia="zh-CN"/>
        </w:rPr>
        <w:t>2022年度</w:t>
      </w:r>
      <w:r>
        <w:rPr>
          <w:rFonts w:hint="eastAsia" w:ascii="宋体" w:hAnsi="宋体"/>
          <w:color w:val="auto"/>
          <w:szCs w:val="21"/>
          <w:highlight w:val="none"/>
        </w:rPr>
        <w:t>财务状况报告或基本开户行出具的资信证明）。</w:t>
      </w:r>
      <w:r>
        <w:rPr>
          <w:rFonts w:hint="eastAsia" w:ascii="宋体" w:hAnsi="宋体"/>
          <w:color w:val="auto"/>
          <w:szCs w:val="21"/>
          <w:highlight w:val="none"/>
          <w:lang w:eastAsia="zh-CN"/>
        </w:rPr>
        <w:t>（提供相关证明资料或参考响应文件格式“资格条件声明函”作相关承诺</w:t>
      </w:r>
      <w:r>
        <w:rPr>
          <w:rFonts w:hint="eastAsia" w:ascii="宋体" w:hAnsi="宋体"/>
          <w:color w:val="auto"/>
          <w:szCs w:val="21"/>
          <w:highlight w:val="none"/>
        </w:rPr>
        <w:t>）</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ascii="宋体" w:hAnsi="宋体"/>
          <w:color w:val="auto"/>
          <w:szCs w:val="21"/>
          <w:highlight w:val="none"/>
          <w:lang w:eastAsia="zh-CN"/>
        </w:rPr>
        <w:t>（提供相关证明资料或参考响应文件格式“资格条件声明函”作相关承诺</w:t>
      </w:r>
      <w:r>
        <w:rPr>
          <w:rFonts w:hint="eastAsia" w:ascii="宋体" w:hAnsi="宋体"/>
          <w:color w:val="auto"/>
          <w:szCs w:val="21"/>
          <w:highlight w:val="none"/>
        </w:rPr>
        <w:t>）</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6）信用记录：供应商未被列入“信用中国”网站</w:t>
      </w:r>
      <w:r>
        <w:rPr>
          <w:rFonts w:hint="eastAsia" w:ascii="宋体" w:hAnsi="宋体"/>
          <w:color w:val="auto"/>
          <w:szCs w:val="21"/>
          <w:highlight w:val="none"/>
          <w:lang w:eastAsia="zh-CN"/>
        </w:rPr>
        <w:t>（</w:t>
      </w:r>
      <w:r>
        <w:rPr>
          <w:rFonts w:hint="eastAsia" w:ascii="宋体" w:hAnsi="宋体"/>
          <w:color w:val="auto"/>
          <w:szCs w:val="21"/>
          <w:highlight w:val="none"/>
        </w:rPr>
        <w:t>www.creditchina.gov.cn)“记录失信被执行人或</w:t>
      </w:r>
      <w:r>
        <w:rPr>
          <w:rFonts w:hint="eastAsia" w:ascii="宋体" w:hAnsi="宋体"/>
          <w:color w:val="auto"/>
          <w:szCs w:val="21"/>
          <w:highlight w:val="none"/>
          <w:lang w:eastAsia="zh-CN"/>
        </w:rPr>
        <w:t>税收违法黑名单</w:t>
      </w:r>
      <w:r>
        <w:rPr>
          <w:rFonts w:hint="eastAsia" w:ascii="宋体" w:hAnsi="宋体"/>
          <w:color w:val="auto"/>
          <w:szCs w:val="21"/>
          <w:highlight w:val="none"/>
        </w:rPr>
        <w:t>”记录名单；不处于中国政府采购网</w:t>
      </w:r>
      <w:r>
        <w:rPr>
          <w:rFonts w:hint="eastAsia" w:ascii="宋体" w:hAnsi="宋体"/>
          <w:color w:val="auto"/>
          <w:szCs w:val="21"/>
          <w:highlight w:val="none"/>
          <w:lang w:eastAsia="zh-CN"/>
        </w:rPr>
        <w:t>（</w:t>
      </w:r>
      <w:r>
        <w:rPr>
          <w:rFonts w:hint="eastAsia" w:ascii="宋体" w:hAnsi="宋体"/>
          <w:color w:val="auto"/>
          <w:szCs w:val="21"/>
          <w:highlight w:val="none"/>
        </w:rPr>
        <w:t xml:space="preserve">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pPr>
        <w:widowControl/>
        <w:spacing w:line="360" w:lineRule="auto"/>
        <w:ind w:firstLine="420" w:firstLineChars="200"/>
        <w:rPr>
          <w:rFonts w:hint="eastAsia" w:ascii="宋体" w:hAnsi="宋体"/>
          <w:color w:val="auto"/>
          <w:szCs w:val="21"/>
          <w:highlight w:val="none"/>
        </w:rPr>
      </w:pPr>
      <w:bookmarkStart w:id="18" w:name="_Toc26119"/>
      <w:r>
        <w:rPr>
          <w:rFonts w:hint="eastAsia" w:ascii="宋体" w:hAnsi="宋体"/>
          <w:color w:val="auto"/>
          <w:szCs w:val="21"/>
          <w:highlight w:val="none"/>
        </w:rPr>
        <w:t>2.本项目的特定资格要求：</w:t>
      </w:r>
      <w:bookmarkEnd w:id="18"/>
    </w:p>
    <w:p>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（1）无。</w:t>
      </w:r>
    </w:p>
    <w:p>
      <w:pPr>
        <w:pStyle w:val="2"/>
        <w:spacing w:line="360" w:lineRule="auto"/>
        <w:jc w:val="left"/>
        <w:rPr>
          <w:rFonts w:ascii="宋体" w:hAnsi="宋体" w:cs="宋体"/>
          <w:bCs/>
          <w:color w:val="auto"/>
          <w:sz w:val="21"/>
          <w:szCs w:val="21"/>
          <w:highlight w:val="none"/>
        </w:rPr>
      </w:pPr>
      <w:bookmarkStart w:id="19" w:name="_Toc35393792"/>
      <w:bookmarkStart w:id="20" w:name="_Toc35393623"/>
      <w:bookmarkStart w:id="21" w:name="_Toc173"/>
      <w:r>
        <w:rPr>
          <w:rFonts w:hint="eastAsia" w:ascii="宋体" w:hAnsi="宋体" w:cs="宋体"/>
          <w:bCs/>
          <w:color w:val="auto"/>
          <w:sz w:val="21"/>
          <w:szCs w:val="21"/>
          <w:highlight w:val="none"/>
        </w:rPr>
        <w:t>三、获取招标文件</w:t>
      </w:r>
      <w:bookmarkEnd w:id="16"/>
      <w:bookmarkEnd w:id="17"/>
      <w:bookmarkEnd w:id="19"/>
      <w:bookmarkEnd w:id="20"/>
      <w:bookmarkEnd w:id="21"/>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日</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 xml:space="preserve">日（节假日除外），上午9：00～12：00，下午14：30～17：30（北京时间）； </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注：（1）现场支持现金支付、微信支付、支付宝支付等支付方式，现场填写“获取招标文件登记表”并将相应表格交予我司简小姐。</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（2）招标文件电子版可在中国政府采购网以及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rPr>
        <w:t>相关招标信息公告下自行下载。</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20"/>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p>
    <w:p>
      <w:pPr>
        <w:pStyle w:val="2"/>
        <w:spacing w:line="360" w:lineRule="auto"/>
        <w:jc w:val="left"/>
        <w:rPr>
          <w:rFonts w:ascii="宋体" w:hAnsi="宋体" w:cs="宋体"/>
          <w:bCs/>
          <w:color w:val="auto"/>
          <w:sz w:val="21"/>
          <w:szCs w:val="21"/>
          <w:highlight w:val="none"/>
        </w:rPr>
      </w:pPr>
      <w:bookmarkStart w:id="22" w:name="_Toc28359082"/>
      <w:bookmarkStart w:id="23" w:name="_Toc28359005"/>
      <w:bookmarkStart w:id="24" w:name="_Toc35393624"/>
      <w:bookmarkStart w:id="25" w:name="_Toc28585"/>
      <w:bookmarkStart w:id="26" w:name="_Toc35393793"/>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202</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8</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15</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15</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00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地点：东莞市南城街道鸿福西路81号国际商会大厦13A层01室</w:t>
      </w:r>
      <w:r>
        <w:rPr>
          <w:rFonts w:hint="eastAsia" w:ascii="宋体" w:hAnsi="宋体" w:eastAsia="宋体" w:cs="宋体"/>
          <w:i w:val="0"/>
          <w:iCs w:val="0"/>
          <w:caps w:val="0"/>
          <w:color w:val="auto"/>
          <w:spacing w:val="0"/>
          <w:sz w:val="21"/>
          <w:szCs w:val="21"/>
          <w:highlight w:val="none"/>
        </w:rPr>
        <w:t>。</w:t>
      </w:r>
    </w:p>
    <w:p>
      <w:pPr>
        <w:pStyle w:val="2"/>
        <w:spacing w:line="360" w:lineRule="auto"/>
        <w:jc w:val="left"/>
        <w:rPr>
          <w:rFonts w:ascii="宋体" w:hAnsi="宋体" w:cs="宋体"/>
          <w:bCs/>
          <w:color w:val="auto"/>
          <w:sz w:val="21"/>
          <w:szCs w:val="21"/>
          <w:highlight w:val="none"/>
        </w:rPr>
      </w:pPr>
      <w:bookmarkStart w:id="27" w:name="_Toc25695"/>
      <w:bookmarkStart w:id="28" w:name="_Toc28359007"/>
      <w:bookmarkStart w:id="29" w:name="_Toc35393625"/>
      <w:bookmarkStart w:id="30" w:name="_Toc35393794"/>
      <w:bookmarkStart w:id="31" w:name="_Toc28359084"/>
      <w:r>
        <w:rPr>
          <w:rFonts w:hint="eastAsia" w:ascii="宋体" w:hAnsi="宋体" w:cs="宋体"/>
          <w:bCs/>
          <w:color w:val="auto"/>
          <w:sz w:val="21"/>
          <w:szCs w:val="21"/>
          <w:highlight w:val="none"/>
        </w:rPr>
        <w:t>五、公告期限</w:t>
      </w:r>
      <w:bookmarkEnd w:id="27"/>
      <w:bookmarkEnd w:id="28"/>
      <w:bookmarkEnd w:id="29"/>
      <w:bookmarkEnd w:id="30"/>
      <w:bookmarkEnd w:id="3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2"/>
        <w:spacing w:line="360" w:lineRule="auto"/>
        <w:jc w:val="left"/>
        <w:rPr>
          <w:rFonts w:ascii="宋体" w:hAnsi="宋体" w:cs="宋体"/>
          <w:bCs/>
          <w:color w:val="auto"/>
          <w:sz w:val="21"/>
          <w:szCs w:val="21"/>
          <w:highlight w:val="none"/>
        </w:rPr>
      </w:pPr>
      <w:bookmarkStart w:id="32" w:name="_Toc35393626"/>
      <w:bookmarkStart w:id="33" w:name="_Toc1519"/>
      <w:bookmarkStart w:id="34" w:name="_Toc35393795"/>
      <w:r>
        <w:rPr>
          <w:rFonts w:hint="eastAsia" w:ascii="宋体" w:hAnsi="宋体" w:cs="宋体"/>
          <w:bCs/>
          <w:color w:val="auto"/>
          <w:sz w:val="21"/>
          <w:szCs w:val="21"/>
          <w:highlight w:val="none"/>
        </w:rPr>
        <w:t>六、其他补充事宜</w:t>
      </w:r>
      <w:bookmarkEnd w:id="32"/>
      <w:bookmarkEnd w:id="33"/>
      <w:bookmarkEnd w:id="34"/>
    </w:p>
    <w:p>
      <w:pPr>
        <w:widowControl/>
        <w:spacing w:line="360" w:lineRule="auto"/>
        <w:ind w:firstLine="420" w:firstLineChars="200"/>
        <w:rPr>
          <w:rFonts w:ascii="宋体" w:hAnsi="宋体"/>
          <w:color w:val="auto"/>
          <w:szCs w:val="21"/>
          <w:highlight w:val="none"/>
        </w:rPr>
      </w:pPr>
      <w:bookmarkStart w:id="35" w:name="_Toc35393796"/>
      <w:bookmarkStart w:id="36" w:name="_Toc28359085"/>
      <w:bookmarkStart w:id="37" w:name="_Toc28359008"/>
      <w:bookmarkStart w:id="38" w:name="_Toc35393627"/>
      <w:r>
        <w:rPr>
          <w:rFonts w:hint="eastAsia" w:ascii="宋体" w:hAnsi="宋体"/>
          <w:color w:val="auto"/>
          <w:szCs w:val="21"/>
          <w:highlight w:val="none"/>
        </w:rPr>
        <w:t>1、招标文件公示/下载媒体</w:t>
      </w:r>
    </w:p>
    <w:p>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中国政府采购网</w:t>
      </w:r>
      <w:r>
        <w:rPr>
          <w:rFonts w:hint="eastAsia" w:ascii="宋体" w:hAnsi="宋体"/>
          <w:color w:val="auto"/>
          <w:szCs w:val="21"/>
          <w:highlight w:val="none"/>
          <w:lang w:eastAsia="zh-CN"/>
        </w:rPr>
        <w:t>（</w:t>
      </w:r>
      <w:r>
        <w:rPr>
          <w:rFonts w:hint="eastAsia" w:ascii="宋体" w:hAnsi="宋体"/>
          <w:color w:val="auto"/>
          <w:szCs w:val="21"/>
          <w:highlight w:val="none"/>
        </w:rPr>
        <w:t>http://www.ccgp.gov.cn/)以及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 xml:space="preserve">）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pPr>
        <w:pStyle w:val="2"/>
        <w:spacing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1.招标人信息</w:t>
      </w:r>
      <w:bookmarkEnd w:id="40"/>
    </w:p>
    <w:p>
      <w:pPr>
        <w:spacing w:line="360" w:lineRule="auto"/>
        <w:ind w:left="263" w:hanging="262" w:hangingChars="125"/>
        <w:rPr>
          <w:rFonts w:hint="eastAsia" w:ascii="宋体" w:hAnsi="宋体" w:eastAsia="宋体" w:cs="宋体"/>
          <w:color w:val="auto"/>
          <w:szCs w:val="21"/>
          <w:highlight w:val="none"/>
          <w:lang w:eastAsia="zh-CN"/>
        </w:rPr>
      </w:pPr>
      <w:bookmarkStart w:id="41" w:name="_Toc28359009"/>
      <w:bookmarkStart w:id="42" w:name="_Toc4580"/>
      <w:bookmarkStart w:id="43" w:name="_Toc28359086"/>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东莞市东坑镇黄屋股份经济联合社</w:t>
      </w:r>
    </w:p>
    <w:p>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址：东莞市</w:t>
      </w:r>
      <w:r>
        <w:rPr>
          <w:rFonts w:hint="eastAsia" w:ascii="宋体" w:hAnsi="宋体" w:cs="宋体"/>
          <w:color w:val="auto"/>
          <w:szCs w:val="21"/>
          <w:highlight w:val="none"/>
          <w:lang w:val="en-US" w:eastAsia="zh-CN"/>
        </w:rPr>
        <w:t>东坑镇</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卢凤仪</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联系方式：0769-</w:t>
      </w:r>
      <w:r>
        <w:rPr>
          <w:rFonts w:hint="eastAsia" w:ascii="宋体" w:hAnsi="宋体" w:cs="宋体"/>
          <w:color w:val="auto"/>
          <w:szCs w:val="21"/>
          <w:highlight w:val="none"/>
          <w:lang w:val="en-US" w:eastAsia="zh-CN"/>
        </w:rPr>
        <w:t>81013198</w:t>
      </w:r>
    </w:p>
    <w:p>
      <w:pPr>
        <w:spacing w:line="360" w:lineRule="auto"/>
        <w:ind w:left="264" w:hanging="264" w:hangingChars="125"/>
        <w:outlineLvl w:val="2"/>
        <w:rPr>
          <w:rFonts w:ascii="宋体" w:hAnsi="宋体" w:cs="宋体"/>
          <w:b/>
          <w:bCs/>
          <w:color w:val="auto"/>
          <w:szCs w:val="21"/>
          <w:highlight w:val="none"/>
        </w:rPr>
      </w:pPr>
      <w:r>
        <w:rPr>
          <w:rFonts w:hint="eastAsia" w:ascii="宋体" w:hAnsi="宋体" w:cs="宋体"/>
          <w:b/>
          <w:bCs/>
          <w:color w:val="auto"/>
          <w:szCs w:val="21"/>
          <w:highlight w:val="none"/>
        </w:rPr>
        <w:t>2.招标代理机构信息</w:t>
      </w:r>
      <w:bookmarkEnd w:id="41"/>
      <w:bookmarkEnd w:id="42"/>
      <w:bookmarkEnd w:id="43"/>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87"/>
      <w:bookmarkStart w:id="45" w:name="_Toc28359010"/>
      <w:r>
        <w:rPr>
          <w:rFonts w:hint="eastAsia" w:ascii="宋体" w:hAnsi="宋体" w:cs="宋体"/>
          <w:color w:val="auto"/>
          <w:szCs w:val="21"/>
          <w:highlight w:val="none"/>
        </w:rPr>
        <w:t>0769-22980090</w:t>
      </w:r>
    </w:p>
    <w:p>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电</w:t>
      </w:r>
      <w:r>
        <w:rPr>
          <w:rFonts w:hint="eastAsia" w:hAnsi="宋体" w:eastAsia="宋体" w:cs="宋体"/>
          <w:color w:val="auto"/>
          <w:szCs w:val="21"/>
          <w:highlight w:val="none"/>
          <w:lang w:val="en-US" w:eastAsia="zh-CN"/>
        </w:rPr>
        <w:t xml:space="preserve">  </w:t>
      </w:r>
      <w:r>
        <w:rPr>
          <w:rFonts w:hint="eastAsia" w:hAnsi="宋体" w:eastAsia="宋体" w:cs="宋体"/>
          <w:color w:val="auto"/>
          <w:szCs w:val="21"/>
          <w:highlight w:val="none"/>
        </w:rPr>
        <w:t xml:space="preserve">    话：0769-22980090</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spacing w:line="360" w:lineRule="auto"/>
        <w:rPr>
          <w:color w:val="auto"/>
          <w:highlight w:val="none"/>
        </w:rPr>
      </w:pPr>
      <w:bookmarkStart w:id="47" w:name="_Toc29954"/>
      <w:r>
        <w:rPr>
          <w:rFonts w:hint="eastAsia"/>
          <w:color w:val="auto"/>
          <w:highlight w:val="none"/>
        </w:rPr>
        <w:t>投标人须知</w:t>
      </w:r>
      <w:bookmarkEnd w:id="47"/>
    </w:p>
    <w:p>
      <w:pPr>
        <w:pStyle w:val="2"/>
        <w:spacing w:line="360" w:lineRule="auto"/>
        <w:rPr>
          <w:color w:val="auto"/>
          <w:highlight w:val="none"/>
          <w:lang w:val="zh-CN"/>
        </w:rPr>
      </w:pPr>
      <w:bookmarkStart w:id="48" w:name="_Toc396137231"/>
      <w:bookmarkStart w:id="49" w:name="_Toc497983494"/>
      <w:bookmarkStart w:id="50" w:name="_Toc652"/>
      <w:bookmarkStart w:id="51" w:name="_Toc413402429"/>
      <w:r>
        <w:rPr>
          <w:rFonts w:hint="eastAsia"/>
          <w:color w:val="auto"/>
          <w:highlight w:val="none"/>
          <w:lang w:val="zh-CN"/>
        </w:rPr>
        <w:t>一、投标须知前附表</w:t>
      </w:r>
      <w:bookmarkEnd w:id="48"/>
      <w:bookmarkEnd w:id="49"/>
      <w:bookmarkEnd w:id="50"/>
      <w:bookmarkEnd w:id="51"/>
    </w:p>
    <w:tbl>
      <w:tblPr>
        <w:tblStyle w:val="15"/>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自筹</w:t>
            </w:r>
            <w:r>
              <w:rPr>
                <w:rFonts w:hint="eastAsia" w:ascii="宋体" w:hAnsi="宋体" w:cs="宋体"/>
                <w:color w:val="auto"/>
                <w:szCs w:val="21"/>
                <w:highlight w:val="none"/>
              </w:rPr>
              <w:t>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五</w:t>
            </w:r>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本项目不收取</w:t>
            </w:r>
            <w:r>
              <w:rPr>
                <w:rFonts w:hint="eastAsia" w:ascii="宋体" w:hAnsi="宋体" w:cs="宋体"/>
                <w:color w:val="auto"/>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both"/>
              <w:rPr>
                <w:b/>
                <w:bCs/>
                <w:color w:val="auto"/>
                <w:highlight w:val="none"/>
              </w:rPr>
            </w:pPr>
            <w:r>
              <w:rPr>
                <w:rFonts w:hint="eastAsia"/>
                <w:color w:val="auto"/>
                <w:highlight w:val="none"/>
              </w:rPr>
              <w:t>投标保证金金额：</w:t>
            </w:r>
            <w:r>
              <w:rPr>
                <w:rFonts w:hint="eastAsia"/>
                <w:color w:val="auto"/>
                <w:highlight w:val="none"/>
                <w:lang w:val="en-US" w:eastAsia="zh-CN"/>
              </w:rPr>
              <w:t>/</w:t>
            </w:r>
          </w:p>
          <w:p>
            <w:pPr>
              <w:pStyle w:val="4"/>
              <w:rPr>
                <w:color w:val="auto"/>
                <w:highlight w:val="none"/>
              </w:rPr>
            </w:pPr>
            <w:r>
              <w:rPr>
                <w:rFonts w:hint="eastAsia" w:ascii="宋体" w:hAnsi="宋体"/>
                <w:color w:val="auto"/>
                <w:szCs w:val="21"/>
                <w:highlight w:val="none"/>
                <w:lang w:val="zh-CN"/>
              </w:rPr>
              <w:t>（各投标人在转账或电汇时须在用途栏上写明项目编号）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5</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lang w:val="en-US" w:eastAsia="zh-CN"/>
              </w:rPr>
              <w:t>4</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color w:val="auto"/>
                <w:highlight w:val="none"/>
              </w:rPr>
            </w:pPr>
            <w:r>
              <w:rPr>
                <w:rFonts w:hint="eastAsia" w:ascii="宋体" w:hAnsi="宋体" w:cs="宋体"/>
                <w:bCs/>
                <w:color w:val="auto"/>
                <w:szCs w:val="21"/>
                <w:highlight w:val="none"/>
              </w:rPr>
              <w:t>履约保证金</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rPr>
              <w:t>合同金额的</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cs="宋体"/>
                <w:bCs/>
                <w:color w:val="auto"/>
                <w:szCs w:val="21"/>
                <w:highlight w:val="none"/>
              </w:rPr>
              <w:t>说明：</w:t>
            </w:r>
            <w:r>
              <w:rPr>
                <w:rFonts w:hint="eastAsia"/>
                <w:color w:val="auto"/>
                <w:sz w:val="21"/>
                <w:szCs w:val="21"/>
                <w:highlight w:val="none"/>
                <w:lang w:val="en-US" w:eastAsia="zh-CN"/>
              </w:rPr>
              <w:t>中标人应在领取中标通知书之后签订合同之前递交履约保证金</w:t>
            </w:r>
            <w:r>
              <w:rPr>
                <w:rFonts w:ascii="宋体" w:hAnsi="宋体" w:eastAsia="宋体"/>
                <w:color w:val="auto"/>
                <w:sz w:val="21"/>
                <w:szCs w:val="21"/>
                <w:highlight w:val="none"/>
              </w:rPr>
              <w:t>，应按以上规定的金额，采用履约保证金保函形式向</w:t>
            </w:r>
            <w:r>
              <w:rPr>
                <w:rFonts w:hint="eastAsia" w:ascii="宋体" w:hAnsi="宋体"/>
                <w:color w:val="auto"/>
                <w:sz w:val="21"/>
                <w:szCs w:val="21"/>
                <w:highlight w:val="none"/>
                <w:lang w:val="en-US" w:eastAsia="zh-CN"/>
              </w:rPr>
              <w:t>招标</w:t>
            </w:r>
            <w:r>
              <w:rPr>
                <w:rFonts w:ascii="宋体" w:hAnsi="宋体" w:eastAsia="宋体"/>
                <w:color w:val="auto"/>
                <w:sz w:val="21"/>
                <w:szCs w:val="21"/>
                <w:highlight w:val="none"/>
              </w:rPr>
              <w:t>人提供履约保函。</w:t>
            </w:r>
          </w:p>
          <w:p>
            <w:pPr>
              <w:spacing w:line="360" w:lineRule="auto"/>
              <w:rPr>
                <w:rFonts w:ascii="宋体" w:hAnsi="宋体" w:cs="宋体"/>
                <w:b/>
                <w:bCs/>
                <w:color w:val="auto"/>
                <w:szCs w:val="21"/>
                <w:highlight w:val="none"/>
              </w:rPr>
            </w:pPr>
            <w:r>
              <w:rPr>
                <w:rFonts w:hint="eastAsia" w:ascii="宋体" w:hAnsi="宋体" w:eastAsia="宋体"/>
                <w:color w:val="auto"/>
                <w:sz w:val="21"/>
                <w:szCs w:val="21"/>
                <w:highlight w:val="none"/>
              </w:rPr>
              <w:t>注:保函可由银行或第三方有资质公司出具,相应办理可咨询代理公司报名处。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3"/>
              </w:numPr>
              <w:spacing w:line="360" w:lineRule="auto"/>
              <w:rPr>
                <w:rFonts w:ascii="宋体" w:hAnsi="宋体" w:cs="宋体"/>
                <w:color w:val="auto"/>
                <w:highlight w:val="none"/>
              </w:rPr>
            </w:pPr>
            <w:r>
              <w:rPr>
                <w:rFonts w:hint="eastAsia" w:ascii="宋体" w:hAnsi="宋体" w:cs="宋体"/>
                <w:color w:val="auto"/>
                <w:highlight w:val="none"/>
              </w:rPr>
              <w:t>中标服务费参照国家计委[计价格[2002]1980号]文和国家发改委[发改价格[2011]534号]文及相关规定向中标单位收取，按差额定率累进法计算，以中标通知书中确定的中标总金额作为收费的计算参照；中标服务费最低收费标准为</w:t>
            </w:r>
            <w:r>
              <w:rPr>
                <w:rFonts w:hint="eastAsia" w:ascii="宋体" w:hAnsi="宋体" w:cs="宋体"/>
                <w:color w:val="auto"/>
                <w:highlight w:val="none"/>
                <w:lang w:val="en-US" w:eastAsia="zh-CN"/>
              </w:rPr>
              <w:t>陆</w:t>
            </w:r>
            <w:r>
              <w:rPr>
                <w:rFonts w:hint="eastAsia" w:ascii="宋体" w:hAnsi="宋体" w:cs="宋体"/>
                <w:color w:val="auto"/>
                <w:highlight w:val="none"/>
              </w:rPr>
              <w:t>仟元整。</w:t>
            </w:r>
          </w:p>
          <w:p>
            <w:pPr>
              <w:spacing w:line="360" w:lineRule="auto"/>
              <w:rPr>
                <w:color w:val="auto"/>
                <w:highlight w:val="none"/>
              </w:rPr>
            </w:pPr>
            <w:r>
              <w:rPr>
                <w:rFonts w:hint="eastAsia"/>
                <w:color w:val="auto"/>
                <w:highlight w:val="none"/>
              </w:rPr>
              <w:t>（2）中标服务费以转账或现金的形式支付。招标代理机构服务费汇入账号：</w:t>
            </w:r>
          </w:p>
          <w:p>
            <w:pPr>
              <w:spacing w:line="360" w:lineRule="auto"/>
              <w:rPr>
                <w:color w:val="auto"/>
                <w:highlight w:val="none"/>
              </w:rPr>
            </w:pPr>
            <w:r>
              <w:rPr>
                <w:rFonts w:hint="eastAsia"/>
                <w:color w:val="auto"/>
                <w:highlight w:val="none"/>
              </w:rPr>
              <w:t>收 款 人：国顺招标有限公司</w:t>
            </w:r>
          </w:p>
          <w:p>
            <w:pPr>
              <w:spacing w:line="360" w:lineRule="auto"/>
              <w:rPr>
                <w:color w:val="auto"/>
                <w:highlight w:val="none"/>
              </w:rPr>
            </w:pPr>
            <w:r>
              <w:rPr>
                <w:rFonts w:hint="eastAsia"/>
                <w:color w:val="auto"/>
                <w:highlight w:val="none"/>
              </w:rPr>
              <w:t>开户银行：广发银行股份有限公司东莞南城支行</w:t>
            </w:r>
          </w:p>
          <w:p>
            <w:pPr>
              <w:spacing w:line="360" w:lineRule="auto"/>
              <w:rPr>
                <w:color w:val="auto"/>
                <w:highlight w:val="none"/>
              </w:rPr>
            </w:pPr>
            <w:r>
              <w:rPr>
                <w:rFonts w:hint="eastAsia"/>
                <w:color w:val="auto"/>
                <w:highlight w:val="none"/>
              </w:rPr>
              <w:t>账</w:t>
            </w:r>
            <w:r>
              <w:rPr>
                <w:rFonts w:hint="eastAsia"/>
                <w:color w:val="auto"/>
                <w:highlight w:val="none"/>
                <w:lang w:val="en-US" w:eastAsia="zh-CN"/>
              </w:rPr>
              <w:t xml:space="preserve">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2"/>
        <w:numPr>
          <w:ilvl w:val="0"/>
          <w:numId w:val="4"/>
        </w:numPr>
        <w:rPr>
          <w:color w:val="auto"/>
          <w:highlight w:val="none"/>
        </w:rPr>
      </w:pPr>
      <w:bookmarkStart w:id="52" w:name="_Toc21639"/>
      <w:r>
        <w:rPr>
          <w:rFonts w:hint="eastAsia"/>
          <w:color w:val="auto"/>
          <w:highlight w:val="none"/>
        </w:rPr>
        <w:t>投标须知</w:t>
      </w:r>
      <w:bookmarkEnd w:id="52"/>
    </w:p>
    <w:p>
      <w:pPr>
        <w:pStyle w:val="4"/>
        <w:rPr>
          <w:color w:val="auto"/>
          <w:highlight w:val="none"/>
        </w:rPr>
      </w:pPr>
      <w:bookmarkStart w:id="53" w:name="_Toc2381"/>
      <w:bookmarkStart w:id="54" w:name="_Toc20860"/>
      <w:r>
        <w:rPr>
          <w:rFonts w:hint="eastAsia"/>
          <w:color w:val="auto"/>
          <w:highlight w:val="none"/>
        </w:rPr>
        <w:t>1.适用范围</w:t>
      </w:r>
      <w:bookmarkEnd w:id="53"/>
      <w:bookmarkEnd w:id="54"/>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pPr>
        <w:spacing w:line="400" w:lineRule="exact"/>
        <w:rPr>
          <w:rFonts w:ascii="宋体" w:hAnsi="宋体" w:cs="宋体"/>
          <w:color w:val="auto"/>
          <w:szCs w:val="21"/>
          <w:highlight w:val="none"/>
        </w:rPr>
      </w:pPr>
    </w:p>
    <w:p>
      <w:pPr>
        <w:pStyle w:val="4"/>
        <w:rPr>
          <w:color w:val="auto"/>
          <w:highlight w:val="none"/>
        </w:rPr>
      </w:pPr>
      <w:bookmarkStart w:id="55" w:name="_Toc6621"/>
      <w:bookmarkStart w:id="56" w:name="_Toc15203"/>
      <w:r>
        <w:rPr>
          <w:rFonts w:hint="eastAsia"/>
          <w:color w:val="auto"/>
          <w:highlight w:val="none"/>
        </w:rPr>
        <w:t>2.</w:t>
      </w:r>
      <w:bookmarkStart w:id="57" w:name="_Toc1530"/>
      <w:bookmarkStart w:id="58" w:name="_Toc382049092"/>
      <w:bookmarkStart w:id="59" w:name="_Toc298847174"/>
      <w:bookmarkStart w:id="60" w:name="_Toc303084246"/>
      <w:r>
        <w:rPr>
          <w:rFonts w:hint="eastAsia"/>
          <w:color w:val="auto"/>
          <w:highlight w:val="none"/>
        </w:rPr>
        <w:t>定义</w:t>
      </w:r>
      <w:bookmarkEnd w:id="55"/>
      <w:bookmarkEnd w:id="56"/>
      <w:bookmarkEnd w:id="57"/>
      <w:bookmarkEnd w:id="58"/>
      <w:bookmarkEnd w:id="59"/>
      <w:bookmarkEnd w:id="60"/>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招标人：是指依法进行采购的国家机关、事业单位等团体组织。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w:t>
      </w:r>
      <w:r>
        <w:rPr>
          <w:rFonts w:hint="eastAsia" w:ascii="宋体" w:hAnsi="宋体" w:cs="宋体"/>
          <w:color w:val="auto"/>
          <w:szCs w:val="21"/>
          <w:highlight w:val="none"/>
          <w:lang w:val="en-US" w:eastAsia="zh-CN"/>
        </w:rPr>
        <w:t>相关法规</w:t>
      </w:r>
      <w:r>
        <w:rPr>
          <w:rFonts w:hint="eastAsia" w:ascii="宋体" w:hAnsi="宋体" w:cs="宋体"/>
          <w:color w:val="auto"/>
          <w:szCs w:val="21"/>
          <w:highlight w:val="none"/>
        </w:rPr>
        <w:t>及其实施条例组建的专门负责本次招标其评标工作的临时性机构。</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pPr>
        <w:spacing w:line="400" w:lineRule="exact"/>
        <w:rPr>
          <w:rFonts w:ascii="宋体" w:hAnsi="宋体" w:cs="宋体"/>
          <w:color w:val="auto"/>
          <w:szCs w:val="21"/>
          <w:highlight w:val="none"/>
        </w:rPr>
      </w:pPr>
    </w:p>
    <w:p>
      <w:pPr>
        <w:pStyle w:val="4"/>
        <w:rPr>
          <w:color w:val="auto"/>
          <w:highlight w:val="none"/>
        </w:rPr>
      </w:pPr>
      <w:bookmarkStart w:id="61" w:name="_Toc1072"/>
      <w:bookmarkStart w:id="62" w:name="_Toc31531"/>
      <w:r>
        <w:rPr>
          <w:rFonts w:hint="eastAsia"/>
          <w:color w:val="auto"/>
          <w:highlight w:val="none"/>
        </w:rPr>
        <w:t>3.货物和服务</w:t>
      </w:r>
      <w:bookmarkEnd w:id="61"/>
      <w:bookmarkEnd w:id="62"/>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服务是指除货物和工程以外的其他政府采购对象，且满足实质性采购需求。</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投标人提供的所有服务，其质量、技术等特征必须符合国家、行业现行法律、法规的相关标准和有关规定及用户需求。</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spacing w:line="400" w:lineRule="exact"/>
        <w:rPr>
          <w:rFonts w:ascii="宋体" w:hAnsi="宋体" w:cs="宋体"/>
          <w:color w:val="auto"/>
          <w:szCs w:val="21"/>
          <w:highlight w:val="none"/>
        </w:rPr>
      </w:pPr>
    </w:p>
    <w:p>
      <w:pPr>
        <w:pStyle w:val="4"/>
        <w:rPr>
          <w:color w:val="auto"/>
          <w:highlight w:val="none"/>
        </w:rPr>
      </w:pPr>
      <w:bookmarkStart w:id="63" w:name="_Toc16909"/>
      <w:bookmarkStart w:id="64" w:name="_Toc32610"/>
      <w:r>
        <w:rPr>
          <w:rFonts w:hint="eastAsia"/>
          <w:color w:val="auto"/>
          <w:highlight w:val="none"/>
        </w:rPr>
        <w:t>4.投标费用</w:t>
      </w:r>
      <w:bookmarkEnd w:id="63"/>
      <w:bookmarkEnd w:id="64"/>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pPr>
        <w:spacing w:line="400" w:lineRule="exact"/>
        <w:jc w:val="both"/>
        <w:rPr>
          <w:rFonts w:ascii="宋体" w:hAnsi="宋体" w:cs="宋体"/>
          <w:color w:val="auto"/>
          <w:szCs w:val="21"/>
          <w:highlight w:val="none"/>
        </w:rPr>
      </w:pPr>
    </w:p>
    <w:p>
      <w:pPr>
        <w:pStyle w:val="4"/>
        <w:rPr>
          <w:color w:val="auto"/>
          <w:highlight w:val="none"/>
        </w:rPr>
      </w:pPr>
      <w:bookmarkStart w:id="65" w:name="_Toc13316"/>
      <w:bookmarkStart w:id="66" w:name="_Toc24409"/>
      <w:r>
        <w:rPr>
          <w:rFonts w:hint="eastAsia"/>
          <w:color w:val="auto"/>
          <w:highlight w:val="none"/>
        </w:rPr>
        <w:t>5.知识产权</w:t>
      </w:r>
      <w:bookmarkEnd w:id="65"/>
      <w:bookmarkEnd w:id="66"/>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并赔偿招标人因此的直接损失以及间接损失（包括但不限于诉讼费、律师费、鉴定费、差旅费等）</w:t>
      </w:r>
      <w:r>
        <w:rPr>
          <w:rFonts w:hint="eastAsia" w:ascii="宋体" w:hAnsi="宋体"/>
          <w:color w:val="auto"/>
          <w:kern w:val="0"/>
          <w:szCs w:val="21"/>
          <w:highlight w:val="none"/>
        </w:rPr>
        <w:t>。</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pPr>
        <w:spacing w:line="400" w:lineRule="exact"/>
        <w:ind w:left="567"/>
        <w:jc w:val="both"/>
        <w:rPr>
          <w:rFonts w:ascii="宋体" w:hAnsi="宋体" w:cs="宋体"/>
          <w:color w:val="auto"/>
          <w:szCs w:val="21"/>
          <w:highlight w:val="none"/>
        </w:rPr>
      </w:pPr>
    </w:p>
    <w:p>
      <w:pPr>
        <w:pStyle w:val="4"/>
        <w:rPr>
          <w:color w:val="auto"/>
          <w:highlight w:val="none"/>
        </w:rPr>
      </w:pPr>
      <w:bookmarkStart w:id="67" w:name="_Toc25530"/>
      <w:bookmarkStart w:id="68" w:name="_Toc25911"/>
      <w:r>
        <w:rPr>
          <w:rFonts w:hint="eastAsia"/>
          <w:color w:val="auto"/>
          <w:highlight w:val="none"/>
        </w:rPr>
        <w:t>6.关于联合体投标</w:t>
      </w:r>
      <w:bookmarkEnd w:id="67"/>
      <w:bookmarkEnd w:id="68"/>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对接受联合体投标的项目：两个以上的自然人、法人或者其他组织可以组成一个联合体，以一个投标人的身份共同参加政府采购。</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rPr>
        <w:t>规定的条件。</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pPr>
        <w:spacing w:line="400" w:lineRule="exact"/>
        <w:ind w:left="567"/>
        <w:jc w:val="both"/>
        <w:rPr>
          <w:rFonts w:ascii="宋体" w:hAnsi="宋体" w:cs="宋体"/>
          <w:color w:val="auto"/>
          <w:szCs w:val="21"/>
          <w:highlight w:val="none"/>
        </w:rPr>
      </w:pPr>
    </w:p>
    <w:p>
      <w:pPr>
        <w:pStyle w:val="4"/>
        <w:rPr>
          <w:color w:val="auto"/>
          <w:highlight w:val="none"/>
        </w:rPr>
      </w:pPr>
      <w:bookmarkStart w:id="69" w:name="_Toc27528"/>
      <w:bookmarkStart w:id="70" w:name="_Toc24312"/>
      <w:r>
        <w:rPr>
          <w:rFonts w:hint="eastAsia"/>
          <w:color w:val="auto"/>
          <w:highlight w:val="none"/>
        </w:rPr>
        <w:t>7.关于分支机构投标</w:t>
      </w:r>
      <w:bookmarkEnd w:id="69"/>
      <w:bookmarkEnd w:id="70"/>
    </w:p>
    <w:p>
      <w:pPr>
        <w:pStyle w:val="20"/>
        <w:numPr>
          <w:ilvl w:val="0"/>
          <w:numId w:val="5"/>
        </w:numPr>
        <w:spacing w:line="400" w:lineRule="exact"/>
        <w:ind w:firstLineChars="0"/>
        <w:jc w:val="both"/>
        <w:rPr>
          <w:rFonts w:ascii="宋体" w:hAnsi="宋体" w:cs="宋体"/>
          <w:vanish/>
          <w:color w:val="auto"/>
          <w:szCs w:val="21"/>
          <w:highlight w:val="none"/>
        </w:rPr>
      </w:pPr>
      <w:bookmarkStart w:id="71" w:name="EB389f116341dd4693875bc7987e7327f3"/>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1"/>
    </w:p>
    <w:p>
      <w:pPr>
        <w:spacing w:line="360" w:lineRule="auto"/>
        <w:rPr>
          <w:rFonts w:ascii="宋体" w:hAnsi="宋体" w:cs="宋体"/>
          <w:color w:val="auto"/>
          <w:szCs w:val="21"/>
          <w:highlight w:val="none"/>
        </w:rPr>
      </w:pPr>
    </w:p>
    <w:p>
      <w:pPr>
        <w:pStyle w:val="4"/>
        <w:rPr>
          <w:color w:val="auto"/>
          <w:highlight w:val="none"/>
        </w:rPr>
      </w:pPr>
      <w:bookmarkStart w:id="72" w:name="_Toc15490"/>
      <w:bookmarkStart w:id="73" w:name="_Toc13645"/>
      <w:r>
        <w:rPr>
          <w:rFonts w:hint="eastAsia"/>
          <w:color w:val="auto"/>
          <w:highlight w:val="none"/>
        </w:rPr>
        <w:t>8.招标文件的组成</w:t>
      </w:r>
      <w:bookmarkEnd w:id="72"/>
      <w:bookmarkEnd w:id="73"/>
    </w:p>
    <w:p>
      <w:pPr>
        <w:pStyle w:val="20"/>
        <w:numPr>
          <w:ilvl w:val="0"/>
          <w:numId w:val="5"/>
        </w:numPr>
        <w:spacing w:line="400" w:lineRule="exact"/>
        <w:ind w:firstLineChars="0"/>
        <w:jc w:val="both"/>
        <w:rPr>
          <w:rFonts w:ascii="宋体" w:hAnsi="宋体" w:cs="宋体"/>
          <w:vanish/>
          <w:color w:val="auto"/>
          <w:szCs w:val="21"/>
          <w:highlight w:val="none"/>
        </w:rPr>
      </w:pP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pPr>
        <w:widowControl/>
        <w:adjustRightInd w:val="0"/>
        <w:snapToGrid w:val="0"/>
        <w:spacing w:line="400" w:lineRule="exact"/>
        <w:rPr>
          <w:rFonts w:ascii="宋体" w:hAnsi="宋体" w:cs="宋体"/>
          <w:color w:val="auto"/>
          <w:szCs w:val="21"/>
          <w:highlight w:val="none"/>
        </w:rPr>
      </w:pPr>
    </w:p>
    <w:p>
      <w:pPr>
        <w:pStyle w:val="4"/>
        <w:rPr>
          <w:color w:val="auto"/>
          <w:highlight w:val="none"/>
        </w:rPr>
      </w:pPr>
      <w:bookmarkStart w:id="74" w:name="_Toc7789"/>
      <w:bookmarkStart w:id="75" w:name="_Toc644"/>
      <w:r>
        <w:rPr>
          <w:rFonts w:hint="eastAsia"/>
          <w:color w:val="auto"/>
          <w:highlight w:val="none"/>
        </w:rPr>
        <w:t>9.招标文件的澄清或修改</w:t>
      </w:r>
      <w:bookmarkEnd w:id="74"/>
      <w:bookmarkEnd w:id="75"/>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pStyle w:val="8"/>
        <w:ind w:left="0"/>
        <w:rPr>
          <w:color w:val="auto"/>
          <w:sz w:val="21"/>
          <w:szCs w:val="21"/>
          <w:highlight w:val="none"/>
        </w:rPr>
      </w:pPr>
    </w:p>
    <w:p>
      <w:pPr>
        <w:pStyle w:val="4"/>
        <w:rPr>
          <w:color w:val="auto"/>
          <w:highlight w:val="none"/>
        </w:rPr>
      </w:pPr>
      <w:bookmarkStart w:id="76" w:name="_Toc6458"/>
      <w:bookmarkStart w:id="77" w:name="_Toc708"/>
      <w:r>
        <w:rPr>
          <w:rFonts w:hint="eastAsia"/>
          <w:color w:val="auto"/>
          <w:highlight w:val="none"/>
        </w:rPr>
        <w:t>10.投标文件的语言及度量衡单位</w:t>
      </w:r>
      <w:bookmarkEnd w:id="76"/>
      <w:bookmarkEnd w:id="77"/>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pPr>
        <w:spacing w:line="400" w:lineRule="exact"/>
        <w:ind w:left="567"/>
        <w:jc w:val="both"/>
        <w:rPr>
          <w:rFonts w:ascii="宋体" w:hAnsi="宋体" w:cs="宋体"/>
          <w:color w:val="auto"/>
          <w:szCs w:val="21"/>
          <w:highlight w:val="none"/>
        </w:rPr>
      </w:pPr>
    </w:p>
    <w:p>
      <w:pPr>
        <w:pStyle w:val="4"/>
        <w:rPr>
          <w:color w:val="auto"/>
          <w:highlight w:val="none"/>
        </w:rPr>
      </w:pPr>
      <w:bookmarkStart w:id="78" w:name="_Toc307934854"/>
      <w:bookmarkStart w:id="79" w:name="_Toc382049103"/>
      <w:bookmarkStart w:id="80" w:name="_Toc29420"/>
      <w:bookmarkStart w:id="81" w:name="_Toc8246"/>
      <w:bookmarkStart w:id="82" w:name="_Toc28866"/>
      <w:bookmarkStart w:id="83" w:name="_Toc303084256"/>
      <w:r>
        <w:rPr>
          <w:rFonts w:hint="eastAsia"/>
          <w:color w:val="auto"/>
          <w:highlight w:val="none"/>
        </w:rPr>
        <w:t>11.投标文件的组成</w:t>
      </w:r>
      <w:bookmarkEnd w:id="78"/>
      <w:bookmarkEnd w:id="79"/>
      <w:bookmarkEnd w:id="80"/>
      <w:bookmarkEnd w:id="81"/>
      <w:bookmarkEnd w:id="82"/>
      <w:bookmarkEnd w:id="83"/>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pPr>
        <w:widowControl/>
        <w:adjustRightInd w:val="0"/>
        <w:snapToGrid w:val="0"/>
        <w:spacing w:line="400" w:lineRule="exact"/>
        <w:rPr>
          <w:rFonts w:ascii="宋体" w:hAnsi="宋体" w:cs="宋体"/>
          <w:color w:val="auto"/>
          <w:szCs w:val="21"/>
          <w:highlight w:val="none"/>
        </w:rPr>
      </w:pPr>
    </w:p>
    <w:p>
      <w:pPr>
        <w:pStyle w:val="4"/>
        <w:rPr>
          <w:color w:val="auto"/>
          <w:highlight w:val="none"/>
        </w:rPr>
      </w:pPr>
      <w:bookmarkStart w:id="84" w:name="_Toc11356"/>
      <w:bookmarkStart w:id="85" w:name="_Toc5980"/>
      <w:r>
        <w:rPr>
          <w:rFonts w:hint="eastAsia"/>
          <w:color w:val="auto"/>
          <w:highlight w:val="none"/>
        </w:rPr>
        <w:t>12.投标文件编制</w:t>
      </w:r>
      <w:bookmarkEnd w:id="84"/>
      <w:bookmarkEnd w:id="85"/>
    </w:p>
    <w:p>
      <w:pPr>
        <w:pStyle w:val="20"/>
        <w:numPr>
          <w:ilvl w:val="0"/>
          <w:numId w:val="5"/>
        </w:numPr>
        <w:spacing w:line="400" w:lineRule="exact"/>
        <w:ind w:firstLineChars="0"/>
        <w:jc w:val="both"/>
        <w:rPr>
          <w:rFonts w:ascii="宋体" w:hAnsi="宋体" w:cs="宋体"/>
          <w:vanish/>
          <w:color w:val="auto"/>
          <w:szCs w:val="21"/>
          <w:highlight w:val="none"/>
        </w:rPr>
      </w:pPr>
      <w:bookmarkStart w:id="86" w:name="_Toc303084258"/>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政府采购监督管理部门等对其中任何资料进行核实的要求。</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6"/>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pPr>
        <w:pStyle w:val="4"/>
        <w:rPr>
          <w:color w:val="auto"/>
          <w:highlight w:val="none"/>
        </w:rPr>
      </w:pPr>
      <w:bookmarkStart w:id="87" w:name="_Toc28034"/>
      <w:bookmarkStart w:id="88" w:name="_Toc1355"/>
      <w:r>
        <w:rPr>
          <w:rFonts w:hint="eastAsia"/>
          <w:color w:val="auto"/>
          <w:highlight w:val="none"/>
        </w:rPr>
        <w:t>13.投标报价说明</w:t>
      </w:r>
      <w:bookmarkEnd w:id="87"/>
      <w:bookmarkEnd w:id="88"/>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pPr>
        <w:spacing w:line="400" w:lineRule="exact"/>
        <w:rPr>
          <w:rFonts w:ascii="宋体" w:hAnsi="宋体" w:cs="宋体"/>
          <w:color w:val="auto"/>
          <w:szCs w:val="21"/>
          <w:highlight w:val="none"/>
        </w:rPr>
      </w:pPr>
    </w:p>
    <w:p>
      <w:pPr>
        <w:pStyle w:val="4"/>
        <w:rPr>
          <w:color w:val="auto"/>
          <w:highlight w:val="none"/>
        </w:rPr>
      </w:pPr>
      <w:bookmarkStart w:id="89" w:name="_Toc6729"/>
      <w:bookmarkStart w:id="90" w:name="_Toc34"/>
      <w:r>
        <w:rPr>
          <w:rFonts w:hint="eastAsia"/>
          <w:color w:val="auto"/>
          <w:highlight w:val="none"/>
        </w:rPr>
        <w:t>14.投标人所提供的服务或货物的证明文件</w:t>
      </w:r>
      <w:bookmarkEnd w:id="89"/>
      <w:bookmarkEnd w:id="90"/>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bookmarkStart w:id="91" w:name="_Hlt107925638"/>
      <w:bookmarkEnd w:id="91"/>
      <w:bookmarkStart w:id="92" w:name="_Hlt107925668"/>
      <w:bookmarkEnd w:id="92"/>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pPr>
        <w:pStyle w:val="20"/>
        <w:spacing w:line="400" w:lineRule="exact"/>
        <w:ind w:left="425" w:firstLine="0" w:firstLineChars="0"/>
        <w:jc w:val="both"/>
        <w:rPr>
          <w:rFonts w:ascii="宋体" w:hAnsi="宋体" w:cs="宋体"/>
          <w:color w:val="auto"/>
          <w:szCs w:val="21"/>
          <w:highlight w:val="none"/>
        </w:rPr>
      </w:pPr>
    </w:p>
    <w:p>
      <w:pPr>
        <w:pStyle w:val="4"/>
        <w:rPr>
          <w:color w:val="auto"/>
          <w:highlight w:val="none"/>
        </w:rPr>
      </w:pPr>
      <w:bookmarkStart w:id="93" w:name="_Toc10940"/>
      <w:bookmarkStart w:id="94" w:name="_Toc29725"/>
      <w:r>
        <w:rPr>
          <w:rFonts w:hint="eastAsia"/>
          <w:color w:val="auto"/>
          <w:highlight w:val="none"/>
        </w:rPr>
        <w:t>15.★投标有效期</w:t>
      </w:r>
      <w:bookmarkEnd w:id="93"/>
      <w:bookmarkEnd w:id="94"/>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pPr>
        <w:spacing w:line="400" w:lineRule="exact"/>
        <w:ind w:left="567"/>
        <w:jc w:val="both"/>
        <w:rPr>
          <w:rFonts w:ascii="宋体" w:hAnsi="宋体" w:cs="宋体"/>
          <w:color w:val="auto"/>
          <w:szCs w:val="21"/>
          <w:highlight w:val="none"/>
        </w:rPr>
      </w:pPr>
    </w:p>
    <w:p>
      <w:pPr>
        <w:pStyle w:val="4"/>
        <w:rPr>
          <w:rFonts w:hint="eastAsia" w:eastAsia="宋体"/>
          <w:color w:val="auto"/>
          <w:highlight w:val="none"/>
          <w:lang w:eastAsia="zh-CN"/>
        </w:rPr>
      </w:pPr>
      <w:bookmarkStart w:id="95" w:name="_Toc15529"/>
      <w:bookmarkStart w:id="96" w:name="_Toc5483"/>
      <w:r>
        <w:rPr>
          <w:rFonts w:hint="eastAsia"/>
          <w:color w:val="auto"/>
          <w:highlight w:val="none"/>
        </w:rPr>
        <w:t>16.★投标保证金</w:t>
      </w:r>
      <w:bookmarkEnd w:id="95"/>
      <w:bookmarkEnd w:id="96"/>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p>
    <w:p>
      <w:pPr>
        <w:pStyle w:val="20"/>
        <w:numPr>
          <w:ilvl w:val="0"/>
          <w:numId w:val="5"/>
        </w:numPr>
        <w:spacing w:line="400" w:lineRule="exact"/>
        <w:ind w:firstLineChars="0"/>
        <w:jc w:val="both"/>
        <w:rPr>
          <w:rFonts w:ascii="宋体" w:hAnsi="宋体" w:cs="宋体"/>
          <w:vanish/>
          <w:color w:val="auto"/>
          <w:szCs w:val="21"/>
          <w:highlight w:val="none"/>
        </w:rPr>
      </w:pPr>
      <w:bookmarkStart w:id="97" w:name="_Ref179619405"/>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7"/>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采用银行转账、电汇方式提交的,付至招标代理机构指定账户上。 </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详见投标人资料表)</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政府采购合同的，由担保机构按照担保函的约定履行支付投标保证金的责任。（投标担保格式详见附件《政府采购投标担保函》）</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采用《政府采购投标担保函》提交的，应符合下列规定：</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pPr>
        <w:numPr>
          <w:ilvl w:val="1"/>
          <w:numId w:val="5"/>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pPr>
        <w:pStyle w:val="8"/>
        <w:rPr>
          <w:color w:val="auto"/>
          <w:sz w:val="21"/>
          <w:szCs w:val="21"/>
          <w:highlight w:val="none"/>
        </w:rPr>
      </w:pPr>
    </w:p>
    <w:p>
      <w:pPr>
        <w:pStyle w:val="4"/>
        <w:rPr>
          <w:color w:val="auto"/>
          <w:highlight w:val="none"/>
        </w:rPr>
      </w:pPr>
      <w:bookmarkStart w:id="98" w:name="_Toc16724"/>
      <w:bookmarkStart w:id="99" w:name="_Toc24997"/>
      <w:bookmarkStart w:id="100" w:name="_Toc16286"/>
      <w:bookmarkStart w:id="101" w:name="_Toc382049111"/>
      <w:bookmarkStart w:id="102" w:name="_Toc303084264"/>
      <w:r>
        <w:rPr>
          <w:rFonts w:hint="eastAsia"/>
          <w:color w:val="auto"/>
          <w:highlight w:val="none"/>
        </w:rPr>
        <w:t>17.投标文件的装订，签署，密封和标记</w:t>
      </w:r>
      <w:bookmarkEnd w:id="98"/>
      <w:bookmarkEnd w:id="99"/>
      <w:bookmarkEnd w:id="100"/>
      <w:bookmarkEnd w:id="101"/>
      <w:bookmarkEnd w:id="102"/>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pPr>
        <w:spacing w:line="400" w:lineRule="exact"/>
        <w:rPr>
          <w:rFonts w:ascii="宋体" w:hAnsi="宋体" w:cs="宋体"/>
          <w:color w:val="auto"/>
          <w:szCs w:val="21"/>
          <w:highlight w:val="none"/>
        </w:rPr>
      </w:pPr>
    </w:p>
    <w:p>
      <w:pPr>
        <w:pStyle w:val="4"/>
        <w:rPr>
          <w:color w:val="auto"/>
          <w:highlight w:val="none"/>
        </w:rPr>
      </w:pPr>
      <w:bookmarkStart w:id="103" w:name="_Toc30088"/>
      <w:bookmarkStart w:id="104" w:name="_Toc17636"/>
      <w:r>
        <w:rPr>
          <w:rFonts w:hint="eastAsia"/>
          <w:color w:val="auto"/>
          <w:highlight w:val="none"/>
        </w:rPr>
        <w:t>18.迟交的投标文件</w:t>
      </w:r>
      <w:bookmarkEnd w:id="103"/>
      <w:bookmarkEnd w:id="104"/>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pPr>
        <w:spacing w:line="400" w:lineRule="exact"/>
        <w:rPr>
          <w:rFonts w:ascii="宋体" w:hAnsi="宋体" w:cs="宋体"/>
          <w:color w:val="auto"/>
          <w:szCs w:val="21"/>
          <w:highlight w:val="none"/>
        </w:rPr>
      </w:pPr>
    </w:p>
    <w:p>
      <w:pPr>
        <w:pStyle w:val="4"/>
        <w:rPr>
          <w:color w:val="auto"/>
          <w:highlight w:val="none"/>
        </w:rPr>
      </w:pPr>
      <w:bookmarkStart w:id="105" w:name="_Toc15912"/>
      <w:bookmarkStart w:id="106" w:name="_Toc24269"/>
      <w:r>
        <w:rPr>
          <w:rFonts w:hint="eastAsia"/>
          <w:color w:val="auto"/>
          <w:highlight w:val="none"/>
        </w:rPr>
        <w:t>19.投标样品、投标演示（如有要求）</w:t>
      </w:r>
      <w:bookmarkEnd w:id="105"/>
      <w:bookmarkEnd w:id="106"/>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pPr>
        <w:spacing w:line="360" w:lineRule="auto"/>
        <w:rPr>
          <w:rFonts w:ascii="宋体" w:hAnsi="宋体" w:cs="宋体"/>
          <w:color w:val="auto"/>
          <w:szCs w:val="21"/>
          <w:highlight w:val="none"/>
        </w:rPr>
      </w:pPr>
    </w:p>
    <w:p>
      <w:pPr>
        <w:pStyle w:val="4"/>
        <w:rPr>
          <w:color w:val="auto"/>
          <w:highlight w:val="none"/>
        </w:rPr>
      </w:pPr>
      <w:bookmarkStart w:id="107" w:name="_Toc9777"/>
      <w:bookmarkStart w:id="108" w:name="_Toc382049112"/>
      <w:bookmarkStart w:id="109" w:name="_Toc28098"/>
      <w:bookmarkStart w:id="110" w:name="_Toc303084265"/>
      <w:bookmarkStart w:id="111" w:name="_Toc22355"/>
      <w:r>
        <w:rPr>
          <w:rFonts w:hint="eastAsia"/>
          <w:color w:val="auto"/>
          <w:highlight w:val="none"/>
        </w:rPr>
        <w:t>20.投标截止期</w:t>
      </w:r>
      <w:bookmarkEnd w:id="107"/>
      <w:bookmarkEnd w:id="108"/>
      <w:bookmarkEnd w:id="109"/>
      <w:bookmarkEnd w:id="110"/>
      <w:bookmarkEnd w:id="111"/>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pPr>
        <w:spacing w:line="400" w:lineRule="exact"/>
        <w:rPr>
          <w:rFonts w:ascii="宋体" w:hAnsi="宋体" w:cs="宋体"/>
          <w:color w:val="auto"/>
          <w:szCs w:val="21"/>
          <w:highlight w:val="none"/>
        </w:rPr>
      </w:pPr>
    </w:p>
    <w:p>
      <w:pPr>
        <w:pStyle w:val="4"/>
        <w:rPr>
          <w:color w:val="auto"/>
          <w:highlight w:val="none"/>
        </w:rPr>
      </w:pPr>
      <w:bookmarkStart w:id="112" w:name="_Toc22260"/>
      <w:bookmarkStart w:id="113" w:name="_Toc4270"/>
      <w:r>
        <w:rPr>
          <w:rFonts w:hint="eastAsia"/>
          <w:color w:val="auto"/>
          <w:highlight w:val="none"/>
        </w:rPr>
        <w:t>21.投标文件的补充、修改与撤回</w:t>
      </w:r>
      <w:bookmarkEnd w:id="112"/>
      <w:bookmarkEnd w:id="113"/>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pPr>
        <w:pStyle w:val="8"/>
        <w:spacing w:line="360" w:lineRule="auto"/>
        <w:rPr>
          <w:color w:val="auto"/>
          <w:sz w:val="21"/>
          <w:szCs w:val="21"/>
          <w:highlight w:val="none"/>
        </w:rPr>
      </w:pPr>
    </w:p>
    <w:p>
      <w:pPr>
        <w:pStyle w:val="5"/>
        <w:overflowPunct w:val="0"/>
        <w:spacing w:before="0" w:after="0" w:line="400" w:lineRule="exact"/>
        <w:rPr>
          <w:rFonts w:ascii="宋体" w:hAnsi="宋体" w:cs="宋体"/>
          <w:color w:val="auto"/>
          <w:sz w:val="21"/>
          <w:szCs w:val="21"/>
          <w:highlight w:val="none"/>
        </w:rPr>
      </w:pPr>
      <w:bookmarkStart w:id="114" w:name="_Toc174"/>
      <w:r>
        <w:rPr>
          <w:rFonts w:hint="eastAsia" w:ascii="宋体" w:hAnsi="宋体" w:cs="宋体"/>
          <w:color w:val="auto"/>
          <w:sz w:val="21"/>
          <w:szCs w:val="21"/>
          <w:highlight w:val="none"/>
        </w:rPr>
        <w:t>22.开标</w:t>
      </w:r>
      <w:bookmarkEnd w:id="114"/>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pPr>
        <w:spacing w:line="400" w:lineRule="exact"/>
        <w:ind w:left="567"/>
        <w:jc w:val="both"/>
        <w:rPr>
          <w:rFonts w:ascii="宋体" w:hAnsi="宋体" w:cs="宋体"/>
          <w:color w:val="auto"/>
          <w:szCs w:val="21"/>
          <w:highlight w:val="none"/>
        </w:rPr>
      </w:pPr>
    </w:p>
    <w:p>
      <w:pPr>
        <w:pStyle w:val="4"/>
        <w:rPr>
          <w:color w:val="auto"/>
          <w:highlight w:val="none"/>
        </w:rPr>
      </w:pPr>
      <w:bookmarkStart w:id="115" w:name="_Toc23244"/>
      <w:bookmarkStart w:id="116" w:name="_Toc318"/>
      <w:r>
        <w:rPr>
          <w:rFonts w:hint="eastAsia"/>
          <w:color w:val="auto"/>
          <w:highlight w:val="none"/>
        </w:rPr>
        <w:t>23.评标委员会及评标方法</w:t>
      </w:r>
      <w:bookmarkEnd w:id="115"/>
      <w:bookmarkEnd w:id="116"/>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spacing w:line="400" w:lineRule="exact"/>
        <w:rPr>
          <w:rFonts w:ascii="宋体" w:hAnsi="宋体" w:cs="宋体"/>
          <w:color w:val="auto"/>
          <w:szCs w:val="21"/>
          <w:highlight w:val="none"/>
        </w:rPr>
      </w:pPr>
    </w:p>
    <w:p>
      <w:pPr>
        <w:pStyle w:val="4"/>
        <w:rPr>
          <w:color w:val="auto"/>
          <w:highlight w:val="none"/>
        </w:rPr>
      </w:pPr>
      <w:bookmarkStart w:id="117" w:name="_Toc15635"/>
      <w:bookmarkStart w:id="118" w:name="_Toc21911"/>
      <w:r>
        <w:rPr>
          <w:rFonts w:hint="eastAsia"/>
          <w:color w:val="auto"/>
          <w:highlight w:val="none"/>
        </w:rPr>
        <w:t>24.评审原则及评标过程的保密</w:t>
      </w:r>
      <w:bookmarkEnd w:id="117"/>
      <w:bookmarkEnd w:id="118"/>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评审的基本原则：评标委员会将依据国家和地方政府有关法规的规定，遵循“客观、公正、审慎”的原则进行评审工作。</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pPr>
        <w:spacing w:line="400" w:lineRule="exact"/>
        <w:rPr>
          <w:rFonts w:ascii="宋体" w:hAnsi="宋体" w:cs="宋体"/>
          <w:color w:val="auto"/>
          <w:szCs w:val="21"/>
          <w:highlight w:val="none"/>
        </w:rPr>
      </w:pPr>
    </w:p>
    <w:p>
      <w:pPr>
        <w:pStyle w:val="4"/>
        <w:rPr>
          <w:color w:val="auto"/>
          <w:highlight w:val="none"/>
        </w:rPr>
      </w:pPr>
      <w:bookmarkStart w:id="119" w:name="_Toc10950"/>
      <w:bookmarkStart w:id="120" w:name="_Toc12318"/>
      <w:r>
        <w:rPr>
          <w:rFonts w:hint="eastAsia"/>
          <w:color w:val="auto"/>
          <w:highlight w:val="none"/>
        </w:rPr>
        <w:t>25.投标文件的初审</w:t>
      </w:r>
      <w:bookmarkEnd w:id="119"/>
      <w:bookmarkEnd w:id="120"/>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spacing w:line="400" w:lineRule="exact"/>
        <w:rPr>
          <w:rFonts w:ascii="宋体" w:hAnsi="宋体" w:cs="宋体"/>
          <w:color w:val="auto"/>
          <w:szCs w:val="21"/>
          <w:highlight w:val="none"/>
        </w:rPr>
      </w:pPr>
    </w:p>
    <w:p>
      <w:pPr>
        <w:pStyle w:val="4"/>
        <w:rPr>
          <w:color w:val="auto"/>
          <w:highlight w:val="none"/>
        </w:rPr>
      </w:pPr>
      <w:bookmarkStart w:id="121" w:name="_Toc24775"/>
      <w:bookmarkStart w:id="122" w:name="_Toc19657"/>
      <w:r>
        <w:rPr>
          <w:rFonts w:hint="eastAsia"/>
          <w:color w:val="auto"/>
          <w:highlight w:val="none"/>
        </w:rPr>
        <w:t>26.商务、技术、价格评审</w:t>
      </w:r>
      <w:bookmarkEnd w:id="121"/>
      <w:bookmarkEnd w:id="122"/>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pPr>
        <w:tabs>
          <w:tab w:val="left" w:pos="907"/>
        </w:tabs>
        <w:spacing w:line="400" w:lineRule="exact"/>
        <w:ind w:left="567"/>
        <w:jc w:val="both"/>
        <w:rPr>
          <w:rFonts w:ascii="宋体" w:hAnsi="宋体" w:cs="宋体"/>
          <w:color w:val="auto"/>
          <w:szCs w:val="21"/>
          <w:highlight w:val="none"/>
        </w:rPr>
      </w:pPr>
    </w:p>
    <w:p>
      <w:pPr>
        <w:pStyle w:val="4"/>
        <w:rPr>
          <w:color w:val="auto"/>
          <w:highlight w:val="none"/>
        </w:rPr>
      </w:pPr>
      <w:bookmarkStart w:id="123" w:name="_Toc316375620"/>
      <w:bookmarkStart w:id="124" w:name="_Toc20328"/>
      <w:bookmarkStart w:id="125" w:name="_Toc5898"/>
      <w:bookmarkStart w:id="126" w:name="_Toc19304"/>
      <w:bookmarkStart w:id="127" w:name="_Toc382049120"/>
      <w:r>
        <w:rPr>
          <w:rFonts w:hint="eastAsia"/>
          <w:color w:val="auto"/>
          <w:highlight w:val="none"/>
        </w:rPr>
        <w:t>27.纪律和保密</w:t>
      </w:r>
      <w:bookmarkEnd w:id="123"/>
      <w:r>
        <w:rPr>
          <w:rFonts w:hint="eastAsia"/>
          <w:color w:val="auto"/>
          <w:highlight w:val="none"/>
        </w:rPr>
        <w:t>事项</w:t>
      </w:r>
      <w:bookmarkEnd w:id="124"/>
      <w:bookmarkEnd w:id="125"/>
      <w:bookmarkEnd w:id="126"/>
      <w:bookmarkEnd w:id="127"/>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4"/>
        <w:rPr>
          <w:color w:val="auto"/>
          <w:highlight w:val="none"/>
        </w:rPr>
      </w:pPr>
      <w:bookmarkStart w:id="128" w:name="_Toc1994"/>
      <w:bookmarkStart w:id="129" w:name="_Toc508284011"/>
      <w:bookmarkStart w:id="130" w:name="_Toc4954"/>
      <w:r>
        <w:rPr>
          <w:rFonts w:hint="eastAsia"/>
          <w:color w:val="auto"/>
          <w:highlight w:val="none"/>
        </w:rPr>
        <w:t>28.合同授予标准</w:t>
      </w:r>
      <w:bookmarkEnd w:id="128"/>
      <w:bookmarkEnd w:id="129"/>
      <w:bookmarkEnd w:id="130"/>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pPr>
        <w:spacing w:line="400" w:lineRule="exact"/>
        <w:rPr>
          <w:rFonts w:ascii="宋体" w:hAnsi="宋体" w:cs="宋体"/>
          <w:color w:val="auto"/>
          <w:szCs w:val="21"/>
          <w:highlight w:val="none"/>
        </w:rPr>
      </w:pPr>
    </w:p>
    <w:p>
      <w:pPr>
        <w:pStyle w:val="4"/>
        <w:rPr>
          <w:color w:val="auto"/>
          <w:highlight w:val="none"/>
        </w:rPr>
      </w:pPr>
      <w:bookmarkStart w:id="131" w:name="_Toc508284013"/>
      <w:bookmarkStart w:id="132" w:name="_Toc22043"/>
      <w:bookmarkStart w:id="133" w:name="_Toc14141"/>
      <w:r>
        <w:rPr>
          <w:rFonts w:hint="eastAsia"/>
          <w:color w:val="auto"/>
          <w:highlight w:val="none"/>
        </w:rPr>
        <w:t>30.发布采购结果</w:t>
      </w:r>
      <w:bookmarkEnd w:id="131"/>
      <w:bookmarkEnd w:id="132"/>
      <w:bookmarkEnd w:id="133"/>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pPr>
        <w:numPr>
          <w:ilvl w:val="2"/>
          <w:numId w:val="5"/>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pPr>
        <w:spacing w:line="400" w:lineRule="exact"/>
        <w:rPr>
          <w:rFonts w:ascii="宋体" w:hAnsi="宋体" w:cs="宋体"/>
          <w:color w:val="auto"/>
          <w:szCs w:val="21"/>
          <w:highlight w:val="none"/>
        </w:rPr>
      </w:pPr>
    </w:p>
    <w:p>
      <w:pPr>
        <w:pStyle w:val="4"/>
        <w:rPr>
          <w:color w:val="auto"/>
          <w:highlight w:val="none"/>
        </w:rPr>
      </w:pPr>
      <w:bookmarkStart w:id="134" w:name="_Toc11977"/>
      <w:bookmarkStart w:id="135" w:name="_Toc8411"/>
      <w:r>
        <w:rPr>
          <w:rFonts w:hint="eastAsia"/>
          <w:color w:val="auto"/>
          <w:highlight w:val="none"/>
        </w:rPr>
        <w:t>30.合同的签订与履行</w:t>
      </w:r>
      <w:bookmarkEnd w:id="134"/>
      <w:bookmarkEnd w:id="135"/>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政府采购合同的履行、违约责任和解决争议的方法等适用《中华人民共和国民法典》。</w:t>
      </w:r>
    </w:p>
    <w:p>
      <w:pPr>
        <w:numPr>
          <w:ilvl w:val="1"/>
          <w:numId w:val="5"/>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中标人拒绝与招标人签订合同的，招标人可以按照评审报告推荐的中标候选人名单排序，确定下一候选人为中标人，也可以重新开展政府采购活动。</w:t>
      </w:r>
    </w:p>
    <w:p>
      <w:pPr>
        <w:pStyle w:val="8"/>
        <w:rPr>
          <w:color w:val="auto"/>
          <w:sz w:val="21"/>
          <w:szCs w:val="21"/>
          <w:highlight w:val="none"/>
        </w:rPr>
      </w:pPr>
    </w:p>
    <w:p>
      <w:pPr>
        <w:pStyle w:val="4"/>
        <w:rPr>
          <w:color w:val="auto"/>
          <w:highlight w:val="none"/>
        </w:rPr>
      </w:pPr>
      <w:bookmarkStart w:id="136" w:name="_Toc19434"/>
      <w:bookmarkStart w:id="137" w:name="_Toc23400"/>
      <w:r>
        <w:rPr>
          <w:rFonts w:hint="eastAsia"/>
          <w:color w:val="auto"/>
          <w:highlight w:val="none"/>
        </w:rPr>
        <w:t>31.招标文件的解释权</w:t>
      </w:r>
      <w:bookmarkEnd w:id="136"/>
      <w:bookmarkEnd w:id="137"/>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rPr>
          <w:color w:val="auto"/>
          <w:highlight w:val="none"/>
        </w:rPr>
      </w:pPr>
      <w:bookmarkStart w:id="138" w:name="_Toc27892"/>
      <w:r>
        <w:rPr>
          <w:rFonts w:hint="eastAsia"/>
          <w:color w:val="auto"/>
          <w:highlight w:val="none"/>
        </w:rPr>
        <w:t>用户需求书</w:t>
      </w:r>
      <w:bookmarkEnd w:id="138"/>
    </w:p>
    <w:p>
      <w:pPr>
        <w:jc w:val="center"/>
        <w:outlineLvl w:val="1"/>
        <w:rPr>
          <w:b/>
          <w:bCs/>
          <w:color w:val="auto"/>
          <w:sz w:val="28"/>
          <w:szCs w:val="36"/>
          <w:highlight w:val="none"/>
        </w:rPr>
      </w:pPr>
      <w:bookmarkStart w:id="139" w:name="_Toc16006"/>
      <w:r>
        <w:rPr>
          <w:rFonts w:hint="eastAsia"/>
          <w:b/>
          <w:bCs/>
          <w:color w:val="auto"/>
          <w:sz w:val="28"/>
          <w:szCs w:val="36"/>
          <w:highlight w:val="none"/>
        </w:rPr>
        <w:t>商务要求</w:t>
      </w:r>
      <w:bookmarkEnd w:id="139"/>
    </w:p>
    <w:tbl>
      <w:tblPr>
        <w:tblStyle w:val="15"/>
        <w:tblW w:w="5053"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674"/>
        <w:gridCol w:w="67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4" w:hRule="atLeast"/>
        </w:trPr>
        <w:tc>
          <w:tcPr>
            <w:tcW w:w="995" w:type="pct"/>
            <w:noWrap w:val="0"/>
            <w:vAlign w:val="center"/>
          </w:tcPr>
          <w:p>
            <w:pPr>
              <w:autoSpaceDE w:val="0"/>
              <w:autoSpaceDN w:val="0"/>
              <w:spacing w:line="288" w:lineRule="auto"/>
              <w:jc w:val="center"/>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联合体投标</w:t>
            </w:r>
          </w:p>
        </w:tc>
        <w:tc>
          <w:tcPr>
            <w:tcW w:w="4004" w:type="pct"/>
            <w:noWrap w:val="0"/>
            <w:vAlign w:val="center"/>
          </w:tcPr>
          <w:p>
            <w:pPr>
              <w:autoSpaceDE w:val="0"/>
              <w:autoSpaceDN w:val="0"/>
              <w:spacing w:line="288" w:lineRule="auto"/>
              <w:ind w:firstLine="420" w:firstLineChars="200"/>
              <w:jc w:val="both"/>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本项目</w:t>
            </w:r>
            <w:r>
              <w:rPr>
                <w:rFonts w:hint="eastAsia" w:ascii="宋体" w:hAnsi="宋体" w:cs="宋体"/>
                <w:color w:val="auto"/>
                <w:szCs w:val="21"/>
                <w:highlight w:val="none"/>
                <w:lang w:val="en-US" w:bidi="zh-CN"/>
              </w:rPr>
              <w:t>不</w:t>
            </w:r>
            <w:r>
              <w:rPr>
                <w:rFonts w:hint="eastAsia" w:ascii="宋体" w:hAnsi="宋体" w:cs="宋体"/>
                <w:color w:val="auto"/>
                <w:szCs w:val="21"/>
                <w:highlight w:val="none"/>
                <w:lang w:val="zh-CN" w:bidi="zh-CN"/>
              </w:rPr>
              <w:t>接受联合体投标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6" w:hRule="atLeast"/>
        </w:trPr>
        <w:tc>
          <w:tcPr>
            <w:tcW w:w="1671"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lang w:eastAsia="zh-CN"/>
              </w:rPr>
              <w:t>服务期</w:t>
            </w: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hAnsi="宋体"/>
                <w:color w:val="auto"/>
                <w:szCs w:val="21"/>
                <w:highlight w:val="none"/>
                <w:lang w:val="en-US" w:eastAsia="zh-CN"/>
              </w:rPr>
              <w:t>自合同签订之日起三年</w:t>
            </w:r>
            <w:r>
              <w:rPr>
                <w:rFonts w:hint="eastAsia" w:ascii="宋体" w:hAnsi="宋体" w:eastAsia="宋体"/>
                <w:color w:val="auto"/>
                <w:szCs w:val="21"/>
                <w:highlight w:val="none"/>
                <w:lang w:eastAsia="zh-CN"/>
              </w:rPr>
              <w:t>。</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2024年9月1日-2027年8月31日，具体时间以通知为准</w:t>
            </w:r>
            <w:r>
              <w:rPr>
                <w:rFonts w:hint="eastAsia" w:ascii="宋体" w:hAnsi="宋体"/>
                <w:color w:val="auto"/>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1" w:hRule="atLeast"/>
        </w:trPr>
        <w:tc>
          <w:tcPr>
            <w:tcW w:w="1671"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cs="宋体"/>
                <w:b/>
                <w:bCs/>
                <w:color w:val="auto"/>
                <w:kern w:val="0"/>
                <w:szCs w:val="21"/>
                <w:highlight w:val="none"/>
                <w:lang w:val="zh-CN" w:bidi="zh-CN"/>
              </w:rPr>
              <w:t>★</w:t>
            </w:r>
            <w:r>
              <w:rPr>
                <w:rFonts w:hint="eastAsia" w:ascii="宋体" w:hAnsi="宋体" w:eastAsia="宋体"/>
                <w:color w:val="auto"/>
                <w:szCs w:val="21"/>
                <w:highlight w:val="none"/>
              </w:rPr>
              <w:t>付款方式</w:t>
            </w: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val="en-US" w:bidi="zh-CN"/>
              </w:rPr>
              <w:t>1</w:t>
            </w:r>
            <w:r>
              <w:rPr>
                <w:rFonts w:hint="eastAsia" w:ascii="宋体" w:hAnsi="宋体" w:cs="宋体"/>
                <w:color w:val="auto"/>
                <w:szCs w:val="21"/>
                <w:highlight w:val="none"/>
                <w:lang w:val="zh-CN" w:bidi="zh-CN"/>
              </w:rPr>
              <w:t>）该项目服务期为</w:t>
            </w:r>
            <w:r>
              <w:rPr>
                <w:rFonts w:hint="eastAsia" w:ascii="宋体" w:hAnsi="宋体" w:cs="宋体"/>
                <w:color w:val="auto"/>
                <w:szCs w:val="21"/>
                <w:highlight w:val="none"/>
                <w:lang w:val="en-US" w:bidi="zh-CN"/>
              </w:rPr>
              <w:t>三</w:t>
            </w:r>
            <w:r>
              <w:rPr>
                <w:rFonts w:hint="eastAsia" w:ascii="宋体" w:hAnsi="宋体" w:cs="宋体"/>
                <w:color w:val="auto"/>
                <w:szCs w:val="21"/>
                <w:highlight w:val="none"/>
                <w:lang w:val="zh-CN" w:bidi="zh-CN"/>
              </w:rPr>
              <w:t>年，采取月结方式结算，当月支付上月承包管理费用，上述承包管理费用采购人按照考核评分结果进行发放，若检查分数低于80分（扣分内容过半或以上属于承包方服务范围内责任造成的），每减少1分，当月管理费下浮1%，根据评分结果确定实际应付款后支付。若检查分数在80分以下连续三次以上的，采购人有权单方面终止合同。</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val="en-US" w:bidi="zh-CN"/>
              </w:rPr>
              <w:t>2</w:t>
            </w:r>
            <w:r>
              <w:rPr>
                <w:rFonts w:hint="eastAsia" w:ascii="宋体" w:hAnsi="宋体" w:cs="宋体"/>
                <w:color w:val="auto"/>
                <w:szCs w:val="21"/>
                <w:highlight w:val="none"/>
                <w:lang w:val="zh-CN" w:bidi="zh-CN"/>
              </w:rPr>
              <w:t>）中标人请款时必须提交国家税务机关印制的发票给采购人，采购人才能付款，否则视为无效票据。</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val="en-US" w:bidi="zh-CN"/>
              </w:rPr>
              <w:t>3</w:t>
            </w:r>
            <w:r>
              <w:rPr>
                <w:rFonts w:hint="eastAsia" w:ascii="宋体" w:hAnsi="宋体" w:cs="宋体"/>
                <w:color w:val="auto"/>
                <w:szCs w:val="21"/>
                <w:highlight w:val="none"/>
                <w:lang w:val="zh-CN" w:bidi="zh-CN"/>
              </w:rPr>
              <w:t>）如因考核处罚或中标人服务期间造成第三方损失的赔偿由中标人全部承担，处罚赔偿金额从服务费中相应扣除；若处罚金额超出服务费的，扣除后超出部分仍由中标人自行承担。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2" w:hRule="atLeast"/>
        </w:trPr>
        <w:tc>
          <w:tcPr>
            <w:tcW w:w="1671"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项目地点</w:t>
            </w: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default" w:ascii="宋体" w:hAnsi="宋体" w:cs="宋体"/>
                <w:color w:val="auto"/>
                <w:szCs w:val="21"/>
                <w:highlight w:val="none"/>
                <w:lang w:val="en-US" w:bidi="zh-CN"/>
              </w:rPr>
            </w:pPr>
            <w:r>
              <w:rPr>
                <w:rFonts w:hint="eastAsia" w:ascii="宋体" w:hAnsi="宋体"/>
                <w:color w:val="auto"/>
                <w:szCs w:val="21"/>
                <w:highlight w:val="none"/>
                <w:lang w:val="en-US" w:eastAsia="zh-CN"/>
              </w:rPr>
              <w:t>采购人指定地点。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3" w:hRule="atLeast"/>
        </w:trPr>
        <w:tc>
          <w:tcPr>
            <w:tcW w:w="1671"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cs="宋体"/>
                <w:b/>
                <w:bCs/>
                <w:color w:val="auto"/>
                <w:kern w:val="0"/>
                <w:szCs w:val="21"/>
                <w:highlight w:val="none"/>
                <w:lang w:val="zh-CN" w:bidi="zh-CN"/>
              </w:rPr>
              <w:t>★</w:t>
            </w:r>
            <w:r>
              <w:rPr>
                <w:rFonts w:hint="eastAsia" w:ascii="宋体" w:hAnsi="宋体" w:eastAsia="宋体"/>
                <w:color w:val="auto"/>
                <w:szCs w:val="21"/>
                <w:highlight w:val="none"/>
              </w:rPr>
              <w:t>报价</w:t>
            </w:r>
            <w:r>
              <w:rPr>
                <w:rFonts w:hint="eastAsia" w:ascii="宋体" w:hAnsi="宋体" w:eastAsia="宋体"/>
                <w:color w:val="auto"/>
                <w:szCs w:val="21"/>
                <w:highlight w:val="none"/>
                <w:lang w:eastAsia="zh-CN"/>
              </w:rPr>
              <w:t>要求</w:t>
            </w: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投标报价应包含完成本次招标所有服务内容的费用，包含员工工资福利，保险费，员工培训费，劳保用品费，作业工具费，车辆等设施设备使用及运行费，物料消耗费，设备维修费，垃圾清运费，各项税费，等一切与完成本项目相关费用及合同实施过程中已预见和不可预见的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0" w:hRule="atLeast"/>
        </w:trPr>
        <w:tc>
          <w:tcPr>
            <w:tcW w:w="1671"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ascii="宋体" w:hAnsi="宋体" w:eastAsia="宋体"/>
                <w:color w:val="auto"/>
                <w:szCs w:val="21"/>
                <w:highlight w:val="none"/>
              </w:rPr>
              <w:t>合同条款</w:t>
            </w: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供应商</w:t>
            </w:r>
            <w:r>
              <w:rPr>
                <w:rFonts w:ascii="宋体" w:hAnsi="宋体" w:eastAsia="宋体"/>
                <w:color w:val="auto"/>
                <w:szCs w:val="21"/>
                <w:highlight w:val="none"/>
              </w:rPr>
              <w:t>实质响应合同各条款。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7" w:hRule="atLeast"/>
        </w:trPr>
        <w:tc>
          <w:tcPr>
            <w:tcW w:w="1671"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ascii="宋体" w:hAnsi="宋体" w:eastAsia="宋体"/>
                <w:color w:val="auto"/>
                <w:szCs w:val="21"/>
                <w:highlight w:val="none"/>
              </w:rPr>
              <w:t>其它要求</w:t>
            </w: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bidi="zh-CN"/>
              </w:rPr>
            </w:pPr>
            <w:r>
              <w:rPr>
                <w:rFonts w:hint="eastAsia" w:ascii="宋体" w:hAnsi="宋体" w:eastAsia="宋体"/>
                <w:color w:val="auto"/>
                <w:szCs w:val="21"/>
                <w:highlight w:val="none"/>
              </w:rPr>
              <w:t>投标人应充分结合本招标文件上下文了解项目招标需求、采购文件未尽事宜，将在合同签订或项目执行过程中双方协商确定，供应商须无条件满足采购单位的合理要求。</w:t>
            </w:r>
          </w:p>
        </w:tc>
      </w:tr>
    </w:tbl>
    <w:p>
      <w:pPr>
        <w:rPr>
          <w:color w:val="auto"/>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8"/>
        <w:jc w:val="center"/>
        <w:rPr>
          <w:rFonts w:hint="eastAsia"/>
          <w:b/>
          <w:bCs/>
          <w:color w:val="auto"/>
          <w:sz w:val="28"/>
          <w:szCs w:val="36"/>
          <w:highlight w:val="none"/>
        </w:rPr>
      </w:pPr>
      <w:bookmarkStart w:id="140" w:name="_Toc4572"/>
      <w:r>
        <w:rPr>
          <w:rFonts w:hint="eastAsia"/>
          <w:b/>
          <w:bCs/>
          <w:color w:val="auto"/>
          <w:sz w:val="28"/>
          <w:szCs w:val="36"/>
          <w:highlight w:val="none"/>
        </w:rPr>
        <w:t>技术要求</w:t>
      </w:r>
      <w:bookmarkEnd w:id="140"/>
    </w:p>
    <w:p>
      <w:pPr>
        <w:keepNext w:val="0"/>
        <w:keepLines w:val="0"/>
        <w:pageBreakBefore w:val="0"/>
        <w:widowControl w:val="0"/>
        <w:numPr>
          <w:ilvl w:val="0"/>
          <w:numId w:val="0"/>
        </w:numPr>
        <w:tabs>
          <w:tab w:val="left" w:pos="360"/>
          <w:tab w:val="left" w:pos="450"/>
        </w:tabs>
        <w:kinsoku/>
        <w:wordWrap/>
        <w:overflowPunct/>
        <w:topLinePunct w:val="0"/>
        <w:autoSpaceDE w:val="0"/>
        <w:autoSpaceDN w:val="0"/>
        <w:bidi w:val="0"/>
        <w:adjustRightInd w:val="0"/>
        <w:snapToGrid/>
        <w:spacing w:beforeAutospacing="0" w:after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一、</w:t>
      </w:r>
      <w:r>
        <w:rPr>
          <w:rFonts w:hint="eastAsia" w:ascii="宋体" w:hAnsi="宋体" w:eastAsia="宋体" w:cs="宋体"/>
          <w:b/>
          <w:color w:val="auto"/>
          <w:sz w:val="21"/>
          <w:szCs w:val="21"/>
          <w:highlight w:val="none"/>
        </w:rPr>
        <w:t>服务范围</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sz w:val="21"/>
          <w:szCs w:val="21"/>
          <w:highlight w:val="none"/>
          <w:lang w:val="en-US" w:eastAsia="zh-CN"/>
        </w:rPr>
        <w:t>为了进一步提升</w:t>
      </w:r>
      <w:r>
        <w:rPr>
          <w:rFonts w:hint="eastAsia" w:ascii="宋体" w:hAnsi="宋体" w:cs="宋体"/>
          <w:bCs/>
          <w:color w:val="auto"/>
          <w:sz w:val="21"/>
          <w:szCs w:val="21"/>
          <w:highlight w:val="none"/>
          <w:lang w:val="en-US" w:eastAsia="zh-CN"/>
        </w:rPr>
        <w:t>村</w:t>
      </w:r>
      <w:r>
        <w:rPr>
          <w:rFonts w:hint="eastAsia" w:ascii="宋体" w:hAnsi="宋体" w:eastAsia="宋体" w:cs="宋体"/>
          <w:bCs/>
          <w:color w:val="auto"/>
          <w:sz w:val="21"/>
          <w:szCs w:val="21"/>
          <w:highlight w:val="none"/>
          <w:lang w:val="en-US" w:eastAsia="zh-CN"/>
        </w:rPr>
        <w:t>的人居环境，建设美丽圩镇，提高村民的幸福感，</w:t>
      </w:r>
      <w:r>
        <w:rPr>
          <w:rFonts w:hint="eastAsia" w:ascii="宋体" w:hAnsi="宋体" w:eastAsia="宋体" w:cs="宋体"/>
          <w:color w:val="auto"/>
          <w:sz w:val="21"/>
          <w:szCs w:val="21"/>
          <w:highlight w:val="none"/>
        </w:rPr>
        <w:t>拟将我村环卫保洁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绿化养护等</w:t>
      </w:r>
      <w:r>
        <w:rPr>
          <w:rFonts w:hint="eastAsia" w:ascii="宋体" w:hAnsi="宋体" w:eastAsia="宋体" w:cs="宋体"/>
          <w:color w:val="auto"/>
          <w:sz w:val="21"/>
          <w:szCs w:val="21"/>
          <w:highlight w:val="none"/>
        </w:rPr>
        <w:t>服务面向社会市场化，通过公开、公平、公正的方式寻求专业的服务供应商</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服务包括：黄屋村辖区道路保洁(含清扫、清运垃圾)，上门垃圾收集、杂物堆放清理、河道保洁、绿化养护、清理“牛皮癣”、大件垃圾及建筑垃圾清理，公园、广场、村主干道路面、内巷冲洗，村下水道、明渠及沙井内清淤清洗，并协助清理“六乱”等工作。</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具体范围：</w:t>
      </w:r>
    </w:p>
    <w:tbl>
      <w:tblPr>
        <w:tblStyle w:val="15"/>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5"/>
        <w:gridCol w:w="4005"/>
        <w:gridCol w:w="1754"/>
        <w:gridCol w:w="2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序号</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道路名称</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道路长度（m)</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保洁面积（㎡）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黄屋</w:t>
            </w:r>
            <w:r>
              <w:rPr>
                <w:rFonts w:hint="eastAsia" w:ascii="宋体" w:hAnsi="宋体" w:eastAsia="宋体" w:cs="宋体"/>
                <w:bCs/>
                <w:color w:val="auto"/>
                <w:kern w:val="0"/>
                <w:sz w:val="21"/>
                <w:szCs w:val="21"/>
                <w:highlight w:val="none"/>
                <w:lang w:val="en-US" w:eastAsia="zh-CN"/>
              </w:rPr>
              <w:t>牛食坑路、老富屋路</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800</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黄屋</w:t>
            </w:r>
            <w:r>
              <w:rPr>
                <w:rFonts w:hint="eastAsia" w:ascii="宋体" w:hAnsi="宋体" w:eastAsia="宋体" w:cs="宋体"/>
                <w:bCs/>
                <w:color w:val="auto"/>
                <w:kern w:val="0"/>
                <w:sz w:val="21"/>
                <w:szCs w:val="21"/>
                <w:highlight w:val="none"/>
                <w:lang w:val="en-US" w:eastAsia="zh-CN"/>
              </w:rPr>
              <w:t>青麻园、细围路</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900</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黄屋</w:t>
            </w:r>
            <w:r>
              <w:rPr>
                <w:rFonts w:hint="eastAsia" w:ascii="宋体" w:hAnsi="宋体" w:eastAsia="宋体" w:cs="宋体"/>
                <w:bCs/>
                <w:color w:val="auto"/>
                <w:kern w:val="0"/>
                <w:sz w:val="21"/>
                <w:szCs w:val="21"/>
                <w:highlight w:val="none"/>
                <w:lang w:val="en-US" w:eastAsia="zh-CN"/>
              </w:rPr>
              <w:t>水巷路、榕兴路</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500</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黄屋</w:t>
            </w:r>
            <w:r>
              <w:rPr>
                <w:rFonts w:hint="eastAsia" w:ascii="宋体" w:hAnsi="宋体" w:eastAsia="宋体" w:cs="宋体"/>
                <w:bCs/>
                <w:color w:val="auto"/>
                <w:kern w:val="0"/>
                <w:sz w:val="21"/>
                <w:szCs w:val="21"/>
                <w:highlight w:val="none"/>
                <w:lang w:val="en-US" w:eastAsia="zh-CN"/>
              </w:rPr>
              <w:t>桃园路、松仔林路、地堂间路</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600</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黄屋</w:t>
            </w:r>
            <w:r>
              <w:rPr>
                <w:rFonts w:hint="eastAsia" w:ascii="宋体" w:hAnsi="宋体" w:eastAsia="宋体" w:cs="宋体"/>
                <w:bCs/>
                <w:color w:val="auto"/>
                <w:kern w:val="0"/>
                <w:sz w:val="21"/>
                <w:szCs w:val="21"/>
                <w:highlight w:val="none"/>
                <w:lang w:val="en-US" w:eastAsia="zh-CN"/>
              </w:rPr>
              <w:t>大荔枝路</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200</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黄屋</w:t>
            </w:r>
            <w:r>
              <w:rPr>
                <w:rFonts w:hint="eastAsia" w:ascii="宋体" w:hAnsi="宋体" w:eastAsia="宋体" w:cs="宋体"/>
                <w:bCs/>
                <w:color w:val="auto"/>
                <w:kern w:val="0"/>
                <w:sz w:val="21"/>
                <w:szCs w:val="21"/>
                <w:highlight w:val="none"/>
                <w:lang w:val="en-US" w:eastAsia="zh-CN"/>
              </w:rPr>
              <w:t>新兴路、幼儿园前路</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500</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黄屋</w:t>
            </w:r>
            <w:r>
              <w:rPr>
                <w:rFonts w:hint="eastAsia" w:ascii="宋体" w:hAnsi="宋体" w:eastAsia="宋体" w:cs="宋体"/>
                <w:bCs/>
                <w:color w:val="auto"/>
                <w:kern w:val="0"/>
                <w:sz w:val="21"/>
                <w:szCs w:val="21"/>
                <w:highlight w:val="none"/>
                <w:lang w:val="en-US" w:eastAsia="zh-CN"/>
              </w:rPr>
              <w:t>大围路、黄冚路</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1000</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黄屋</w:t>
            </w:r>
            <w:r>
              <w:rPr>
                <w:rFonts w:hint="eastAsia" w:ascii="宋体" w:hAnsi="宋体" w:eastAsia="宋体" w:cs="宋体"/>
                <w:bCs/>
                <w:color w:val="auto"/>
                <w:kern w:val="0"/>
                <w:sz w:val="21"/>
                <w:szCs w:val="21"/>
                <w:highlight w:val="none"/>
                <w:lang w:val="en-US" w:eastAsia="zh-CN"/>
              </w:rPr>
              <w:t>镇江市一、二路、大地路</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1200</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9</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黄屋</w:t>
            </w:r>
            <w:r>
              <w:rPr>
                <w:rFonts w:hint="eastAsia" w:ascii="宋体" w:hAnsi="宋体" w:eastAsia="宋体" w:cs="宋体"/>
                <w:bCs/>
                <w:color w:val="auto"/>
                <w:kern w:val="0"/>
                <w:sz w:val="21"/>
                <w:szCs w:val="21"/>
                <w:highlight w:val="none"/>
                <w:lang w:val="en-US" w:eastAsia="zh-CN"/>
              </w:rPr>
              <w:t>中凯二路</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500</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10</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黄屋</w:t>
            </w:r>
            <w:r>
              <w:rPr>
                <w:rFonts w:hint="eastAsia" w:ascii="宋体" w:hAnsi="宋体" w:eastAsia="宋体" w:cs="宋体"/>
                <w:bCs/>
                <w:color w:val="auto"/>
                <w:kern w:val="0"/>
                <w:sz w:val="21"/>
                <w:szCs w:val="21"/>
                <w:highlight w:val="none"/>
                <w:lang w:val="en-US" w:eastAsia="zh-CN"/>
              </w:rPr>
              <w:t>工业路</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1000</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11</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黄屋</w:t>
            </w:r>
            <w:r>
              <w:rPr>
                <w:rFonts w:hint="eastAsia" w:ascii="宋体" w:hAnsi="宋体" w:eastAsia="宋体" w:cs="宋体"/>
                <w:bCs/>
                <w:color w:val="auto"/>
                <w:kern w:val="0"/>
                <w:sz w:val="21"/>
                <w:szCs w:val="21"/>
                <w:highlight w:val="none"/>
                <w:lang w:val="en-US" w:eastAsia="zh-CN"/>
              </w:rPr>
              <w:t>炭步一、二路、丰收路</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600</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12</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黄屋</w:t>
            </w:r>
            <w:r>
              <w:rPr>
                <w:rFonts w:hint="eastAsia" w:ascii="宋体" w:hAnsi="宋体" w:eastAsia="宋体" w:cs="宋体"/>
                <w:bCs/>
                <w:color w:val="auto"/>
                <w:kern w:val="0"/>
                <w:sz w:val="21"/>
                <w:szCs w:val="21"/>
                <w:highlight w:val="none"/>
                <w:lang w:val="en-US" w:eastAsia="zh-CN"/>
              </w:rPr>
              <w:t>大塘村内</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1000</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13</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黄屋</w:t>
            </w:r>
            <w:r>
              <w:rPr>
                <w:rFonts w:hint="eastAsia" w:ascii="宋体" w:hAnsi="宋体" w:eastAsia="宋体" w:cs="宋体"/>
                <w:bCs/>
                <w:color w:val="auto"/>
                <w:kern w:val="0"/>
                <w:sz w:val="21"/>
                <w:szCs w:val="21"/>
                <w:highlight w:val="none"/>
                <w:lang w:val="en-US" w:eastAsia="zh-CN"/>
              </w:rPr>
              <w:t>细围巷</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1500</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14</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黄屋</w:t>
            </w:r>
            <w:r>
              <w:rPr>
                <w:rFonts w:hint="eastAsia" w:ascii="宋体" w:hAnsi="宋体" w:eastAsia="宋体" w:cs="宋体"/>
                <w:bCs/>
                <w:color w:val="auto"/>
                <w:kern w:val="0"/>
                <w:sz w:val="21"/>
                <w:szCs w:val="21"/>
                <w:highlight w:val="none"/>
                <w:lang w:val="en-US" w:eastAsia="zh-CN"/>
              </w:rPr>
              <w:t>大围巷、黄冚巷</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2000</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15</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黄屋</w:t>
            </w:r>
            <w:r>
              <w:rPr>
                <w:rFonts w:hint="eastAsia" w:ascii="宋体" w:hAnsi="宋体" w:eastAsia="宋体" w:cs="宋体"/>
                <w:bCs/>
                <w:color w:val="auto"/>
                <w:kern w:val="0"/>
                <w:sz w:val="21"/>
                <w:szCs w:val="21"/>
                <w:highlight w:val="none"/>
                <w:lang w:val="en-US" w:eastAsia="zh-CN"/>
              </w:rPr>
              <w:t>镇江市巷</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1000</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color w:val="auto"/>
                <w:highlight w:val="none"/>
                <w:lang w:val="en-US" w:eastAsia="zh-CN"/>
              </w:rPr>
            </w:pPr>
            <w:r>
              <w:rPr>
                <w:rFonts w:hint="eastAsia" w:ascii="宋体" w:hAnsi="宋体" w:cs="宋体"/>
                <w:bCs/>
                <w:color w:val="auto"/>
                <w:kern w:val="0"/>
                <w:sz w:val="21"/>
                <w:szCs w:val="21"/>
                <w:highlight w:val="none"/>
                <w:lang w:val="en-US" w:eastAsia="zh-CN"/>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16</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黄屋公园、广场</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cs="宋体"/>
                <w:bCs/>
                <w:color w:val="auto"/>
                <w:kern w:val="0"/>
                <w:sz w:val="21"/>
                <w:szCs w:val="21"/>
                <w:highlight w:val="none"/>
                <w:lang w:val="en-US" w:eastAsia="zh-CN"/>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17</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黄屋大塘、细塘</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cs="宋体"/>
                <w:bCs/>
                <w:color w:val="auto"/>
                <w:kern w:val="0"/>
                <w:sz w:val="21"/>
                <w:szCs w:val="21"/>
                <w:highlight w:val="none"/>
                <w:lang w:val="en-US" w:eastAsia="zh-CN"/>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合计</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132600</w:t>
            </w:r>
          </w:p>
        </w:tc>
      </w:tr>
    </w:tbl>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以上表格内容为参考数据，实际服务范围按合同要求及现场情况为准</w:t>
      </w:r>
      <w:r>
        <w:rPr>
          <w:rFonts w:hint="eastAsia" w:ascii="宋体" w:hAnsi="宋体" w:eastAsia="宋体" w:cs="宋体"/>
          <w:b/>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2、项目服务期内，由于政策、</w:t>
      </w:r>
      <w:r>
        <w:rPr>
          <w:rFonts w:hint="eastAsia" w:ascii="宋体" w:hAnsi="宋体" w:cs="宋体"/>
          <w:b/>
          <w:color w:val="auto"/>
          <w:sz w:val="21"/>
          <w:szCs w:val="21"/>
          <w:highlight w:val="none"/>
          <w:lang w:val="en-US" w:eastAsia="zh-CN"/>
        </w:rPr>
        <w:t>村</w:t>
      </w:r>
      <w:r>
        <w:rPr>
          <w:rFonts w:hint="eastAsia" w:ascii="宋体" w:hAnsi="宋体" w:eastAsia="宋体" w:cs="宋体"/>
          <w:b/>
          <w:color w:val="auto"/>
          <w:sz w:val="21"/>
          <w:szCs w:val="21"/>
          <w:highlight w:val="none"/>
          <w:lang w:val="en-US" w:eastAsia="zh-CN"/>
        </w:rPr>
        <w:t>发展等因素，</w:t>
      </w:r>
      <w:r>
        <w:rPr>
          <w:rFonts w:hint="eastAsia" w:ascii="宋体" w:hAnsi="宋体" w:cs="宋体"/>
          <w:b/>
          <w:color w:val="auto"/>
          <w:sz w:val="21"/>
          <w:szCs w:val="21"/>
          <w:highlight w:val="none"/>
          <w:lang w:val="en-US" w:eastAsia="zh-CN"/>
        </w:rPr>
        <w:t>村</w:t>
      </w:r>
      <w:r>
        <w:rPr>
          <w:rFonts w:hint="eastAsia" w:ascii="宋体" w:hAnsi="宋体" w:eastAsia="宋体" w:cs="宋体"/>
          <w:b/>
          <w:color w:val="auto"/>
          <w:sz w:val="21"/>
          <w:szCs w:val="21"/>
          <w:highlight w:val="none"/>
          <w:lang w:val="en-US" w:eastAsia="zh-CN"/>
        </w:rPr>
        <w:t>内新增（减少）道路或道路调整的，导致本项目环卫保洁、绿化养护服务范围面积的增加或减少，项目的服务费金额不作调整</w:t>
      </w:r>
      <w:r>
        <w:rPr>
          <w:rFonts w:hint="eastAsia" w:ascii="宋体" w:hAnsi="宋体" w:eastAsia="宋体" w:cs="宋体"/>
          <w:b/>
          <w:color w:val="auto"/>
          <w:sz w:val="21"/>
          <w:szCs w:val="21"/>
          <w:highlight w:val="none"/>
        </w:rPr>
        <w:t>。</w:t>
      </w:r>
    </w:p>
    <w:p>
      <w:pPr>
        <w:keepNext w:val="0"/>
        <w:keepLines w:val="0"/>
        <w:pageBreakBefore w:val="0"/>
        <w:widowControl w:val="0"/>
        <w:numPr>
          <w:ilvl w:val="0"/>
          <w:numId w:val="0"/>
        </w:numPr>
        <w:tabs>
          <w:tab w:val="left" w:pos="360"/>
          <w:tab w:val="left" w:pos="450"/>
        </w:tabs>
        <w:kinsoku/>
        <w:wordWrap/>
        <w:overflowPunct/>
        <w:topLinePunct w:val="0"/>
        <w:autoSpaceDE w:val="0"/>
        <w:autoSpaceDN w:val="0"/>
        <w:bidi w:val="0"/>
        <w:adjustRightInd w:val="0"/>
        <w:snapToGrid/>
        <w:spacing w:beforeAutospacing="0" w:afterAutospacing="0" w:line="360" w:lineRule="auto"/>
        <w:ind w:left="0" w:leftChars="0" w:firstLine="422" w:firstLineChars="200"/>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kern w:val="2"/>
          <w:sz w:val="21"/>
          <w:szCs w:val="21"/>
          <w:highlight w:val="none"/>
          <w:shd w:val="clear" w:fill="auto"/>
          <w:lang w:val="en-US" w:eastAsia="zh-CN" w:bidi="ar-SA"/>
        </w:rPr>
        <w:t>二、</w:t>
      </w:r>
      <w:r>
        <w:rPr>
          <w:rFonts w:hint="eastAsia" w:ascii="宋体" w:hAnsi="宋体" w:eastAsia="宋体" w:cs="宋体"/>
          <w:b/>
          <w:color w:val="auto"/>
          <w:sz w:val="21"/>
          <w:szCs w:val="21"/>
          <w:highlight w:val="none"/>
          <w:shd w:val="clear" w:color="auto" w:fill="auto"/>
          <w:lang w:val="en-US" w:eastAsia="zh-CN"/>
        </w:rPr>
        <w:t>服务要求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保洁</w:t>
      </w:r>
      <w:r>
        <w:rPr>
          <w:rFonts w:hint="eastAsia" w:ascii="宋体" w:hAnsi="宋体" w:eastAsia="宋体" w:cs="宋体"/>
          <w:b/>
          <w:color w:val="auto"/>
          <w:sz w:val="21"/>
          <w:szCs w:val="21"/>
          <w:highlight w:val="none"/>
        </w:rPr>
        <w:t>工作要求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中标人进场后，要求组织足够的人力及作业设备迅速对服务范围的环境卫生进行一次全方位清理整治。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每天全面清理本辖区卫生与保洁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做好责任区域范围内的垃圾收集，特殊情况下中标单位需要按照招标单位要求无条件执行。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普扫作业要达到六净六无一通标准，六净：路面净、路牙石净、人行道净、墙基净、落水口净、果皮箱净。六无：无积水、无果皮、无烟头等废弃物、无人畜粪便、无漏收垃圾堆、无往落水口、明沟、绿化带扫倒垃圾污物。</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中标人负责清理废弃家具、公共部位杂草、公园道路、杂物等。</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清理本辖区道路、内巷、公共区域、空地、绿化带内外的垃圾、道路上的杂草</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辖区内的牛皮癣</w:t>
      </w:r>
      <w:r>
        <w:rPr>
          <w:rFonts w:hint="eastAsia" w:ascii="宋体" w:hAnsi="宋体" w:cs="宋体"/>
          <w:color w:val="auto"/>
          <w:sz w:val="21"/>
          <w:szCs w:val="21"/>
          <w:highlight w:val="none"/>
          <w:lang w:val="en-US" w:eastAsia="zh-CN"/>
        </w:rPr>
        <w:t>以及</w:t>
      </w:r>
      <w:r>
        <w:rPr>
          <w:rFonts w:hint="eastAsia" w:ascii="宋体" w:hAnsi="宋体" w:eastAsia="宋体" w:cs="宋体"/>
          <w:color w:val="auto"/>
          <w:sz w:val="21"/>
          <w:szCs w:val="21"/>
          <w:highlight w:val="none"/>
        </w:rPr>
        <w:t>辖区内的</w:t>
      </w:r>
      <w:r>
        <w:rPr>
          <w:rFonts w:hint="eastAsia" w:ascii="宋体" w:hAnsi="宋体" w:cs="宋体"/>
          <w:color w:val="auto"/>
          <w:sz w:val="21"/>
          <w:szCs w:val="21"/>
          <w:highlight w:val="none"/>
          <w:lang w:val="en-US" w:eastAsia="zh-CN"/>
        </w:rPr>
        <w:t>池塘水体垃圾清理</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每周清洗本辖区内果皮箱、垃圾桶及清除周边的污迹和粘贴痕迹。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村内主要道路每</w:t>
      </w:r>
      <w:r>
        <w:rPr>
          <w:rFonts w:hint="eastAsia" w:ascii="宋体" w:hAnsi="宋体" w:cs="宋体"/>
          <w:color w:val="auto"/>
          <w:sz w:val="21"/>
          <w:szCs w:val="21"/>
          <w:highlight w:val="none"/>
          <w:lang w:val="en-US" w:eastAsia="zh-CN"/>
        </w:rPr>
        <w:t>日</w:t>
      </w:r>
      <w:r>
        <w:rPr>
          <w:rFonts w:hint="eastAsia" w:ascii="宋体" w:hAnsi="宋体" w:eastAsia="宋体" w:cs="宋体"/>
          <w:color w:val="auto"/>
          <w:sz w:val="21"/>
          <w:szCs w:val="21"/>
          <w:highlight w:val="none"/>
        </w:rPr>
        <w:t>至少安排洒水作业</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次，遇特殊情况增加洒水作业次数。</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积极响应环卫主管部门的要求，对存在问题及投诉快速反应处理，特别是对市、区数字城管案件按规定时间内处理完毕并相片回复，否则因回复期限超时而造成的扣分与当月的服务费挂钩。</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果皮箱、垃圾桶及时清掏，确保垃圾桶周边无满溢现象，发现满溢现象应立即处理，保持清洁无臭味，如有损坏应及时通知</w:t>
      </w:r>
      <w:r>
        <w:rPr>
          <w:rFonts w:hint="eastAsia" w:ascii="宋体" w:hAnsi="宋体" w:cs="宋体"/>
          <w:color w:val="auto"/>
          <w:sz w:val="21"/>
          <w:szCs w:val="21"/>
          <w:highlight w:val="none"/>
          <w:lang w:eastAsia="zh-CN"/>
        </w:rPr>
        <w:t>村</w:t>
      </w:r>
      <w:r>
        <w:rPr>
          <w:rFonts w:hint="eastAsia" w:ascii="宋体" w:hAnsi="宋体" w:eastAsia="宋体" w:cs="宋体"/>
          <w:color w:val="auto"/>
          <w:sz w:val="21"/>
          <w:szCs w:val="21"/>
          <w:highlight w:val="none"/>
        </w:rPr>
        <w:t>环卫部门进行维修或更换。</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中标人须编制清扫保洁实施方案，列明保证质量、安全、文明施工的措施，并且严格按照实施方案按时按质完成。项目经理要落实好岗位责任制，加强日常巡查，发现他人在保洁范围内倾倒生活垃圾的行为，要及时制止，并向属地执法部门报告，同时恢复场地原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车辆设备和垃圾收集手推车要外容整洁完好，密闭，无破损、锈迹，定期检测修刷漆翻新，同时</w:t>
      </w:r>
      <w:r>
        <w:rPr>
          <w:rFonts w:hint="eastAsia" w:ascii="宋体" w:hAnsi="宋体" w:eastAsia="宋体" w:cs="宋体"/>
          <w:color w:val="auto"/>
          <w:sz w:val="21"/>
          <w:szCs w:val="21"/>
          <w:highlight w:val="none"/>
          <w:lang w:val="en-US" w:eastAsia="zh-CN"/>
        </w:rPr>
        <w:t>按上级街道部门或</w:t>
      </w:r>
      <w:r>
        <w:rPr>
          <w:rFonts w:hint="eastAsia" w:ascii="宋体" w:hAnsi="宋体" w:cs="宋体"/>
          <w:color w:val="auto"/>
          <w:sz w:val="21"/>
          <w:szCs w:val="21"/>
          <w:highlight w:val="none"/>
          <w:lang w:val="en-US" w:eastAsia="zh-CN"/>
        </w:rPr>
        <w:t>村</w:t>
      </w:r>
      <w:r>
        <w:rPr>
          <w:rFonts w:hint="eastAsia" w:ascii="宋体" w:hAnsi="宋体" w:eastAsia="宋体" w:cs="宋体"/>
          <w:color w:val="auto"/>
          <w:sz w:val="21"/>
          <w:szCs w:val="21"/>
          <w:highlight w:val="none"/>
          <w:lang w:val="en-US" w:eastAsia="zh-CN"/>
        </w:rPr>
        <w:t>要求设置车辆外观</w:t>
      </w:r>
      <w:r>
        <w:rPr>
          <w:rFonts w:hint="eastAsia" w:ascii="宋体" w:hAnsi="宋体" w:eastAsia="宋体" w:cs="宋体"/>
          <w:color w:val="auto"/>
          <w:sz w:val="21"/>
          <w:szCs w:val="21"/>
          <w:highlight w:val="none"/>
        </w:rPr>
        <w:t>，并且装运过程中不得满溢、洒漏；机动车辆作业时，应尽量避开上下班高峰期，并开启警示灯，并尽量避免作业时危害到行人及车辆。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作业安全及设备安全由中标人全权负责，作业人员必须统一着装，穿反光马甲，出现工伤意外，</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不负任何责任。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垃圾处理严格贯彻“统一收集，定点堆放，日产日清”的原则，由中标人自行负责清运至</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指定地点。要求使用密封式运输车，避免二次污染。</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中标人必须自备垃圾收集清运车、保洁设备等，</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不提供任何作业工具。</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不提供吃住场所。</w:t>
      </w:r>
    </w:p>
    <w:p>
      <w:pPr>
        <w:keepNext w:val="0"/>
        <w:keepLines w:val="0"/>
        <w:pageBreakBefore w:val="0"/>
        <w:widowControl w:val="0"/>
        <w:tabs>
          <w:tab w:val="left" w:pos="5940"/>
        </w:tabs>
        <w:kinsoku/>
        <w:wordWrap/>
        <w:overflowPunct/>
        <w:topLinePunct w:val="0"/>
        <w:bidi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提出的检查整改意见，中标人必须在24小时内作出响应处理，并接受</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的监督考核</w:t>
      </w:r>
      <w:r>
        <w:rPr>
          <w:rFonts w:hint="eastAsia" w:ascii="宋体" w:hAnsi="宋体" w:eastAsia="宋体" w:cs="宋体"/>
          <w:color w:val="auto"/>
          <w:sz w:val="21"/>
          <w:szCs w:val="21"/>
          <w:highlight w:val="none"/>
          <w:lang w:eastAsia="zh-CN"/>
        </w:rPr>
        <w:t>。</w:t>
      </w:r>
    </w:p>
    <w:p>
      <w:pPr>
        <w:keepNext w:val="0"/>
        <w:keepLines w:val="0"/>
        <w:pageBreakBefore w:val="0"/>
        <w:widowControl w:val="0"/>
        <w:tabs>
          <w:tab w:val="left" w:pos="5940"/>
        </w:tabs>
        <w:kinsoku/>
        <w:wordWrap/>
        <w:overflowPunct/>
        <w:topLinePunct w:val="0"/>
        <w:bidi w:val="0"/>
        <w:snapToGrid/>
        <w:spacing w:beforeAutospacing="0" w:afterAutospacing="0" w:line="360" w:lineRule="auto"/>
        <w:ind w:left="0" w:leftChars="0" w:firstLine="420" w:firstLineChars="200"/>
        <w:textAlignment w:val="auto"/>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17、中标单位提供在职环卫人员不得少于22人。</w:t>
      </w:r>
    </w:p>
    <w:p>
      <w:pPr>
        <w:keepNext w:val="0"/>
        <w:keepLines w:val="0"/>
        <w:pageBreakBefore w:val="0"/>
        <w:widowControl w:val="0"/>
        <w:tabs>
          <w:tab w:val="left" w:pos="5940"/>
        </w:tabs>
        <w:kinsoku/>
        <w:wordWrap/>
        <w:overflowPunct/>
        <w:topLinePunct w:val="0"/>
        <w:bidi w:val="0"/>
        <w:snapToGrid/>
        <w:spacing w:beforeAutospacing="0" w:after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（二）绿化管理养护工作要求</w:t>
      </w:r>
    </w:p>
    <w:p>
      <w:pPr>
        <w:keepNext w:val="0"/>
        <w:keepLines w:val="0"/>
        <w:pageBreakBefore w:val="0"/>
        <w:widowControl w:val="0"/>
        <w:kinsoku/>
        <w:wordWrap/>
        <w:overflowPunct/>
        <w:topLinePunct w:val="0"/>
        <w:bidi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村</w:t>
      </w:r>
      <w:r>
        <w:rPr>
          <w:rFonts w:hint="eastAsia" w:ascii="宋体" w:hAnsi="宋体" w:eastAsia="宋体" w:cs="宋体"/>
          <w:color w:val="auto"/>
          <w:sz w:val="21"/>
          <w:szCs w:val="21"/>
          <w:highlight w:val="none"/>
        </w:rPr>
        <w:t>绿化管理养护服务工作要求和质量标准参照东莞市城管局制定的标准进行管理，合同期内，如因政策调整，相关部门颁发新的实施规定或行业标准的，按最新的规定标准执行，基本要求和标准为：</w:t>
      </w:r>
    </w:p>
    <w:p>
      <w:pPr>
        <w:keepNext w:val="0"/>
        <w:keepLines w:val="0"/>
        <w:pageBreakBefore w:val="0"/>
        <w:widowControl w:val="0"/>
        <w:kinsoku/>
        <w:wordWrap/>
        <w:overflowPunct/>
        <w:topLinePunct w:val="0"/>
        <w:bidi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必须配备两名以上助理园林绿化等相关技术人员负责养护管理和技术工作。</w:t>
      </w:r>
    </w:p>
    <w:p>
      <w:pPr>
        <w:keepNext w:val="0"/>
        <w:keepLines w:val="0"/>
        <w:pageBreakBefore w:val="0"/>
        <w:widowControl w:val="0"/>
        <w:kinsoku/>
        <w:wordWrap/>
        <w:overflowPunct/>
        <w:topLinePunct w:val="0"/>
        <w:bidi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绿化管理养护内容包括植物养护（含草坪、灌木、乔木、草本花卉、水生植物、垂直绿化等）、绿化地设施的卫生保洁工作（含垃圾筒、果皮箱等卫生设施、护栏、护树设施、座椅、指示牌、宣传牌、警示牌等标识系统等），绿化地、公园及构筑物的卫生保洁工作（含亭、台、楼、榭、园道、挡土墙、广场嵌草铺装、花基、小品、雕塑、停车场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绿化地设施</w:t>
      </w:r>
      <w:r>
        <w:rPr>
          <w:rFonts w:hint="eastAsia" w:ascii="宋体" w:hAnsi="宋体" w:eastAsia="宋体" w:cs="宋体"/>
          <w:color w:val="auto"/>
          <w:sz w:val="21"/>
          <w:szCs w:val="21"/>
          <w:highlight w:val="none"/>
          <w:lang w:val="en-US" w:eastAsia="zh-CN"/>
        </w:rPr>
        <w:t>更换并不属于中标人的工作范围内</w:t>
      </w:r>
      <w:r>
        <w:rPr>
          <w:rFonts w:hint="eastAsia" w:ascii="宋体" w:hAnsi="宋体" w:eastAsia="宋体" w:cs="宋体"/>
          <w:color w:val="auto"/>
          <w:sz w:val="21"/>
          <w:szCs w:val="21"/>
          <w:highlight w:val="none"/>
        </w:rPr>
        <w:t>。具体工作按</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规定的工作要求执行，包括以下内容：</w:t>
      </w:r>
    </w:p>
    <w:p>
      <w:pPr>
        <w:keepNext w:val="0"/>
        <w:keepLines w:val="0"/>
        <w:pageBreakBefore w:val="0"/>
        <w:widowControl w:val="0"/>
        <w:kinsoku/>
        <w:wordWrap/>
        <w:overflowPunct/>
        <w:topLinePunct w:val="0"/>
        <w:bidi w:val="0"/>
        <w:snapToGrid/>
        <w:spacing w:beforeAutospacing="0" w:after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2.1绿化地保洁工作</w:t>
      </w:r>
      <w:r>
        <w:rPr>
          <w:rFonts w:hint="eastAsia" w:ascii="宋体" w:hAnsi="宋体" w:eastAsia="宋体" w:cs="宋体"/>
          <w:color w:val="auto"/>
          <w:sz w:val="21"/>
          <w:szCs w:val="21"/>
          <w:highlight w:val="none"/>
        </w:rPr>
        <w:t xml:space="preserve">  在保洁时间内保持绿化地清洁无垃圾杂物，产出垃圾当天清运；保持绿化设施的清洁，及时清理乱涂写、乱张贴。</w:t>
      </w:r>
    </w:p>
    <w:p>
      <w:pPr>
        <w:keepNext w:val="0"/>
        <w:keepLines w:val="0"/>
        <w:pageBreakBefore w:val="0"/>
        <w:widowControl w:val="0"/>
        <w:kinsoku/>
        <w:wordWrap/>
        <w:overflowPunct/>
        <w:topLinePunct w:val="0"/>
        <w:bidi w:val="0"/>
        <w:snapToGrid/>
        <w:spacing w:beforeAutospacing="0" w:after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2.2垃圾清运工作</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将绿化地管养范围内的所有垃圾运到</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指定的垃圾堆放场地处理，其费用由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支付。</w:t>
      </w:r>
    </w:p>
    <w:p>
      <w:pPr>
        <w:keepNext w:val="0"/>
        <w:keepLines w:val="0"/>
        <w:pageBreakBefore w:val="0"/>
        <w:widowControl w:val="0"/>
        <w:kinsoku/>
        <w:wordWrap/>
        <w:overflowPunct/>
        <w:topLinePunct w:val="0"/>
        <w:bidi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.3灌溉、施肥工作</w:t>
      </w:r>
      <w:r>
        <w:rPr>
          <w:rFonts w:hint="eastAsia" w:ascii="宋体" w:hAnsi="宋体" w:eastAsia="宋体" w:cs="宋体"/>
          <w:color w:val="auto"/>
          <w:sz w:val="21"/>
          <w:szCs w:val="21"/>
          <w:highlight w:val="none"/>
        </w:rPr>
        <w:t xml:space="preserve">  根据植物生长需要加强淋水和施肥，各级绿化每平方米每年投放的肥料不得低于以下标准：一级管养须投放复合肥0.55斤、蘑菇肥0.55斤、花生麸0.3斤；二级管养须投放复合肥0.4斤、蘑菇肥0.4斤、花生麸0.2斤；三级管养须投放复合肥0.2斤、蘑菇肥0.2斤、花生麸0.1斤；复合肥要求N∶P∶K＝15∶15∶15，有机肥只限于花生麸、腐熟的粪肥、草木灰。</w:t>
      </w:r>
    </w:p>
    <w:p>
      <w:pPr>
        <w:keepNext w:val="0"/>
        <w:keepLines w:val="0"/>
        <w:pageBreakBefore w:val="0"/>
        <w:widowControl w:val="0"/>
        <w:kinsoku/>
        <w:wordWrap/>
        <w:overflowPunct/>
        <w:topLinePunct w:val="0"/>
        <w:bidi w:val="0"/>
        <w:snapToGrid/>
        <w:spacing w:beforeAutospacing="0" w:after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2.4整形修剪工作</w:t>
      </w:r>
      <w:r>
        <w:rPr>
          <w:rFonts w:hint="eastAsia" w:ascii="宋体" w:hAnsi="宋体" w:eastAsia="宋体" w:cs="宋体"/>
          <w:color w:val="auto"/>
          <w:sz w:val="21"/>
          <w:szCs w:val="21"/>
          <w:highlight w:val="none"/>
        </w:rPr>
        <w:t xml:space="preserve">  根据植物的生长发育要求、景观要求、安全要求及防风要求等，对植物进行有计划的定期修剪和不定期突击修剪。</w:t>
      </w:r>
    </w:p>
    <w:p>
      <w:pPr>
        <w:keepNext w:val="0"/>
        <w:keepLines w:val="0"/>
        <w:pageBreakBefore w:val="0"/>
        <w:widowControl w:val="0"/>
        <w:kinsoku/>
        <w:wordWrap/>
        <w:overflowPunct/>
        <w:topLinePunct w:val="0"/>
        <w:bidi w:val="0"/>
        <w:snapToGrid/>
        <w:spacing w:beforeAutospacing="0" w:after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cs="宋体"/>
          <w:b/>
          <w:color w:val="auto"/>
          <w:sz w:val="21"/>
          <w:szCs w:val="21"/>
          <w:highlight w:val="none"/>
          <w:lang w:val="en-US" w:eastAsia="zh-CN"/>
        </w:rPr>
        <w:t>5</w:t>
      </w:r>
      <w:r>
        <w:rPr>
          <w:rFonts w:hint="eastAsia" w:ascii="宋体" w:hAnsi="宋体" w:eastAsia="宋体" w:cs="宋体"/>
          <w:b/>
          <w:color w:val="auto"/>
          <w:sz w:val="21"/>
          <w:szCs w:val="21"/>
          <w:highlight w:val="none"/>
        </w:rPr>
        <w:t xml:space="preserve">绿化保护工作  </w:t>
      </w:r>
      <w:r>
        <w:rPr>
          <w:rFonts w:hint="eastAsia" w:ascii="宋体" w:hAnsi="宋体" w:eastAsia="宋体" w:cs="宋体"/>
          <w:color w:val="auto"/>
          <w:sz w:val="21"/>
          <w:szCs w:val="21"/>
          <w:highlight w:val="none"/>
        </w:rPr>
        <w:t>保护绿化地红线不被侵占，对破坏绿化及影响绿化景观的现象及时制止，对受破坏的绿化地及时采取有效措施予以修复。</w:t>
      </w:r>
    </w:p>
    <w:p>
      <w:pPr>
        <w:keepNext w:val="0"/>
        <w:keepLines w:val="0"/>
        <w:pageBreakBefore w:val="0"/>
        <w:widowControl w:val="0"/>
        <w:kinsoku/>
        <w:wordWrap/>
        <w:overflowPunct/>
        <w:topLinePunct w:val="0"/>
        <w:bidi w:val="0"/>
        <w:snapToGrid/>
        <w:spacing w:beforeAutospacing="0" w:after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rPr>
        <w:t>绿化地内道路、铺装场地保洁</w:t>
      </w:r>
      <w:r>
        <w:rPr>
          <w:rFonts w:hint="eastAsia" w:ascii="宋体" w:hAnsi="宋体" w:eastAsia="宋体" w:cs="宋体"/>
          <w:color w:val="auto"/>
          <w:sz w:val="21"/>
          <w:szCs w:val="21"/>
          <w:highlight w:val="none"/>
        </w:rPr>
        <w:t xml:space="preserve">  保证所管辖范围内干净整洁，无胶袋、无饮料盒、无纸屑、无果皮（包括花生壳、瓜子皮）、无石块、无杂物、无污迹（含香口胶），并保证在保洁时间内路面无大面积的枯枝落叶。</w:t>
      </w:r>
    </w:p>
    <w:p>
      <w:pPr>
        <w:keepNext w:val="0"/>
        <w:keepLines w:val="0"/>
        <w:pageBreakBefore w:val="0"/>
        <w:widowControl w:val="0"/>
        <w:kinsoku/>
        <w:wordWrap/>
        <w:overflowPunct/>
        <w:topLinePunct w:val="0"/>
        <w:bidi w:val="0"/>
        <w:snapToGrid/>
        <w:spacing w:beforeAutospacing="0" w:after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cs="宋体"/>
          <w:b/>
          <w:color w:val="auto"/>
          <w:sz w:val="21"/>
          <w:szCs w:val="21"/>
          <w:highlight w:val="none"/>
          <w:lang w:val="en-US" w:eastAsia="zh-CN"/>
        </w:rPr>
        <w:t>7</w:t>
      </w:r>
      <w:r>
        <w:rPr>
          <w:rFonts w:hint="eastAsia" w:ascii="宋体" w:hAnsi="宋体" w:eastAsia="宋体" w:cs="宋体"/>
          <w:b/>
          <w:color w:val="auto"/>
          <w:sz w:val="21"/>
          <w:szCs w:val="21"/>
          <w:highlight w:val="none"/>
        </w:rPr>
        <w:t>特殊植物种类的养护和管理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必须具备数名对特殊植物种类有一定养护经验的管理人员，了解此类植物的习性，并定期对管理人员进行相关的培训，达到管养科学、抚育精心的水平。</w:t>
      </w:r>
    </w:p>
    <w:p>
      <w:pPr>
        <w:keepNext w:val="0"/>
        <w:keepLines w:val="0"/>
        <w:pageBreakBefore w:val="0"/>
        <w:widowControl w:val="0"/>
        <w:kinsoku/>
        <w:wordWrap/>
        <w:overflowPunct/>
        <w:topLinePunct w:val="0"/>
        <w:bidi w:val="0"/>
        <w:snapToGrid/>
        <w:spacing w:beforeAutospacing="0" w:after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cs="宋体"/>
          <w:b/>
          <w:color w:val="auto"/>
          <w:sz w:val="21"/>
          <w:szCs w:val="21"/>
          <w:highlight w:val="none"/>
          <w:lang w:val="en-US" w:eastAsia="zh-CN"/>
        </w:rPr>
        <w:t>8</w:t>
      </w:r>
      <w:r>
        <w:rPr>
          <w:rFonts w:hint="eastAsia" w:ascii="宋体" w:hAnsi="宋体" w:eastAsia="宋体" w:cs="宋体"/>
          <w:b/>
          <w:color w:val="auto"/>
          <w:sz w:val="21"/>
          <w:szCs w:val="21"/>
          <w:highlight w:val="none"/>
        </w:rPr>
        <w:t xml:space="preserve">广东省地方标准 </w:t>
      </w:r>
      <w:r>
        <w:rPr>
          <w:rFonts w:hint="eastAsia" w:ascii="宋体" w:hAnsi="宋体" w:eastAsia="宋体" w:cs="宋体"/>
          <w:color w:val="auto"/>
          <w:sz w:val="21"/>
          <w:szCs w:val="21"/>
          <w:highlight w:val="none"/>
        </w:rPr>
        <w:t xml:space="preserve"> 相关绿化养护技术规范和养护质量标准必须符合2006年1月1日实施的广东省地方标准要求（DB44/T 268-2005及DB44/T 269-2005），不得低于广东省地方标准要求。</w:t>
      </w:r>
    </w:p>
    <w:p>
      <w:pPr>
        <w:keepNext w:val="0"/>
        <w:keepLines w:val="0"/>
        <w:pageBreakBefore w:val="0"/>
        <w:widowControl w:val="0"/>
        <w:kinsoku/>
        <w:wordWrap/>
        <w:overflowPunct/>
        <w:topLinePunct w:val="0"/>
        <w:bidi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必须按以上工作要求、质量标准进行绿化管养养护。</w:t>
      </w:r>
    </w:p>
    <w:p>
      <w:pPr>
        <w:pStyle w:val="8"/>
        <w:keepNext w:val="0"/>
        <w:keepLines w:val="0"/>
        <w:pageBreakBefore w:val="0"/>
        <w:widowControl w:val="0"/>
        <w:numPr>
          <w:ilvl w:val="0"/>
          <w:numId w:val="0"/>
        </w:numPr>
        <w:kinsoku/>
        <w:wordWrap/>
        <w:overflowPunct/>
        <w:topLinePunct w:val="0"/>
        <w:bidi w:val="0"/>
        <w:snapToGrid/>
        <w:spacing w:before="0" w:beforeAutospacing="0" w:after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zh-CN" w:eastAsia="zh-CN" w:bidi="zh-CN"/>
        </w:rPr>
        <w:t>三、</w:t>
      </w:r>
      <w:r>
        <w:rPr>
          <w:rFonts w:hint="eastAsia" w:ascii="宋体" w:hAnsi="宋体" w:eastAsia="宋体" w:cs="宋体"/>
          <w:b/>
          <w:color w:val="auto"/>
          <w:sz w:val="21"/>
          <w:szCs w:val="21"/>
          <w:highlight w:val="none"/>
        </w:rPr>
        <w:t>其它说明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kern w:val="2"/>
          <w:sz w:val="21"/>
          <w:szCs w:val="21"/>
          <w:highlight w:val="none"/>
          <w:lang w:val="en-US" w:eastAsia="zh-CN" w:bidi="ar-SA"/>
        </w:rPr>
        <w:t>1、</w:t>
      </w:r>
      <w:r>
        <w:rPr>
          <w:rFonts w:hint="eastAsia" w:ascii="宋体" w:hAnsi="宋体" w:eastAsia="宋体" w:cs="宋体"/>
          <w:color w:val="auto"/>
          <w:kern w:val="0"/>
          <w:sz w:val="21"/>
          <w:szCs w:val="21"/>
          <w:highlight w:val="none"/>
        </w:rPr>
        <w:t>投标单位必须按照国家有关法律法规守法经营，按国家有关规定按时支付环卫工人工资和有关福利待遇，否则招标单位有权单方面终止合同，并没收中标单位履约保证金。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val="0"/>
          <w:bCs/>
          <w:color w:val="auto"/>
          <w:kern w:val="2"/>
          <w:sz w:val="21"/>
          <w:szCs w:val="21"/>
          <w:highlight w:val="none"/>
          <w:lang w:val="en-US" w:eastAsia="zh-CN" w:bidi="ar-SA"/>
        </w:rPr>
        <w:t>2、</w:t>
      </w:r>
      <w:r>
        <w:rPr>
          <w:rFonts w:hint="eastAsia" w:ascii="宋体" w:hAnsi="宋体" w:eastAsia="宋体" w:cs="宋体"/>
          <w:bCs/>
          <w:color w:val="auto"/>
          <w:sz w:val="21"/>
          <w:szCs w:val="21"/>
          <w:highlight w:val="none"/>
          <w:lang w:val="en-US" w:eastAsia="zh-CN"/>
        </w:rPr>
        <w:t>为保证项目质量及实施服务效果，中标单位须根据项目需求配备充足的服务人员及必要的设备投入，服务过程中如未能满足实际作业需要，中标人需根据实际增加人员和设备以达到作业量的需要，保证项目的正常运营。项目服务期内，中标人应在</w:t>
      </w:r>
      <w:r>
        <w:rPr>
          <w:rFonts w:hint="eastAsia" w:ascii="宋体" w:hAnsi="宋体" w:cs="宋体"/>
          <w:bCs/>
          <w:color w:val="auto"/>
          <w:sz w:val="21"/>
          <w:szCs w:val="21"/>
          <w:highlight w:val="none"/>
          <w:lang w:val="en-US" w:eastAsia="zh-CN"/>
        </w:rPr>
        <w:t>村</w:t>
      </w:r>
      <w:r>
        <w:rPr>
          <w:rFonts w:hint="eastAsia" w:ascii="宋体" w:hAnsi="宋体" w:eastAsia="宋体" w:cs="宋体"/>
          <w:bCs/>
          <w:color w:val="auto"/>
          <w:sz w:val="21"/>
          <w:szCs w:val="21"/>
          <w:highlight w:val="none"/>
          <w:lang w:val="en-US" w:eastAsia="zh-CN"/>
        </w:rPr>
        <w:t>免费提供的办公场所驻点，便于联系。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中标人因考核不合格，且达到终止合同条款时，采购人有权终止合同。</w:t>
      </w:r>
    </w:p>
    <w:p>
      <w:pPr>
        <w:pStyle w:val="8"/>
        <w:rPr>
          <w:rFonts w:hint="eastAsia" w:ascii="宋体" w:hAnsi="宋体" w:cs="宋体"/>
          <w:b/>
          <w:bCs/>
          <w:color w:val="auto"/>
          <w:kern w:val="0"/>
          <w:szCs w:val="21"/>
          <w:highlight w:val="none"/>
          <w:lang w:val="zh-CN" w:bidi="zh-CN"/>
        </w:rPr>
      </w:pPr>
    </w:p>
    <w:p>
      <w:pPr>
        <w:rPr>
          <w:rFonts w:hint="eastAsia"/>
          <w:color w:val="auto"/>
          <w:highlight w:val="none"/>
          <w:lang w:val="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pStyle w:val="8"/>
        <w:spacing w:before="0" w:line="360" w:lineRule="auto"/>
        <w:ind w:left="638" w:leftChars="304"/>
        <w:rPr>
          <w:rFonts w:hint="eastAsia"/>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pPr>
        <w:rPr>
          <w:rFonts w:hint="eastAsia"/>
          <w:b/>
          <w:bCs/>
          <w:color w:val="auto"/>
          <w:kern w:val="0"/>
          <w:sz w:val="21"/>
          <w:szCs w:val="21"/>
          <w:highlight w:val="none"/>
        </w:rPr>
      </w:pPr>
      <w:r>
        <w:rPr>
          <w:rFonts w:hint="eastAsia"/>
          <w:b/>
          <w:bCs/>
          <w:color w:val="auto"/>
          <w:kern w:val="0"/>
          <w:sz w:val="21"/>
          <w:szCs w:val="21"/>
          <w:highlight w:val="none"/>
        </w:rPr>
        <w:br w:type="page"/>
      </w:r>
    </w:p>
    <w:p>
      <w:pPr>
        <w:jc w:val="left"/>
        <w:rPr>
          <w:b/>
          <w:color w:val="auto"/>
          <w:sz w:val="24"/>
          <w:highlight w:val="none"/>
        </w:rPr>
      </w:pPr>
      <w:r>
        <w:rPr>
          <w:rFonts w:hint="eastAsia"/>
          <w:b/>
          <w:color w:val="auto"/>
          <w:sz w:val="24"/>
          <w:highlight w:val="none"/>
        </w:rPr>
        <w:t>附件：</w:t>
      </w:r>
    </w:p>
    <w:p>
      <w:pPr>
        <w:pStyle w:val="20"/>
        <w:ind w:left="708" w:leftChars="337" w:right="678" w:rightChars="323" w:firstLine="0" w:firstLineChars="0"/>
        <w:jc w:val="center"/>
        <w:rPr>
          <w:b/>
          <w:color w:val="auto"/>
          <w:sz w:val="24"/>
          <w:highlight w:val="none"/>
        </w:rPr>
      </w:pPr>
      <w:r>
        <w:rPr>
          <w:rFonts w:hint="eastAsia"/>
          <w:b/>
          <w:color w:val="auto"/>
          <w:sz w:val="24"/>
          <w:highlight w:val="none"/>
        </w:rPr>
        <w:t>《</w:t>
      </w:r>
      <w:r>
        <w:rPr>
          <w:rFonts w:hint="eastAsia"/>
          <w:b/>
          <w:color w:val="auto"/>
          <w:sz w:val="24"/>
          <w:highlight w:val="none"/>
          <w:lang w:val="en-US" w:eastAsia="zh-CN"/>
        </w:rPr>
        <w:t>东莞市东坑镇黄屋村考核评分暂行标准</w:t>
      </w:r>
      <w:r>
        <w:rPr>
          <w:rFonts w:hint="eastAsia"/>
          <w:b/>
          <w:color w:val="auto"/>
          <w:sz w:val="24"/>
          <w:highlight w:val="none"/>
        </w:rPr>
        <w:t>》</w:t>
      </w:r>
    </w:p>
    <w:p>
      <w:pPr>
        <w:rPr>
          <w:color w:val="auto"/>
          <w:sz w:val="22"/>
          <w:szCs w:val="22"/>
          <w:highlight w:val="none"/>
        </w:rPr>
      </w:pPr>
      <w:r>
        <w:rPr>
          <w:rFonts w:hint="eastAsia"/>
          <w:color w:val="auto"/>
          <w:sz w:val="22"/>
          <w:szCs w:val="22"/>
          <w:highlight w:val="none"/>
        </w:rPr>
        <w:t>考评时间：20   年   月   日</w:t>
      </w:r>
    </w:p>
    <w:tbl>
      <w:tblPr>
        <w:tblStyle w:val="15"/>
        <w:tblW w:w="0" w:type="auto"/>
        <w:jc w:val="center"/>
        <w:tblLayout w:type="autofit"/>
        <w:tblCellMar>
          <w:top w:w="0" w:type="dxa"/>
          <w:left w:w="108" w:type="dxa"/>
          <w:bottom w:w="0" w:type="dxa"/>
          <w:right w:w="108" w:type="dxa"/>
        </w:tblCellMar>
      </w:tblPr>
      <w:tblGrid>
        <w:gridCol w:w="543"/>
        <w:gridCol w:w="736"/>
        <w:gridCol w:w="4005"/>
        <w:gridCol w:w="2386"/>
        <w:gridCol w:w="426"/>
        <w:gridCol w:w="426"/>
      </w:tblGrid>
      <w:tr>
        <w:tblPrEx>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检查方法及评价考核</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扣分办法</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检</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查</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扣</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实</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得</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w:t>
            </w:r>
          </w:p>
        </w:tc>
      </w:tr>
      <w:tr>
        <w:tblPrEx>
          <w:tblCellMar>
            <w:top w:w="0" w:type="dxa"/>
            <w:left w:w="108" w:type="dxa"/>
            <w:bottom w:w="0" w:type="dxa"/>
            <w:right w:w="108" w:type="dxa"/>
          </w:tblCellMar>
        </w:tblPrEx>
        <w:trPr>
          <w:trHeight w:val="630" w:hRule="atLeast"/>
          <w:jc w:val="center"/>
        </w:trPr>
        <w:tc>
          <w:tcPr>
            <w:tcW w:w="0" w:type="auto"/>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清扫保洁</w:t>
            </w:r>
          </w:p>
        </w:tc>
        <w:tc>
          <w:tcPr>
            <w:tcW w:w="0" w:type="auto"/>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人员</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1、配置足额的管理人员和环卫工人</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未按期规定配置，每少1人扣</w:t>
            </w:r>
            <w:r>
              <w:rPr>
                <w:rFonts w:hint="eastAsia" w:ascii="宋体" w:hAnsi="宋体" w:cs="宋体"/>
                <w:color w:val="auto"/>
                <w:sz w:val="21"/>
                <w:szCs w:val="21"/>
                <w:highlight w:val="none"/>
                <w:lang w:val="en-US" w:eastAsia="zh-CN"/>
              </w:rPr>
              <w:t>0.2分。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both"/>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2、作业人员按规定穿统一服饰上岗</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未按要求执行的，每人每次扣</w:t>
            </w:r>
            <w:r>
              <w:rPr>
                <w:rFonts w:hint="eastAsia" w:ascii="宋体" w:hAnsi="宋体" w:cs="宋体"/>
                <w:color w:val="auto"/>
                <w:sz w:val="21"/>
                <w:szCs w:val="21"/>
                <w:highlight w:val="none"/>
                <w:lang w:val="en-US" w:eastAsia="zh-CN"/>
              </w:rPr>
              <w:t>0.1分。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63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设备</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3、配置足额的环卫设备</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未按期规定配置，每少1台扣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both"/>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48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4、垃圾收集车、运输车、手推车必须密封作业；车辆无乱停放，定期清洗环卫车辆，保持整洁完好</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无密封设备和封盖不严的，每辆每次扣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分；乱停乱放的或无定期清洗的，每辆车每次扣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1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路面</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5、每日普扫三次，全天重点保洁</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w:t>
            </w:r>
            <w:r>
              <w:rPr>
                <w:rFonts w:hint="eastAsia" w:ascii="宋体" w:hAnsi="宋体" w:cs="宋体"/>
                <w:color w:val="auto"/>
                <w:sz w:val="21"/>
                <w:szCs w:val="21"/>
                <w:highlight w:val="none"/>
                <w:lang w:val="en-US" w:eastAsia="zh-CN"/>
              </w:rPr>
              <w:t>少1</w:t>
            </w:r>
            <w:r>
              <w:rPr>
                <w:rFonts w:hint="eastAsia" w:ascii="宋体" w:hAnsi="宋体" w:eastAsia="宋体" w:cs="宋体"/>
                <w:color w:val="auto"/>
                <w:sz w:val="21"/>
                <w:szCs w:val="21"/>
                <w:highlight w:val="none"/>
              </w:rPr>
              <w:t>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both"/>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1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6、路面清扫要求达到六净六无标准；路面保洁率达到100％</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每1000平方米多于6片垃圾的，每片扣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cs="宋体"/>
                <w:color w:val="auto"/>
                <w:sz w:val="21"/>
                <w:szCs w:val="21"/>
                <w:highlight w:val="none"/>
                <w:lang w:eastAsia="zh-CN"/>
              </w:rPr>
              <w:t>确保每条主要道路、背街小巷有人员保洁，建立主要道路、背街小巷人员名单（包含人员名称、联系电话和保洁区域等信息），背街小巷保洁建议按村小组辖区区分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每少一人口</w:t>
            </w:r>
            <w:r>
              <w:rPr>
                <w:rFonts w:hint="eastAsia" w:ascii="宋体" w:hAnsi="宋体" w:cs="宋体"/>
                <w:color w:val="auto"/>
                <w:sz w:val="21"/>
                <w:szCs w:val="21"/>
                <w:highlight w:val="none"/>
                <w:lang w:val="en-US" w:eastAsia="zh-CN"/>
              </w:rPr>
              <w:t>0.1分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8、路面没有积水、没有成堆垃圾</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发现有积水或成堆垃圾的，每处每次扣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垃圾收</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集处理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9、路面有成堆垃圾未及时清理或漏收</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未及时清理或漏收垃圾的，每处扣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10、垃圾收集专用手推车无乱停乱放</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乱停乱放的，每辆每次扣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both"/>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pStyle w:val="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、垃圾容器要求无积存过量垃圾</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要按指定地点倾倒垃圾</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发现有积存过量垃圾的，每处扣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color w:val="auto"/>
                <w:highlight w:val="none"/>
                <w:lang w:eastAsia="zh-CN"/>
              </w:rPr>
              <w:t>主要道路的垃圾容器每月清洗不少于</w:t>
            </w:r>
            <w:r>
              <w:rPr>
                <w:rFonts w:hint="eastAsia"/>
                <w:color w:val="auto"/>
                <w:highlight w:val="none"/>
                <w:lang w:val="en-US" w:eastAsia="zh-CN"/>
              </w:rPr>
              <w:t>2次，及时跟换破损和残旧的垃圾容器</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卫生</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死角</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、道路内未发现卫生死角及残留痕迹</w:t>
            </w:r>
          </w:p>
        </w:tc>
        <w:tc>
          <w:tcPr>
            <w:tcW w:w="0" w:type="auto"/>
            <w:tcBorders>
              <w:top w:val="single" w:color="000000" w:sz="4" w:space="0"/>
              <w:left w:val="nil"/>
              <w:bottom w:val="single" w:color="000000" w:sz="4" w:space="0"/>
              <w:right w:val="single" w:color="000000" w:sz="4" w:space="0"/>
            </w:tcBorders>
            <w:noWrap w:val="0"/>
            <w:vAlign w:val="center"/>
          </w:tcPr>
          <w:p>
            <w:pPr>
              <w:pStyle w:val="7"/>
              <w:rPr>
                <w:rFonts w:hint="eastAsia"/>
                <w:color w:val="auto"/>
                <w:highlight w:val="none"/>
                <w:lang w:val="en-US" w:eastAsia="zh-CN"/>
              </w:rPr>
            </w:pPr>
            <w:r>
              <w:rPr>
                <w:rFonts w:hint="eastAsia"/>
                <w:color w:val="auto"/>
                <w:highlight w:val="none"/>
                <w:lang w:eastAsia="zh-CN"/>
              </w:rPr>
              <w:t>每发现一处卫生黑点直接扣</w:t>
            </w:r>
            <w:r>
              <w:rPr>
                <w:rFonts w:hint="eastAsia"/>
                <w:color w:val="auto"/>
                <w:highlight w:val="none"/>
                <w:lang w:val="en-US" w:eastAsia="zh-CN"/>
              </w:rPr>
              <w:t>0.2分</w:t>
            </w:r>
          </w:p>
          <w:p>
            <w:pPr>
              <w:pStyle w:val="7"/>
              <w:rPr>
                <w:rFonts w:hint="eastAsia" w:ascii="宋体" w:hAnsi="宋体" w:eastAsia="宋体" w:cs="宋体"/>
                <w:color w:val="auto"/>
                <w:sz w:val="21"/>
                <w:szCs w:val="21"/>
                <w:highlight w:val="none"/>
              </w:rPr>
            </w:pPr>
            <w:r>
              <w:rPr>
                <w:rFonts w:hint="eastAsia"/>
                <w:color w:val="auto"/>
                <w:highlight w:val="none"/>
                <w:lang w:eastAsia="zh-CN"/>
              </w:rPr>
              <w:t>对于监督组要求整改的环卫项目，</w:t>
            </w:r>
            <w:r>
              <w:rPr>
                <w:rFonts w:hint="eastAsia"/>
                <w:color w:val="auto"/>
                <w:highlight w:val="none"/>
                <w:lang w:val="en-US" w:eastAsia="zh-CN"/>
              </w:rPr>
              <w:t>5小时内整改不到位的扣0.2分，不整改的扣0.5分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、人行道无杂草</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未按要求的，每次每处扣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果皮箱</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、每天清掏，未造成满溢、外观脏乱</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造成满溢、脏乱的，每处扣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、果皮箱及垃圾桶摆放端正，无损坏、妥善管理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摆放不端正或损坏，每处每次扣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下水道</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rPr>
              <w:t>、沉沙井</w:t>
            </w:r>
            <w:r>
              <w:rPr>
                <w:rFonts w:hint="eastAsia" w:ascii="宋体" w:hAnsi="宋体" w:cs="宋体"/>
                <w:color w:val="auto"/>
                <w:sz w:val="21"/>
                <w:szCs w:val="21"/>
                <w:highlight w:val="none"/>
                <w:lang w:eastAsia="zh-CN"/>
              </w:rPr>
              <w:t>口</w:t>
            </w:r>
            <w:r>
              <w:rPr>
                <w:rFonts w:hint="eastAsia" w:ascii="宋体" w:hAnsi="宋体" w:eastAsia="宋体" w:cs="宋体"/>
                <w:color w:val="auto"/>
                <w:sz w:val="21"/>
                <w:szCs w:val="21"/>
                <w:highlight w:val="none"/>
              </w:rPr>
              <w:t>每月清理一次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排水明渠半年清理一次</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未按期清理的，每个扣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45" w:hRule="atLeast"/>
          <w:jc w:val="center"/>
        </w:trPr>
        <w:tc>
          <w:tcPr>
            <w:tcW w:w="0" w:type="auto"/>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牛皮癣</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清理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清理</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方面</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rPr>
              <w:t>、无发现“城市牛皮癣”</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每发现一张（条）“城市牛皮癣”扣</w:t>
            </w:r>
            <w:r>
              <w:rPr>
                <w:rFonts w:hint="eastAsia" w:ascii="Arial" w:hAnsi="Arial" w:cs="Arial"/>
                <w:color w:val="auto"/>
                <w:sz w:val="21"/>
                <w:szCs w:val="21"/>
                <w:highlight w:val="none"/>
                <w:lang w:val="en-US" w:eastAsia="zh-CN"/>
              </w:rPr>
              <w:t>0.2</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清理</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不净</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、清除不干净</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清除不干净、有残留物和痕迹的，每处扣0.1分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1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附着无</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损伤</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、基底、附着物无损伤</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基底、附着物有损伤的，每处扣0.1分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规范</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、涂刷覆盖作业不规范</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涂刷覆盖作业不规范，与周边基底不协调的，每处扣0.1分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0" w:type="auto"/>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绿化养护</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微软雅黑" w:hAnsi="微软雅黑" w:cs="宋体"/>
                <w:color w:val="auto"/>
                <w:highlight w:val="none"/>
              </w:rPr>
              <w:t>绿地清洁卫生</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微软雅黑" w:hAnsi="微软雅黑" w:cs="宋体"/>
                <w:color w:val="auto"/>
                <w:highlight w:val="none"/>
              </w:rPr>
              <w:t>未发现垃圾连片（面积≥6cm*6cm）的地方（特别是花生壳、瓜子壳、白色垃圾等）</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w:t>
            </w:r>
            <w:r>
              <w:rPr>
                <w:rFonts w:hint="eastAsia" w:ascii="宋体" w:hAnsi="宋体" w:cs="宋体"/>
                <w:color w:val="auto"/>
                <w:sz w:val="21"/>
                <w:szCs w:val="21"/>
                <w:highlight w:val="none"/>
                <w:lang w:val="en-US" w:eastAsia="zh-CN"/>
              </w:rPr>
              <w:t>清洁</w:t>
            </w:r>
            <w:r>
              <w:rPr>
                <w:rFonts w:hint="eastAsia" w:ascii="宋体" w:hAnsi="宋体" w:eastAsia="宋体" w:cs="宋体"/>
                <w:color w:val="auto"/>
                <w:sz w:val="21"/>
                <w:szCs w:val="21"/>
                <w:highlight w:val="none"/>
              </w:rPr>
              <w:t>的，每处扣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微软雅黑" w:hAnsi="微软雅黑" w:cs="宋体"/>
                <w:color w:val="auto"/>
                <w:highlight w:val="none"/>
              </w:rPr>
              <w:t>水肥管理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微软雅黑" w:hAnsi="微软雅黑" w:cs="宋体"/>
                <w:color w:val="auto"/>
                <w:highlight w:val="none"/>
              </w:rPr>
              <w:t>在干旱季节，苗木草地应淋足水，每天要淋水两次以上</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微软雅黑" w:hAnsi="微软雅黑" w:cs="宋体"/>
                <w:color w:val="auto"/>
                <w:highlight w:val="none"/>
              </w:rPr>
              <w:t>有明显缺水现象的绿地（含乔灌木），每10平方米扣</w:t>
            </w:r>
            <w:r>
              <w:rPr>
                <w:rFonts w:hint="eastAsia" w:ascii="微软雅黑" w:hAnsi="微软雅黑" w:cs="宋体"/>
                <w:color w:val="auto"/>
                <w:highlight w:val="none"/>
                <w:lang w:val="en-US" w:eastAsia="zh-CN"/>
              </w:rPr>
              <w:t>0.1</w:t>
            </w:r>
            <w:r>
              <w:rPr>
                <w:rFonts w:hint="eastAsia" w:ascii="微软雅黑" w:hAnsi="微软雅黑" w:cs="宋体"/>
                <w:color w:val="auto"/>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微软雅黑" w:hAnsi="微软雅黑" w:cs="宋体"/>
                <w:color w:val="auto"/>
                <w:highlight w:val="none"/>
              </w:rPr>
              <w:t>病虫害防治</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微软雅黑" w:hAnsi="微软雅黑" w:cs="宋体"/>
                <w:color w:val="auto"/>
                <w:highlight w:val="none"/>
              </w:rPr>
              <w:t>要做好病虫害防治工作，防止草坪、地被、花坛、乔木、灌木受害</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微软雅黑" w:hAnsi="微软雅黑" w:cs="宋体"/>
                <w:color w:val="auto"/>
                <w:highlight w:val="none"/>
              </w:rPr>
              <w:t>有明显虫害现象，每株或每平方米扣</w:t>
            </w:r>
            <w:r>
              <w:rPr>
                <w:rFonts w:hint="eastAsia" w:ascii="微软雅黑" w:hAnsi="微软雅黑" w:cs="宋体"/>
                <w:color w:val="auto"/>
                <w:highlight w:val="none"/>
                <w:lang w:val="en-US" w:eastAsia="zh-CN"/>
              </w:rPr>
              <w:t>0.1</w:t>
            </w:r>
            <w:r>
              <w:rPr>
                <w:rFonts w:hint="eastAsia" w:ascii="微软雅黑" w:hAnsi="微软雅黑" w:cs="宋体"/>
                <w:color w:val="auto"/>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1200" w:hRule="atLeast"/>
          <w:jc w:val="center"/>
        </w:trPr>
        <w:tc>
          <w:tcPr>
            <w:tcW w:w="0" w:type="auto"/>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扣分项目</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领导</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巡查</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、“行走东莞”、“洁净城市”等专项行动被上级部门检查发现清扫保洁不到位。</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分，扣完为止。</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2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迎检及重大节日保洁</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rPr>
              <w:t>、迎“创文”、“创卫”等检查及、重大节假日发现清扫保洁不到位。</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分，扣完为止。</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88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27</w:t>
            </w:r>
            <w:r>
              <w:rPr>
                <w:rFonts w:hint="eastAsia" w:ascii="宋体" w:hAnsi="宋体" w:eastAsia="宋体" w:cs="宋体"/>
                <w:color w:val="auto"/>
                <w:sz w:val="21"/>
                <w:szCs w:val="21"/>
                <w:highlight w:val="none"/>
              </w:rPr>
              <w:t>、无市民或相关部门投诉。</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接到市民或相关部门投诉，每一次扣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分，扣完为止。</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督办函</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回复</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28</w:t>
            </w:r>
            <w:r>
              <w:rPr>
                <w:rFonts w:hint="eastAsia" w:ascii="宋体" w:hAnsi="宋体" w:eastAsia="宋体" w:cs="宋体"/>
                <w:color w:val="auto"/>
                <w:sz w:val="21"/>
                <w:szCs w:val="21"/>
                <w:highlight w:val="none"/>
              </w:rPr>
              <w:t>、市及镇部门发出的督办函的及时回复情况</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逾期未报一宗扣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分，扣完为止。</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bl>
    <w:p>
      <w:pPr>
        <w:rPr>
          <w:color w:val="auto"/>
          <w:highlight w:val="none"/>
        </w:rPr>
      </w:pPr>
    </w:p>
    <w:p>
      <w:pPr>
        <w:rPr>
          <w:color w:val="auto"/>
          <w:highlight w:val="none"/>
        </w:rPr>
      </w:pPr>
      <w:r>
        <w:rPr>
          <w:rFonts w:hint="eastAsia"/>
          <w:color w:val="auto"/>
          <w:highlight w:val="none"/>
          <w:lang w:val="en-US" w:eastAsia="zh-CN"/>
        </w:rPr>
        <w:t>注：本《东莞市东坑镇黄屋村考核评分暂行标准》满分100分，扣完为止；若检查分数低于80分（扣分内容过半或以上属于承包方服务范围内责任造成的），每减少1分（不足1分按1分计算），当月管理费下浮1%，根据评分结果确定实际应付款后支付。若检查分数在80分以下连续三次以上的，采购人有权单方面终止合同。</w:t>
      </w:r>
    </w:p>
    <w:p>
      <w:pPr>
        <w:rPr>
          <w:color w:val="auto"/>
          <w:highlight w:val="none"/>
        </w:rPr>
      </w:pPr>
      <w:bookmarkStart w:id="141" w:name="_Toc28584"/>
      <w:r>
        <w:rPr>
          <w:rFonts w:hint="eastAsia"/>
          <w:color w:val="auto"/>
          <w:highlight w:val="none"/>
        </w:rPr>
        <w:br w:type="page"/>
      </w:r>
    </w:p>
    <w:p>
      <w:pPr>
        <w:pStyle w:val="3"/>
        <w:numPr>
          <w:ilvl w:val="0"/>
          <w:numId w:val="1"/>
        </w:numPr>
        <w:rPr>
          <w:color w:val="auto"/>
          <w:highlight w:val="none"/>
        </w:rPr>
      </w:pPr>
      <w:r>
        <w:rPr>
          <w:rFonts w:hint="eastAsia"/>
          <w:color w:val="auto"/>
          <w:highlight w:val="none"/>
        </w:rPr>
        <w:t>详细评审</w:t>
      </w:r>
      <w:bookmarkEnd w:id="141"/>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9"/>
        <w:gridCol w:w="734"/>
        <w:gridCol w:w="28"/>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val="en-US" w:eastAsia="zh-CN"/>
              </w:rPr>
              <w:t>30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360" w:lineRule="auto"/>
              <w:ind w:firstLine="0" w:firstLineChars="0"/>
              <w:jc w:val="center"/>
              <w:textAlignment w:val="auto"/>
              <w:rPr>
                <w:rFonts w:asci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0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lang w:val="zh-CN"/>
              </w:rPr>
              <w:t>体系认证</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lang w:val="en-US" w:eastAsia="zh-CN"/>
              </w:rPr>
              <w:t>6</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投标人具有国家认证认可监督管理部门批准设立的认证机构颁发并在有效期内的质量管理体系认证证书、环境管理体系认证证书、职业健康安全管理体系认证证书，每个证书得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分，最高得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ascii="宋体" w:cs="宋体"/>
                <w:bCs/>
                <w:color w:val="auto"/>
                <w:szCs w:val="21"/>
                <w:highlight w:val="none"/>
                <w:lang w:val="zh-CN"/>
              </w:rPr>
            </w:pPr>
            <w:r>
              <w:rPr>
                <w:rFonts w:hint="eastAsia" w:ascii="宋体" w:hAnsi="宋体" w:eastAsia="宋体" w:cs="宋体"/>
                <w:bCs/>
                <w:color w:val="auto"/>
                <w:sz w:val="21"/>
                <w:szCs w:val="21"/>
                <w:highlight w:val="none"/>
              </w:rPr>
              <w:t>注：</w:t>
            </w:r>
            <w:r>
              <w:rPr>
                <w:rFonts w:hint="eastAsia" w:ascii="宋体" w:hAnsi="宋体" w:eastAsia="宋体" w:cs="宋体"/>
                <w:bCs/>
                <w:color w:val="auto"/>
                <w:sz w:val="21"/>
                <w:szCs w:val="21"/>
                <w:highlight w:val="none"/>
                <w:lang w:val="en-US" w:eastAsia="zh-CN"/>
              </w:rPr>
              <w:t>须</w:t>
            </w:r>
            <w:r>
              <w:rPr>
                <w:rFonts w:hint="eastAsia" w:ascii="宋体" w:hAnsi="宋体" w:eastAsia="宋体" w:cs="宋体"/>
                <w:bCs/>
                <w:color w:val="auto"/>
                <w:sz w:val="21"/>
                <w:szCs w:val="21"/>
                <w:highlight w:val="none"/>
              </w:rPr>
              <w:t>提供有效证书复印件并加盖投标人公章</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否则不得分</w:t>
            </w:r>
            <w:r>
              <w:rPr>
                <w:rFonts w:hint="eastAsia" w:ascii="宋体" w:hAnsi="宋体" w:eastAsia="宋体" w:cs="宋体"/>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相关业绩</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eastAsia="宋体" w:cs="宋体"/>
                <w:color w:val="auto"/>
                <w:szCs w:val="21"/>
                <w:highlight w:val="none"/>
                <w:lang w:eastAsia="zh-CN"/>
              </w:rPr>
            </w:pPr>
            <w:r>
              <w:rPr>
                <w:rFonts w:hint="eastAsia" w:ascii="宋体" w:hAnsi="宋体" w:eastAsia="宋体" w:cs="宋体"/>
                <w:color w:val="auto"/>
                <w:kern w:val="2"/>
                <w:sz w:val="21"/>
                <w:szCs w:val="21"/>
                <w:highlight w:val="none"/>
                <w:lang w:val="en-US" w:eastAsia="zh-CN"/>
              </w:rPr>
              <w:t>20</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投标人具有同类项目业绩（同类项目指服务内容具有环卫</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道路</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保洁</w:t>
            </w:r>
            <w:r>
              <w:rPr>
                <w:rFonts w:hint="eastAsia" w:ascii="宋体" w:hAnsi="宋体" w:eastAsia="宋体" w:cs="宋体"/>
                <w:bCs/>
                <w:color w:val="auto"/>
                <w:sz w:val="21"/>
                <w:szCs w:val="21"/>
                <w:highlight w:val="none"/>
                <w:lang w:val="en-US" w:eastAsia="zh-CN"/>
              </w:rPr>
              <w:t>或</w:t>
            </w:r>
            <w:r>
              <w:rPr>
                <w:rFonts w:hint="eastAsia" w:ascii="宋体" w:hAnsi="宋体" w:eastAsia="宋体" w:cs="宋体"/>
                <w:bCs/>
                <w:color w:val="auto"/>
                <w:sz w:val="21"/>
                <w:szCs w:val="21"/>
                <w:highlight w:val="none"/>
              </w:rPr>
              <w:t>垃圾</w:t>
            </w:r>
            <w:r>
              <w:rPr>
                <w:rFonts w:hint="eastAsia" w:ascii="宋体" w:hAnsi="宋体" w:eastAsia="宋体" w:cs="宋体"/>
                <w:bCs/>
                <w:color w:val="auto"/>
                <w:sz w:val="21"/>
                <w:szCs w:val="21"/>
                <w:highlight w:val="none"/>
                <w:lang w:val="en-US" w:eastAsia="zh-CN"/>
              </w:rPr>
              <w:t>清（转）运或绿化养护类</w:t>
            </w:r>
            <w:r>
              <w:rPr>
                <w:rFonts w:hint="eastAsia" w:ascii="宋体" w:hAnsi="宋体" w:eastAsia="宋体" w:cs="宋体"/>
                <w:bCs/>
                <w:color w:val="auto"/>
                <w:sz w:val="21"/>
                <w:szCs w:val="21"/>
                <w:highlight w:val="none"/>
              </w:rPr>
              <w:t>的服务项目）的，每提供一个合同业绩得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分，本项最高得20分。</w:t>
            </w:r>
          </w:p>
          <w:p>
            <w:pPr>
              <w:keepNext w:val="0"/>
              <w:keepLines w:val="0"/>
              <w:pageBreakBefore w:val="0"/>
              <w:kinsoku/>
              <w:wordWrap/>
              <w:overflowPunct/>
              <w:topLinePunct w:val="0"/>
              <w:autoSpaceDE/>
              <w:autoSpaceDN/>
              <w:bidi w:val="0"/>
              <w:spacing w:line="360" w:lineRule="auto"/>
              <w:ind w:firstLine="420" w:firstLineChars="200"/>
              <w:textAlignment w:val="auto"/>
              <w:rPr>
                <w:rFonts w:ascii="宋体" w:cs="宋体"/>
                <w:bCs/>
                <w:color w:val="auto"/>
                <w:szCs w:val="21"/>
                <w:highlight w:val="none"/>
                <w:lang w:val="zh-CN"/>
              </w:rPr>
            </w:pPr>
            <w:r>
              <w:rPr>
                <w:rFonts w:hint="eastAsia" w:ascii="宋体" w:hAnsi="宋体" w:eastAsia="宋体" w:cs="宋体"/>
                <w:bCs/>
                <w:color w:val="auto"/>
                <w:sz w:val="21"/>
                <w:szCs w:val="21"/>
                <w:highlight w:val="none"/>
              </w:rPr>
              <w:t>注：须提供合同复印件并加盖投标人公章</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否则不得分</w:t>
            </w:r>
            <w:r>
              <w:rPr>
                <w:rFonts w:hint="eastAsia" w:ascii="宋体" w:hAnsi="宋体" w:eastAsia="宋体" w:cs="宋体"/>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eastAsia="宋体" w:cs="宋体"/>
                <w:b w:val="0"/>
                <w:bCs w:val="0"/>
                <w:color w:val="auto"/>
                <w:sz w:val="21"/>
                <w:szCs w:val="21"/>
                <w:highlight w:val="none"/>
              </w:rPr>
              <w:t>服务响应时间</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rPr>
              <w:t>根据投标人提供的服务响应时间承诺进行</w:t>
            </w:r>
            <w:r>
              <w:rPr>
                <w:rFonts w:hint="eastAsia" w:ascii="宋体" w:hAnsi="宋体" w:eastAsia="宋体" w:cs="宋体"/>
                <w:b w:val="0"/>
                <w:bCs w:val="0"/>
                <w:color w:val="auto"/>
                <w:sz w:val="21"/>
                <w:szCs w:val="21"/>
                <w:highlight w:val="none"/>
                <w:lang w:val="en-US" w:eastAsia="zh-CN"/>
              </w:rPr>
              <w:t>评审：</w:t>
            </w:r>
          </w:p>
          <w:p>
            <w:pPr>
              <w:pStyle w:val="23"/>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承诺在接到采购人通知后1小时内到现场</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val="zh-CN"/>
              </w:rPr>
              <w:t>，得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zh-CN"/>
              </w:rPr>
              <w:t>分；</w:t>
            </w:r>
          </w:p>
          <w:p>
            <w:pPr>
              <w:pStyle w:val="23"/>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承诺在接到采购人通知后2小时内到现场</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val="zh-CN"/>
              </w:rPr>
              <w:t>，得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zh-CN"/>
              </w:rPr>
              <w:t>分；</w:t>
            </w:r>
          </w:p>
          <w:p>
            <w:pPr>
              <w:pStyle w:val="23"/>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承诺在接到采购人通知后3小时内到现场</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val="zh-CN"/>
              </w:rPr>
              <w:t>，得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zh-CN"/>
              </w:rPr>
              <w:t>分；</w:t>
            </w:r>
          </w:p>
          <w:p>
            <w:pPr>
              <w:pStyle w:val="23"/>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en-US" w:eastAsia="zh-CN"/>
              </w:rPr>
              <w:t>未承诺或</w:t>
            </w:r>
            <w:r>
              <w:rPr>
                <w:rFonts w:hint="eastAsia" w:ascii="宋体" w:hAnsi="宋体" w:eastAsia="宋体" w:cs="宋体"/>
                <w:b w:val="0"/>
                <w:bCs w:val="0"/>
                <w:color w:val="auto"/>
                <w:sz w:val="21"/>
                <w:szCs w:val="21"/>
                <w:highlight w:val="none"/>
                <w:lang w:val="zh-CN"/>
              </w:rPr>
              <w:t>承诺在接到采购人通知后超过3小时到现场</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val="zh-CN"/>
              </w:rPr>
              <w:t>，</w:t>
            </w:r>
            <w:r>
              <w:rPr>
                <w:rFonts w:hint="eastAsia" w:ascii="宋体" w:hAnsi="宋体" w:eastAsia="宋体" w:cs="宋体"/>
                <w:b w:val="0"/>
                <w:bCs w:val="0"/>
                <w:color w:val="auto"/>
                <w:sz w:val="21"/>
                <w:szCs w:val="21"/>
                <w:highlight w:val="none"/>
                <w:lang w:val="en-US" w:eastAsia="zh-CN"/>
              </w:rPr>
              <w:t>不得分</w:t>
            </w:r>
            <w:r>
              <w:rPr>
                <w:rFonts w:hint="eastAsia" w:ascii="宋体" w:hAnsi="宋体" w:eastAsia="宋体" w:cs="宋体"/>
                <w:b w:val="0"/>
                <w:bCs w:val="0"/>
                <w:color w:val="auto"/>
                <w:sz w:val="21"/>
                <w:szCs w:val="21"/>
                <w:highlight w:val="none"/>
                <w:lang w:val="zh-CN"/>
              </w:rPr>
              <w:t>。</w:t>
            </w:r>
          </w:p>
          <w:p>
            <w:pPr>
              <w:pStyle w:val="23"/>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cs="宋体"/>
                <w:bCs/>
                <w:color w:val="auto"/>
                <w:szCs w:val="21"/>
                <w:highlight w:val="none"/>
                <w:lang w:val="zh-CN"/>
              </w:rPr>
            </w:pPr>
            <w:r>
              <w:rPr>
                <w:rFonts w:hint="eastAsia" w:ascii="宋体" w:hAnsi="宋体" w:eastAsia="宋体" w:cs="宋体"/>
                <w:b w:val="0"/>
                <w:bCs w:val="0"/>
                <w:color w:val="auto"/>
                <w:sz w:val="21"/>
                <w:szCs w:val="21"/>
                <w:highlight w:val="none"/>
                <w:lang w:val="zh-CN"/>
              </w:rPr>
              <w:t>注：</w:t>
            </w:r>
            <w:r>
              <w:rPr>
                <w:rFonts w:hint="eastAsia" w:ascii="宋体" w:hAnsi="宋体" w:eastAsia="宋体" w:cs="宋体"/>
                <w:b w:val="0"/>
                <w:bCs w:val="0"/>
                <w:color w:val="auto"/>
                <w:sz w:val="21"/>
                <w:szCs w:val="21"/>
                <w:highlight w:val="none"/>
                <w:lang w:val="en-US" w:eastAsia="zh-CN"/>
              </w:rPr>
              <w:t>须</w:t>
            </w:r>
            <w:r>
              <w:rPr>
                <w:rFonts w:hint="eastAsia" w:ascii="宋体" w:hAnsi="宋体" w:eastAsia="宋体" w:cs="宋体"/>
                <w:b w:val="0"/>
                <w:bCs w:val="0"/>
                <w:color w:val="auto"/>
                <w:sz w:val="21"/>
                <w:szCs w:val="21"/>
                <w:highlight w:val="none"/>
                <w:lang w:val="zh-CN"/>
              </w:rPr>
              <w:t>提供单独服务承诺书，并加盖投标人公章。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ascii="宋体" w:eastAsia="宋体" w:cs="宋体"/>
                <w:color w:val="auto"/>
                <w:sz w:val="21"/>
                <w:szCs w:val="21"/>
                <w:highlight w:val="none"/>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val="en-US" w:eastAsia="zh-CN"/>
              </w:rPr>
              <w:t>60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360" w:lineRule="auto"/>
              <w:ind w:firstLine="0" w:firstLineChars="0"/>
              <w:jc w:val="center"/>
              <w:textAlignment w:val="auto"/>
              <w:rPr>
                <w:rFonts w:asci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服务总体方案</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cs="宋体"/>
                <w:color w:val="auto"/>
                <w:szCs w:val="21"/>
                <w:highlight w:val="none"/>
                <w:lang w:val="en-US"/>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2</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根据各投标人针对本项目作出的项目实施方案（包括但不仅限于对本项目现场实际情况的响应理解、环卫保洁方案等）是否具有针对性、可行性、科学性等进行综合评审：</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投标人对本项目的完全理解，且方案完整合理、可行性强，完全满足或优于招标文件要求，得1</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投标人对本项目的理解准确，且方案完整、可行性一般，符合招标文件要求，得</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投标人对本项目的基本理解，且方案基本完整、可行性较差，基本符合招标文件要求，得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投标人对本项目的基本不理解，提供对应方案较差，得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ascii="宋体" w:hAnsi="宋体" w:cs="宋体"/>
                <w:bCs/>
                <w:color w:val="auto"/>
                <w:szCs w:val="21"/>
                <w:highlight w:val="none"/>
              </w:rPr>
            </w:pPr>
            <w:r>
              <w:rPr>
                <w:rFonts w:hint="eastAsia" w:ascii="宋体" w:hAnsi="宋体" w:eastAsia="宋体" w:cs="宋体"/>
                <w:bCs/>
                <w:color w:val="auto"/>
                <w:sz w:val="21"/>
                <w:szCs w:val="21"/>
                <w:highlight w:val="none"/>
              </w:rPr>
              <w:t>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360" w:lineRule="auto"/>
              <w:ind w:firstLine="0" w:firstLineChars="0"/>
              <w:jc w:val="center"/>
              <w:textAlignment w:val="auto"/>
              <w:rPr>
                <w:rFonts w:asci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60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内部管理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制度方案</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7</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根据投标人提供的内部管理制度方案的合理性、科学性、全面性以及是否适用进行综合评审：</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方案完整合理、可行性强，完全满足或优于招标文件要求，得7分；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方案完整、可行性一般，符合招标文件要求，得4分；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方案基本完整、可行性较差，基本符合招标文件要求，得2分。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提供对应方案较差，得1分。</w:t>
            </w:r>
          </w:p>
          <w:p>
            <w:pPr>
              <w:keepNext w:val="0"/>
              <w:keepLines w:val="0"/>
              <w:pageBreakBefore w:val="0"/>
              <w:kinsoku/>
              <w:wordWrap/>
              <w:overflowPunct/>
              <w:topLinePunct w:val="0"/>
              <w:autoSpaceDE/>
              <w:autoSpaceDN/>
              <w:bidi w:val="0"/>
              <w:spacing w:line="360" w:lineRule="auto"/>
              <w:ind w:firstLine="420" w:firstLineChars="200"/>
              <w:textAlignment w:val="auto"/>
              <w:rPr>
                <w:rFonts w:ascii="宋体" w:hAnsi="宋体" w:cs="宋体"/>
                <w:bCs/>
                <w:color w:val="auto"/>
                <w:szCs w:val="21"/>
                <w:highlight w:val="none"/>
              </w:rPr>
            </w:pPr>
            <w:r>
              <w:rPr>
                <w:rFonts w:hint="eastAsia" w:ascii="宋体" w:hAnsi="宋体" w:eastAsia="宋体" w:cs="宋体"/>
                <w:bCs/>
                <w:color w:val="auto"/>
                <w:sz w:val="21"/>
                <w:szCs w:val="21"/>
                <w:highlight w:val="none"/>
              </w:rPr>
              <w:t>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cs="宋体"/>
                <w:color w:val="auto"/>
                <w:sz w:val="21"/>
                <w:szCs w:val="21"/>
                <w:highlight w:val="none"/>
              </w:rPr>
            </w:pPr>
            <w:r>
              <w:rPr>
                <w:rFonts w:hint="eastAsia" w:ascii="宋体" w:hAnsi="宋体" w:eastAsia="宋体" w:cs="宋体"/>
                <w:color w:val="auto"/>
                <w:kern w:val="2"/>
                <w:sz w:val="21"/>
                <w:szCs w:val="21"/>
                <w:highlight w:val="none"/>
              </w:rPr>
              <w:t>安全作业措施方案</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eastAsia="宋体" w:cs="宋体"/>
                <w:color w:val="auto"/>
                <w:sz w:val="21"/>
                <w:szCs w:val="21"/>
                <w:highlight w:val="none"/>
                <w:lang w:val="en-US"/>
              </w:rPr>
            </w:pPr>
            <w:r>
              <w:rPr>
                <w:rFonts w:hint="eastAsia" w:ascii="宋体" w:hAnsi="宋体" w:eastAsia="宋体" w:cs="宋体"/>
                <w:color w:val="auto"/>
                <w:kern w:val="2"/>
                <w:sz w:val="21"/>
                <w:szCs w:val="21"/>
                <w:highlight w:val="none"/>
              </w:rPr>
              <w:t>7</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根据投标人对本项目编制的安全作业措施方案进行综合评审：</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方案完整合理、可行性强，完全满足或优于招标文件要求，得7分；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方案完整、可行性一般，符合招标文件要求，得4分；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方案基本完整、可行性较差，基本符合招标文件要求，得2分。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提供对应方案较差，得1分。</w:t>
            </w:r>
          </w:p>
          <w:p>
            <w:pPr>
              <w:keepNext w:val="0"/>
              <w:keepLines w:val="0"/>
              <w:pageBreakBefore w:val="0"/>
              <w:kinsoku/>
              <w:wordWrap/>
              <w:overflowPunct/>
              <w:topLinePunct w:val="0"/>
              <w:autoSpaceDE/>
              <w:autoSpaceDN/>
              <w:bidi w:val="0"/>
              <w:spacing w:line="360" w:lineRule="auto"/>
              <w:ind w:firstLine="420" w:firstLineChars="200"/>
              <w:textAlignment w:val="auto"/>
              <w:rPr>
                <w:rFonts w:ascii="宋体" w:hAnsi="宋体" w:cs="宋体"/>
                <w:bCs/>
                <w:color w:val="auto"/>
                <w:szCs w:val="21"/>
                <w:highlight w:val="none"/>
                <w:lang w:val="zh-CN"/>
              </w:rPr>
            </w:pPr>
            <w:r>
              <w:rPr>
                <w:rFonts w:hint="eastAsia" w:ascii="宋体" w:hAnsi="宋体" w:eastAsia="宋体" w:cs="宋体"/>
                <w:bCs/>
                <w:color w:val="auto"/>
                <w:sz w:val="21"/>
                <w:szCs w:val="21"/>
                <w:highlight w:val="none"/>
              </w:rPr>
              <w:t>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eastAsia="宋体" w:cs="宋体"/>
                <w:color w:val="auto"/>
                <w:sz w:val="21"/>
                <w:szCs w:val="21"/>
                <w:highlight w:val="none"/>
              </w:rPr>
            </w:pPr>
            <w:r>
              <w:rPr>
                <w:rFonts w:hint="eastAsia" w:ascii="宋体" w:hAnsi="宋体" w:eastAsia="宋体" w:cs="宋体"/>
                <w:color w:val="auto"/>
                <w:kern w:val="2"/>
                <w:sz w:val="21"/>
                <w:szCs w:val="21"/>
                <w:highlight w:val="none"/>
              </w:rPr>
              <w:t>质量保证措施方案</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eastAsia="宋体" w:cs="宋体"/>
                <w:color w:val="auto"/>
                <w:sz w:val="21"/>
                <w:szCs w:val="21"/>
                <w:highlight w:val="none"/>
              </w:rPr>
            </w:pPr>
            <w:r>
              <w:rPr>
                <w:rFonts w:hint="eastAsia" w:ascii="宋体" w:hAnsi="宋体" w:cs="宋体"/>
                <w:color w:val="auto"/>
                <w:kern w:val="2"/>
                <w:sz w:val="21"/>
                <w:szCs w:val="21"/>
                <w:highlight w:val="none"/>
                <w:lang w:val="en-US" w:eastAsia="zh-CN"/>
              </w:rPr>
              <w:t>8</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根据投标人是否能根据本项目要求提供详细的服务质量方案保证目标及分期目标，并提供具体可行、详细的保证措施等进行综合评审：</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方案完整合理、可行性强，完全满足或优于招标文件要求，得</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方案完整、可行性一般，符合招标文件要求，得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方案基本完整、可行性较差，基本符合招标文件要求，得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提供对应方案较差，得1分。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bCs/>
                <w:color w:val="auto"/>
                <w:szCs w:val="21"/>
                <w:highlight w:val="none"/>
              </w:rPr>
            </w:pPr>
            <w:r>
              <w:rPr>
                <w:rFonts w:hint="eastAsia" w:ascii="宋体" w:hAnsi="宋体" w:eastAsia="宋体" w:cs="宋体"/>
                <w:bCs/>
                <w:color w:val="auto"/>
                <w:sz w:val="21"/>
                <w:szCs w:val="21"/>
                <w:highlight w:val="none"/>
              </w:rPr>
              <w:t>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eastAsia="宋体" w:cs="宋体"/>
                <w:color w:val="auto"/>
                <w:sz w:val="21"/>
                <w:szCs w:val="21"/>
                <w:highlight w:val="none"/>
              </w:rPr>
            </w:pPr>
            <w:r>
              <w:rPr>
                <w:rFonts w:hint="eastAsia" w:ascii="宋体" w:hAnsi="宋体" w:eastAsia="宋体" w:cs="宋体"/>
                <w:color w:val="auto"/>
                <w:kern w:val="2"/>
                <w:sz w:val="21"/>
                <w:szCs w:val="21"/>
                <w:highlight w:val="none"/>
              </w:rPr>
              <w:t>应急处置</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eastAsia="宋体" w:cs="宋体"/>
                <w:color w:val="auto"/>
                <w:sz w:val="21"/>
                <w:szCs w:val="21"/>
                <w:highlight w:val="none"/>
              </w:rPr>
            </w:pPr>
            <w:r>
              <w:rPr>
                <w:rFonts w:hint="eastAsia" w:ascii="宋体" w:hAnsi="宋体" w:eastAsia="宋体" w:cs="宋体"/>
                <w:color w:val="auto"/>
                <w:kern w:val="2"/>
                <w:sz w:val="21"/>
                <w:szCs w:val="21"/>
                <w:highlight w:val="none"/>
              </w:rPr>
              <w:t>7</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根据本项目的特点，针对台风、暴雨等天气影响，重大接待任务，重大节假日或活动等特殊情况制定应急处置方案，包括传达机制、人员和设备调配、责任分工等。应急事件做出的应急方案进行综合评审：</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方案完整合理、可行性强，完全满足或优于招标文件要求，得7分；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方案完整、可行性一般，符合招标文件要求，得4分；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方案基本完整、可行性较差，基本符合招标文件要求，得2分；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提供对应方案较差，得1分；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bCs/>
                <w:color w:val="auto"/>
                <w:szCs w:val="21"/>
                <w:highlight w:val="none"/>
              </w:rPr>
            </w:pPr>
            <w:r>
              <w:rPr>
                <w:rFonts w:hint="eastAsia" w:ascii="宋体" w:hAnsi="宋体" w:eastAsia="宋体" w:cs="宋体"/>
                <w:bCs/>
                <w:color w:val="auto"/>
                <w:sz w:val="21"/>
                <w:szCs w:val="21"/>
                <w:highlight w:val="none"/>
              </w:rPr>
              <w:t>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人员投入</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12</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1、根据</w:t>
            </w:r>
            <w:r>
              <w:rPr>
                <w:rFonts w:hint="eastAsia" w:ascii="宋体" w:hAnsi="宋体" w:eastAsia="宋体" w:cs="宋体"/>
                <w:bCs/>
                <w:color w:val="auto"/>
                <w:sz w:val="21"/>
                <w:szCs w:val="21"/>
                <w:highlight w:val="none"/>
                <w:lang w:val="zh-CN"/>
              </w:rPr>
              <w:t>拟投入本项目的项目</w:t>
            </w:r>
            <w:r>
              <w:rPr>
                <w:rFonts w:hint="eastAsia" w:ascii="宋体" w:hAnsi="宋体" w:cs="宋体"/>
                <w:bCs/>
                <w:color w:val="auto"/>
                <w:sz w:val="21"/>
                <w:szCs w:val="21"/>
                <w:highlight w:val="none"/>
                <w:lang w:val="en-US" w:eastAsia="zh-CN"/>
              </w:rPr>
              <w:t>经理</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仅</w:t>
            </w:r>
            <w:r>
              <w:rPr>
                <w:rFonts w:hint="eastAsia" w:ascii="宋体" w:hAnsi="宋体" w:eastAsia="宋体" w:cs="宋体"/>
                <w:bCs/>
                <w:color w:val="auto"/>
                <w:sz w:val="21"/>
                <w:szCs w:val="21"/>
                <w:highlight w:val="none"/>
              </w:rPr>
              <w:t>1人</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进行评审：</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①</w:t>
            </w:r>
            <w:r>
              <w:rPr>
                <w:rFonts w:hint="eastAsia" w:ascii="宋体" w:hAnsi="宋体" w:eastAsia="宋体" w:cs="宋体"/>
                <w:bCs/>
                <w:color w:val="auto"/>
                <w:sz w:val="21"/>
                <w:szCs w:val="21"/>
                <w:highlight w:val="none"/>
                <w:lang w:val="zh-CN"/>
              </w:rPr>
              <w:t>具有</w:t>
            </w:r>
            <w:r>
              <w:rPr>
                <w:rFonts w:hint="eastAsia" w:ascii="宋体" w:hAnsi="宋体" w:eastAsia="宋体" w:cs="宋体"/>
                <w:bCs/>
                <w:color w:val="auto"/>
                <w:sz w:val="21"/>
                <w:szCs w:val="21"/>
                <w:highlight w:val="none"/>
                <w:lang w:val="en-US" w:eastAsia="zh-CN"/>
              </w:rPr>
              <w:t>城市环卫工程师（高级）证书的，</w:t>
            </w:r>
            <w:r>
              <w:rPr>
                <w:rFonts w:hint="eastAsia" w:ascii="宋体" w:hAnsi="宋体" w:eastAsia="宋体" w:cs="宋体"/>
                <w:bCs/>
                <w:color w:val="auto"/>
                <w:sz w:val="21"/>
                <w:szCs w:val="21"/>
                <w:highlight w:val="none"/>
                <w:lang w:val="zh-CN"/>
              </w:rPr>
              <w:t>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w:t>
            </w:r>
            <w:r>
              <w:rPr>
                <w:rFonts w:hint="eastAsia" w:ascii="宋体" w:hAnsi="宋体" w:eastAsia="宋体" w:cs="宋体"/>
                <w:bCs/>
                <w:color w:val="auto"/>
                <w:sz w:val="21"/>
                <w:szCs w:val="21"/>
                <w:highlight w:val="none"/>
                <w:lang w:val="zh-CN"/>
              </w:rPr>
              <w:t>具有</w:t>
            </w:r>
            <w:r>
              <w:rPr>
                <w:rFonts w:hint="eastAsia" w:ascii="宋体" w:hAnsi="宋体" w:eastAsia="宋体" w:cs="宋体"/>
                <w:bCs/>
                <w:color w:val="auto"/>
                <w:sz w:val="21"/>
                <w:szCs w:val="21"/>
                <w:highlight w:val="none"/>
                <w:lang w:val="en-US" w:eastAsia="zh-CN"/>
              </w:rPr>
              <w:t>安全管理师（高级）证书的，</w:t>
            </w:r>
            <w:r>
              <w:rPr>
                <w:rFonts w:hint="eastAsia" w:ascii="宋体" w:hAnsi="宋体" w:eastAsia="宋体" w:cs="宋体"/>
                <w:bCs/>
                <w:color w:val="auto"/>
                <w:sz w:val="21"/>
                <w:szCs w:val="21"/>
                <w:highlight w:val="none"/>
                <w:lang w:val="zh-CN"/>
              </w:rPr>
              <w:t>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w:t>
            </w:r>
            <w:r>
              <w:rPr>
                <w:rFonts w:hint="eastAsia" w:ascii="宋体" w:hAnsi="宋体" w:cs="宋体"/>
                <w:bCs/>
                <w:color w:val="auto"/>
                <w:sz w:val="21"/>
                <w:szCs w:val="21"/>
                <w:highlight w:val="none"/>
                <w:lang w:val="zh-CN"/>
              </w:rPr>
              <w:t>；</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②</w:t>
            </w:r>
            <w:r>
              <w:rPr>
                <w:rFonts w:hint="eastAsia" w:ascii="宋体" w:hAnsi="宋体" w:eastAsia="宋体" w:cs="宋体"/>
                <w:bCs/>
                <w:color w:val="auto"/>
                <w:sz w:val="21"/>
                <w:szCs w:val="21"/>
                <w:highlight w:val="none"/>
                <w:lang w:val="zh-CN"/>
              </w:rPr>
              <w:t>具有</w:t>
            </w:r>
            <w:r>
              <w:rPr>
                <w:rFonts w:hint="eastAsia" w:ascii="宋体" w:hAnsi="宋体" w:cs="宋体"/>
                <w:bCs/>
                <w:color w:val="auto"/>
                <w:sz w:val="21"/>
                <w:szCs w:val="21"/>
                <w:highlight w:val="none"/>
                <w:lang w:val="en-US" w:eastAsia="zh-CN"/>
              </w:rPr>
              <w:t>环境类或绿化类</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中</w:t>
            </w:r>
            <w:r>
              <w:rPr>
                <w:rFonts w:hint="eastAsia" w:ascii="宋体" w:hAnsi="宋体" w:eastAsia="宋体" w:cs="宋体"/>
                <w:bCs/>
                <w:color w:val="auto"/>
                <w:sz w:val="21"/>
                <w:szCs w:val="21"/>
                <w:highlight w:val="none"/>
                <w:lang w:val="en-US" w:eastAsia="zh-CN"/>
              </w:rPr>
              <w:t>级</w:t>
            </w:r>
            <w:r>
              <w:rPr>
                <w:rFonts w:hint="eastAsia" w:ascii="宋体" w:hAnsi="宋体" w:cs="宋体"/>
                <w:bCs/>
                <w:color w:val="auto"/>
                <w:sz w:val="21"/>
                <w:szCs w:val="21"/>
                <w:highlight w:val="none"/>
                <w:lang w:val="en-US" w:eastAsia="zh-CN"/>
              </w:rPr>
              <w:t>或以上</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职称</w:t>
            </w:r>
            <w:r>
              <w:rPr>
                <w:rFonts w:hint="eastAsia" w:ascii="宋体" w:hAnsi="宋体" w:eastAsia="宋体" w:cs="宋体"/>
                <w:bCs/>
                <w:color w:val="auto"/>
                <w:sz w:val="21"/>
                <w:szCs w:val="21"/>
                <w:highlight w:val="none"/>
                <w:lang w:val="en-US" w:eastAsia="zh-CN"/>
              </w:rPr>
              <w:t>证书的，</w:t>
            </w:r>
            <w:r>
              <w:rPr>
                <w:rFonts w:hint="eastAsia" w:ascii="宋体" w:hAnsi="宋体" w:eastAsia="宋体" w:cs="宋体"/>
                <w:bCs/>
                <w:color w:val="auto"/>
                <w:sz w:val="21"/>
                <w:szCs w:val="21"/>
                <w:highlight w:val="none"/>
                <w:lang w:val="zh-CN"/>
              </w:rPr>
              <w:t>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w:t>
            </w:r>
            <w:r>
              <w:rPr>
                <w:rFonts w:hint="eastAsia" w:ascii="宋体" w:hAnsi="宋体" w:cs="宋体"/>
                <w:bCs/>
                <w:color w:val="auto"/>
                <w:sz w:val="21"/>
                <w:szCs w:val="21"/>
                <w:highlight w:val="none"/>
                <w:lang w:val="zh-CN"/>
              </w:rPr>
              <w:t>。</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本项最高得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分。</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2、根据</w:t>
            </w:r>
            <w:r>
              <w:rPr>
                <w:rFonts w:hint="eastAsia" w:ascii="宋体" w:hAnsi="宋体" w:eastAsia="宋体" w:cs="宋体"/>
                <w:bCs/>
                <w:color w:val="auto"/>
                <w:sz w:val="21"/>
                <w:szCs w:val="21"/>
                <w:highlight w:val="none"/>
                <w:lang w:val="zh-CN"/>
              </w:rPr>
              <w:t>拟投入本项目的</w:t>
            </w:r>
            <w:r>
              <w:rPr>
                <w:rFonts w:hint="eastAsia" w:ascii="宋体" w:hAnsi="宋体" w:eastAsia="宋体" w:cs="宋体"/>
                <w:bCs/>
                <w:color w:val="auto"/>
                <w:sz w:val="21"/>
                <w:szCs w:val="21"/>
                <w:highlight w:val="none"/>
                <w:lang w:val="en-US" w:eastAsia="zh-CN"/>
              </w:rPr>
              <w:t>技术人员</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项目</w:t>
            </w:r>
            <w:r>
              <w:rPr>
                <w:rFonts w:hint="eastAsia" w:ascii="宋体" w:hAnsi="宋体" w:cs="宋体"/>
                <w:bCs/>
                <w:color w:val="auto"/>
                <w:sz w:val="21"/>
                <w:szCs w:val="21"/>
                <w:highlight w:val="none"/>
                <w:lang w:val="en-US" w:eastAsia="zh-CN"/>
              </w:rPr>
              <w:t>经理</w:t>
            </w:r>
            <w:r>
              <w:rPr>
                <w:rFonts w:hint="eastAsia" w:ascii="宋体" w:hAnsi="宋体" w:eastAsia="宋体" w:cs="宋体"/>
                <w:bCs/>
                <w:color w:val="auto"/>
                <w:sz w:val="21"/>
                <w:szCs w:val="21"/>
                <w:highlight w:val="none"/>
                <w:lang w:val="en-US" w:eastAsia="zh-CN"/>
              </w:rPr>
              <w:t>除外</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进行评审：</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具有</w:t>
            </w:r>
            <w:r>
              <w:rPr>
                <w:rFonts w:hint="eastAsia" w:ascii="宋体" w:hAnsi="宋体" w:eastAsia="宋体" w:cs="宋体"/>
                <w:bCs/>
                <w:color w:val="auto"/>
                <w:sz w:val="21"/>
                <w:szCs w:val="21"/>
                <w:highlight w:val="none"/>
                <w:lang w:val="en-US" w:eastAsia="zh-CN"/>
              </w:rPr>
              <w:t>垃圾分类项目管理师证书的，</w:t>
            </w:r>
            <w:r>
              <w:rPr>
                <w:rFonts w:hint="eastAsia" w:ascii="宋体" w:hAnsi="宋体" w:eastAsia="宋体" w:cs="宋体"/>
                <w:bCs/>
                <w:color w:val="auto"/>
                <w:sz w:val="21"/>
                <w:szCs w:val="21"/>
                <w:highlight w:val="none"/>
                <w:lang w:val="zh-CN"/>
              </w:rPr>
              <w:t>每提供1人得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w:t>
            </w:r>
            <w:r>
              <w:rPr>
                <w:rFonts w:hint="eastAsia" w:ascii="宋体" w:hAnsi="宋体" w:eastAsia="宋体" w:cs="宋体"/>
                <w:bCs/>
                <w:color w:val="auto"/>
                <w:sz w:val="21"/>
                <w:szCs w:val="21"/>
                <w:highlight w:val="none"/>
                <w:lang w:val="en-US" w:eastAsia="zh-CN"/>
              </w:rPr>
              <w:t>本项最高得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lang w:val="zh-CN"/>
              </w:rPr>
              <w:t>；</w:t>
            </w:r>
          </w:p>
          <w:p>
            <w:pPr>
              <w:keepNext w:val="0"/>
              <w:keepLines w:val="0"/>
              <w:pageBreakBefore w:val="0"/>
              <w:numPr>
                <w:ilvl w:val="0"/>
                <w:numId w:val="0"/>
              </w:numP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color w:val="auto"/>
                <w:sz w:val="21"/>
                <w:szCs w:val="21"/>
                <w:highlight w:val="none"/>
                <w:lang w:val="zh-CN"/>
              </w:rPr>
              <w:t>注：</w:t>
            </w:r>
            <w:r>
              <w:rPr>
                <w:rFonts w:hint="eastAsia" w:ascii="宋体" w:hAnsi="宋体" w:eastAsia="宋体" w:cs="宋体"/>
                <w:bCs/>
                <w:color w:val="auto"/>
                <w:sz w:val="21"/>
                <w:szCs w:val="21"/>
                <w:highlight w:val="none"/>
                <w:lang w:val="zh-CN"/>
              </w:rPr>
              <w:t>（1）以上项目</w:t>
            </w:r>
            <w:r>
              <w:rPr>
                <w:rFonts w:hint="eastAsia" w:ascii="宋体" w:hAnsi="宋体" w:eastAsia="宋体" w:cs="宋体"/>
                <w:bCs/>
                <w:color w:val="auto"/>
                <w:sz w:val="21"/>
                <w:szCs w:val="21"/>
                <w:highlight w:val="none"/>
              </w:rPr>
              <w:t>负责人</w:t>
            </w:r>
            <w:r>
              <w:rPr>
                <w:rFonts w:hint="eastAsia" w:ascii="宋体" w:hAnsi="宋体" w:eastAsia="宋体" w:cs="宋体"/>
                <w:bCs/>
                <w:color w:val="auto"/>
                <w:sz w:val="21"/>
                <w:szCs w:val="21"/>
                <w:highlight w:val="none"/>
                <w:lang w:val="zh-CN"/>
              </w:rPr>
              <w:t>、技术人员的名单不得重复，</w:t>
            </w:r>
            <w:r>
              <w:rPr>
                <w:rFonts w:hint="eastAsia" w:ascii="宋体" w:hAnsi="宋体" w:eastAsia="宋体" w:cs="宋体"/>
                <w:bCs/>
                <w:color w:val="auto"/>
                <w:sz w:val="21"/>
                <w:szCs w:val="21"/>
                <w:highlight w:val="none"/>
              </w:rPr>
              <w:t>不重复计分</w:t>
            </w:r>
            <w:r>
              <w:rPr>
                <w:rFonts w:hint="eastAsia" w:ascii="宋体" w:hAnsi="宋体" w:eastAsia="宋体" w:cs="宋体"/>
                <w:bCs/>
                <w:color w:val="auto"/>
                <w:sz w:val="21"/>
                <w:szCs w:val="21"/>
                <w:highlight w:val="none"/>
                <w:lang w:val="zh-CN"/>
              </w:rPr>
              <w:t>。（2）须提供以上人员有效证书</w:t>
            </w:r>
            <w:r>
              <w:rPr>
                <w:rFonts w:hint="eastAsia" w:ascii="宋体" w:hAnsi="宋体" w:eastAsia="宋体" w:cs="宋体"/>
                <w:bCs/>
                <w:color w:val="auto"/>
                <w:sz w:val="21"/>
                <w:szCs w:val="21"/>
                <w:highlight w:val="none"/>
                <w:lang w:val="en-US" w:eastAsia="zh-CN"/>
              </w:rPr>
              <w:t>复印件</w:t>
            </w:r>
            <w:r>
              <w:rPr>
                <w:rFonts w:hint="eastAsia" w:ascii="宋体" w:hAnsi="宋体" w:eastAsia="宋体" w:cs="宋体"/>
                <w:bCs/>
                <w:color w:val="auto"/>
                <w:sz w:val="21"/>
                <w:szCs w:val="21"/>
                <w:highlight w:val="none"/>
                <w:lang w:val="zh-CN"/>
              </w:rPr>
              <w:t>及</w:t>
            </w:r>
            <w:r>
              <w:rPr>
                <w:rFonts w:hint="eastAsia" w:ascii="宋体" w:hAnsi="宋体" w:eastAsia="宋体" w:cs="宋体"/>
                <w:bCs/>
                <w:color w:val="auto"/>
                <w:sz w:val="21"/>
                <w:szCs w:val="21"/>
                <w:highlight w:val="none"/>
              </w:rPr>
              <w:t>投标人</w:t>
            </w:r>
            <w:r>
              <w:rPr>
                <w:rFonts w:hint="eastAsia" w:ascii="宋体" w:hAnsi="宋体" w:eastAsia="宋体" w:cs="宋体"/>
                <w:bCs/>
                <w:color w:val="auto"/>
                <w:sz w:val="21"/>
                <w:szCs w:val="21"/>
                <w:highlight w:val="none"/>
                <w:lang w:val="zh-CN"/>
              </w:rPr>
              <w:t>为其缴纳的近</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个月</w:t>
            </w:r>
            <w:r>
              <w:rPr>
                <w:rFonts w:hint="eastAsia" w:ascii="宋体" w:hAnsi="宋体" w:eastAsia="宋体" w:cs="宋体"/>
                <w:bCs/>
                <w:color w:val="auto"/>
                <w:sz w:val="21"/>
                <w:szCs w:val="21"/>
                <w:highlight w:val="none"/>
                <w:lang w:val="en-US" w:eastAsia="zh-CN"/>
              </w:rPr>
              <w:t>内</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rPr>
              <w:t>不含开标当月</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任意1个月的</w:t>
            </w:r>
            <w:r>
              <w:rPr>
                <w:rFonts w:hint="eastAsia" w:ascii="宋体" w:hAnsi="宋体" w:eastAsia="宋体" w:cs="宋体"/>
                <w:bCs/>
                <w:color w:val="auto"/>
                <w:sz w:val="21"/>
                <w:szCs w:val="21"/>
                <w:highlight w:val="none"/>
                <w:lang w:val="zh-CN"/>
              </w:rPr>
              <w:t>社保证明复印件加盖</w:t>
            </w:r>
            <w:r>
              <w:rPr>
                <w:rFonts w:hint="eastAsia" w:ascii="宋体" w:hAnsi="宋体" w:eastAsia="宋体" w:cs="宋体"/>
                <w:bCs/>
                <w:color w:val="auto"/>
                <w:sz w:val="21"/>
                <w:szCs w:val="21"/>
                <w:highlight w:val="none"/>
              </w:rPr>
              <w:t>投标人</w:t>
            </w:r>
            <w:r>
              <w:rPr>
                <w:rFonts w:hint="eastAsia" w:ascii="宋体" w:hAnsi="宋体" w:eastAsia="宋体" w:cs="宋体"/>
                <w:bCs/>
                <w:color w:val="auto"/>
                <w:sz w:val="21"/>
                <w:szCs w:val="21"/>
                <w:highlight w:val="none"/>
                <w:lang w:val="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7</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设备投入</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7</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根据投标人本项目的设备投入方案及投标人各种作业设备日常使用、维护保养的保障程度等进行综合评定：</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方案完整合理、可行性强，完全满足或优于招标文件要求，得7分；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方案完整、可行性一般，符合招标文件要求，得4分；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方案基本完整、可行性较差，基本符合招标文件要求，得2分。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提供对应方案较差，得1分。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sz w:val="21"/>
                <w:szCs w:val="21"/>
                <w:highlight w:val="none"/>
              </w:rPr>
              <w:t>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注：</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（1）无特殊说明外，以上评审项，同一证明文件不重复计分。</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（2）投标人根据以上评分要求提供的投标材料因模糊不清导致评标委员会无法清晰辨认进行评审的，视为无效材料。</w:t>
            </w:r>
          </w:p>
          <w:p>
            <w:pPr>
              <w:tabs>
                <w:tab w:val="left" w:pos="907"/>
              </w:tabs>
              <w:ind w:firstLine="422" w:firstLineChars="200"/>
              <w:jc w:val="both"/>
              <w:rPr>
                <w:rFonts w:ascii="宋体" w:cs="宋体"/>
                <w:color w:val="auto"/>
                <w:szCs w:val="21"/>
                <w:highlight w:val="none"/>
              </w:rPr>
            </w:pPr>
            <w:r>
              <w:rPr>
                <w:rFonts w:hint="eastAsia" w:ascii="宋体" w:hAnsi="宋体"/>
                <w:b/>
                <w:color w:val="auto"/>
                <w:szCs w:val="21"/>
                <w:highlight w:val="none"/>
              </w:rPr>
              <w:t>（3）若因疫情原因暂缓统一托收或阶段性减免社会保险费而导致无法打印社保缴费证明的需提供书面说明并加盖投标人公章。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ascii="宋体" w:eastAsia="宋体" w:cs="宋体"/>
                <w:color w:val="auto"/>
                <w:sz w:val="21"/>
                <w:szCs w:val="21"/>
                <w:highlight w:val="none"/>
                <w:lang w:val="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val="en-US" w:eastAsia="zh-CN"/>
              </w:rPr>
              <w:t>1</w:t>
            </w:r>
            <w:r>
              <w:rPr>
                <w:rFonts w:hint="eastAsia" w:ascii="宋体" w:eastAsia="宋体" w:cs="宋体"/>
                <w:b/>
                <w:bCs/>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投标报价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10</w:t>
            </w:r>
          </w:p>
        </w:tc>
        <w:tc>
          <w:tcPr>
            <w:tcW w:w="5489"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价格分计算方法：满足招标文件要求且投标</w:t>
            </w:r>
            <w:r>
              <w:rPr>
                <w:rFonts w:hint="eastAsia" w:ascii="宋体" w:hAnsi="宋体" w:eastAsia="宋体" w:cs="宋体"/>
                <w:color w:val="auto"/>
                <w:sz w:val="21"/>
                <w:szCs w:val="21"/>
                <w:highlight w:val="none"/>
                <w:lang w:val="en-US" w:eastAsia="zh-CN"/>
              </w:rPr>
              <w:t>报价最低</w:t>
            </w:r>
            <w:r>
              <w:rPr>
                <w:rFonts w:hint="eastAsia" w:ascii="宋体" w:hAnsi="宋体" w:eastAsia="宋体" w:cs="宋体"/>
                <w:color w:val="auto"/>
                <w:sz w:val="21"/>
                <w:szCs w:val="21"/>
                <w:highlight w:val="none"/>
              </w:rPr>
              <w:t>的为评标基准价，其价格分为满分。其他投标人的价格分统一按照下列公式计算：</w:t>
            </w:r>
          </w:p>
          <w:p>
            <w:pPr>
              <w:ind w:firstLine="420" w:firstLineChars="200"/>
              <w:rPr>
                <w:rFonts w:ascii="宋体" w:hAnsi="宋体" w:cs="宋体"/>
                <w:color w:val="auto"/>
                <w:szCs w:val="21"/>
                <w:highlight w:val="none"/>
              </w:rPr>
            </w:pPr>
            <w:r>
              <w:rPr>
                <w:rFonts w:hint="eastAsia" w:ascii="宋体" w:hAnsi="宋体" w:eastAsia="宋体" w:cs="宋体"/>
                <w:color w:val="auto"/>
                <w:sz w:val="21"/>
                <w:szCs w:val="21"/>
                <w:highlight w:val="none"/>
              </w:rPr>
              <w:t>投标报价得分=(投标报价／评标基准价)×价格权值×100</w:t>
            </w:r>
          </w:p>
        </w:tc>
      </w:tr>
    </w:tbl>
    <w:p>
      <w:pPr>
        <w:rPr>
          <w:color w:val="auto"/>
          <w:highlight w:val="none"/>
        </w:rPr>
      </w:pPr>
      <w:r>
        <w:rPr>
          <w:color w:val="auto"/>
          <w:highlight w:val="none"/>
        </w:rPr>
        <w:br w:type="page"/>
      </w:r>
    </w:p>
    <w:p>
      <w:pPr>
        <w:pStyle w:val="3"/>
        <w:numPr>
          <w:ilvl w:val="0"/>
          <w:numId w:val="1"/>
        </w:numPr>
        <w:rPr>
          <w:color w:val="auto"/>
          <w:highlight w:val="none"/>
        </w:rPr>
      </w:pPr>
      <w:bookmarkStart w:id="142" w:name="_Toc32522"/>
      <w:r>
        <w:rPr>
          <w:rFonts w:hint="eastAsia"/>
          <w:color w:val="auto"/>
          <w:highlight w:val="none"/>
        </w:rPr>
        <w:t>合同文本参考格式</w:t>
      </w:r>
      <w:bookmarkEnd w:id="142"/>
    </w:p>
    <w:p>
      <w:pPr>
        <w:jc w:val="center"/>
        <w:outlineLvl w:val="1"/>
        <w:rPr>
          <w:color w:val="auto"/>
          <w:sz w:val="18"/>
          <w:szCs w:val="21"/>
          <w:highlight w:val="none"/>
        </w:rPr>
      </w:pPr>
      <w:bookmarkStart w:id="143" w:name="_Toc1541"/>
      <w:r>
        <w:rPr>
          <w:rFonts w:hint="eastAsia" w:ascii="宋体" w:hAnsi="宋体" w:cs="宋体"/>
          <w:b/>
          <w:bCs/>
          <w:color w:val="auto"/>
          <w:sz w:val="22"/>
          <w:szCs w:val="22"/>
          <w:highlight w:val="none"/>
        </w:rPr>
        <w:t>（本格式编排在招标文件中，供投标人参考，投标时不需填写）</w:t>
      </w:r>
      <w:bookmarkEnd w:id="143"/>
    </w:p>
    <w:p>
      <w:pPr>
        <w:spacing w:line="360" w:lineRule="auto"/>
        <w:rPr>
          <w:color w:val="auto"/>
          <w:highlight w:val="none"/>
        </w:rPr>
      </w:pPr>
      <w:r>
        <w:rPr>
          <w:rFonts w:hint="eastAsia"/>
          <w:color w:val="auto"/>
          <w:highlight w:val="none"/>
        </w:rPr>
        <w:t>甲方：</w:t>
      </w:r>
      <w:r>
        <w:rPr>
          <w:rFonts w:hint="eastAsia"/>
          <w:color w:val="auto"/>
          <w:highlight w:val="none"/>
        </w:rPr>
        <w:tab/>
      </w:r>
    </w:p>
    <w:p>
      <w:pPr>
        <w:spacing w:line="360" w:lineRule="auto"/>
        <w:rPr>
          <w:color w:val="auto"/>
          <w:highlight w:val="none"/>
        </w:rPr>
      </w:pPr>
      <w:r>
        <w:rPr>
          <w:rFonts w:hint="eastAsia"/>
          <w:color w:val="auto"/>
          <w:highlight w:val="none"/>
        </w:rPr>
        <w:t>电话：</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r>
        <w:rPr>
          <w:rFonts w:hint="eastAsia"/>
          <w:color w:val="auto"/>
          <w:highlight w:val="none"/>
        </w:rPr>
        <w:t xml:space="preserve">乙方：  </w:t>
      </w:r>
      <w:r>
        <w:rPr>
          <w:rFonts w:hint="eastAsia"/>
          <w:color w:val="auto"/>
          <w:highlight w:val="none"/>
        </w:rPr>
        <w:tab/>
      </w:r>
    </w:p>
    <w:p>
      <w:pPr>
        <w:spacing w:line="360" w:lineRule="auto"/>
        <w:rPr>
          <w:color w:val="auto"/>
          <w:highlight w:val="none"/>
        </w:rPr>
      </w:pPr>
      <w:r>
        <w:rPr>
          <w:rFonts w:hint="eastAsia"/>
          <w:color w:val="auto"/>
          <w:highlight w:val="none"/>
        </w:rPr>
        <w:t xml:space="preserve">电话： </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p>
    <w:p>
      <w:pPr>
        <w:spacing w:line="360" w:lineRule="auto"/>
        <w:ind w:firstLine="420" w:firstLineChars="200"/>
        <w:rPr>
          <w:color w:val="auto"/>
          <w:highlight w:val="none"/>
        </w:rPr>
      </w:pPr>
      <w:r>
        <w:rPr>
          <w:rFonts w:hint="eastAsia"/>
          <w:color w:val="auto"/>
          <w:highlight w:val="none"/>
        </w:rPr>
        <w:t>根据</w:t>
      </w:r>
      <w:r>
        <w:rPr>
          <w:rFonts w:hint="eastAsia"/>
          <w:color w:val="auto"/>
          <w:highlight w:val="none"/>
          <w:u w:val="single"/>
        </w:rPr>
        <w:t xml:space="preserve">   </w:t>
      </w:r>
      <w:r>
        <w:rPr>
          <w:rFonts w:hint="eastAsia"/>
          <w:color w:val="auto"/>
          <w:highlight w:val="none"/>
        </w:rPr>
        <w:t>项目的采购结果，按照《中华人民共和国民法典(合同编)》的规定，经双方协商，本着平等互利和诚实信用的原则，一致同意遵守本合同如下。</w:t>
      </w:r>
    </w:p>
    <w:p>
      <w:pPr>
        <w:spacing w:line="360" w:lineRule="auto"/>
        <w:outlineLvl w:val="1"/>
        <w:rPr>
          <w:b/>
          <w:bCs/>
          <w:color w:val="auto"/>
          <w:highlight w:val="none"/>
        </w:rPr>
      </w:pPr>
      <w:bookmarkStart w:id="144" w:name="_Toc14994"/>
      <w:bookmarkStart w:id="145" w:name="_Toc21895"/>
      <w:bookmarkStart w:id="146" w:name="_Toc864"/>
      <w:bookmarkStart w:id="147" w:name="_Toc3633"/>
      <w:r>
        <w:rPr>
          <w:rFonts w:hint="eastAsia"/>
          <w:b/>
          <w:bCs/>
          <w:color w:val="auto"/>
          <w:highlight w:val="none"/>
        </w:rPr>
        <w:t>一、合同金额</w:t>
      </w:r>
      <w:bookmarkEnd w:id="144"/>
      <w:bookmarkEnd w:id="145"/>
      <w:bookmarkEnd w:id="146"/>
      <w:bookmarkEnd w:id="147"/>
    </w:p>
    <w:p>
      <w:pPr>
        <w:spacing w:line="360" w:lineRule="auto"/>
        <w:ind w:firstLine="420" w:firstLineChars="200"/>
        <w:rPr>
          <w:rFonts w:hint="eastAsia"/>
          <w:color w:val="auto"/>
          <w:highlight w:val="none"/>
        </w:rPr>
      </w:pPr>
      <w:r>
        <w:rPr>
          <w:rFonts w:hint="eastAsia"/>
          <w:color w:val="auto"/>
          <w:highlight w:val="none"/>
        </w:rPr>
        <w:t xml:space="preserve">合同金额为（大写）： </w:t>
      </w:r>
      <w:r>
        <w:rPr>
          <w:rFonts w:hint="eastAsia"/>
          <w:color w:val="auto"/>
          <w:highlight w:val="none"/>
        </w:rPr>
        <w:tab/>
      </w:r>
      <w:r>
        <w:rPr>
          <w:rFonts w:hint="eastAsia"/>
          <w:color w:val="auto"/>
          <w:highlight w:val="none"/>
        </w:rPr>
        <w:t xml:space="preserve">元（￥ </w:t>
      </w:r>
      <w:r>
        <w:rPr>
          <w:rFonts w:hint="eastAsia"/>
          <w:color w:val="auto"/>
          <w:highlight w:val="none"/>
        </w:rPr>
        <w:tab/>
      </w:r>
      <w:r>
        <w:rPr>
          <w:rFonts w:hint="eastAsia"/>
          <w:color w:val="auto"/>
          <w:highlight w:val="none"/>
        </w:rPr>
        <w:t>元）人民币。</w:t>
      </w:r>
    </w:p>
    <w:p>
      <w:pPr>
        <w:spacing w:line="360" w:lineRule="auto"/>
        <w:ind w:firstLine="420" w:firstLineChars="200"/>
        <w:rPr>
          <w:rFonts w:hint="eastAsia" w:eastAsia="宋体"/>
          <w:color w:val="auto"/>
          <w:highlight w:val="none"/>
          <w:lang w:eastAsia="zh-CN"/>
        </w:rPr>
      </w:pPr>
      <w:r>
        <w:rPr>
          <w:rFonts w:hint="eastAsia"/>
          <w:color w:val="auto"/>
          <w:sz w:val="21"/>
          <w:szCs w:val="21"/>
          <w:highlight w:val="none"/>
          <w:lang w:val="en-US" w:eastAsia="zh-CN"/>
        </w:rPr>
        <w:t>履约保证金：乙方应在领取中标通知书之后签订合同之前递交履约保证金，履约保证金金额为合同金额的5%，</w:t>
      </w:r>
      <w:r>
        <w:rPr>
          <w:rFonts w:ascii="宋体" w:hAnsi="宋体" w:eastAsia="宋体"/>
          <w:color w:val="auto"/>
          <w:sz w:val="21"/>
          <w:szCs w:val="21"/>
          <w:highlight w:val="none"/>
        </w:rPr>
        <w:t>采用履约保证金保函形式向</w:t>
      </w:r>
      <w:r>
        <w:rPr>
          <w:rFonts w:hint="eastAsia" w:ascii="宋体" w:hAnsi="宋体" w:eastAsia="宋体"/>
          <w:color w:val="auto"/>
          <w:sz w:val="21"/>
          <w:szCs w:val="21"/>
          <w:highlight w:val="none"/>
          <w:lang w:val="en-US" w:eastAsia="zh-CN"/>
        </w:rPr>
        <w:t>甲方</w:t>
      </w:r>
      <w:r>
        <w:rPr>
          <w:rFonts w:ascii="宋体" w:hAnsi="宋体" w:eastAsia="宋体"/>
          <w:color w:val="auto"/>
          <w:sz w:val="21"/>
          <w:szCs w:val="21"/>
          <w:highlight w:val="none"/>
        </w:rPr>
        <w:t>提供履约保函。</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保函可由银行或第三方有资质公司出具。</w:t>
      </w:r>
      <w:r>
        <w:rPr>
          <w:rFonts w:hint="eastAsia" w:ascii="宋体" w:hAnsi="宋体" w:eastAsia="宋体"/>
          <w:color w:val="auto"/>
          <w:sz w:val="21"/>
          <w:szCs w:val="21"/>
          <w:highlight w:val="none"/>
          <w:lang w:eastAsia="zh-CN"/>
        </w:rPr>
        <w:t>）</w:t>
      </w:r>
    </w:p>
    <w:p>
      <w:pPr>
        <w:spacing w:line="360" w:lineRule="auto"/>
        <w:outlineLvl w:val="1"/>
        <w:rPr>
          <w:b/>
          <w:bCs/>
          <w:color w:val="auto"/>
          <w:highlight w:val="none"/>
        </w:rPr>
      </w:pPr>
      <w:bookmarkStart w:id="148" w:name="_Toc31907"/>
      <w:bookmarkStart w:id="149" w:name="_Toc8673"/>
      <w:bookmarkStart w:id="150" w:name="_Toc32599"/>
      <w:bookmarkStart w:id="151" w:name="_Toc8984"/>
      <w:r>
        <w:rPr>
          <w:rFonts w:hint="eastAsia"/>
          <w:b/>
          <w:bCs/>
          <w:color w:val="auto"/>
          <w:highlight w:val="none"/>
        </w:rPr>
        <w:t>二、服务范围</w:t>
      </w:r>
      <w:bookmarkEnd w:id="148"/>
      <w:bookmarkEnd w:id="149"/>
      <w:bookmarkEnd w:id="150"/>
      <w:bookmarkEnd w:id="151"/>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服务包括：黄屋村辖区道路保洁(含清扫、清运垃圾)，上门垃圾收集、杂物堆放清理、河道保洁、绿化养护、清理“牛皮癣”、大件垃圾及建筑垃圾清理，公园、广场、村主干道路面、内巷冲洗，村下水道、明渠及沙井内清淤清洗，并协助清理“六乱”等工作。</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具体范围：</w:t>
      </w:r>
    </w:p>
    <w:tbl>
      <w:tblPr>
        <w:tblStyle w:val="15"/>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5"/>
        <w:gridCol w:w="4005"/>
        <w:gridCol w:w="1754"/>
        <w:gridCol w:w="2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序号</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道路名称</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道路长度（m)</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保洁面积（㎡）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黄屋</w:t>
            </w:r>
            <w:r>
              <w:rPr>
                <w:rFonts w:hint="eastAsia" w:ascii="宋体" w:hAnsi="宋体" w:eastAsia="宋体" w:cs="宋体"/>
                <w:bCs/>
                <w:color w:val="auto"/>
                <w:kern w:val="0"/>
                <w:sz w:val="21"/>
                <w:szCs w:val="21"/>
                <w:highlight w:val="none"/>
                <w:lang w:val="en-US" w:eastAsia="zh-CN"/>
              </w:rPr>
              <w:t>牛食坑路、老富屋路</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800</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11200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黄屋</w:t>
            </w:r>
            <w:r>
              <w:rPr>
                <w:rFonts w:hint="eastAsia" w:ascii="宋体" w:hAnsi="宋体" w:eastAsia="宋体" w:cs="宋体"/>
                <w:bCs/>
                <w:color w:val="auto"/>
                <w:kern w:val="0"/>
                <w:sz w:val="21"/>
                <w:szCs w:val="21"/>
                <w:highlight w:val="none"/>
                <w:lang w:val="en-US" w:eastAsia="zh-CN"/>
              </w:rPr>
              <w:t>青麻园、细围路</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900</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黄屋</w:t>
            </w:r>
            <w:r>
              <w:rPr>
                <w:rFonts w:hint="eastAsia" w:ascii="宋体" w:hAnsi="宋体" w:eastAsia="宋体" w:cs="宋体"/>
                <w:bCs/>
                <w:color w:val="auto"/>
                <w:kern w:val="0"/>
                <w:sz w:val="21"/>
                <w:szCs w:val="21"/>
                <w:highlight w:val="none"/>
                <w:lang w:val="en-US" w:eastAsia="zh-CN"/>
              </w:rPr>
              <w:t>水巷路、榕兴路</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500</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黄屋</w:t>
            </w:r>
            <w:r>
              <w:rPr>
                <w:rFonts w:hint="eastAsia" w:ascii="宋体" w:hAnsi="宋体" w:eastAsia="宋体" w:cs="宋体"/>
                <w:bCs/>
                <w:color w:val="auto"/>
                <w:kern w:val="0"/>
                <w:sz w:val="21"/>
                <w:szCs w:val="21"/>
                <w:highlight w:val="none"/>
                <w:lang w:val="en-US" w:eastAsia="zh-CN"/>
              </w:rPr>
              <w:t>桃园路、松仔林路、地堂间路</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600</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黄屋</w:t>
            </w:r>
            <w:r>
              <w:rPr>
                <w:rFonts w:hint="eastAsia" w:ascii="宋体" w:hAnsi="宋体" w:eastAsia="宋体" w:cs="宋体"/>
                <w:bCs/>
                <w:color w:val="auto"/>
                <w:kern w:val="0"/>
                <w:sz w:val="21"/>
                <w:szCs w:val="21"/>
                <w:highlight w:val="none"/>
                <w:lang w:val="en-US" w:eastAsia="zh-CN"/>
              </w:rPr>
              <w:t>大荔枝路</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200</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黄屋</w:t>
            </w:r>
            <w:r>
              <w:rPr>
                <w:rFonts w:hint="eastAsia" w:ascii="宋体" w:hAnsi="宋体" w:eastAsia="宋体" w:cs="宋体"/>
                <w:bCs/>
                <w:color w:val="auto"/>
                <w:kern w:val="0"/>
                <w:sz w:val="21"/>
                <w:szCs w:val="21"/>
                <w:highlight w:val="none"/>
                <w:lang w:val="en-US" w:eastAsia="zh-CN"/>
              </w:rPr>
              <w:t>新兴路、幼儿园前路</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500</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黄屋</w:t>
            </w:r>
            <w:r>
              <w:rPr>
                <w:rFonts w:hint="eastAsia" w:ascii="宋体" w:hAnsi="宋体" w:eastAsia="宋体" w:cs="宋体"/>
                <w:bCs/>
                <w:color w:val="auto"/>
                <w:kern w:val="0"/>
                <w:sz w:val="21"/>
                <w:szCs w:val="21"/>
                <w:highlight w:val="none"/>
                <w:lang w:val="en-US" w:eastAsia="zh-CN"/>
              </w:rPr>
              <w:t>大围路、黄冚路</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1000</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黄屋</w:t>
            </w:r>
            <w:r>
              <w:rPr>
                <w:rFonts w:hint="eastAsia" w:ascii="宋体" w:hAnsi="宋体" w:eastAsia="宋体" w:cs="宋体"/>
                <w:bCs/>
                <w:color w:val="auto"/>
                <w:kern w:val="0"/>
                <w:sz w:val="21"/>
                <w:szCs w:val="21"/>
                <w:highlight w:val="none"/>
                <w:lang w:val="en-US" w:eastAsia="zh-CN"/>
              </w:rPr>
              <w:t>镇江市一、二路、大地路</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1200</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9</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黄屋</w:t>
            </w:r>
            <w:r>
              <w:rPr>
                <w:rFonts w:hint="eastAsia" w:ascii="宋体" w:hAnsi="宋体" w:eastAsia="宋体" w:cs="宋体"/>
                <w:bCs/>
                <w:color w:val="auto"/>
                <w:kern w:val="0"/>
                <w:sz w:val="21"/>
                <w:szCs w:val="21"/>
                <w:highlight w:val="none"/>
                <w:lang w:val="en-US" w:eastAsia="zh-CN"/>
              </w:rPr>
              <w:t>中凯二路</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500</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10</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黄屋</w:t>
            </w:r>
            <w:r>
              <w:rPr>
                <w:rFonts w:hint="eastAsia" w:ascii="宋体" w:hAnsi="宋体" w:eastAsia="宋体" w:cs="宋体"/>
                <w:bCs/>
                <w:color w:val="auto"/>
                <w:kern w:val="0"/>
                <w:sz w:val="21"/>
                <w:szCs w:val="21"/>
                <w:highlight w:val="none"/>
                <w:lang w:val="en-US" w:eastAsia="zh-CN"/>
              </w:rPr>
              <w:t>工业路</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1000</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11</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黄屋</w:t>
            </w:r>
            <w:r>
              <w:rPr>
                <w:rFonts w:hint="eastAsia" w:ascii="宋体" w:hAnsi="宋体" w:eastAsia="宋体" w:cs="宋体"/>
                <w:bCs/>
                <w:color w:val="auto"/>
                <w:kern w:val="0"/>
                <w:sz w:val="21"/>
                <w:szCs w:val="21"/>
                <w:highlight w:val="none"/>
                <w:lang w:val="en-US" w:eastAsia="zh-CN"/>
              </w:rPr>
              <w:t>炭步一、二路、丰收路</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600</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12</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黄屋</w:t>
            </w:r>
            <w:r>
              <w:rPr>
                <w:rFonts w:hint="eastAsia" w:ascii="宋体" w:hAnsi="宋体" w:eastAsia="宋体" w:cs="宋体"/>
                <w:bCs/>
                <w:color w:val="auto"/>
                <w:kern w:val="0"/>
                <w:sz w:val="21"/>
                <w:szCs w:val="21"/>
                <w:highlight w:val="none"/>
                <w:lang w:val="en-US" w:eastAsia="zh-CN"/>
              </w:rPr>
              <w:t>大塘村内</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1000</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13</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黄屋</w:t>
            </w:r>
            <w:r>
              <w:rPr>
                <w:rFonts w:hint="eastAsia" w:ascii="宋体" w:hAnsi="宋体" w:eastAsia="宋体" w:cs="宋体"/>
                <w:bCs/>
                <w:color w:val="auto"/>
                <w:kern w:val="0"/>
                <w:sz w:val="21"/>
                <w:szCs w:val="21"/>
                <w:highlight w:val="none"/>
                <w:lang w:val="en-US" w:eastAsia="zh-CN"/>
              </w:rPr>
              <w:t>细围巷</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1500</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14</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黄屋</w:t>
            </w:r>
            <w:r>
              <w:rPr>
                <w:rFonts w:hint="eastAsia" w:ascii="宋体" w:hAnsi="宋体" w:eastAsia="宋体" w:cs="宋体"/>
                <w:bCs/>
                <w:color w:val="auto"/>
                <w:kern w:val="0"/>
                <w:sz w:val="21"/>
                <w:szCs w:val="21"/>
                <w:highlight w:val="none"/>
                <w:lang w:val="en-US" w:eastAsia="zh-CN"/>
              </w:rPr>
              <w:t>大围巷、黄冚巷</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2000</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15</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黄屋</w:t>
            </w:r>
            <w:r>
              <w:rPr>
                <w:rFonts w:hint="eastAsia" w:ascii="宋体" w:hAnsi="宋体" w:eastAsia="宋体" w:cs="宋体"/>
                <w:bCs/>
                <w:color w:val="auto"/>
                <w:kern w:val="0"/>
                <w:sz w:val="21"/>
                <w:szCs w:val="21"/>
                <w:highlight w:val="none"/>
                <w:lang w:val="en-US" w:eastAsia="zh-CN"/>
              </w:rPr>
              <w:t>镇江市巷</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1000</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16</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黄屋公园、广场</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17</w:t>
            </w: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黄屋大塘、细塘</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2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合计</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132600</w:t>
            </w:r>
          </w:p>
        </w:tc>
      </w:tr>
    </w:tbl>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以上表格内容为参考数据，实际服务范围按合同要求及现场情况为准</w:t>
      </w:r>
      <w:r>
        <w:rPr>
          <w:rFonts w:hint="eastAsia" w:ascii="宋体" w:hAnsi="宋体" w:eastAsia="宋体" w:cs="宋体"/>
          <w:b/>
          <w:color w:val="auto"/>
          <w:sz w:val="21"/>
          <w:szCs w:val="21"/>
          <w:highlight w:val="none"/>
          <w:lang w:eastAsia="zh-CN"/>
        </w:rPr>
        <w:t>；</w:t>
      </w:r>
    </w:p>
    <w:p>
      <w:pPr>
        <w:spacing w:line="360" w:lineRule="auto"/>
        <w:ind w:firstLine="422" w:firstLineChars="200"/>
        <w:rPr>
          <w:color w:val="auto"/>
          <w:sz w:val="21"/>
          <w:szCs w:val="21"/>
          <w:highlight w:val="none"/>
        </w:rPr>
      </w:pPr>
      <w:r>
        <w:rPr>
          <w:rFonts w:hint="eastAsia" w:ascii="宋体" w:hAnsi="宋体" w:eastAsia="宋体" w:cs="宋体"/>
          <w:b/>
          <w:color w:val="auto"/>
          <w:sz w:val="21"/>
          <w:szCs w:val="21"/>
          <w:highlight w:val="none"/>
          <w:lang w:val="en-US" w:eastAsia="zh-CN"/>
        </w:rPr>
        <w:t>2、合同服务期内，由于政策、</w:t>
      </w:r>
      <w:r>
        <w:rPr>
          <w:rFonts w:hint="eastAsia" w:ascii="宋体" w:hAnsi="宋体" w:cs="宋体"/>
          <w:b/>
          <w:color w:val="auto"/>
          <w:sz w:val="21"/>
          <w:szCs w:val="21"/>
          <w:highlight w:val="none"/>
          <w:lang w:val="en-US" w:eastAsia="zh-CN"/>
        </w:rPr>
        <w:t>村</w:t>
      </w:r>
      <w:r>
        <w:rPr>
          <w:rFonts w:hint="eastAsia" w:ascii="宋体" w:hAnsi="宋体" w:eastAsia="宋体" w:cs="宋体"/>
          <w:b/>
          <w:color w:val="auto"/>
          <w:sz w:val="21"/>
          <w:szCs w:val="21"/>
          <w:highlight w:val="none"/>
          <w:lang w:val="en-US" w:eastAsia="zh-CN"/>
        </w:rPr>
        <w:t>发展等因素，</w:t>
      </w:r>
      <w:r>
        <w:rPr>
          <w:rFonts w:hint="eastAsia" w:ascii="宋体" w:hAnsi="宋体" w:cs="宋体"/>
          <w:b/>
          <w:color w:val="auto"/>
          <w:sz w:val="21"/>
          <w:szCs w:val="21"/>
          <w:highlight w:val="none"/>
          <w:lang w:val="en-US" w:eastAsia="zh-CN"/>
        </w:rPr>
        <w:t>村</w:t>
      </w:r>
      <w:r>
        <w:rPr>
          <w:rFonts w:hint="eastAsia" w:ascii="宋体" w:hAnsi="宋体" w:eastAsia="宋体" w:cs="宋体"/>
          <w:b/>
          <w:color w:val="auto"/>
          <w:sz w:val="21"/>
          <w:szCs w:val="21"/>
          <w:highlight w:val="none"/>
          <w:lang w:val="en-US" w:eastAsia="zh-CN"/>
        </w:rPr>
        <w:t>内新增（减少）道路或道路调整的，导致本合同环卫保洁、绿化养护服务范围面积的增加或减少，合同的服务费金额不作调整</w:t>
      </w:r>
      <w:r>
        <w:rPr>
          <w:rFonts w:hint="eastAsia" w:ascii="宋体" w:hAnsi="宋体" w:eastAsia="宋体" w:cs="宋体"/>
          <w:b/>
          <w:color w:val="auto"/>
          <w:sz w:val="21"/>
          <w:szCs w:val="21"/>
          <w:highlight w:val="none"/>
        </w:rPr>
        <w:t>。</w:t>
      </w:r>
    </w:p>
    <w:p>
      <w:pPr>
        <w:spacing w:line="360" w:lineRule="auto"/>
        <w:outlineLvl w:val="1"/>
        <w:rPr>
          <w:rFonts w:hint="default" w:eastAsia="宋体"/>
          <w:b/>
          <w:bCs/>
          <w:color w:val="auto"/>
          <w:highlight w:val="none"/>
          <w:lang w:val="en-US" w:eastAsia="zh-CN"/>
        </w:rPr>
      </w:pPr>
      <w:bookmarkStart w:id="152" w:name="_Toc9958"/>
      <w:bookmarkStart w:id="153" w:name="_Toc23270"/>
      <w:bookmarkStart w:id="154" w:name="_Toc28304"/>
      <w:bookmarkStart w:id="155" w:name="_Toc2159"/>
      <w:r>
        <w:rPr>
          <w:rFonts w:hint="eastAsia"/>
          <w:b/>
          <w:bCs/>
          <w:color w:val="auto"/>
          <w:highlight w:val="none"/>
        </w:rPr>
        <w:t>三、</w:t>
      </w:r>
      <w:r>
        <w:rPr>
          <w:rFonts w:hint="eastAsia"/>
          <w:b/>
          <w:bCs/>
          <w:color w:val="auto"/>
          <w:highlight w:val="none"/>
          <w:lang w:val="en-US" w:eastAsia="zh-CN"/>
        </w:rPr>
        <w:t>服务要求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保洁</w:t>
      </w:r>
      <w:r>
        <w:rPr>
          <w:rFonts w:hint="eastAsia" w:ascii="宋体" w:hAnsi="宋体" w:eastAsia="宋体" w:cs="宋体"/>
          <w:b/>
          <w:color w:val="auto"/>
          <w:sz w:val="21"/>
          <w:szCs w:val="21"/>
          <w:highlight w:val="none"/>
        </w:rPr>
        <w:t>工作要求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进场后，要求组织足够的人力及作业设备迅速对服务范围的环境卫生进行一次全方位清理整治。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每天全面清理本辖区卫生与保洁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做好责任区域范围内的垃圾收集，特殊情况下</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需要按照</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要求无条件执行。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普扫作业要达到六净六无一通标准，六净：路面净、路牙石净、人行道净、墙基净、落水口净、果皮箱净。六无：无积水、无果皮、无烟头等废弃物、无人畜粪便、无漏收垃圾堆、无往落水口、明沟、绿化带扫倒垃圾污物。</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负责清理废弃家具、公共部位杂草、公园道路、杂物等。</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清理本辖区道路、内巷、公共区域、空地、绿化带内外的垃圾、道路上的杂草</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辖区内的牛皮癣</w:t>
      </w:r>
      <w:r>
        <w:rPr>
          <w:rFonts w:hint="eastAsia" w:ascii="宋体" w:hAnsi="宋体" w:cs="宋体"/>
          <w:color w:val="auto"/>
          <w:sz w:val="21"/>
          <w:szCs w:val="21"/>
          <w:highlight w:val="none"/>
          <w:lang w:val="en-US" w:eastAsia="zh-CN"/>
        </w:rPr>
        <w:t>以及</w:t>
      </w:r>
      <w:r>
        <w:rPr>
          <w:rFonts w:hint="eastAsia" w:ascii="宋体" w:hAnsi="宋体" w:eastAsia="宋体" w:cs="宋体"/>
          <w:color w:val="auto"/>
          <w:sz w:val="21"/>
          <w:szCs w:val="21"/>
          <w:highlight w:val="none"/>
        </w:rPr>
        <w:t>辖区内的</w:t>
      </w:r>
      <w:r>
        <w:rPr>
          <w:rFonts w:hint="eastAsia" w:ascii="宋体" w:hAnsi="宋体" w:cs="宋体"/>
          <w:color w:val="auto"/>
          <w:sz w:val="21"/>
          <w:szCs w:val="21"/>
          <w:highlight w:val="none"/>
          <w:lang w:val="en-US" w:eastAsia="zh-CN"/>
        </w:rPr>
        <w:t>池塘水体垃圾清理</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每周清洗本辖区内果皮箱、垃圾桶及清除周边的污迹和粘贴痕迹。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村内主要道路每</w:t>
      </w:r>
      <w:r>
        <w:rPr>
          <w:rFonts w:hint="eastAsia" w:ascii="宋体" w:hAnsi="宋体" w:cs="宋体"/>
          <w:color w:val="auto"/>
          <w:sz w:val="21"/>
          <w:szCs w:val="21"/>
          <w:highlight w:val="none"/>
          <w:lang w:val="en-US" w:eastAsia="zh-CN"/>
        </w:rPr>
        <w:t>日</w:t>
      </w:r>
      <w:r>
        <w:rPr>
          <w:rFonts w:hint="eastAsia" w:ascii="宋体" w:hAnsi="宋体" w:eastAsia="宋体" w:cs="宋体"/>
          <w:color w:val="auto"/>
          <w:sz w:val="21"/>
          <w:szCs w:val="21"/>
          <w:highlight w:val="none"/>
        </w:rPr>
        <w:t>至少安排洒水作业</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次，遇特殊情况增加洒水作业次数。</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积极响应环卫主管部门的要求，对存在问题及投诉快速反应处理，特别是对市、区数字城管案件按规定时间内处理完毕并相片回复，否则因回复期限超时而造成的扣分与当月的服务费挂钩。</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果皮箱、垃圾桶及时清掏，确保垃圾桶周边无满溢现象，发现满溢现象应立即处理，保持清洁无臭味，如有损坏应及时通知</w:t>
      </w:r>
      <w:r>
        <w:rPr>
          <w:rFonts w:hint="eastAsia" w:ascii="宋体" w:hAnsi="宋体" w:cs="宋体"/>
          <w:color w:val="auto"/>
          <w:sz w:val="21"/>
          <w:szCs w:val="21"/>
          <w:highlight w:val="none"/>
          <w:lang w:eastAsia="zh-CN"/>
        </w:rPr>
        <w:t>村</w:t>
      </w:r>
      <w:r>
        <w:rPr>
          <w:rFonts w:hint="eastAsia" w:ascii="宋体" w:hAnsi="宋体" w:eastAsia="宋体" w:cs="宋体"/>
          <w:color w:val="auto"/>
          <w:sz w:val="21"/>
          <w:szCs w:val="21"/>
          <w:highlight w:val="none"/>
        </w:rPr>
        <w:t>环卫部门进行维修或更换。</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编制清扫保洁实施方案，列明保证质量、安全、文明施工的措施，并且严格按照实施方案按时按质完成。项目经理要落实好岗位责任制，加强日常巡查，发现他人在保洁范围内倾倒生活垃圾的行为，要及时制止，并向属地执法部门报告，同时恢复场地原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车辆设备和垃圾收集手推车要外容整洁完好，密闭，无破损、锈迹，定期检测修刷漆翻新，同时</w:t>
      </w:r>
      <w:r>
        <w:rPr>
          <w:rFonts w:hint="eastAsia" w:ascii="宋体" w:hAnsi="宋体" w:eastAsia="宋体" w:cs="宋体"/>
          <w:color w:val="auto"/>
          <w:sz w:val="21"/>
          <w:szCs w:val="21"/>
          <w:highlight w:val="none"/>
          <w:lang w:val="en-US" w:eastAsia="zh-CN"/>
        </w:rPr>
        <w:t>按上级街道部门或</w:t>
      </w:r>
      <w:r>
        <w:rPr>
          <w:rFonts w:hint="eastAsia" w:ascii="宋体" w:hAnsi="宋体" w:cs="宋体"/>
          <w:color w:val="auto"/>
          <w:sz w:val="21"/>
          <w:szCs w:val="21"/>
          <w:highlight w:val="none"/>
          <w:lang w:val="en-US" w:eastAsia="zh-CN"/>
        </w:rPr>
        <w:t>村</w:t>
      </w:r>
      <w:r>
        <w:rPr>
          <w:rFonts w:hint="eastAsia" w:ascii="宋体" w:hAnsi="宋体" w:eastAsia="宋体" w:cs="宋体"/>
          <w:color w:val="auto"/>
          <w:sz w:val="21"/>
          <w:szCs w:val="21"/>
          <w:highlight w:val="none"/>
          <w:lang w:val="en-US" w:eastAsia="zh-CN"/>
        </w:rPr>
        <w:t>要求设置车辆外观</w:t>
      </w:r>
      <w:r>
        <w:rPr>
          <w:rFonts w:hint="eastAsia" w:ascii="宋体" w:hAnsi="宋体" w:eastAsia="宋体" w:cs="宋体"/>
          <w:color w:val="auto"/>
          <w:sz w:val="21"/>
          <w:szCs w:val="21"/>
          <w:highlight w:val="none"/>
        </w:rPr>
        <w:t>，并且装运过程中不得满溢、洒漏；机动车辆作业时，应尽量避开上下班高峰期，并开启警示灯，并尽量避免作业时危害到行人及车辆。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作业安全及设备安全由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全权负责，作业人员必须统一着装，穿反光马甲，出现工伤意外，</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不负任何责任。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垃圾处理严格贯彻“统一收集，定点堆放，日产日清”的原则，由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自行负责清运至</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指定地点。要求使用密封式运输车，避免二次污染。</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必须自备垃圾收集清运车、保洁设备等，</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不提供任何作业工具。</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15、甲方</w:t>
      </w:r>
      <w:r>
        <w:rPr>
          <w:rFonts w:hint="eastAsia" w:ascii="宋体" w:hAnsi="宋体" w:eastAsia="宋体" w:cs="宋体"/>
          <w:color w:val="auto"/>
          <w:sz w:val="21"/>
          <w:szCs w:val="21"/>
          <w:highlight w:val="none"/>
        </w:rPr>
        <w:t>不提供吃住场所。</w:t>
      </w:r>
    </w:p>
    <w:p>
      <w:pPr>
        <w:keepNext w:val="0"/>
        <w:keepLines w:val="0"/>
        <w:pageBreakBefore w:val="0"/>
        <w:widowControl w:val="0"/>
        <w:tabs>
          <w:tab w:val="left" w:pos="5940"/>
        </w:tabs>
        <w:kinsoku/>
        <w:wordWrap/>
        <w:overflowPunct/>
        <w:topLinePunct w:val="0"/>
        <w:bidi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提出的检查整改意见，</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必须在24小时内作出响应处理，并接受</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的监督考核</w:t>
      </w:r>
      <w:r>
        <w:rPr>
          <w:rFonts w:hint="eastAsia" w:ascii="宋体" w:hAnsi="宋体" w:eastAsia="宋体" w:cs="宋体"/>
          <w:color w:val="auto"/>
          <w:sz w:val="21"/>
          <w:szCs w:val="21"/>
          <w:highlight w:val="none"/>
          <w:lang w:eastAsia="zh-CN"/>
        </w:rPr>
        <w:t>。</w:t>
      </w:r>
    </w:p>
    <w:p>
      <w:pPr>
        <w:keepNext w:val="0"/>
        <w:keepLines w:val="0"/>
        <w:pageBreakBefore w:val="0"/>
        <w:widowControl w:val="0"/>
        <w:tabs>
          <w:tab w:val="left" w:pos="5940"/>
        </w:tabs>
        <w:kinsoku/>
        <w:wordWrap/>
        <w:overflowPunct/>
        <w:topLinePunct w:val="0"/>
        <w:bidi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17、乙方提供在职环卫人员不得少于22人。</w:t>
      </w:r>
    </w:p>
    <w:p>
      <w:pPr>
        <w:keepNext w:val="0"/>
        <w:keepLines w:val="0"/>
        <w:pageBreakBefore w:val="0"/>
        <w:widowControl w:val="0"/>
        <w:tabs>
          <w:tab w:val="left" w:pos="5940"/>
        </w:tabs>
        <w:kinsoku/>
        <w:wordWrap/>
        <w:overflowPunct/>
        <w:topLinePunct w:val="0"/>
        <w:bidi w:val="0"/>
        <w:snapToGrid/>
        <w:spacing w:beforeAutospacing="0" w:after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（二）绿化管理养护工作要求</w:t>
      </w:r>
    </w:p>
    <w:p>
      <w:pPr>
        <w:keepNext w:val="0"/>
        <w:keepLines w:val="0"/>
        <w:pageBreakBefore w:val="0"/>
        <w:widowControl w:val="0"/>
        <w:kinsoku/>
        <w:wordWrap/>
        <w:overflowPunct/>
        <w:topLinePunct w:val="0"/>
        <w:bidi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村</w:t>
      </w:r>
      <w:r>
        <w:rPr>
          <w:rFonts w:hint="eastAsia" w:ascii="宋体" w:hAnsi="宋体" w:eastAsia="宋体" w:cs="宋体"/>
          <w:color w:val="auto"/>
          <w:sz w:val="21"/>
          <w:szCs w:val="21"/>
          <w:highlight w:val="none"/>
        </w:rPr>
        <w:t>绿化管理养护服务工作要求和质量标准参照东莞市城管局制定的标准进行管理，合同期内，如因政策调整，相关部门颁发新的实施规定或行业标准的，按最新的规定标准执行，基本要求和标准为：</w:t>
      </w:r>
    </w:p>
    <w:p>
      <w:pPr>
        <w:keepNext w:val="0"/>
        <w:keepLines w:val="0"/>
        <w:pageBreakBefore w:val="0"/>
        <w:widowControl w:val="0"/>
        <w:kinsoku/>
        <w:wordWrap/>
        <w:overflowPunct/>
        <w:topLinePunct w:val="0"/>
        <w:bidi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必须配备两名以上助理园林绿化等相关技术人员负责养护管理和技术工作。</w:t>
      </w:r>
    </w:p>
    <w:p>
      <w:pPr>
        <w:keepNext w:val="0"/>
        <w:keepLines w:val="0"/>
        <w:pageBreakBefore w:val="0"/>
        <w:widowControl w:val="0"/>
        <w:kinsoku/>
        <w:wordWrap/>
        <w:overflowPunct/>
        <w:topLinePunct w:val="0"/>
        <w:bidi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绿化管理养护内容包括植物养护（含草坪、灌木、乔木、草本花卉、水生植物、垂直绿化等）、绿化地设施的卫生保洁工作（含垃圾筒、果皮箱等卫生设施、护栏、护树设施、座椅、指示牌、宣传牌、警示牌等标识系统等），绿化地、公园及构筑物的卫生保洁工作（含亭、台、楼、榭、园道、挡土墙、广场嵌草铺装、花基、小品、雕塑、停车场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绿化地设施</w:t>
      </w:r>
      <w:r>
        <w:rPr>
          <w:rFonts w:hint="eastAsia" w:ascii="宋体" w:hAnsi="宋体" w:eastAsia="宋体" w:cs="宋体"/>
          <w:color w:val="auto"/>
          <w:sz w:val="21"/>
          <w:szCs w:val="21"/>
          <w:highlight w:val="none"/>
          <w:lang w:val="en-US" w:eastAsia="zh-CN"/>
        </w:rPr>
        <w:t>更换并不属于乙方的工作范围内</w:t>
      </w:r>
      <w:r>
        <w:rPr>
          <w:rFonts w:hint="eastAsia" w:ascii="宋体" w:hAnsi="宋体" w:eastAsia="宋体" w:cs="宋体"/>
          <w:color w:val="auto"/>
          <w:sz w:val="21"/>
          <w:szCs w:val="21"/>
          <w:highlight w:val="none"/>
        </w:rPr>
        <w:t>。具体工作按</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规定的工作要求执行，包括以下内容：</w:t>
      </w:r>
    </w:p>
    <w:p>
      <w:pPr>
        <w:keepNext w:val="0"/>
        <w:keepLines w:val="0"/>
        <w:pageBreakBefore w:val="0"/>
        <w:widowControl w:val="0"/>
        <w:kinsoku/>
        <w:wordWrap/>
        <w:overflowPunct/>
        <w:topLinePunct w:val="0"/>
        <w:bidi w:val="0"/>
        <w:snapToGrid/>
        <w:spacing w:beforeAutospacing="0" w:after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2.1绿化地保洁工作</w:t>
      </w:r>
      <w:r>
        <w:rPr>
          <w:rFonts w:hint="eastAsia" w:ascii="宋体" w:hAnsi="宋体" w:eastAsia="宋体" w:cs="宋体"/>
          <w:color w:val="auto"/>
          <w:sz w:val="21"/>
          <w:szCs w:val="21"/>
          <w:highlight w:val="none"/>
        </w:rPr>
        <w:t xml:space="preserve">  在保洁时间内保持绿化地清洁无垃圾杂物，产出垃圾当天清运；保持绿化设施的清洁，及时清理乱涂写、乱张贴。</w:t>
      </w:r>
    </w:p>
    <w:p>
      <w:pPr>
        <w:keepNext w:val="0"/>
        <w:keepLines w:val="0"/>
        <w:pageBreakBefore w:val="0"/>
        <w:widowControl w:val="0"/>
        <w:kinsoku/>
        <w:wordWrap/>
        <w:overflowPunct/>
        <w:topLinePunct w:val="0"/>
        <w:bidi w:val="0"/>
        <w:snapToGrid/>
        <w:spacing w:beforeAutospacing="0" w:after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2.2垃圾清运工作</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将绿化地管养范围内的所有垃圾运到</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指定的垃圾堆放场地处理，其费用由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支付。</w:t>
      </w:r>
    </w:p>
    <w:p>
      <w:pPr>
        <w:keepNext w:val="0"/>
        <w:keepLines w:val="0"/>
        <w:pageBreakBefore w:val="0"/>
        <w:widowControl w:val="0"/>
        <w:kinsoku/>
        <w:wordWrap/>
        <w:overflowPunct/>
        <w:topLinePunct w:val="0"/>
        <w:bidi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.3灌溉、施肥工作</w:t>
      </w:r>
      <w:r>
        <w:rPr>
          <w:rFonts w:hint="eastAsia" w:ascii="宋体" w:hAnsi="宋体" w:eastAsia="宋体" w:cs="宋体"/>
          <w:color w:val="auto"/>
          <w:sz w:val="21"/>
          <w:szCs w:val="21"/>
          <w:highlight w:val="none"/>
        </w:rPr>
        <w:t xml:space="preserve">  根据植物生长需要加强淋水和施肥，各级绿化每平方米每年投放的肥料不得低于以下标准：一级管养须投放复合肥0.55斤、蘑菇肥0.55斤、花生麸0.3斤；二级管养须投放复合肥0.4斤、蘑菇肥0.4斤、花生麸0.2斤；三级管养须投放复合肥0.2斤、蘑菇肥0.2斤、花生麸0.1斤；复合肥要求N∶P∶K＝15∶15∶15，有机肥只限于花生麸、腐熟的粪肥、草木灰。</w:t>
      </w:r>
    </w:p>
    <w:p>
      <w:pPr>
        <w:keepNext w:val="0"/>
        <w:keepLines w:val="0"/>
        <w:pageBreakBefore w:val="0"/>
        <w:widowControl w:val="0"/>
        <w:kinsoku/>
        <w:wordWrap/>
        <w:overflowPunct/>
        <w:topLinePunct w:val="0"/>
        <w:bidi w:val="0"/>
        <w:snapToGrid/>
        <w:spacing w:beforeAutospacing="0" w:after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2.4整形修剪工作</w:t>
      </w:r>
      <w:r>
        <w:rPr>
          <w:rFonts w:hint="eastAsia" w:ascii="宋体" w:hAnsi="宋体" w:eastAsia="宋体" w:cs="宋体"/>
          <w:color w:val="auto"/>
          <w:sz w:val="21"/>
          <w:szCs w:val="21"/>
          <w:highlight w:val="none"/>
        </w:rPr>
        <w:t xml:space="preserve">  根据植物的生长发育要求、景观要求、安全要求及防风要求等，对植物进行有计划的定期修剪和不定期突击修剪。</w:t>
      </w:r>
    </w:p>
    <w:p>
      <w:pPr>
        <w:keepNext w:val="0"/>
        <w:keepLines w:val="0"/>
        <w:pageBreakBefore w:val="0"/>
        <w:widowControl w:val="0"/>
        <w:kinsoku/>
        <w:wordWrap/>
        <w:overflowPunct/>
        <w:topLinePunct w:val="0"/>
        <w:bidi w:val="0"/>
        <w:snapToGrid/>
        <w:spacing w:beforeAutospacing="0" w:after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cs="宋体"/>
          <w:b/>
          <w:color w:val="auto"/>
          <w:sz w:val="21"/>
          <w:szCs w:val="21"/>
          <w:highlight w:val="none"/>
          <w:lang w:val="en-US" w:eastAsia="zh-CN"/>
        </w:rPr>
        <w:t>5</w:t>
      </w:r>
      <w:r>
        <w:rPr>
          <w:rFonts w:hint="eastAsia" w:ascii="宋体" w:hAnsi="宋体" w:eastAsia="宋体" w:cs="宋体"/>
          <w:b/>
          <w:color w:val="auto"/>
          <w:sz w:val="21"/>
          <w:szCs w:val="21"/>
          <w:highlight w:val="none"/>
        </w:rPr>
        <w:t xml:space="preserve">绿化保护工作  </w:t>
      </w:r>
      <w:r>
        <w:rPr>
          <w:rFonts w:hint="eastAsia" w:ascii="宋体" w:hAnsi="宋体" w:eastAsia="宋体" w:cs="宋体"/>
          <w:color w:val="auto"/>
          <w:sz w:val="21"/>
          <w:szCs w:val="21"/>
          <w:highlight w:val="none"/>
        </w:rPr>
        <w:t>保护绿化地红线不被侵占，对破坏绿化及影响绿化景观的现象及时制止，对受破坏的绿化地及时采取有效措施予以修复。</w:t>
      </w:r>
    </w:p>
    <w:p>
      <w:pPr>
        <w:keepNext w:val="0"/>
        <w:keepLines w:val="0"/>
        <w:pageBreakBefore w:val="0"/>
        <w:widowControl w:val="0"/>
        <w:kinsoku/>
        <w:wordWrap/>
        <w:overflowPunct/>
        <w:topLinePunct w:val="0"/>
        <w:bidi w:val="0"/>
        <w:snapToGrid/>
        <w:spacing w:beforeAutospacing="0" w:after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rPr>
        <w:t>绿化地内道路、铺装场地保洁</w:t>
      </w:r>
      <w:r>
        <w:rPr>
          <w:rFonts w:hint="eastAsia" w:ascii="宋体" w:hAnsi="宋体" w:eastAsia="宋体" w:cs="宋体"/>
          <w:color w:val="auto"/>
          <w:sz w:val="21"/>
          <w:szCs w:val="21"/>
          <w:highlight w:val="none"/>
        </w:rPr>
        <w:t xml:space="preserve">  保证所管辖范围内干净整洁，无胶袋、无饮料盒、无纸屑、无果皮（包括花生壳、瓜子皮）、无石块、无杂物、无污迹（含香口胶），并保证在保洁时间内路面无大面积的枯枝落叶。</w:t>
      </w:r>
    </w:p>
    <w:p>
      <w:pPr>
        <w:keepNext w:val="0"/>
        <w:keepLines w:val="0"/>
        <w:pageBreakBefore w:val="0"/>
        <w:widowControl w:val="0"/>
        <w:kinsoku/>
        <w:wordWrap/>
        <w:overflowPunct/>
        <w:topLinePunct w:val="0"/>
        <w:bidi w:val="0"/>
        <w:snapToGrid/>
        <w:spacing w:beforeAutospacing="0" w:after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cs="宋体"/>
          <w:b/>
          <w:color w:val="auto"/>
          <w:sz w:val="21"/>
          <w:szCs w:val="21"/>
          <w:highlight w:val="none"/>
          <w:lang w:val="en-US" w:eastAsia="zh-CN"/>
        </w:rPr>
        <w:t>7</w:t>
      </w:r>
      <w:r>
        <w:rPr>
          <w:rFonts w:hint="eastAsia" w:ascii="宋体" w:hAnsi="宋体" w:eastAsia="宋体" w:cs="宋体"/>
          <w:b/>
          <w:color w:val="auto"/>
          <w:sz w:val="21"/>
          <w:szCs w:val="21"/>
          <w:highlight w:val="none"/>
        </w:rPr>
        <w:t>特殊植物种类的养护和管理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必须具备数名对特殊植物种类有一定养护经验的管理人员，了解此类植物的习性，并定期对管理人员进行相关的培训，达到管养科学、抚育精心的水平。</w:t>
      </w:r>
    </w:p>
    <w:p>
      <w:pPr>
        <w:keepNext w:val="0"/>
        <w:keepLines w:val="0"/>
        <w:pageBreakBefore w:val="0"/>
        <w:widowControl w:val="0"/>
        <w:kinsoku/>
        <w:wordWrap/>
        <w:overflowPunct/>
        <w:topLinePunct w:val="0"/>
        <w:bidi w:val="0"/>
        <w:snapToGrid/>
        <w:spacing w:beforeAutospacing="0" w:after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cs="宋体"/>
          <w:b/>
          <w:color w:val="auto"/>
          <w:sz w:val="21"/>
          <w:szCs w:val="21"/>
          <w:highlight w:val="none"/>
          <w:lang w:val="en-US" w:eastAsia="zh-CN"/>
        </w:rPr>
        <w:t>8</w:t>
      </w:r>
      <w:r>
        <w:rPr>
          <w:rFonts w:hint="eastAsia" w:ascii="宋体" w:hAnsi="宋体" w:eastAsia="宋体" w:cs="宋体"/>
          <w:b/>
          <w:color w:val="auto"/>
          <w:sz w:val="21"/>
          <w:szCs w:val="21"/>
          <w:highlight w:val="none"/>
        </w:rPr>
        <w:t xml:space="preserve">广东省地方标准 </w:t>
      </w:r>
      <w:r>
        <w:rPr>
          <w:rFonts w:hint="eastAsia" w:ascii="宋体" w:hAnsi="宋体" w:eastAsia="宋体" w:cs="宋体"/>
          <w:color w:val="auto"/>
          <w:sz w:val="21"/>
          <w:szCs w:val="21"/>
          <w:highlight w:val="none"/>
        </w:rPr>
        <w:t xml:space="preserve"> 相关绿化养护技术规范和养护质量标准必须符合2006年1月1日实施的广东省地方标准要求（DB44/T 268-2005及DB44/T 269-2005），不得低于广东省地方标准要求。</w:t>
      </w:r>
    </w:p>
    <w:p>
      <w:pPr>
        <w:keepNext w:val="0"/>
        <w:keepLines w:val="0"/>
        <w:pageBreakBefore w:val="0"/>
        <w:widowControl w:val="0"/>
        <w:kinsoku/>
        <w:wordWrap/>
        <w:overflowPunct/>
        <w:topLinePunct w:val="0"/>
        <w:bidi w:val="0"/>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必须按以上工作要求、质量标准进行绿化管养养护。</w:t>
      </w:r>
    </w:p>
    <w:p>
      <w:pPr>
        <w:spacing w:line="360" w:lineRule="auto"/>
        <w:outlineLvl w:val="1"/>
        <w:rPr>
          <w:rFonts w:hint="default" w:eastAsia="宋体"/>
          <w:b/>
          <w:bCs/>
          <w:color w:val="auto"/>
          <w:highlight w:val="none"/>
          <w:lang w:val="en-US" w:eastAsia="zh-CN"/>
        </w:rPr>
      </w:pPr>
      <w:r>
        <w:rPr>
          <w:rFonts w:hint="eastAsia"/>
          <w:b/>
          <w:bCs/>
          <w:color w:val="auto"/>
          <w:highlight w:val="none"/>
          <w:lang w:val="en-US" w:eastAsia="zh-CN"/>
        </w:rPr>
        <w:t>四、其它要求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kern w:val="2"/>
          <w:sz w:val="21"/>
          <w:szCs w:val="21"/>
          <w:highlight w:val="none"/>
          <w:lang w:val="en-US" w:eastAsia="zh-CN" w:bidi="ar-SA"/>
        </w:rPr>
        <w:t>1、</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必须按照国家有关法律法规守法经营，按国家有关规定按时支付环卫工人工资和有关福利待遇，否则</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有权单方面终止合同，并没收</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履约保证金。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2、</w:t>
      </w:r>
      <w:r>
        <w:rPr>
          <w:rFonts w:hint="eastAsia" w:ascii="宋体" w:hAnsi="宋体" w:eastAsia="宋体" w:cs="宋体"/>
          <w:bCs/>
          <w:color w:val="auto"/>
          <w:sz w:val="21"/>
          <w:szCs w:val="21"/>
          <w:highlight w:val="none"/>
          <w:lang w:val="en-US" w:eastAsia="zh-CN"/>
        </w:rPr>
        <w:t>为保证项目质量及实施服务效果，乙方须根据项目需求配备充足的服务人员及必要的设备投入，服务过程中如未能满足实际作业需要，乙方需根据实际增加人员和设备以达到作业量的需要，保证项目的正常运营。项目服务期内，乙方应在</w:t>
      </w:r>
      <w:r>
        <w:rPr>
          <w:rFonts w:hint="eastAsia" w:ascii="宋体" w:hAnsi="宋体" w:cs="宋体"/>
          <w:bCs/>
          <w:color w:val="auto"/>
          <w:sz w:val="21"/>
          <w:szCs w:val="21"/>
          <w:highlight w:val="none"/>
          <w:lang w:val="en-US" w:eastAsia="zh-CN"/>
        </w:rPr>
        <w:t>村</w:t>
      </w:r>
      <w:r>
        <w:rPr>
          <w:rFonts w:hint="eastAsia" w:ascii="宋体" w:hAnsi="宋体" w:eastAsia="宋体" w:cs="宋体"/>
          <w:bCs/>
          <w:color w:val="auto"/>
          <w:sz w:val="21"/>
          <w:szCs w:val="21"/>
          <w:highlight w:val="none"/>
          <w:lang w:val="en-US" w:eastAsia="zh-CN"/>
        </w:rPr>
        <w:t>免费提供的办公场所驻点，便于联系。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3、乙方因考核不合格，且达到终止合同条款时，甲方有权终止合同。</w:t>
      </w:r>
    </w:p>
    <w:p>
      <w:pPr>
        <w:spacing w:line="360" w:lineRule="auto"/>
        <w:outlineLvl w:val="1"/>
        <w:rPr>
          <w:b/>
          <w:bCs/>
          <w:color w:val="auto"/>
          <w:highlight w:val="none"/>
        </w:rPr>
      </w:pPr>
      <w:r>
        <w:rPr>
          <w:rFonts w:hint="eastAsia"/>
          <w:b/>
          <w:bCs/>
          <w:color w:val="auto"/>
          <w:highlight w:val="none"/>
          <w:lang w:val="en-US" w:eastAsia="zh-CN"/>
        </w:rPr>
        <w:t>五、</w:t>
      </w:r>
      <w:r>
        <w:rPr>
          <w:rFonts w:hint="eastAsia"/>
          <w:b/>
          <w:bCs/>
          <w:color w:val="auto"/>
          <w:highlight w:val="none"/>
        </w:rPr>
        <w:t>甲方乙方的权利和义务</w:t>
      </w:r>
      <w:bookmarkEnd w:id="152"/>
      <w:bookmarkEnd w:id="153"/>
      <w:bookmarkEnd w:id="154"/>
      <w:bookmarkEnd w:id="155"/>
    </w:p>
    <w:p>
      <w:pPr>
        <w:spacing w:line="360" w:lineRule="auto"/>
        <w:ind w:firstLine="420" w:firstLineChars="200"/>
        <w:rPr>
          <w:color w:val="auto"/>
          <w:highlight w:val="none"/>
        </w:rPr>
      </w:pPr>
      <w:r>
        <w:rPr>
          <w:rFonts w:hint="eastAsia"/>
          <w:color w:val="auto"/>
          <w:highlight w:val="none"/>
        </w:rPr>
        <w:t>甲方的权利和义务：</w:t>
      </w:r>
    </w:p>
    <w:p>
      <w:pPr>
        <w:spacing w:line="360" w:lineRule="auto"/>
        <w:ind w:firstLine="420" w:firstLineChars="200"/>
        <w:rPr>
          <w:rFonts w:hint="eastAsia"/>
          <w:color w:val="auto"/>
          <w:highlight w:val="none"/>
        </w:rPr>
      </w:pPr>
      <w:r>
        <w:rPr>
          <w:rFonts w:hint="eastAsia"/>
          <w:color w:val="auto"/>
          <w:highlight w:val="none"/>
        </w:rPr>
        <w:t>1、根据环卫工作和农村人居环境整治、建设美丽幸福村居的要求，对乙方的作业内容、作业质量、作业效果进行全面监督和指导，强化保障机制，使全村的环卫</w:t>
      </w:r>
      <w:r>
        <w:rPr>
          <w:rFonts w:hint="eastAsia"/>
          <w:color w:val="auto"/>
          <w:highlight w:val="none"/>
          <w:lang w:val="en-US" w:eastAsia="zh-CN"/>
        </w:rPr>
        <w:t>保洁</w:t>
      </w:r>
      <w:r>
        <w:rPr>
          <w:rFonts w:hint="eastAsia"/>
          <w:color w:val="auto"/>
          <w:highlight w:val="none"/>
        </w:rPr>
        <w:t>逐步迈入制度化、规范化和专业化的轨道。</w:t>
      </w:r>
    </w:p>
    <w:p>
      <w:pPr>
        <w:spacing w:line="360" w:lineRule="auto"/>
        <w:ind w:firstLine="420" w:firstLineChars="200"/>
        <w:rPr>
          <w:rFonts w:hint="eastAsia"/>
          <w:color w:val="auto"/>
          <w:highlight w:val="none"/>
        </w:rPr>
      </w:pPr>
      <w:r>
        <w:rPr>
          <w:rFonts w:hint="eastAsia"/>
          <w:color w:val="auto"/>
          <w:highlight w:val="none"/>
        </w:rPr>
        <w:t>2 、及时传达上级有关环境卫生管理、文明创建、爱国卫生、重大迎检、精细化工作明检的要求，指导监督乙方作业工作，质量要求达不到标准的，责令乙方限时落实整改。</w:t>
      </w:r>
    </w:p>
    <w:p>
      <w:pPr>
        <w:spacing w:line="360" w:lineRule="auto"/>
        <w:ind w:firstLine="420" w:firstLineChars="200"/>
        <w:rPr>
          <w:rFonts w:hint="eastAsia"/>
          <w:color w:val="auto"/>
          <w:highlight w:val="none"/>
        </w:rPr>
      </w:pPr>
      <w:r>
        <w:rPr>
          <w:rFonts w:hint="eastAsia"/>
          <w:color w:val="auto"/>
          <w:highlight w:val="none"/>
        </w:rPr>
        <w:t>3、不断完善环卫基础设施建设，保障总体环卫规划高配置、严标准，为实现全村管理整洁优美的目标提供良好的条件。</w:t>
      </w:r>
    </w:p>
    <w:p>
      <w:pPr>
        <w:spacing w:line="360" w:lineRule="auto"/>
        <w:ind w:firstLine="420" w:firstLineChars="200"/>
        <w:rPr>
          <w:rFonts w:hint="eastAsia"/>
          <w:color w:val="auto"/>
          <w:highlight w:val="none"/>
        </w:rPr>
      </w:pPr>
      <w:r>
        <w:rPr>
          <w:rFonts w:hint="eastAsia"/>
          <w:color w:val="auto"/>
          <w:highlight w:val="none"/>
        </w:rPr>
        <w:t>4、对乙方在工作中，因处置重大环境卫生污染、因环境卫生整治涉及村民纷争等事件，甲方要协助乙方进行妥善解决。</w:t>
      </w:r>
    </w:p>
    <w:p>
      <w:pPr>
        <w:spacing w:line="360" w:lineRule="auto"/>
        <w:ind w:firstLine="420" w:firstLineChars="200"/>
        <w:rPr>
          <w:rFonts w:hint="eastAsia"/>
          <w:color w:val="auto"/>
          <w:highlight w:val="none"/>
        </w:rPr>
      </w:pPr>
      <w:r>
        <w:rPr>
          <w:rFonts w:hint="eastAsia"/>
          <w:color w:val="auto"/>
          <w:highlight w:val="none"/>
        </w:rPr>
        <w:t>5、甲方有权对乙方设备更新情况随时进行检查,发现问题,有权要求乙方进行整改。</w:t>
      </w:r>
    </w:p>
    <w:p>
      <w:pPr>
        <w:spacing w:line="360" w:lineRule="auto"/>
        <w:ind w:firstLine="420" w:firstLineChars="200"/>
        <w:rPr>
          <w:rFonts w:hint="eastAsia"/>
          <w:color w:val="auto"/>
          <w:highlight w:val="none"/>
        </w:rPr>
      </w:pPr>
      <w:r>
        <w:rPr>
          <w:rFonts w:hint="eastAsia"/>
          <w:color w:val="auto"/>
          <w:highlight w:val="none"/>
        </w:rPr>
        <w:t>乙方的权利和义务：</w:t>
      </w:r>
    </w:p>
    <w:p>
      <w:pPr>
        <w:spacing w:line="360" w:lineRule="auto"/>
        <w:ind w:firstLine="420" w:firstLineChars="200"/>
        <w:rPr>
          <w:rFonts w:hint="eastAsia" w:eastAsia="宋体"/>
          <w:color w:val="auto"/>
          <w:highlight w:val="none"/>
        </w:rPr>
      </w:pPr>
      <w:r>
        <w:rPr>
          <w:rFonts w:hint="eastAsia" w:eastAsia="宋体"/>
          <w:color w:val="auto"/>
          <w:highlight w:val="none"/>
        </w:rPr>
        <w:t>1、根据工作范围和作业规定，按质按量做好各项工作。在项目管理工作中，要认真制定好开展各项工作的工作方案和管理制度，要精心组织，强化责任，要以强有力的措施，全力以赴抓好各项工作。</w:t>
      </w:r>
    </w:p>
    <w:p>
      <w:pPr>
        <w:spacing w:line="360" w:lineRule="auto"/>
        <w:ind w:firstLine="420" w:firstLineChars="200"/>
        <w:rPr>
          <w:rFonts w:hint="eastAsia" w:eastAsia="宋体"/>
          <w:color w:val="auto"/>
          <w:highlight w:val="none"/>
        </w:rPr>
      </w:pPr>
      <w:r>
        <w:rPr>
          <w:rFonts w:hint="eastAsia" w:eastAsia="宋体"/>
          <w:color w:val="auto"/>
          <w:highlight w:val="none"/>
        </w:rPr>
        <w:t>2、根据生产的需要，足额配置有丰富项目作业经验、责任性强、身体健康、爱岗敬业的作业工人。在项目实施工作中，不断地优化和完善专业的保洁队伍，统筹和整合作业人员，以高标准的质量，全力以赴抓好、抓实项目工作。</w:t>
      </w:r>
    </w:p>
    <w:p>
      <w:pPr>
        <w:spacing w:line="360" w:lineRule="auto"/>
        <w:ind w:firstLine="420" w:firstLineChars="200"/>
        <w:rPr>
          <w:rFonts w:hint="eastAsia" w:eastAsia="宋体"/>
          <w:color w:val="auto"/>
          <w:highlight w:val="none"/>
        </w:rPr>
      </w:pPr>
      <w:r>
        <w:rPr>
          <w:rFonts w:hint="eastAsia" w:eastAsia="宋体"/>
          <w:color w:val="auto"/>
          <w:highlight w:val="none"/>
        </w:rPr>
        <w:t>3、根据作业所需，按时足额发放和配置作业工具、作业设备、作业服装和劳动防护用品，切实确保员工的福利。乙方必须定期定时对保洁机械设备进行维护,使用年限过久、因维护不及时致使无法正常使用的设备,必须及时更换。</w:t>
      </w:r>
    </w:p>
    <w:p>
      <w:pPr>
        <w:spacing w:line="360" w:lineRule="auto"/>
        <w:ind w:firstLine="420" w:firstLineChars="200"/>
        <w:rPr>
          <w:rFonts w:hint="eastAsia" w:eastAsia="宋体"/>
          <w:color w:val="auto"/>
          <w:highlight w:val="none"/>
        </w:rPr>
      </w:pPr>
      <w:r>
        <w:rPr>
          <w:rFonts w:hint="eastAsia" w:eastAsia="宋体"/>
          <w:color w:val="auto"/>
          <w:highlight w:val="none"/>
        </w:rPr>
        <w:t>4、不断规范用工管理，充分保障工人的合法权益，切实增强作业工人的幸福感和归属感。</w:t>
      </w:r>
    </w:p>
    <w:p>
      <w:pPr>
        <w:spacing w:line="360" w:lineRule="auto"/>
        <w:ind w:firstLine="420" w:firstLineChars="200"/>
        <w:rPr>
          <w:rFonts w:hint="eastAsia" w:eastAsia="宋体"/>
          <w:color w:val="auto"/>
          <w:highlight w:val="none"/>
        </w:rPr>
      </w:pPr>
      <w:r>
        <w:rPr>
          <w:rFonts w:hint="eastAsia" w:eastAsia="宋体"/>
          <w:color w:val="auto"/>
          <w:highlight w:val="none"/>
          <w:lang w:val="en-US" w:eastAsia="zh-CN"/>
        </w:rPr>
        <w:t>5</w:t>
      </w:r>
      <w:r>
        <w:rPr>
          <w:rFonts w:hint="eastAsia" w:eastAsia="宋体"/>
          <w:color w:val="auto"/>
          <w:highlight w:val="none"/>
        </w:rPr>
        <w:t>、根据甲方的上级传达的有关环境卫生管理、文明创建、爱国卫生、重大迎检、精细化工作明检的要求，乙方应合理调整自身的工作方案和管理制度，以配合甲方达到该要求。</w:t>
      </w:r>
    </w:p>
    <w:p>
      <w:pPr>
        <w:spacing w:line="360" w:lineRule="auto"/>
        <w:ind w:firstLine="420" w:firstLineChars="200"/>
        <w:rPr>
          <w:rFonts w:hint="eastAsia" w:eastAsia="宋体"/>
          <w:color w:val="auto"/>
          <w:highlight w:val="none"/>
        </w:rPr>
      </w:pPr>
      <w:r>
        <w:rPr>
          <w:rFonts w:hint="eastAsia" w:eastAsia="宋体"/>
          <w:color w:val="auto"/>
          <w:highlight w:val="none"/>
          <w:lang w:val="en-US" w:eastAsia="zh-CN"/>
        </w:rPr>
        <w:t>6</w:t>
      </w:r>
      <w:r>
        <w:rPr>
          <w:rFonts w:hint="eastAsia" w:eastAsia="宋体"/>
          <w:color w:val="auto"/>
          <w:highlight w:val="none"/>
        </w:rPr>
        <w:t>、对于乙方配置的作业工人发生的任何工伤或者人身损害事故，由乙方负责和承担相应的责任，与甲方无关。</w:t>
      </w:r>
    </w:p>
    <w:p>
      <w:pPr>
        <w:spacing w:line="360" w:lineRule="auto"/>
        <w:ind w:firstLine="420" w:firstLineChars="200"/>
        <w:rPr>
          <w:rFonts w:hint="eastAsia" w:eastAsia="宋体"/>
          <w:color w:val="auto"/>
          <w:highlight w:val="none"/>
        </w:rPr>
      </w:pPr>
      <w:r>
        <w:rPr>
          <w:rFonts w:hint="eastAsia" w:eastAsia="宋体"/>
          <w:color w:val="auto"/>
          <w:highlight w:val="none"/>
          <w:lang w:val="en-US" w:eastAsia="zh-CN"/>
        </w:rPr>
        <w:t>7</w:t>
      </w:r>
      <w:r>
        <w:rPr>
          <w:rFonts w:hint="eastAsia" w:eastAsia="宋体"/>
          <w:color w:val="auto"/>
          <w:highlight w:val="none"/>
        </w:rPr>
        <w:t>、在承包期内，乙方不能随意将承包项目转让给第三方管理，如需转让应取得甲方的书面同意，未经甲方书面同意擅自转让的，甲方有权解除本合同，且转让无效。因此引发的纠纷或者经济损失由乙方负责。</w:t>
      </w:r>
    </w:p>
    <w:p>
      <w:pPr>
        <w:spacing w:line="360" w:lineRule="auto"/>
        <w:outlineLvl w:val="1"/>
        <w:rPr>
          <w:b/>
          <w:bCs/>
          <w:color w:val="auto"/>
          <w:highlight w:val="none"/>
        </w:rPr>
      </w:pPr>
      <w:bookmarkStart w:id="156" w:name="_Toc13843"/>
      <w:bookmarkStart w:id="157" w:name="_Toc31228"/>
      <w:bookmarkStart w:id="158" w:name="_Toc3949"/>
      <w:bookmarkStart w:id="159" w:name="_Toc29743"/>
      <w:r>
        <w:rPr>
          <w:rFonts w:hint="eastAsia"/>
          <w:b/>
          <w:bCs/>
          <w:color w:val="auto"/>
          <w:highlight w:val="none"/>
          <w:lang w:val="en-US" w:eastAsia="zh-CN"/>
        </w:rPr>
        <w:t>六</w:t>
      </w:r>
      <w:r>
        <w:rPr>
          <w:rFonts w:hint="eastAsia"/>
          <w:b/>
          <w:bCs/>
          <w:color w:val="auto"/>
          <w:highlight w:val="none"/>
        </w:rPr>
        <w:t>、服务期间（项目完成期限）</w:t>
      </w:r>
      <w:bookmarkEnd w:id="156"/>
      <w:bookmarkEnd w:id="157"/>
      <w:bookmarkEnd w:id="158"/>
      <w:bookmarkEnd w:id="159"/>
    </w:p>
    <w:p>
      <w:pPr>
        <w:spacing w:line="360" w:lineRule="auto"/>
        <w:ind w:firstLine="420" w:firstLineChars="200"/>
        <w:rPr>
          <w:color w:val="auto"/>
          <w:highlight w:val="none"/>
        </w:rPr>
      </w:pPr>
      <w:r>
        <w:rPr>
          <w:rFonts w:hint="eastAsia"/>
          <w:color w:val="auto"/>
          <w:highlight w:val="none"/>
        </w:rPr>
        <w:t xml:space="preserve">1.委托服务期间自 </w:t>
      </w:r>
      <w:r>
        <w:rPr>
          <w:rFonts w:hint="eastAsia"/>
          <w:color w:val="auto"/>
          <w:highlight w:val="none"/>
        </w:rPr>
        <w:tab/>
      </w:r>
      <w:r>
        <w:rPr>
          <w:rFonts w:hint="eastAsia"/>
          <w:color w:val="auto"/>
          <w:highlight w:val="none"/>
        </w:rPr>
        <w:t xml:space="preserve">年 </w:t>
      </w:r>
      <w:r>
        <w:rPr>
          <w:rFonts w:hint="eastAsia"/>
          <w:color w:val="auto"/>
          <w:highlight w:val="none"/>
        </w:rPr>
        <w:tab/>
      </w:r>
      <w:r>
        <w:rPr>
          <w:rFonts w:hint="eastAsia"/>
          <w:color w:val="auto"/>
          <w:highlight w:val="none"/>
        </w:rPr>
        <w:t xml:space="preserve">月至     年 </w:t>
      </w:r>
      <w:r>
        <w:rPr>
          <w:rFonts w:hint="eastAsia"/>
          <w:color w:val="auto"/>
          <w:highlight w:val="none"/>
        </w:rPr>
        <w:tab/>
      </w:r>
      <w:r>
        <w:rPr>
          <w:rFonts w:hint="eastAsia"/>
          <w:color w:val="auto"/>
          <w:highlight w:val="none"/>
        </w:rPr>
        <w:t>止。</w:t>
      </w:r>
    </w:p>
    <w:p>
      <w:pPr>
        <w:spacing w:line="360" w:lineRule="auto"/>
        <w:outlineLvl w:val="1"/>
        <w:rPr>
          <w:b/>
          <w:bCs/>
          <w:color w:val="auto"/>
          <w:highlight w:val="none"/>
        </w:rPr>
      </w:pPr>
      <w:bookmarkStart w:id="160" w:name="_Toc30401"/>
      <w:bookmarkStart w:id="161" w:name="_Toc3509"/>
      <w:bookmarkStart w:id="162" w:name="_Toc1315"/>
      <w:bookmarkStart w:id="163" w:name="_Toc26555"/>
      <w:r>
        <w:rPr>
          <w:rFonts w:hint="eastAsia"/>
          <w:b/>
          <w:bCs/>
          <w:color w:val="auto"/>
          <w:highlight w:val="none"/>
          <w:lang w:val="en-US" w:eastAsia="zh-CN"/>
        </w:rPr>
        <w:t>七</w:t>
      </w:r>
      <w:r>
        <w:rPr>
          <w:rFonts w:hint="eastAsia"/>
          <w:b/>
          <w:bCs/>
          <w:color w:val="auto"/>
          <w:highlight w:val="none"/>
        </w:rPr>
        <w:t>、付款方式</w:t>
      </w:r>
      <w:bookmarkEnd w:id="160"/>
      <w:bookmarkEnd w:id="161"/>
      <w:bookmarkEnd w:id="162"/>
      <w:bookmarkEnd w:id="163"/>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en-US" w:bidi="zh-CN"/>
        </w:rPr>
        <w:t>1、</w:t>
      </w:r>
      <w:r>
        <w:rPr>
          <w:rFonts w:hint="eastAsia" w:ascii="宋体" w:hAnsi="宋体" w:cs="宋体"/>
          <w:color w:val="auto"/>
          <w:szCs w:val="21"/>
          <w:highlight w:val="none"/>
          <w:lang w:val="zh-CN" w:bidi="zh-CN"/>
        </w:rPr>
        <w:t>该项目服务期为</w:t>
      </w:r>
      <w:r>
        <w:rPr>
          <w:rFonts w:hint="eastAsia" w:ascii="宋体" w:hAnsi="宋体" w:cs="宋体"/>
          <w:color w:val="auto"/>
          <w:szCs w:val="21"/>
          <w:highlight w:val="none"/>
          <w:lang w:val="en-US" w:bidi="zh-CN"/>
        </w:rPr>
        <w:t>三</w:t>
      </w:r>
      <w:r>
        <w:rPr>
          <w:rFonts w:hint="eastAsia" w:ascii="宋体" w:hAnsi="宋体" w:cs="宋体"/>
          <w:color w:val="auto"/>
          <w:szCs w:val="21"/>
          <w:highlight w:val="none"/>
          <w:lang w:val="zh-CN" w:bidi="zh-CN"/>
        </w:rPr>
        <w:t>年，采取月结方式结算，当月支付上月承包管理费用，上述承包管理费用甲方按照考核评分结果进行发放，若检查分数低于80分（扣分内容过半或以上属于承包方服务范围内责任造成的），每减少1分，当月管理费下浮1%，根据评分结果确定实际应付款后支付。若检查分数在80分以下连续三次以上的，甲方有权单方面终止合同。</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en-US" w:bidi="zh-CN"/>
        </w:rPr>
        <w:t>2</w:t>
      </w:r>
      <w:r>
        <w:rPr>
          <w:rFonts w:hint="eastAsia" w:ascii="宋体" w:hAnsi="宋体" w:cs="宋体"/>
          <w:color w:val="auto"/>
          <w:szCs w:val="21"/>
          <w:highlight w:val="none"/>
          <w:lang w:val="zh-CN" w:bidi="zh-CN"/>
        </w:rPr>
        <w:t>、乙方请款时必须提交国家税务机关印制的发票给甲方，甲方才能付款，否则视为无效票据。</w:t>
      </w:r>
    </w:p>
    <w:p>
      <w:pPr>
        <w:spacing w:line="360" w:lineRule="auto"/>
        <w:ind w:firstLine="420" w:firstLineChars="200"/>
        <w:rPr>
          <w:color w:val="auto"/>
          <w:highlight w:val="none"/>
        </w:rPr>
      </w:pPr>
      <w:r>
        <w:rPr>
          <w:rFonts w:hint="eastAsia" w:ascii="宋体" w:hAnsi="宋体" w:cs="宋体"/>
          <w:color w:val="auto"/>
          <w:szCs w:val="21"/>
          <w:highlight w:val="none"/>
          <w:lang w:val="en-US" w:bidi="zh-CN"/>
        </w:rPr>
        <w:t>3</w:t>
      </w:r>
      <w:r>
        <w:rPr>
          <w:rFonts w:hint="eastAsia" w:ascii="宋体" w:hAnsi="宋体" w:cs="宋体"/>
          <w:color w:val="auto"/>
          <w:szCs w:val="21"/>
          <w:highlight w:val="none"/>
          <w:lang w:val="zh-CN" w:bidi="zh-CN"/>
        </w:rPr>
        <w:t>、如因考核处罚或乙方服务期间造成第三方损失的赔偿由乙方全部承担，处罚赔偿金额从服务费中相应扣除；若处罚金额超出服务费的，扣除后超出部分仍由乙方自行承担。</w:t>
      </w:r>
    </w:p>
    <w:p>
      <w:pPr>
        <w:spacing w:line="360" w:lineRule="auto"/>
        <w:outlineLvl w:val="1"/>
        <w:rPr>
          <w:b/>
          <w:bCs/>
          <w:color w:val="auto"/>
          <w:highlight w:val="none"/>
        </w:rPr>
      </w:pPr>
      <w:bookmarkStart w:id="164" w:name="_Toc8277"/>
      <w:bookmarkStart w:id="165" w:name="_Toc14319"/>
      <w:bookmarkStart w:id="166" w:name="_Toc28189"/>
      <w:bookmarkStart w:id="167" w:name="_Toc5642"/>
      <w:r>
        <w:rPr>
          <w:rFonts w:hint="eastAsia"/>
          <w:b/>
          <w:bCs/>
          <w:color w:val="auto"/>
          <w:highlight w:val="none"/>
        </w:rPr>
        <w:t>八、违约责任与赔偿损失</w:t>
      </w:r>
      <w:bookmarkEnd w:id="164"/>
      <w:bookmarkEnd w:id="165"/>
      <w:bookmarkEnd w:id="166"/>
      <w:bookmarkEnd w:id="167"/>
    </w:p>
    <w:p>
      <w:pPr>
        <w:spacing w:line="360" w:lineRule="auto"/>
        <w:ind w:firstLine="420" w:firstLineChars="200"/>
        <w:rPr>
          <w:rFonts w:hint="eastAsia"/>
          <w:color w:val="auto"/>
          <w:highlight w:val="none"/>
        </w:rPr>
      </w:pPr>
      <w:r>
        <w:rPr>
          <w:rFonts w:hint="eastAsia"/>
          <w:color w:val="auto"/>
          <w:highlight w:val="none"/>
        </w:rPr>
        <w:t>1、甲乙双方任何一方不履行合同条款均属违约行为，由此导致经济损失的，由违约方承担相应的责任。</w:t>
      </w:r>
    </w:p>
    <w:p>
      <w:pPr>
        <w:spacing w:line="360" w:lineRule="auto"/>
        <w:ind w:firstLine="420" w:firstLineChars="200"/>
        <w:rPr>
          <w:rFonts w:hint="eastAsia"/>
          <w:color w:val="auto"/>
          <w:highlight w:val="none"/>
        </w:rPr>
      </w:pPr>
      <w:r>
        <w:rPr>
          <w:rFonts w:hint="eastAsia"/>
          <w:color w:val="auto"/>
          <w:highlight w:val="none"/>
        </w:rPr>
        <w:t>2、在合同期内，乙方连续三个月达不到监督检查部门评分标准,视为服务质量不合格,甲方除扣减相应费用外,有权单方面解除承包合同。</w:t>
      </w:r>
    </w:p>
    <w:p>
      <w:pPr>
        <w:spacing w:line="360" w:lineRule="auto"/>
        <w:ind w:firstLine="420" w:firstLineChars="200"/>
        <w:rPr>
          <w:rFonts w:hint="eastAsia"/>
          <w:color w:val="auto"/>
          <w:highlight w:val="none"/>
        </w:rPr>
      </w:pPr>
      <w:r>
        <w:rPr>
          <w:rFonts w:hint="eastAsia"/>
          <w:color w:val="auto"/>
          <w:highlight w:val="none"/>
        </w:rPr>
        <w:t>3、乙方无故停止工作的，甲方有权根据损失程度扣减承包费，情况严重的，甲方有权解除合同。</w:t>
      </w:r>
    </w:p>
    <w:p>
      <w:pPr>
        <w:spacing w:line="360" w:lineRule="auto"/>
        <w:ind w:firstLine="420" w:firstLineChars="200"/>
        <w:rPr>
          <w:rFonts w:hint="eastAsia"/>
          <w:color w:val="auto"/>
          <w:highlight w:val="none"/>
        </w:rPr>
      </w:pPr>
      <w:r>
        <w:rPr>
          <w:rFonts w:hint="eastAsia"/>
          <w:color w:val="auto"/>
          <w:highlight w:val="none"/>
        </w:rPr>
        <w:t>4、乙方擅自将合同项目的全部或部分转包、分包给他人的，甲方有权解除合同。</w:t>
      </w:r>
    </w:p>
    <w:p>
      <w:pPr>
        <w:spacing w:line="360" w:lineRule="auto"/>
        <w:ind w:firstLine="420" w:firstLineChars="200"/>
        <w:rPr>
          <w:rFonts w:hint="eastAsia"/>
          <w:color w:val="auto"/>
          <w:highlight w:val="none"/>
        </w:rPr>
      </w:pPr>
      <w:r>
        <w:rPr>
          <w:rFonts w:hint="eastAsia"/>
          <w:color w:val="auto"/>
          <w:highlight w:val="none"/>
        </w:rPr>
        <w:t>5、乙方因管理不善，服务管理质量差，在各类检查评比、文明创建、活动迎检等工作中，项目管理工作严重影响到村里的形象，甲方有权视其情节的严重程度，可单方面解除合同。</w:t>
      </w:r>
    </w:p>
    <w:p>
      <w:pPr>
        <w:spacing w:line="360" w:lineRule="auto"/>
        <w:ind w:firstLine="420" w:firstLineChars="200"/>
        <w:rPr>
          <w:rFonts w:hint="eastAsia"/>
          <w:color w:val="auto"/>
          <w:highlight w:val="none"/>
        </w:rPr>
      </w:pPr>
      <w:r>
        <w:rPr>
          <w:rFonts w:hint="eastAsia"/>
          <w:color w:val="auto"/>
          <w:highlight w:val="none"/>
        </w:rPr>
        <w:t>6、甲方或者监督管理单位对乙方的清扫保洁作业质量检查中,发现问题,发出整改通知书,乙方未按通知书要求定期进行整改的,甲方有权扣减乙方承包费。</w:t>
      </w:r>
    </w:p>
    <w:p>
      <w:pPr>
        <w:spacing w:line="360" w:lineRule="auto"/>
        <w:ind w:firstLine="420" w:firstLineChars="200"/>
        <w:rPr>
          <w:rFonts w:hint="eastAsia"/>
          <w:color w:val="auto"/>
          <w:highlight w:val="none"/>
        </w:rPr>
      </w:pPr>
      <w:r>
        <w:rPr>
          <w:rFonts w:hint="eastAsia"/>
          <w:color w:val="auto"/>
          <w:highlight w:val="none"/>
        </w:rPr>
        <w:t>7、在完成全市、镇的重要检查或重大突击性任务中,发现属乙方责任问题,经查属实,且乙方不及时或不配合整改,或该承包作业区域,受到上级或本镇职能部门通报批评两次以上,每次扣减当月承包费的1%。</w:t>
      </w:r>
    </w:p>
    <w:p>
      <w:pPr>
        <w:spacing w:line="360" w:lineRule="auto"/>
        <w:ind w:firstLine="420" w:firstLineChars="200"/>
        <w:rPr>
          <w:rFonts w:hint="eastAsia"/>
          <w:color w:val="auto"/>
          <w:highlight w:val="none"/>
        </w:rPr>
      </w:pPr>
      <w:r>
        <w:rPr>
          <w:rFonts w:hint="eastAsia"/>
          <w:color w:val="auto"/>
          <w:highlight w:val="none"/>
        </w:rPr>
        <w:t>8、对甲方或监督管理部门提出的书面整改意见或群众投诉、传媒曝光等问题,乙方不进行整改或整改后,经监督检查单位检查仍出现不符合标准要求的同类问题,承包期内年累计3次的,每次扣减当月承包费的1%，同时甲方有权解除合同。</w:t>
      </w:r>
    </w:p>
    <w:p>
      <w:pPr>
        <w:spacing w:line="360" w:lineRule="auto"/>
        <w:ind w:firstLine="420" w:firstLineChars="200"/>
        <w:rPr>
          <w:color w:val="auto"/>
          <w:highlight w:val="none"/>
        </w:rPr>
      </w:pPr>
      <w:r>
        <w:rPr>
          <w:rFonts w:hint="eastAsia"/>
          <w:color w:val="auto"/>
          <w:highlight w:val="none"/>
        </w:rPr>
        <w:t>9、在合同期内,乙方被行业主管部门撤销从事环卫保洁资格的,甲方有权解除本合同,甲方因此而造成的直接经济损失由乙方赔偿。</w:t>
      </w:r>
    </w:p>
    <w:p>
      <w:pPr>
        <w:spacing w:line="360" w:lineRule="auto"/>
        <w:ind w:firstLine="420" w:firstLineChars="200"/>
        <w:rPr>
          <w:color w:val="auto"/>
          <w:highlight w:val="none"/>
        </w:rPr>
      </w:pPr>
      <w:r>
        <w:rPr>
          <w:rFonts w:hint="eastAsia"/>
          <w:color w:val="auto"/>
          <w:highlight w:val="none"/>
          <w:lang w:val="en-US" w:eastAsia="zh-CN"/>
        </w:rPr>
        <w:t>10、</w:t>
      </w:r>
      <w:r>
        <w:rPr>
          <w:rFonts w:hint="eastAsia"/>
          <w:color w:val="auto"/>
          <w:highlight w:val="none"/>
        </w:rPr>
        <w:t>其它违约责任按《中华人民共和国民法典(合同编)》处理</w:t>
      </w:r>
    </w:p>
    <w:p>
      <w:pPr>
        <w:spacing w:line="360" w:lineRule="auto"/>
        <w:outlineLvl w:val="1"/>
        <w:rPr>
          <w:b/>
          <w:bCs/>
          <w:color w:val="auto"/>
          <w:highlight w:val="none"/>
        </w:rPr>
      </w:pPr>
      <w:bookmarkStart w:id="168" w:name="_Toc24754"/>
      <w:bookmarkStart w:id="169" w:name="_Toc18504"/>
      <w:bookmarkStart w:id="170" w:name="_Toc23187"/>
      <w:bookmarkStart w:id="171" w:name="_Toc30679"/>
      <w:r>
        <w:rPr>
          <w:rFonts w:hint="eastAsia"/>
          <w:b/>
          <w:bCs/>
          <w:color w:val="auto"/>
          <w:highlight w:val="none"/>
        </w:rPr>
        <w:t>九、争议的解决</w:t>
      </w:r>
      <w:bookmarkEnd w:id="168"/>
      <w:bookmarkEnd w:id="169"/>
      <w:bookmarkEnd w:id="170"/>
      <w:bookmarkEnd w:id="171"/>
    </w:p>
    <w:p>
      <w:pPr>
        <w:spacing w:line="360" w:lineRule="auto"/>
        <w:ind w:firstLine="420" w:firstLineChars="200"/>
        <w:rPr>
          <w:color w:val="auto"/>
          <w:highlight w:val="none"/>
        </w:rPr>
      </w:pPr>
      <w:r>
        <w:rPr>
          <w:rFonts w:hint="eastAsia"/>
          <w:color w:val="auto"/>
          <w:highlight w:val="none"/>
        </w:rPr>
        <w:t>合同执行过程中发生的任何争议，如双方不能通过友好协商解决，双方同意提交甲方所在地人民法院以诉讼方式解决，由此产生的律师费、担保费、保全费、诉讼费、鉴定费、公告费、公证费等相关费用由败诉方承担。</w:t>
      </w:r>
    </w:p>
    <w:p>
      <w:pPr>
        <w:spacing w:line="360" w:lineRule="auto"/>
        <w:outlineLvl w:val="1"/>
        <w:rPr>
          <w:b/>
          <w:bCs/>
          <w:color w:val="auto"/>
          <w:highlight w:val="none"/>
        </w:rPr>
      </w:pPr>
      <w:bookmarkStart w:id="172" w:name="_Toc20074"/>
      <w:bookmarkStart w:id="173" w:name="_Toc21080"/>
      <w:bookmarkStart w:id="174" w:name="_Toc23085"/>
      <w:bookmarkStart w:id="175" w:name="_Toc26856"/>
      <w:r>
        <w:rPr>
          <w:rFonts w:hint="eastAsia"/>
          <w:b/>
          <w:bCs/>
          <w:color w:val="auto"/>
          <w:highlight w:val="none"/>
        </w:rPr>
        <w:t>十、不可抗力</w:t>
      </w:r>
      <w:bookmarkEnd w:id="172"/>
      <w:bookmarkEnd w:id="173"/>
      <w:bookmarkEnd w:id="174"/>
      <w:bookmarkEnd w:id="175"/>
    </w:p>
    <w:p>
      <w:pPr>
        <w:spacing w:line="360" w:lineRule="auto"/>
        <w:ind w:firstLine="420" w:firstLineChars="200"/>
        <w:rPr>
          <w:color w:val="auto"/>
          <w:highlight w:val="none"/>
        </w:rPr>
      </w:pPr>
      <w:r>
        <w:rPr>
          <w:rFonts w:hint="eastAsia"/>
          <w:color w:val="auto"/>
          <w:highlight w:val="none"/>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spacing w:line="360" w:lineRule="auto"/>
        <w:outlineLvl w:val="1"/>
        <w:rPr>
          <w:b/>
          <w:bCs/>
          <w:color w:val="auto"/>
          <w:highlight w:val="none"/>
        </w:rPr>
      </w:pPr>
      <w:bookmarkStart w:id="176" w:name="_Toc16247"/>
      <w:bookmarkStart w:id="177" w:name="_Toc12495"/>
      <w:bookmarkStart w:id="178" w:name="_Toc12645"/>
      <w:bookmarkStart w:id="179" w:name="_Toc29236"/>
      <w:r>
        <w:rPr>
          <w:rFonts w:hint="eastAsia"/>
          <w:b/>
          <w:bCs/>
          <w:color w:val="auto"/>
          <w:highlight w:val="none"/>
        </w:rPr>
        <w:t>十一、税费</w:t>
      </w:r>
      <w:bookmarkEnd w:id="176"/>
      <w:bookmarkEnd w:id="177"/>
      <w:bookmarkEnd w:id="178"/>
      <w:bookmarkEnd w:id="179"/>
    </w:p>
    <w:p>
      <w:pPr>
        <w:spacing w:line="360" w:lineRule="auto"/>
        <w:ind w:firstLine="420" w:firstLineChars="200"/>
        <w:rPr>
          <w:color w:val="auto"/>
          <w:highlight w:val="none"/>
        </w:rPr>
      </w:pPr>
      <w:r>
        <w:rPr>
          <w:rFonts w:hint="eastAsia"/>
          <w:color w:val="auto"/>
          <w:highlight w:val="none"/>
        </w:rPr>
        <w:t>在中国境内、外发生的与本合同执行有关的一切税费均由乙方负担。</w:t>
      </w:r>
    </w:p>
    <w:p>
      <w:pPr>
        <w:spacing w:line="360" w:lineRule="auto"/>
        <w:outlineLvl w:val="1"/>
        <w:rPr>
          <w:b/>
          <w:bCs/>
          <w:color w:val="auto"/>
          <w:highlight w:val="none"/>
        </w:rPr>
      </w:pPr>
      <w:bookmarkStart w:id="180" w:name="_Toc16429"/>
      <w:bookmarkStart w:id="181" w:name="_Toc14065"/>
      <w:bookmarkStart w:id="182" w:name="_Toc1974"/>
      <w:bookmarkStart w:id="183" w:name="_Toc7253"/>
      <w:r>
        <w:rPr>
          <w:rFonts w:hint="eastAsia"/>
          <w:b/>
          <w:bCs/>
          <w:color w:val="auto"/>
          <w:highlight w:val="none"/>
        </w:rPr>
        <w:t>十二、其它</w:t>
      </w:r>
      <w:bookmarkEnd w:id="180"/>
      <w:bookmarkEnd w:id="181"/>
      <w:bookmarkEnd w:id="182"/>
      <w:bookmarkEnd w:id="183"/>
    </w:p>
    <w:p>
      <w:pPr>
        <w:spacing w:line="360" w:lineRule="auto"/>
        <w:ind w:firstLine="420" w:firstLineChars="200"/>
        <w:rPr>
          <w:color w:val="auto"/>
          <w:highlight w:val="none"/>
        </w:rPr>
      </w:pPr>
      <w:r>
        <w:rPr>
          <w:rFonts w:hint="eastAsia"/>
          <w:color w:val="auto"/>
          <w:highlight w:val="none"/>
        </w:rPr>
        <w:t>1.本合同所有附件、磋商文件、响应文件、中标通知书均为合同的有效组成部分，与本合同具有同等法 律效力。</w:t>
      </w:r>
    </w:p>
    <w:p>
      <w:pPr>
        <w:spacing w:line="360" w:lineRule="auto"/>
        <w:ind w:firstLine="420" w:firstLineChars="200"/>
        <w:rPr>
          <w:color w:val="auto"/>
          <w:highlight w:val="none"/>
        </w:rPr>
      </w:pPr>
      <w:r>
        <w:rPr>
          <w:rFonts w:hint="eastAsia"/>
          <w:color w:val="auto"/>
          <w:highlight w:val="none"/>
        </w:rPr>
        <w:t>2.在执行本合同的过程中，所有经双方签署确认的文件（包括会议纪要、补充协议、往来信函）即成为 本合同的有效组成部分。</w:t>
      </w:r>
    </w:p>
    <w:p>
      <w:pPr>
        <w:spacing w:line="360" w:lineRule="auto"/>
        <w:ind w:firstLine="420" w:firstLineChars="200"/>
        <w:rPr>
          <w:color w:val="auto"/>
          <w:highlight w:val="none"/>
        </w:rPr>
      </w:pPr>
      <w:r>
        <w:rPr>
          <w:rFonts w:hint="eastAsia"/>
          <w:color w:val="auto"/>
          <w:highlight w:val="none"/>
        </w:rPr>
        <w:t>3.如一方地址、电话、传真号码有变更，应在变更当日内书面通知对方，否则，应承担相应责任。</w:t>
      </w:r>
    </w:p>
    <w:p>
      <w:pPr>
        <w:spacing w:line="360" w:lineRule="auto"/>
        <w:ind w:firstLine="420" w:firstLineChars="200"/>
        <w:rPr>
          <w:color w:val="auto"/>
          <w:highlight w:val="none"/>
        </w:rPr>
      </w:pPr>
      <w:r>
        <w:rPr>
          <w:rFonts w:hint="eastAsia"/>
          <w:color w:val="auto"/>
          <w:highlight w:val="none"/>
        </w:rPr>
        <w:t xml:space="preserve">4.除甲方事先书面同意外，乙方不得部分或全部转让其应履行的合同项下的义务。 </w:t>
      </w:r>
    </w:p>
    <w:p>
      <w:pPr>
        <w:spacing w:line="360" w:lineRule="auto"/>
        <w:outlineLvl w:val="1"/>
        <w:rPr>
          <w:b/>
          <w:bCs/>
          <w:color w:val="auto"/>
          <w:highlight w:val="none"/>
        </w:rPr>
      </w:pPr>
      <w:bookmarkStart w:id="184" w:name="_Toc15369"/>
      <w:bookmarkStart w:id="185" w:name="_Toc31822"/>
      <w:bookmarkStart w:id="186" w:name="_Toc13763"/>
      <w:bookmarkStart w:id="187" w:name="_Toc22153"/>
      <w:r>
        <w:rPr>
          <w:rFonts w:hint="eastAsia"/>
          <w:b/>
          <w:bCs/>
          <w:color w:val="auto"/>
          <w:highlight w:val="none"/>
        </w:rPr>
        <w:t>十三、合同生效</w:t>
      </w:r>
      <w:bookmarkEnd w:id="184"/>
      <w:bookmarkEnd w:id="185"/>
      <w:bookmarkEnd w:id="186"/>
      <w:bookmarkEnd w:id="187"/>
    </w:p>
    <w:p>
      <w:pPr>
        <w:spacing w:line="360" w:lineRule="auto"/>
        <w:ind w:firstLine="420" w:firstLineChars="200"/>
        <w:rPr>
          <w:color w:val="auto"/>
          <w:highlight w:val="none"/>
        </w:rPr>
      </w:pPr>
      <w:r>
        <w:rPr>
          <w:rFonts w:hint="eastAsia"/>
          <w:color w:val="auto"/>
          <w:highlight w:val="none"/>
        </w:rPr>
        <w:t>本合同在甲乙双方法人代表或其授权代表签字盖章后生效。</w:t>
      </w:r>
    </w:p>
    <w:p>
      <w:pPr>
        <w:spacing w:line="360" w:lineRule="auto"/>
        <w:ind w:firstLine="420" w:firstLineChars="200"/>
        <w:rPr>
          <w:color w:val="auto"/>
          <w:highlight w:val="none"/>
        </w:rPr>
      </w:pPr>
      <w:r>
        <w:rPr>
          <w:rFonts w:hint="eastAsia"/>
          <w:color w:val="auto"/>
          <w:highlight w:val="none"/>
        </w:rPr>
        <w:t>合同一式    份。</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rPr>
        <w:t xml:space="preserve">                                      乙方（盖章）： </w:t>
      </w:r>
    </w:p>
    <w:p>
      <w:pPr>
        <w:spacing w:line="360" w:lineRule="auto"/>
        <w:rPr>
          <w:color w:val="auto"/>
          <w:highlight w:val="none"/>
        </w:rPr>
      </w:pPr>
      <w:r>
        <w:rPr>
          <w:rFonts w:hint="eastAsia"/>
          <w:color w:val="auto"/>
          <w:highlight w:val="none"/>
        </w:rPr>
        <w:t>代表：</w:t>
      </w:r>
      <w:r>
        <w:rPr>
          <w:rFonts w:hint="eastAsia"/>
          <w:color w:val="auto"/>
          <w:highlight w:val="none"/>
        </w:rPr>
        <w:tab/>
      </w:r>
      <w:r>
        <w:rPr>
          <w:rFonts w:hint="eastAsia"/>
          <w:color w:val="auto"/>
          <w:highlight w:val="none"/>
        </w:rPr>
        <w:t xml:space="preserve">                                                  代表：</w:t>
      </w:r>
    </w:p>
    <w:p>
      <w:pPr>
        <w:spacing w:line="360" w:lineRule="auto"/>
        <w:rPr>
          <w:color w:val="auto"/>
          <w:highlight w:val="none"/>
        </w:rPr>
      </w:pPr>
    </w:p>
    <w:p>
      <w:pPr>
        <w:spacing w:line="360" w:lineRule="auto"/>
        <w:rPr>
          <w:color w:val="auto"/>
          <w:highlight w:val="none"/>
        </w:rPr>
      </w:pPr>
      <w:r>
        <w:rPr>
          <w:rFonts w:hint="eastAsia"/>
          <w:color w:val="auto"/>
          <w:highlight w:val="none"/>
        </w:rPr>
        <w:t>签定地点：</w:t>
      </w:r>
    </w:p>
    <w:p>
      <w:pPr>
        <w:spacing w:line="360" w:lineRule="auto"/>
        <w:rPr>
          <w:color w:val="auto"/>
          <w:highlight w:val="none"/>
        </w:rPr>
      </w:pPr>
      <w:r>
        <w:rPr>
          <w:rFonts w:hint="eastAsia"/>
          <w:color w:val="auto"/>
          <w:highlight w:val="none"/>
        </w:rPr>
        <w:t>签定日期：</w:t>
      </w:r>
    </w:p>
    <w:p>
      <w:pPr>
        <w:spacing w:line="360" w:lineRule="auto"/>
        <w:rPr>
          <w:color w:val="auto"/>
          <w:highlight w:val="none"/>
        </w:rPr>
      </w:pPr>
      <w:r>
        <w:rPr>
          <w:rFonts w:hint="eastAsia"/>
          <w:color w:val="auto"/>
          <w:highlight w:val="none"/>
        </w:rPr>
        <w:t>开户名称：</w:t>
      </w:r>
    </w:p>
    <w:p>
      <w:pPr>
        <w:spacing w:line="360" w:lineRule="auto"/>
        <w:rPr>
          <w:color w:val="auto"/>
          <w:highlight w:val="none"/>
        </w:rPr>
      </w:pPr>
      <w:r>
        <w:rPr>
          <w:rFonts w:hint="eastAsia"/>
          <w:color w:val="auto"/>
          <w:highlight w:val="none"/>
        </w:rPr>
        <w:t xml:space="preserve">银行帐号： </w:t>
      </w:r>
    </w:p>
    <w:p>
      <w:pPr>
        <w:rPr>
          <w:rFonts w:hint="eastAsia"/>
          <w:color w:val="auto"/>
          <w:highlight w:val="none"/>
        </w:rPr>
      </w:pPr>
      <w:r>
        <w:rPr>
          <w:rFonts w:hint="eastAsia"/>
          <w:color w:val="auto"/>
          <w:highlight w:val="none"/>
        </w:rPr>
        <w:t>开 户 行：</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eastAsia="宋体"/>
          <w:color w:val="auto"/>
          <w:highlight w:val="none"/>
          <w:lang w:eastAsia="zh-CN"/>
        </w:rPr>
      </w:pPr>
    </w:p>
    <w:p>
      <w:pPr>
        <w:pStyle w:val="2"/>
        <w:rPr>
          <w:rFonts w:hint="eastAsia"/>
          <w:color w:val="auto"/>
          <w:highlight w:val="none"/>
          <w:lang w:eastAsia="zh-CN"/>
        </w:rPr>
      </w:pPr>
    </w:p>
    <w:p>
      <w:pPr>
        <w:rPr>
          <w:rFonts w:hint="eastAsia"/>
          <w:color w:val="auto"/>
          <w:highlight w:val="none"/>
        </w:rPr>
      </w:pPr>
      <w:r>
        <w:rPr>
          <w:rFonts w:hint="eastAsia"/>
          <w:color w:val="auto"/>
          <w:highlight w:val="none"/>
        </w:rPr>
        <w:br w:type="page"/>
      </w:r>
    </w:p>
    <w:p>
      <w:pPr>
        <w:jc w:val="left"/>
        <w:rPr>
          <w:b/>
          <w:color w:val="auto"/>
          <w:sz w:val="24"/>
          <w:highlight w:val="none"/>
        </w:rPr>
      </w:pPr>
      <w:r>
        <w:rPr>
          <w:rFonts w:hint="eastAsia"/>
          <w:b/>
          <w:color w:val="auto"/>
          <w:sz w:val="24"/>
          <w:highlight w:val="none"/>
        </w:rPr>
        <w:t>附件：</w:t>
      </w:r>
    </w:p>
    <w:p>
      <w:pPr>
        <w:pStyle w:val="20"/>
        <w:ind w:left="708" w:leftChars="337" w:right="678" w:rightChars="323" w:firstLine="0" w:firstLineChars="0"/>
        <w:jc w:val="center"/>
        <w:rPr>
          <w:b/>
          <w:color w:val="auto"/>
          <w:sz w:val="24"/>
          <w:highlight w:val="none"/>
        </w:rPr>
      </w:pPr>
      <w:r>
        <w:rPr>
          <w:rFonts w:hint="eastAsia"/>
          <w:b/>
          <w:color w:val="auto"/>
          <w:sz w:val="24"/>
          <w:highlight w:val="none"/>
        </w:rPr>
        <w:t>《</w:t>
      </w:r>
      <w:r>
        <w:rPr>
          <w:rFonts w:hint="eastAsia"/>
          <w:b/>
          <w:color w:val="auto"/>
          <w:sz w:val="24"/>
          <w:highlight w:val="none"/>
          <w:lang w:val="en-US" w:eastAsia="zh-CN"/>
        </w:rPr>
        <w:t>东莞市东坑镇黄屋村考核评分暂行标准》</w:t>
      </w:r>
    </w:p>
    <w:p>
      <w:pPr>
        <w:rPr>
          <w:color w:val="auto"/>
          <w:sz w:val="22"/>
          <w:szCs w:val="22"/>
          <w:highlight w:val="none"/>
        </w:rPr>
      </w:pPr>
      <w:r>
        <w:rPr>
          <w:rFonts w:hint="eastAsia"/>
          <w:color w:val="auto"/>
          <w:sz w:val="22"/>
          <w:szCs w:val="22"/>
          <w:highlight w:val="none"/>
        </w:rPr>
        <w:t>考评时间：20   年   月   日</w:t>
      </w:r>
    </w:p>
    <w:tbl>
      <w:tblPr>
        <w:tblStyle w:val="15"/>
        <w:tblW w:w="0" w:type="auto"/>
        <w:jc w:val="center"/>
        <w:tblLayout w:type="autofit"/>
        <w:tblCellMar>
          <w:top w:w="0" w:type="dxa"/>
          <w:left w:w="108" w:type="dxa"/>
          <w:bottom w:w="0" w:type="dxa"/>
          <w:right w:w="108" w:type="dxa"/>
        </w:tblCellMar>
      </w:tblPr>
      <w:tblGrid>
        <w:gridCol w:w="543"/>
        <w:gridCol w:w="736"/>
        <w:gridCol w:w="4005"/>
        <w:gridCol w:w="2386"/>
        <w:gridCol w:w="426"/>
        <w:gridCol w:w="426"/>
      </w:tblGrid>
      <w:tr>
        <w:tblPrEx>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检查方法及评价考核</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扣分办法</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检</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查</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扣</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实</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得</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w:t>
            </w:r>
          </w:p>
        </w:tc>
      </w:tr>
      <w:tr>
        <w:tblPrEx>
          <w:tblCellMar>
            <w:top w:w="0" w:type="dxa"/>
            <w:left w:w="108" w:type="dxa"/>
            <w:bottom w:w="0" w:type="dxa"/>
            <w:right w:w="108" w:type="dxa"/>
          </w:tblCellMar>
        </w:tblPrEx>
        <w:trPr>
          <w:trHeight w:val="630" w:hRule="atLeast"/>
          <w:jc w:val="center"/>
        </w:trPr>
        <w:tc>
          <w:tcPr>
            <w:tcW w:w="0" w:type="auto"/>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清扫保洁</w:t>
            </w:r>
          </w:p>
        </w:tc>
        <w:tc>
          <w:tcPr>
            <w:tcW w:w="0" w:type="auto"/>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人员</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1、配置足额的管理人员和环卫工人</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未按期规定配置，每少1人扣</w:t>
            </w:r>
            <w:r>
              <w:rPr>
                <w:rFonts w:hint="eastAsia" w:ascii="宋体" w:hAnsi="宋体" w:cs="宋体"/>
                <w:color w:val="auto"/>
                <w:sz w:val="21"/>
                <w:szCs w:val="21"/>
                <w:highlight w:val="none"/>
                <w:lang w:val="en-US" w:eastAsia="zh-CN"/>
              </w:rPr>
              <w:t>0.2分。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both"/>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2、作业人员按规定穿统一服饰上岗</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未按要求执行的，每人每次扣</w:t>
            </w:r>
            <w:r>
              <w:rPr>
                <w:rFonts w:hint="eastAsia" w:ascii="宋体" w:hAnsi="宋体" w:cs="宋体"/>
                <w:color w:val="auto"/>
                <w:sz w:val="21"/>
                <w:szCs w:val="21"/>
                <w:highlight w:val="none"/>
                <w:lang w:val="en-US" w:eastAsia="zh-CN"/>
              </w:rPr>
              <w:t>0.1分。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63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设备</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3、配置足额的环卫设备</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未按期规定配置，每少1台扣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both"/>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48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4、垃圾收集车、运输车、手推车必须密封作业；车辆无乱停放，定期清洗环卫车辆，保持整洁完好</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无密封设备和封盖不严的，每辆每次扣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分；乱停乱放的或无定期清洗的，每辆车每次扣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1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路面</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5、每日普扫三次，全天重点保洁</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w:t>
            </w:r>
            <w:r>
              <w:rPr>
                <w:rFonts w:hint="eastAsia" w:ascii="宋体" w:hAnsi="宋体" w:cs="宋体"/>
                <w:color w:val="auto"/>
                <w:sz w:val="21"/>
                <w:szCs w:val="21"/>
                <w:highlight w:val="none"/>
                <w:lang w:val="en-US" w:eastAsia="zh-CN"/>
              </w:rPr>
              <w:t>少1</w:t>
            </w:r>
            <w:r>
              <w:rPr>
                <w:rFonts w:hint="eastAsia" w:ascii="宋体" w:hAnsi="宋体" w:eastAsia="宋体" w:cs="宋体"/>
                <w:color w:val="auto"/>
                <w:sz w:val="21"/>
                <w:szCs w:val="21"/>
                <w:highlight w:val="none"/>
              </w:rPr>
              <w:t>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both"/>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1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6、路面清扫要求达到六净六无标准；路面保洁率达到100％</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每1000平方米多于6片垃圾的，每片扣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cs="宋体"/>
                <w:color w:val="auto"/>
                <w:sz w:val="21"/>
                <w:szCs w:val="21"/>
                <w:highlight w:val="none"/>
                <w:lang w:eastAsia="zh-CN"/>
              </w:rPr>
              <w:t>确保每条主要道路、背街小巷有人员保洁，建立主要道路、背街小巷人员名单（包含人员名称、联系电话和保洁区域等信息），背街小巷保洁建议按村小组辖区区分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每少一人口</w:t>
            </w:r>
            <w:r>
              <w:rPr>
                <w:rFonts w:hint="eastAsia" w:ascii="宋体" w:hAnsi="宋体" w:cs="宋体"/>
                <w:color w:val="auto"/>
                <w:sz w:val="21"/>
                <w:szCs w:val="21"/>
                <w:highlight w:val="none"/>
                <w:lang w:val="en-US" w:eastAsia="zh-CN"/>
              </w:rPr>
              <w:t>0.1分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8、路面没有积水、没有成堆垃圾</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发现有积水或成堆垃圾的，每处每次扣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垃圾收</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集处理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9、路面有成堆垃圾未及时清理或漏收</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未及时清理或漏收垃圾的，每处扣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10、垃圾收集专用手推车无乱停乱放</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乱停乱放的，每辆每次扣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both"/>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pStyle w:val="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、垃圾容器要求无积存过量垃圾</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要按指定地点倾倒垃圾</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发现有积存过量垃圾的，每处扣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color w:val="auto"/>
                <w:highlight w:val="none"/>
                <w:lang w:eastAsia="zh-CN"/>
              </w:rPr>
              <w:t>主要道路的垃圾容器每月清洗不少于</w:t>
            </w:r>
            <w:r>
              <w:rPr>
                <w:rFonts w:hint="eastAsia"/>
                <w:color w:val="auto"/>
                <w:highlight w:val="none"/>
                <w:lang w:val="en-US" w:eastAsia="zh-CN"/>
              </w:rPr>
              <w:t>2次，及时跟换破损和残旧的垃圾容器</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卫生</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死角</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、道路内未发现卫生死角及残留痕迹</w:t>
            </w:r>
          </w:p>
        </w:tc>
        <w:tc>
          <w:tcPr>
            <w:tcW w:w="0" w:type="auto"/>
            <w:tcBorders>
              <w:top w:val="single" w:color="000000" w:sz="4" w:space="0"/>
              <w:left w:val="nil"/>
              <w:bottom w:val="single" w:color="000000" w:sz="4" w:space="0"/>
              <w:right w:val="single" w:color="000000" w:sz="4" w:space="0"/>
            </w:tcBorders>
            <w:noWrap w:val="0"/>
            <w:vAlign w:val="center"/>
          </w:tcPr>
          <w:p>
            <w:pPr>
              <w:pStyle w:val="7"/>
              <w:rPr>
                <w:rFonts w:hint="eastAsia"/>
                <w:color w:val="auto"/>
                <w:highlight w:val="none"/>
                <w:lang w:val="en-US" w:eastAsia="zh-CN"/>
              </w:rPr>
            </w:pPr>
            <w:r>
              <w:rPr>
                <w:rFonts w:hint="eastAsia"/>
                <w:color w:val="auto"/>
                <w:highlight w:val="none"/>
                <w:lang w:eastAsia="zh-CN"/>
              </w:rPr>
              <w:t>每发现一处卫生黑点直接扣</w:t>
            </w:r>
            <w:r>
              <w:rPr>
                <w:rFonts w:hint="eastAsia"/>
                <w:color w:val="auto"/>
                <w:highlight w:val="none"/>
                <w:lang w:val="en-US" w:eastAsia="zh-CN"/>
              </w:rPr>
              <w:t>0.2分</w:t>
            </w:r>
          </w:p>
          <w:p>
            <w:pPr>
              <w:pStyle w:val="7"/>
              <w:rPr>
                <w:rFonts w:hint="eastAsia" w:ascii="宋体" w:hAnsi="宋体" w:eastAsia="宋体" w:cs="宋体"/>
                <w:color w:val="auto"/>
                <w:sz w:val="21"/>
                <w:szCs w:val="21"/>
                <w:highlight w:val="none"/>
              </w:rPr>
            </w:pPr>
            <w:r>
              <w:rPr>
                <w:rFonts w:hint="eastAsia"/>
                <w:color w:val="auto"/>
                <w:highlight w:val="none"/>
                <w:lang w:eastAsia="zh-CN"/>
              </w:rPr>
              <w:t>对于监督组要求整改的环卫项目，</w:t>
            </w:r>
            <w:r>
              <w:rPr>
                <w:rFonts w:hint="eastAsia"/>
                <w:color w:val="auto"/>
                <w:highlight w:val="none"/>
                <w:lang w:val="en-US" w:eastAsia="zh-CN"/>
              </w:rPr>
              <w:t>5小时内整改不到位的扣0.2分，不整改的扣0.5分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、人行道无杂草</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未按要求的，每次每处扣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果皮箱</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、每天清掏，未造成满溢、外观脏乱</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造成满溢、脏乱的，每处扣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、果皮箱及垃圾桶摆放端正，无损坏、妥善管理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摆放不端正或损坏，每处每次扣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下水道</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rPr>
              <w:t>、沉沙井</w:t>
            </w:r>
            <w:r>
              <w:rPr>
                <w:rFonts w:hint="eastAsia" w:ascii="宋体" w:hAnsi="宋体" w:cs="宋体"/>
                <w:color w:val="auto"/>
                <w:sz w:val="21"/>
                <w:szCs w:val="21"/>
                <w:highlight w:val="none"/>
                <w:lang w:eastAsia="zh-CN"/>
              </w:rPr>
              <w:t>口</w:t>
            </w:r>
            <w:r>
              <w:rPr>
                <w:rFonts w:hint="eastAsia" w:ascii="宋体" w:hAnsi="宋体" w:eastAsia="宋体" w:cs="宋体"/>
                <w:color w:val="auto"/>
                <w:sz w:val="21"/>
                <w:szCs w:val="21"/>
                <w:highlight w:val="none"/>
              </w:rPr>
              <w:t>每月清理一次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排水明渠半年清理一次</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未按期清理的，每个扣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45" w:hRule="atLeast"/>
          <w:jc w:val="center"/>
        </w:trPr>
        <w:tc>
          <w:tcPr>
            <w:tcW w:w="0" w:type="auto"/>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牛皮癣</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清理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清理</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方面</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rPr>
              <w:t>、无发现“城市牛皮癣”</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每发现一张（条）“城市牛皮癣”扣</w:t>
            </w:r>
            <w:r>
              <w:rPr>
                <w:rFonts w:hint="eastAsia" w:ascii="Arial" w:hAnsi="Arial" w:cs="Arial"/>
                <w:color w:val="auto"/>
                <w:sz w:val="21"/>
                <w:szCs w:val="21"/>
                <w:highlight w:val="none"/>
                <w:lang w:val="en-US" w:eastAsia="zh-CN"/>
              </w:rPr>
              <w:t>0.2</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清理</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不净</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、清除不干净</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清除不干净、有残留物和痕迹的，每处扣0.1分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1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附着无</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损伤</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、基底、附着物无损伤</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基底、附着物有损伤的，每处扣0.1分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规范</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、涂刷覆盖作业不规范</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涂刷覆盖作业不规范，与周边基底不协调的，每处扣0.1分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0" w:type="auto"/>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绿化养护</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微软雅黑" w:hAnsi="微软雅黑" w:cs="宋体"/>
                <w:color w:val="auto"/>
                <w:highlight w:val="none"/>
              </w:rPr>
              <w:t>绿地清洁卫生</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微软雅黑" w:hAnsi="微软雅黑" w:cs="宋体"/>
                <w:color w:val="auto"/>
                <w:highlight w:val="none"/>
              </w:rPr>
              <w:t>未发现垃圾连片（面积≥6cm*6cm）的地方（特别是花生壳、瓜子壳、白色垃圾等）</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w:t>
            </w:r>
            <w:r>
              <w:rPr>
                <w:rFonts w:hint="eastAsia" w:ascii="宋体" w:hAnsi="宋体" w:cs="宋体"/>
                <w:color w:val="auto"/>
                <w:sz w:val="21"/>
                <w:szCs w:val="21"/>
                <w:highlight w:val="none"/>
                <w:lang w:val="en-US" w:eastAsia="zh-CN"/>
              </w:rPr>
              <w:t>清洁</w:t>
            </w:r>
            <w:r>
              <w:rPr>
                <w:rFonts w:hint="eastAsia" w:ascii="宋体" w:hAnsi="宋体" w:eastAsia="宋体" w:cs="宋体"/>
                <w:color w:val="auto"/>
                <w:sz w:val="21"/>
                <w:szCs w:val="21"/>
                <w:highlight w:val="none"/>
              </w:rPr>
              <w:t>的，每处扣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微软雅黑" w:hAnsi="微软雅黑" w:cs="宋体"/>
                <w:color w:val="auto"/>
                <w:highlight w:val="none"/>
              </w:rPr>
              <w:t>水肥管理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微软雅黑" w:hAnsi="微软雅黑" w:cs="宋体"/>
                <w:color w:val="auto"/>
                <w:highlight w:val="none"/>
              </w:rPr>
              <w:t>在干旱季节，苗木草地应淋足水，每天要淋水两次以上</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微软雅黑" w:hAnsi="微软雅黑" w:cs="宋体"/>
                <w:color w:val="auto"/>
                <w:highlight w:val="none"/>
              </w:rPr>
              <w:t>有明显缺水现象的绿地（含乔灌木），每10平方米扣</w:t>
            </w:r>
            <w:r>
              <w:rPr>
                <w:rFonts w:hint="eastAsia" w:ascii="微软雅黑" w:hAnsi="微软雅黑" w:cs="宋体"/>
                <w:color w:val="auto"/>
                <w:highlight w:val="none"/>
                <w:lang w:val="en-US" w:eastAsia="zh-CN"/>
              </w:rPr>
              <w:t>0.1</w:t>
            </w:r>
            <w:r>
              <w:rPr>
                <w:rFonts w:hint="eastAsia" w:ascii="微软雅黑" w:hAnsi="微软雅黑" w:cs="宋体"/>
                <w:color w:val="auto"/>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微软雅黑" w:hAnsi="微软雅黑" w:cs="宋体"/>
                <w:color w:val="auto"/>
                <w:highlight w:val="none"/>
              </w:rPr>
              <w:t>病虫害防治</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微软雅黑" w:hAnsi="微软雅黑" w:cs="宋体"/>
                <w:color w:val="auto"/>
                <w:highlight w:val="none"/>
              </w:rPr>
              <w:t>要做好病虫害防治工作，防止草坪、地被、花坛、乔木、灌木受害</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微软雅黑" w:hAnsi="微软雅黑" w:cs="宋体"/>
                <w:color w:val="auto"/>
                <w:highlight w:val="none"/>
              </w:rPr>
              <w:t>有明显虫害现象，每株或每平方米扣</w:t>
            </w:r>
            <w:r>
              <w:rPr>
                <w:rFonts w:hint="eastAsia" w:ascii="微软雅黑" w:hAnsi="微软雅黑" w:cs="宋体"/>
                <w:color w:val="auto"/>
                <w:highlight w:val="none"/>
                <w:lang w:val="en-US" w:eastAsia="zh-CN"/>
              </w:rPr>
              <w:t>0.1</w:t>
            </w:r>
            <w:r>
              <w:rPr>
                <w:rFonts w:hint="eastAsia" w:ascii="微软雅黑" w:hAnsi="微软雅黑" w:cs="宋体"/>
                <w:color w:val="auto"/>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1200" w:hRule="atLeast"/>
          <w:jc w:val="center"/>
        </w:trPr>
        <w:tc>
          <w:tcPr>
            <w:tcW w:w="0" w:type="auto"/>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扣分项目</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领导</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巡查</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、“行走东莞”、“洁净城市”等专项行动被上级部门检查发现清扫保洁不到位。</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分，扣完为止。</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2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迎检及重大节日保洁</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rPr>
              <w:t>、迎“创文”、“创卫”等检查及、重大节假日发现清扫保洁不到位。</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分，扣完为止。</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88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27</w:t>
            </w:r>
            <w:r>
              <w:rPr>
                <w:rFonts w:hint="eastAsia" w:ascii="宋体" w:hAnsi="宋体" w:eastAsia="宋体" w:cs="宋体"/>
                <w:color w:val="auto"/>
                <w:sz w:val="21"/>
                <w:szCs w:val="21"/>
                <w:highlight w:val="none"/>
              </w:rPr>
              <w:t>、无市民或相关部门投诉。</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接到市民或相关部门投诉，每一次扣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分，扣完为止。</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督办函</w:t>
            </w:r>
          </w:p>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回复</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28</w:t>
            </w:r>
            <w:r>
              <w:rPr>
                <w:rFonts w:hint="eastAsia" w:ascii="宋体" w:hAnsi="宋体" w:eastAsia="宋体" w:cs="宋体"/>
                <w:color w:val="auto"/>
                <w:sz w:val="21"/>
                <w:szCs w:val="21"/>
                <w:highlight w:val="none"/>
              </w:rPr>
              <w:t>、市及镇部门发出的督办函的及时回复情况</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逾期未报一宗扣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分，扣完为止。</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bl>
    <w:p>
      <w:pPr>
        <w:rPr>
          <w:color w:val="auto"/>
          <w:highlight w:val="none"/>
        </w:rPr>
      </w:pPr>
    </w:p>
    <w:p>
      <w:pPr>
        <w:rPr>
          <w:rFonts w:hint="eastAsia" w:eastAsia="宋体"/>
          <w:color w:val="auto"/>
          <w:highlight w:val="none"/>
        </w:rPr>
      </w:pPr>
      <w:r>
        <w:rPr>
          <w:rFonts w:hint="eastAsia"/>
          <w:color w:val="auto"/>
          <w:highlight w:val="none"/>
          <w:lang w:val="en-US" w:eastAsia="zh-CN"/>
        </w:rPr>
        <w:t>注：本《东莞市东坑镇黄屋村考核评分暂行标准》满分100分，扣完为止；若检查分数低于80分（扣分内容过半或以上属于承包方服务范围内责任造成的），每减少1分（不足1分按1分计算），当月管理费下浮1%，根据评分结果确定实际应付款后支付。若检查分数在80分以下连续三次以上的，甲方有权单方面终止合同。</w:t>
      </w:r>
    </w:p>
    <w:p>
      <w:pPr>
        <w:rPr>
          <w:rFonts w:hint="eastAsia"/>
          <w:b/>
          <w:bCs/>
          <w:color w:val="auto"/>
          <w:highlight w:val="none"/>
        </w:rPr>
      </w:pPr>
    </w:p>
    <w:p>
      <w:pPr>
        <w:rPr>
          <w:rFonts w:hint="eastAsia"/>
          <w:b/>
          <w:bCs/>
          <w:color w:val="auto"/>
          <w:highlight w:val="none"/>
        </w:rPr>
      </w:pPr>
    </w:p>
    <w:p>
      <w:pPr>
        <w:rPr>
          <w:color w:val="auto"/>
          <w:highlight w:val="none"/>
        </w:rPr>
      </w:pPr>
      <w:r>
        <w:rPr>
          <w:rFonts w:hint="eastAsia"/>
          <w:b/>
          <w:bCs/>
          <w:color w:val="auto"/>
          <w:highlight w:val="none"/>
        </w:rPr>
        <w:t>此仅为合同书样本，以实际签订合同为准，中标人需根据实际情况和甲方签订相应的合同</w:t>
      </w:r>
      <w:r>
        <w:rPr>
          <w:rFonts w:hint="eastAsia"/>
          <w:b/>
          <w:bCs/>
          <w:color w:val="auto"/>
          <w:highlight w:val="none"/>
          <w:lang w:eastAsia="zh-CN"/>
        </w:rPr>
        <w:t>！</w:t>
      </w:r>
      <w:r>
        <w:rPr>
          <w:rFonts w:hint="eastAsia"/>
          <w:color w:val="auto"/>
          <w:highlight w:val="none"/>
        </w:rPr>
        <w:br w:type="page"/>
      </w:r>
    </w:p>
    <w:p>
      <w:pPr>
        <w:pStyle w:val="3"/>
        <w:rPr>
          <w:color w:val="auto"/>
          <w:highlight w:val="none"/>
        </w:rPr>
      </w:pPr>
      <w:bookmarkStart w:id="188" w:name="_Toc17794"/>
      <w:r>
        <w:rPr>
          <w:rFonts w:hint="eastAsia"/>
          <w:color w:val="auto"/>
          <w:highlight w:val="none"/>
        </w:rPr>
        <w:t>第六篇 投标文件格式</w:t>
      </w:r>
      <w:bookmarkEnd w:id="188"/>
    </w:p>
    <w:p>
      <w:pPr>
        <w:rPr>
          <w:b/>
          <w:bCs/>
          <w:color w:val="auto"/>
          <w:highlight w:val="none"/>
        </w:rPr>
      </w:pPr>
      <w:r>
        <w:rPr>
          <w:rFonts w:hint="eastAsia"/>
          <w:b/>
          <w:bCs/>
          <w:color w:val="auto"/>
          <w:highlight w:val="none"/>
        </w:rPr>
        <w:t>注意事项：</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w:t>
      </w:r>
      <w:r>
        <w:rPr>
          <w:rFonts w:hint="eastAsia"/>
          <w:color w:val="auto"/>
          <w:sz w:val="20"/>
          <w:szCs w:val="20"/>
          <w:highlight w:val="none"/>
          <w:lang w:val="en-US" w:eastAsia="zh-CN"/>
        </w:rPr>
        <w:t>履行合同所必需的</w:t>
      </w:r>
      <w:r>
        <w:rPr>
          <w:rFonts w:hint="eastAsia"/>
          <w:color w:val="auto"/>
          <w:sz w:val="20"/>
          <w:szCs w:val="20"/>
          <w:highlight w:val="none"/>
          <w:lang w:val="en-US"/>
        </w:rPr>
        <w:t>设备和专业技术能力的声明。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6.投标人参加政府采购前三年内在经营活动中没有重大违法记录书面声明函。</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t>
      </w:r>
      <w:r>
        <w:rPr>
          <w:rFonts w:hint="eastAsia"/>
          <w:color w:val="auto"/>
          <w:sz w:val="20"/>
          <w:szCs w:val="20"/>
          <w:highlight w:val="none"/>
          <w:lang w:val="en-US" w:eastAsia="zh-CN"/>
        </w:rPr>
        <w:t>（</w:t>
      </w:r>
      <w:r>
        <w:rPr>
          <w:rFonts w:hint="eastAsia"/>
          <w:color w:val="auto"/>
          <w:sz w:val="20"/>
          <w:szCs w:val="20"/>
          <w:highlight w:val="none"/>
          <w:lang w:val="en-US"/>
        </w:rPr>
        <w:t>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pPr>
        <w:pStyle w:val="8"/>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pPr>
        <w:jc w:val="center"/>
        <w:outlineLvl w:val="1"/>
        <w:rPr>
          <w:b/>
          <w:bCs/>
          <w:color w:val="auto"/>
          <w:highlight w:val="none"/>
        </w:rPr>
      </w:pPr>
      <w:bookmarkStart w:id="189" w:name="_Toc32213"/>
      <w:r>
        <w:rPr>
          <w:rFonts w:hint="eastAsia"/>
          <w:b/>
          <w:bCs/>
          <w:color w:val="auto"/>
          <w:highlight w:val="none"/>
        </w:rPr>
        <w:t>（封面格式仅供参考）</w:t>
      </w:r>
      <w:bookmarkEnd w:id="189"/>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90" w:name="_Toc14748"/>
      <w:r>
        <w:rPr>
          <w:rFonts w:ascii="宋体" w:hAnsi="宋体" w:cs="宋体"/>
          <w:b/>
          <w:color w:val="auto"/>
          <w:spacing w:val="10"/>
          <w:kern w:val="0"/>
          <w:sz w:val="38"/>
          <w:szCs w:val="38"/>
          <w:highlight w:val="none"/>
          <w:lang w:val="zh-CN" w:bidi="zh-CN"/>
        </w:rPr>
        <w:t>投标文件封面</w:t>
      </w:r>
      <w:bookmarkEnd w:id="190"/>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91"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91"/>
    </w:p>
    <w:p>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b/>
          <w:color w:val="auto"/>
          <w:sz w:val="24"/>
          <w:highlight w:val="none"/>
        </w:rPr>
        <w:t>投标文件目录</w:t>
      </w:r>
    </w:p>
    <w:p>
      <w:pPr>
        <w:pStyle w:val="8"/>
        <w:spacing w:before="8"/>
        <w:rPr>
          <w:b/>
          <w:color w:val="auto"/>
          <w:sz w:val="12"/>
          <w:highlight w:val="none"/>
        </w:rPr>
      </w:pPr>
    </w:p>
    <w:p>
      <w:pPr>
        <w:spacing w:line="360" w:lineRule="auto"/>
        <w:rPr>
          <w:color w:val="auto"/>
          <w:highlight w:val="none"/>
        </w:rPr>
      </w:pPr>
      <w:r>
        <w:rPr>
          <w:color w:val="auto"/>
          <w:highlight w:val="none"/>
        </w:rPr>
        <w:t>一、投标函</w:t>
      </w:r>
    </w:p>
    <w:p>
      <w:pPr>
        <w:spacing w:line="360" w:lineRule="auto"/>
        <w:rPr>
          <w:color w:val="auto"/>
          <w:highlight w:val="none"/>
        </w:rPr>
      </w:pPr>
      <w:r>
        <w:rPr>
          <w:color w:val="auto"/>
          <w:highlight w:val="none"/>
        </w:rPr>
        <w:t>二、开标一览表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投标保证金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投标人业绩情况表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需要招标人提供的附加条件</w:t>
      </w:r>
    </w:p>
    <w:p>
      <w:pPr>
        <w:rPr>
          <w:b/>
          <w:bCs/>
          <w:color w:val="auto"/>
          <w:sz w:val="24"/>
          <w:szCs w:val="32"/>
          <w:highlight w:val="none"/>
        </w:rPr>
      </w:pPr>
      <w:r>
        <w:rPr>
          <w:b/>
          <w:bCs/>
          <w:color w:val="auto"/>
          <w:sz w:val="24"/>
          <w:szCs w:val="32"/>
          <w:highlight w:val="none"/>
        </w:rPr>
        <w:br w:type="page"/>
      </w:r>
    </w:p>
    <w:p>
      <w:pPr>
        <w:rPr>
          <w:b/>
          <w:bCs/>
          <w:color w:val="auto"/>
          <w:sz w:val="24"/>
          <w:szCs w:val="32"/>
          <w:highlight w:val="none"/>
        </w:rPr>
      </w:pPr>
      <w:r>
        <w:rPr>
          <w:b/>
          <w:bCs/>
          <w:color w:val="auto"/>
          <w:sz w:val="24"/>
          <w:szCs w:val="32"/>
          <w:highlight w:val="none"/>
        </w:rPr>
        <w:t>格式一：</w:t>
      </w:r>
    </w:p>
    <w:p>
      <w:pPr>
        <w:pStyle w:val="8"/>
        <w:jc w:val="center"/>
        <w:rPr>
          <w:b/>
          <w:color w:val="auto"/>
          <w:sz w:val="12"/>
          <w:highlight w:val="none"/>
        </w:rPr>
      </w:pPr>
      <w:r>
        <w:rPr>
          <w:b/>
          <w:color w:val="auto"/>
          <w:highlight w:val="none"/>
        </w:rPr>
        <w:t>投标函</w:t>
      </w:r>
    </w:p>
    <w:p>
      <w:pPr>
        <w:pStyle w:val="8"/>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lang w:eastAsia="zh-CN"/>
        </w:rPr>
        <w:t>（</w:t>
      </w: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lang w:eastAsia="zh-CN"/>
        </w:rPr>
        <w:t>（</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w:t>
      </w:r>
      <w:r>
        <w:rPr>
          <w:rFonts w:hint="eastAsia"/>
          <w:color w:val="auto"/>
          <w:sz w:val="21"/>
          <w:szCs w:val="21"/>
          <w:highlight w:val="none"/>
          <w:lang w:val="en-US" w:eastAsia="zh-CN"/>
        </w:rPr>
        <w:t>招标文件</w:t>
      </w:r>
      <w:r>
        <w:rPr>
          <w:rFonts w:hint="eastAsia"/>
          <w:color w:val="auto"/>
          <w:sz w:val="21"/>
          <w:szCs w:val="21"/>
          <w:highlight w:val="none"/>
        </w:rPr>
        <w:t>规定的条件，承诺如下：</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8"/>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6766"/>
        </w:tabs>
        <w:autoSpaceDE w:val="0"/>
        <w:autoSpaceDN w:val="0"/>
        <w:spacing w:before="0" w:line="360" w:lineRule="auto"/>
        <w:ind w:left="0" w:firstLine="420" w:firstLineChars="200"/>
        <w:jc w:val="right"/>
        <w:rPr>
          <w:color w:val="auto"/>
          <w:sz w:val="21"/>
          <w:szCs w:val="21"/>
          <w:highlight w:val="none"/>
        </w:rPr>
      </w:pPr>
    </w:p>
    <w:p>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b/>
          <w:bCs/>
          <w:color w:val="auto"/>
          <w:sz w:val="24"/>
          <w:szCs w:val="32"/>
          <w:highlight w:val="none"/>
        </w:rPr>
      </w:pPr>
      <w:r>
        <w:rPr>
          <w:rFonts w:hint="eastAsia"/>
          <w:b/>
          <w:bCs/>
          <w:color w:val="auto"/>
          <w:sz w:val="24"/>
          <w:szCs w:val="32"/>
          <w:highlight w:val="none"/>
        </w:rPr>
        <w:t>格式二：</w:t>
      </w:r>
    </w:p>
    <w:p>
      <w:pPr>
        <w:pStyle w:val="8"/>
        <w:rPr>
          <w:color w:val="auto"/>
          <w:highlight w:val="none"/>
          <w:lang w:val="en-US"/>
        </w:rPr>
      </w:pPr>
    </w:p>
    <w:p>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5"/>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9"/>
        <w:gridCol w:w="8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投标报价</w:t>
            </w:r>
          </w:p>
        </w:tc>
        <w:tc>
          <w:tcPr>
            <w:tcW w:w="5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color w:val="auto"/>
                <w:highlight w:val="none"/>
                <w:lang w:eastAsia="zh-CN"/>
              </w:rPr>
            </w:pPr>
            <w:r>
              <w:rPr>
                <w:rFonts w:hint="eastAsia"/>
                <w:color w:val="auto"/>
                <w:highlight w:val="none"/>
              </w:rPr>
              <w:t>小写：</w:t>
            </w:r>
          </w:p>
          <w:p>
            <w:pPr>
              <w:spacing w:line="360" w:lineRule="auto"/>
              <w:rPr>
                <w:rFonts w:hint="eastAsia" w:eastAsia="宋体"/>
                <w:color w:val="auto"/>
                <w:highlight w:val="none"/>
                <w:lang w:eastAsia="zh-CN"/>
              </w:rPr>
            </w:pPr>
            <w:r>
              <w:rPr>
                <w:rFonts w:hint="eastAsia"/>
                <w:color w:val="auto"/>
                <w:highlight w:val="none"/>
              </w:rPr>
              <w:t>大写：</w:t>
            </w:r>
          </w:p>
        </w:tc>
        <w:tc>
          <w:tcPr>
            <w:tcW w:w="51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p>
            <w:pPr>
              <w:spacing w:line="360" w:lineRule="auto"/>
              <w:rPr>
                <w:rFonts w:ascii="宋体" w:hAnsi="宋体" w:cs="宋体"/>
                <w:color w:val="auto"/>
                <w:szCs w:val="21"/>
                <w:highlight w:val="none"/>
              </w:rPr>
            </w:pPr>
          </w:p>
        </w:tc>
      </w:tr>
    </w:tbl>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1.投标总价栏须用文字和数字两种方式表示的投标总价。</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2.开标一览表内容与投标文件中相应内容不一致的，以开标一览表为准。</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pPr>
        <w:rPr>
          <w:rFonts w:ascii="宋体" w:hAnsi="宋体" w:cs="宋体"/>
          <w:color w:val="auto"/>
          <w:szCs w:val="21"/>
          <w:highlight w:val="none"/>
        </w:rPr>
      </w:pPr>
      <w:r>
        <w:rPr>
          <w:rFonts w:hint="eastAsia" w:ascii="宋体" w:hAnsi="宋体" w:cs="宋体"/>
          <w:color w:val="auto"/>
          <w:szCs w:val="21"/>
          <w:highlight w:val="none"/>
        </w:rPr>
        <w:br w:type="page"/>
      </w:r>
    </w:p>
    <w:p>
      <w:pPr>
        <w:rPr>
          <w:b/>
          <w:bCs/>
          <w:color w:val="auto"/>
          <w:sz w:val="24"/>
          <w:szCs w:val="32"/>
          <w:highlight w:val="none"/>
        </w:rPr>
      </w:pPr>
      <w:r>
        <w:rPr>
          <w:rFonts w:hint="eastAsia"/>
          <w:b/>
          <w:bCs/>
          <w:color w:val="auto"/>
          <w:sz w:val="24"/>
          <w:szCs w:val="32"/>
          <w:highlight w:val="none"/>
        </w:rPr>
        <w:t>格式三：</w:t>
      </w:r>
    </w:p>
    <w:p>
      <w:pPr>
        <w:jc w:val="center"/>
        <w:rPr>
          <w:b/>
          <w:bCs/>
          <w:color w:val="auto"/>
          <w:sz w:val="24"/>
          <w:szCs w:val="32"/>
          <w:highlight w:val="none"/>
        </w:rPr>
      </w:pPr>
      <w:r>
        <w:rPr>
          <w:rFonts w:hint="eastAsia"/>
          <w:b/>
          <w:bCs/>
          <w:color w:val="auto"/>
          <w:sz w:val="24"/>
          <w:szCs w:val="32"/>
          <w:highlight w:val="none"/>
        </w:rPr>
        <w:t>分项报价表</w:t>
      </w:r>
    </w:p>
    <w:p>
      <w:pPr>
        <w:pStyle w:val="10"/>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p>
        </w:tc>
      </w:tr>
    </w:tbl>
    <w:p>
      <w:pPr>
        <w:spacing w:line="360" w:lineRule="auto"/>
        <w:jc w:val="center"/>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8"/>
        <w:rPr>
          <w:b/>
          <w:bCs/>
          <w:color w:val="auto"/>
          <w:highlight w:val="none"/>
          <w:lang w:val="en-US"/>
        </w:rPr>
      </w:pPr>
      <w:r>
        <w:rPr>
          <w:rFonts w:hint="eastAsia"/>
          <w:b/>
          <w:bCs/>
          <w:color w:val="auto"/>
          <w:highlight w:val="none"/>
          <w:lang w:val="en-US"/>
        </w:rPr>
        <w:t>格式四：</w:t>
      </w:r>
    </w:p>
    <w:p>
      <w:pPr>
        <w:pStyle w:val="2"/>
        <w:spacing w:line="360" w:lineRule="auto"/>
        <w:rPr>
          <w:color w:val="auto"/>
          <w:sz w:val="24"/>
          <w:highlight w:val="none"/>
        </w:rPr>
      </w:pPr>
      <w:bookmarkStart w:id="192" w:name="_Toc23039"/>
      <w:r>
        <w:rPr>
          <w:color w:val="auto"/>
          <w:sz w:val="24"/>
          <w:highlight w:val="none"/>
        </w:rPr>
        <w:t>法定代表人证明书</w:t>
      </w:r>
      <w:bookmarkEnd w:id="192"/>
    </w:p>
    <w:p>
      <w:pPr>
        <w:pStyle w:val="8"/>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8"/>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3693"/>
        </w:tabs>
        <w:spacing w:line="242" w:lineRule="exact"/>
        <w:ind w:right="104"/>
        <w:jc w:val="right"/>
        <w:rPr>
          <w:color w:val="auto"/>
          <w:sz w:val="21"/>
          <w:szCs w:val="21"/>
          <w:highlight w:val="none"/>
        </w:rPr>
      </w:pPr>
    </w:p>
    <w:p>
      <w:pPr>
        <w:pStyle w:val="8"/>
        <w:tabs>
          <w:tab w:val="left" w:pos="3693"/>
        </w:tabs>
        <w:spacing w:line="242" w:lineRule="exact"/>
        <w:ind w:right="104"/>
        <w:jc w:val="right"/>
        <w:rPr>
          <w:color w:val="auto"/>
          <w:sz w:val="21"/>
          <w:szCs w:val="21"/>
          <w:highlight w:val="none"/>
        </w:rPr>
      </w:pPr>
    </w:p>
    <w:p>
      <w:pPr>
        <w:pStyle w:val="8"/>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8"/>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8"/>
        <w:rPr>
          <w:color w:val="auto"/>
          <w:highlight w:val="none"/>
          <w:lang w:val="en-US"/>
        </w:rPr>
      </w:pPr>
    </w:p>
    <w:p>
      <w:pPr>
        <w:rPr>
          <w:color w:val="auto"/>
          <w:highlight w:val="none"/>
        </w:rPr>
      </w:pPr>
    </w:p>
    <w:p>
      <w:pPr>
        <w:pStyle w:val="8"/>
        <w:rPr>
          <w:color w:val="auto"/>
          <w:highlight w:val="none"/>
          <w:lang w:val="en-US"/>
        </w:rPr>
      </w:pPr>
    </w:p>
    <w:p>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8"/>
        <w:rPr>
          <w:b/>
          <w:bCs/>
          <w:color w:val="auto"/>
          <w:highlight w:val="none"/>
          <w:lang w:val="en-US"/>
        </w:rPr>
      </w:pPr>
      <w:r>
        <w:rPr>
          <w:rFonts w:hint="eastAsia"/>
          <w:b/>
          <w:bCs/>
          <w:color w:val="auto"/>
          <w:highlight w:val="none"/>
          <w:lang w:val="en-US"/>
        </w:rPr>
        <w:t>格式五：</w:t>
      </w:r>
    </w:p>
    <w:p>
      <w:pPr>
        <w:jc w:val="center"/>
        <w:rPr>
          <w:b/>
          <w:bCs/>
          <w:color w:val="auto"/>
          <w:sz w:val="24"/>
          <w:szCs w:val="32"/>
          <w:highlight w:val="none"/>
        </w:rPr>
      </w:pPr>
      <w:r>
        <w:rPr>
          <w:b/>
          <w:bCs/>
          <w:color w:val="auto"/>
          <w:sz w:val="24"/>
          <w:szCs w:val="32"/>
          <w:highlight w:val="none"/>
        </w:rPr>
        <w:t>法定代表人授权书</w:t>
      </w:r>
    </w:p>
    <w:p>
      <w:pPr>
        <w:pStyle w:val="8"/>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pPr>
        <w:pStyle w:val="8"/>
        <w:tabs>
          <w:tab w:val="left" w:pos="10713"/>
        </w:tabs>
        <w:spacing w:before="0" w:line="360" w:lineRule="auto"/>
        <w:ind w:left="0"/>
        <w:jc w:val="right"/>
        <w:rPr>
          <w:color w:val="auto"/>
          <w:sz w:val="21"/>
          <w:szCs w:val="21"/>
          <w:highlight w:val="none"/>
        </w:rPr>
      </w:pPr>
    </w:p>
    <w:p>
      <w:pPr>
        <w:pStyle w:val="8"/>
        <w:tabs>
          <w:tab w:val="left" w:pos="10713"/>
        </w:tabs>
        <w:spacing w:before="0" w:line="360" w:lineRule="auto"/>
        <w:ind w:left="0"/>
        <w:jc w:val="right"/>
        <w:rPr>
          <w:color w:val="auto"/>
          <w:sz w:val="21"/>
          <w:szCs w:val="21"/>
          <w:highlight w:val="none"/>
        </w:rPr>
      </w:pP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8"/>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8"/>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8"/>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8"/>
        <w:tabs>
          <w:tab w:val="left" w:pos="2349"/>
        </w:tabs>
        <w:spacing w:before="0" w:line="480" w:lineRule="auto"/>
        <w:ind w:left="0"/>
        <w:rPr>
          <w:color w:val="auto"/>
          <w:sz w:val="21"/>
          <w:szCs w:val="21"/>
          <w:highlight w:val="none"/>
          <w:lang w:val="en-US"/>
        </w:rPr>
      </w:pPr>
    </w:p>
    <w:p>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8"/>
        <w:tabs>
          <w:tab w:val="left" w:pos="2349"/>
        </w:tabs>
        <w:spacing w:before="0" w:line="480" w:lineRule="auto"/>
        <w:ind w:left="0"/>
        <w:rPr>
          <w:color w:val="auto"/>
          <w:sz w:val="20"/>
          <w:szCs w:val="20"/>
          <w:highlight w:val="none"/>
          <w:lang w:val="en-US"/>
        </w:rPr>
      </w:pPr>
    </w:p>
    <w:p>
      <w:pPr>
        <w:rPr>
          <w:b/>
          <w:bCs/>
          <w:color w:val="auto"/>
          <w:sz w:val="24"/>
          <w:highlight w:val="none"/>
        </w:rPr>
      </w:pPr>
      <w:r>
        <w:rPr>
          <w:rFonts w:hint="eastAsia"/>
          <w:b/>
          <w:bCs/>
          <w:color w:val="auto"/>
          <w:sz w:val="24"/>
          <w:highlight w:val="none"/>
        </w:rPr>
        <w:br w:type="page"/>
      </w:r>
    </w:p>
    <w:p>
      <w:pPr>
        <w:rPr>
          <w:b/>
          <w:bCs/>
          <w:color w:val="auto"/>
          <w:sz w:val="24"/>
          <w:highlight w:val="none"/>
        </w:rPr>
      </w:pPr>
      <w:r>
        <w:rPr>
          <w:rFonts w:hint="eastAsia"/>
          <w:b/>
          <w:bCs/>
          <w:color w:val="auto"/>
          <w:sz w:val="24"/>
          <w:highlight w:val="none"/>
        </w:rPr>
        <w:t>格式六：</w:t>
      </w:r>
    </w:p>
    <w:p>
      <w:pPr>
        <w:pStyle w:val="8"/>
        <w:jc w:val="center"/>
        <w:rPr>
          <w:b/>
          <w:bCs/>
          <w:color w:val="auto"/>
          <w:highlight w:val="none"/>
          <w:lang w:val="en-US"/>
        </w:rPr>
      </w:pPr>
      <w:r>
        <w:rPr>
          <w:b/>
          <w:bCs/>
          <w:color w:val="auto"/>
          <w:highlight w:val="none"/>
          <w:lang w:val="en-US"/>
        </w:rPr>
        <w:t>提供具有独立承担民事责任的能力的证明材料</w:t>
      </w:r>
    </w:p>
    <w:p>
      <w:pPr>
        <w:ind w:firstLine="420" w:firstLineChars="200"/>
        <w:rPr>
          <w:color w:val="auto"/>
          <w:highlight w:val="none"/>
        </w:rPr>
      </w:pPr>
    </w:p>
    <w:p>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pPr>
        <w:rPr>
          <w:b/>
          <w:bCs/>
          <w:color w:val="auto"/>
          <w:highlight w:val="none"/>
        </w:rPr>
      </w:pPr>
      <w:r>
        <w:rPr>
          <w:b/>
          <w:bCs/>
          <w:color w:val="auto"/>
          <w:highlight w:val="none"/>
        </w:rPr>
        <w:br w:type="page"/>
      </w:r>
    </w:p>
    <w:p>
      <w:pPr>
        <w:rPr>
          <w:b/>
          <w:bCs/>
          <w:color w:val="auto"/>
          <w:sz w:val="24"/>
          <w:szCs w:val="32"/>
          <w:highlight w:val="none"/>
        </w:rPr>
      </w:pPr>
      <w:r>
        <w:rPr>
          <w:rFonts w:hint="eastAsia"/>
          <w:b/>
          <w:bCs/>
          <w:color w:val="auto"/>
          <w:sz w:val="24"/>
          <w:szCs w:val="32"/>
          <w:highlight w:val="none"/>
        </w:rPr>
        <w:t>格式</w:t>
      </w:r>
      <w:r>
        <w:rPr>
          <w:rFonts w:hint="eastAsia"/>
          <w:b/>
          <w:bCs/>
          <w:color w:val="auto"/>
          <w:sz w:val="24"/>
          <w:szCs w:val="32"/>
          <w:highlight w:val="none"/>
          <w:lang w:val="en-US" w:eastAsia="zh-CN"/>
        </w:rPr>
        <w:t>七</w:t>
      </w:r>
      <w:r>
        <w:rPr>
          <w:rFonts w:hint="eastAsia"/>
          <w:b/>
          <w:bCs/>
          <w:color w:val="auto"/>
          <w:sz w:val="24"/>
          <w:szCs w:val="32"/>
          <w:highlight w:val="none"/>
        </w:rPr>
        <w:t>：</w:t>
      </w:r>
    </w:p>
    <w:p>
      <w:pPr>
        <w:pStyle w:val="8"/>
        <w:jc w:val="center"/>
        <w:rPr>
          <w:b/>
          <w:color w:val="auto"/>
          <w:highlight w:val="none"/>
        </w:rPr>
      </w:pPr>
      <w:r>
        <w:rPr>
          <w:b/>
          <w:color w:val="auto"/>
          <w:highlight w:val="none"/>
        </w:rPr>
        <w:t>资格性审查要求的其他资质证明文件</w:t>
      </w:r>
    </w:p>
    <w:p>
      <w:pPr>
        <w:widowControl/>
        <w:spacing w:line="360" w:lineRule="auto"/>
        <w:rPr>
          <w:rFonts w:ascii="宋体" w:hAnsi="宋体"/>
          <w:color w:val="auto"/>
          <w:szCs w:val="21"/>
          <w:highlight w:val="none"/>
        </w:rPr>
      </w:pPr>
    </w:p>
    <w:p>
      <w:pPr>
        <w:widowControl/>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w:t>
      </w:r>
      <w:r>
        <w:rPr>
          <w:rFonts w:hint="eastAsia" w:ascii="宋体" w:hAnsi="宋体" w:eastAsia="宋体"/>
          <w:color w:val="auto"/>
          <w:szCs w:val="21"/>
          <w:highlight w:val="none"/>
          <w:lang w:eastAsia="zh-CN"/>
        </w:rPr>
        <w:t>（提供相关证明资料或参考响应文件格式“资格条件声明函”作相关承诺</w:t>
      </w:r>
      <w:r>
        <w:rPr>
          <w:rFonts w:hint="eastAsia" w:ascii="宋体" w:hAnsi="宋体" w:eastAsia="宋体"/>
          <w:color w:val="auto"/>
          <w:szCs w:val="21"/>
          <w:highlight w:val="none"/>
        </w:rPr>
        <w:t>）</w:t>
      </w:r>
    </w:p>
    <w:p>
      <w:pPr>
        <w:widowControl/>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2、具有良好的商业信誉和健全的财务会计制度：供应商必须具有良好的商业信誉和健全的财务会计制度（提供</w:t>
      </w:r>
      <w:r>
        <w:rPr>
          <w:rFonts w:hint="eastAsia" w:ascii="宋体" w:hAnsi="宋体" w:eastAsia="宋体"/>
          <w:color w:val="auto"/>
          <w:szCs w:val="21"/>
          <w:highlight w:val="none"/>
          <w:lang w:val="en-US" w:eastAsia="zh-CN"/>
        </w:rPr>
        <w:t>2022年度</w:t>
      </w:r>
      <w:r>
        <w:rPr>
          <w:rFonts w:hint="eastAsia" w:ascii="宋体" w:hAnsi="宋体" w:eastAsia="宋体"/>
          <w:color w:val="auto"/>
          <w:szCs w:val="21"/>
          <w:highlight w:val="none"/>
        </w:rPr>
        <w:t>财务状况报告或基本开户行出具的资信证明）。</w:t>
      </w:r>
      <w:r>
        <w:rPr>
          <w:rFonts w:hint="eastAsia" w:ascii="宋体" w:hAnsi="宋体" w:eastAsia="宋体"/>
          <w:color w:val="auto"/>
          <w:szCs w:val="21"/>
          <w:highlight w:val="none"/>
          <w:lang w:eastAsia="zh-CN"/>
        </w:rPr>
        <w:t>（提供相关证明资料或参考响应文件格式“资格条件声明函”作相关承诺</w:t>
      </w:r>
      <w:r>
        <w:rPr>
          <w:rFonts w:hint="eastAsia" w:ascii="宋体" w:hAnsi="宋体" w:eastAsia="宋体"/>
          <w:color w:val="auto"/>
          <w:szCs w:val="21"/>
          <w:highlight w:val="none"/>
        </w:rPr>
        <w:t>）</w:t>
      </w:r>
    </w:p>
    <w:p>
      <w:pPr>
        <w:widowControl/>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3、</w:t>
      </w:r>
      <w:r>
        <w:rPr>
          <w:rFonts w:hint="eastAsia" w:ascii="宋体" w:hAnsi="宋体" w:eastAsia="宋体"/>
          <w:color w:val="auto"/>
          <w:szCs w:val="21"/>
          <w:highlight w:val="none"/>
          <w:lang w:eastAsia="zh-CN"/>
        </w:rPr>
        <w:t>履行合同所必需的</w:t>
      </w:r>
      <w:r>
        <w:rPr>
          <w:rFonts w:hint="eastAsia" w:ascii="宋体" w:hAnsi="宋体" w:eastAsia="宋体"/>
          <w:color w:val="auto"/>
          <w:szCs w:val="21"/>
          <w:highlight w:val="none"/>
        </w:rPr>
        <w:t>设备和专业技术能力：填报设备及专业技术能力情况，格式自拟。</w:t>
      </w:r>
      <w:r>
        <w:rPr>
          <w:rFonts w:hint="eastAsia" w:ascii="宋体" w:hAnsi="宋体" w:eastAsia="宋体"/>
          <w:color w:val="auto"/>
          <w:szCs w:val="21"/>
          <w:highlight w:val="none"/>
          <w:lang w:eastAsia="zh-CN"/>
        </w:rPr>
        <w:t>（提供相关证明资料或参考响应文件格式“资格条件声明函”作相关承诺</w:t>
      </w:r>
      <w:r>
        <w:rPr>
          <w:rFonts w:hint="eastAsia" w:ascii="宋体" w:hAnsi="宋体" w:eastAsia="宋体"/>
          <w:color w:val="auto"/>
          <w:szCs w:val="21"/>
          <w:highlight w:val="none"/>
        </w:rPr>
        <w:t>）</w:t>
      </w:r>
    </w:p>
    <w:p>
      <w:pPr>
        <w:rPr>
          <w:color w:val="auto"/>
          <w:sz w:val="20"/>
          <w:highlight w:val="none"/>
        </w:rPr>
      </w:pPr>
      <w:r>
        <w:rPr>
          <w:rFonts w:hint="eastAsia"/>
          <w:color w:val="auto"/>
          <w:sz w:val="20"/>
          <w:highlight w:val="none"/>
        </w:rPr>
        <w:br w:type="page"/>
      </w:r>
    </w:p>
    <w:p>
      <w:pPr>
        <w:pStyle w:val="8"/>
        <w:ind w:firstLine="482"/>
        <w:jc w:val="center"/>
        <w:rPr>
          <w:b/>
          <w:color w:val="auto"/>
          <w:highlight w:val="none"/>
        </w:rPr>
      </w:pPr>
      <w:r>
        <w:rPr>
          <w:rFonts w:hint="eastAsia"/>
          <w:b/>
          <w:color w:val="auto"/>
          <w:highlight w:val="none"/>
        </w:rPr>
        <w:t>资格条件声明函</w:t>
      </w:r>
    </w:p>
    <w:p>
      <w:pPr>
        <w:ind w:firstLine="640"/>
        <w:rPr>
          <w:rFonts w:ascii="仿宋_GB2312" w:hAnsi="仿宋_GB2312" w:eastAsia="仿宋_GB2312" w:cs="仿宋_GB2312"/>
          <w:color w:val="auto"/>
          <w:sz w:val="32"/>
          <w:szCs w:val="32"/>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愿响应关于</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的投标邀请并参与本项目投标，符合《中华人民共和国政府采购法》第二十二条第一款第（二）项、第（三）项、第（四）项、第（五）项规定条件，具体包括：</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2.具有履行合同所必需的设备和专业技术能力；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3.具有依法缴纳税收和社会保障资金的良好记录；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4.参加政府采购活动前三年内，在经营活动中没有重大违法记录。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供应商名称（公章）</w:t>
      </w:r>
    </w:p>
    <w:p>
      <w:pPr>
        <w:spacing w:line="360" w:lineRule="auto"/>
        <w:ind w:firstLine="420" w:firstLineChars="200"/>
        <w:jc w:val="left"/>
        <w:rPr>
          <w:rFonts w:hint="eastAsia"/>
          <w:b/>
          <w:bCs/>
          <w:color w:val="auto"/>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日期：</w:t>
      </w:r>
      <w:r>
        <w:rPr>
          <w:rFonts w:hint="eastAsia"/>
          <w:b/>
          <w:bCs/>
          <w:color w:val="auto"/>
          <w:highlight w:val="none"/>
        </w:rPr>
        <w:br w:type="page"/>
      </w:r>
    </w:p>
    <w:p>
      <w:pPr>
        <w:pStyle w:val="8"/>
        <w:rPr>
          <w:color w:val="auto"/>
          <w:highlight w:val="none"/>
        </w:rPr>
      </w:pPr>
      <w:r>
        <w:rPr>
          <w:rFonts w:hint="eastAsia"/>
          <w:b/>
          <w:bCs/>
          <w:color w:val="auto"/>
          <w:highlight w:val="none"/>
        </w:rPr>
        <w:t>格式</w:t>
      </w:r>
      <w:r>
        <w:rPr>
          <w:rFonts w:hint="eastAsia"/>
          <w:b/>
          <w:bCs/>
          <w:color w:val="auto"/>
          <w:highlight w:val="none"/>
          <w:lang w:val="en-US" w:eastAsia="zh-CN"/>
        </w:rPr>
        <w:t>八</w:t>
      </w:r>
      <w:r>
        <w:rPr>
          <w:rFonts w:hint="eastAsia"/>
          <w:b/>
          <w:bCs/>
          <w:color w:val="auto"/>
          <w:highlight w:val="none"/>
        </w:rPr>
        <w:t>：</w:t>
      </w:r>
    </w:p>
    <w:p>
      <w:pPr>
        <w:rPr>
          <w:color w:val="auto"/>
          <w:highlight w:val="none"/>
        </w:rPr>
      </w:pPr>
    </w:p>
    <w:p>
      <w:pPr>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rPr>
          <w:b/>
          <w:bCs/>
          <w:color w:val="auto"/>
          <w:sz w:val="24"/>
          <w:szCs w:val="32"/>
          <w:highlight w:val="none"/>
        </w:rPr>
      </w:pPr>
      <w:r>
        <w:rPr>
          <w:rFonts w:hint="eastAsia"/>
          <w:b/>
          <w:bCs/>
          <w:color w:val="auto"/>
          <w:sz w:val="24"/>
          <w:szCs w:val="32"/>
          <w:highlight w:val="none"/>
        </w:rPr>
        <w:t>格式</w:t>
      </w:r>
      <w:r>
        <w:rPr>
          <w:rFonts w:hint="eastAsia"/>
          <w:b/>
          <w:bCs/>
          <w:color w:val="auto"/>
          <w:sz w:val="24"/>
          <w:szCs w:val="32"/>
          <w:highlight w:val="none"/>
          <w:lang w:val="en-US" w:eastAsia="zh-CN"/>
        </w:rPr>
        <w:t>九</w:t>
      </w:r>
      <w:r>
        <w:rPr>
          <w:rFonts w:hint="eastAsia"/>
          <w:b/>
          <w:bCs/>
          <w:color w:val="auto"/>
          <w:sz w:val="24"/>
          <w:szCs w:val="32"/>
          <w:highlight w:val="none"/>
        </w:rPr>
        <w:t>：</w:t>
      </w:r>
    </w:p>
    <w:p>
      <w:pPr>
        <w:pStyle w:val="8"/>
        <w:jc w:val="center"/>
        <w:rPr>
          <w:b/>
          <w:bCs/>
          <w:color w:val="auto"/>
          <w:highlight w:val="none"/>
          <w:lang w:val="en-US"/>
        </w:rPr>
      </w:pPr>
      <w:r>
        <w:rPr>
          <w:b/>
          <w:bCs/>
          <w:color w:val="auto"/>
          <w:highlight w:val="none"/>
          <w:lang w:val="en-US"/>
        </w:rPr>
        <w:t>投标人业绩情况表</w:t>
      </w:r>
    </w:p>
    <w:p>
      <w:pPr>
        <w:pStyle w:val="8"/>
        <w:spacing w:before="2" w:after="1"/>
        <w:rPr>
          <w:b/>
          <w:color w:val="auto"/>
          <w:sz w:val="17"/>
          <w:highlight w:val="none"/>
        </w:rPr>
      </w:pPr>
    </w:p>
    <w:tbl>
      <w:tblPr>
        <w:tblStyle w:val="15"/>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8"/>
        <w:rPr>
          <w:b/>
          <w:bCs/>
          <w:color w:val="auto"/>
          <w:highlight w:val="none"/>
          <w:lang w:val="en-US"/>
        </w:rPr>
      </w:pPr>
      <w:r>
        <w:rPr>
          <w:rFonts w:hint="eastAsia"/>
          <w:b/>
          <w:bCs/>
          <w:color w:val="auto"/>
          <w:highlight w:val="none"/>
          <w:lang w:val="en-US"/>
        </w:rPr>
        <w:t>格式十：</w:t>
      </w:r>
    </w:p>
    <w:p>
      <w:pPr>
        <w:jc w:val="center"/>
        <w:rPr>
          <w:b/>
          <w:bCs/>
          <w:color w:val="auto"/>
          <w:sz w:val="24"/>
          <w:szCs w:val="32"/>
          <w:highlight w:val="none"/>
        </w:rPr>
      </w:pPr>
      <w:r>
        <w:rPr>
          <w:b/>
          <w:bCs/>
          <w:color w:val="auto"/>
          <w:sz w:val="24"/>
          <w:szCs w:val="32"/>
          <w:highlight w:val="none"/>
        </w:rPr>
        <w:t>技术要求响应表</w:t>
      </w:r>
    </w:p>
    <w:p>
      <w:pPr>
        <w:pStyle w:val="8"/>
        <w:rPr>
          <w:color w:val="auto"/>
          <w:highlight w:val="none"/>
          <w:lang w:val="en-US"/>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bl>
    <w:p>
      <w:pPr>
        <w:pStyle w:val="8"/>
        <w:rPr>
          <w:color w:val="auto"/>
          <w:highlight w:val="none"/>
          <w:lang w:val="en-US"/>
        </w:rPr>
      </w:pPr>
    </w:p>
    <w:p>
      <w:pPr>
        <w:rPr>
          <w:color w:val="auto"/>
          <w:highlight w:val="none"/>
        </w:rPr>
      </w:pP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pPr>
        <w:pStyle w:val="20"/>
        <w:tabs>
          <w:tab w:val="left" w:pos="731"/>
        </w:tabs>
        <w:autoSpaceDE w:val="0"/>
        <w:autoSpaceDN w:val="0"/>
        <w:spacing w:line="360" w:lineRule="auto"/>
        <w:ind w:firstLine="423"/>
        <w:rPr>
          <w:rFonts w:ascii="宋体" w:hAnsi="宋体" w:cs="宋体"/>
          <w:color w:val="auto"/>
          <w:w w:val="101"/>
          <w:szCs w:val="21"/>
          <w:highlight w:val="none"/>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w:t>
      </w:r>
      <w:r>
        <w:rPr>
          <w:rFonts w:hint="eastAsia"/>
          <w:b/>
          <w:bCs/>
          <w:color w:val="auto"/>
          <w:sz w:val="24"/>
          <w:highlight w:val="none"/>
          <w:lang w:val="en-US" w:eastAsia="zh-CN"/>
        </w:rPr>
        <w:t>一</w:t>
      </w:r>
      <w:r>
        <w:rPr>
          <w:rFonts w:hint="eastAsia"/>
          <w:b/>
          <w:bCs/>
          <w:color w:val="auto"/>
          <w:sz w:val="24"/>
          <w:highlight w:val="none"/>
        </w:rPr>
        <w:t>：</w:t>
      </w:r>
    </w:p>
    <w:p>
      <w:pPr>
        <w:pStyle w:val="8"/>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bl>
    <w:p>
      <w:pPr>
        <w:pStyle w:val="8"/>
        <w:rPr>
          <w:color w:val="auto"/>
          <w:sz w:val="21"/>
          <w:szCs w:val="21"/>
          <w:highlight w:val="none"/>
          <w:lang w:val="en-US"/>
        </w:rPr>
      </w:pPr>
    </w:p>
    <w:p>
      <w:pPr>
        <w:rPr>
          <w:color w:val="auto"/>
          <w:szCs w:val="21"/>
          <w:highlight w:val="none"/>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pPr>
        <w:pStyle w:val="8"/>
        <w:autoSpaceDE w:val="0"/>
        <w:autoSpaceDN w:val="0"/>
        <w:spacing w:before="0" w:line="360" w:lineRule="auto"/>
        <w:ind w:left="0" w:firstLine="420" w:firstLineChars="200"/>
        <w:rPr>
          <w:color w:val="auto"/>
          <w:sz w:val="21"/>
          <w:szCs w:val="21"/>
          <w:highlight w:val="none"/>
          <w:lang w:val="en-US"/>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w:t>
      </w:r>
      <w:r>
        <w:rPr>
          <w:rFonts w:hint="eastAsia"/>
          <w:b/>
          <w:bCs/>
          <w:color w:val="auto"/>
          <w:sz w:val="24"/>
          <w:highlight w:val="none"/>
          <w:lang w:val="en-US" w:eastAsia="zh-CN"/>
        </w:rPr>
        <w:t>二</w:t>
      </w:r>
      <w:r>
        <w:rPr>
          <w:rFonts w:hint="eastAsia"/>
          <w:b/>
          <w:bCs/>
          <w:color w:val="auto"/>
          <w:sz w:val="24"/>
          <w:highlight w:val="none"/>
        </w:rPr>
        <w:t>：</w:t>
      </w:r>
    </w:p>
    <w:p>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pStyle w:val="8"/>
        <w:spacing w:before="8"/>
        <w:rPr>
          <w:color w:val="auto"/>
          <w:sz w:val="13"/>
          <w:highlight w:val="none"/>
        </w:rPr>
      </w:pPr>
    </w:p>
    <w:p>
      <w:pPr>
        <w:pStyle w:val="2"/>
        <w:rPr>
          <w:color w:val="auto"/>
          <w:highlight w:val="none"/>
        </w:rPr>
      </w:pPr>
      <w:bookmarkStart w:id="193" w:name="_Toc20098"/>
      <w:r>
        <w:rPr>
          <w:color w:val="auto"/>
          <w:highlight w:val="none"/>
        </w:rPr>
        <w:t>履约进度计划表</w:t>
      </w:r>
      <w:bookmarkEnd w:id="193"/>
    </w:p>
    <w:p>
      <w:pPr>
        <w:pStyle w:val="8"/>
        <w:spacing w:before="2" w:after="1"/>
        <w:rPr>
          <w:b/>
          <w:color w:val="auto"/>
          <w:sz w:val="17"/>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pPr>
              <w:pStyle w:val="22"/>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outlineLvl w:val="1"/>
        <w:rPr>
          <w:b/>
          <w:bCs/>
          <w:color w:val="auto"/>
          <w:sz w:val="24"/>
          <w:szCs w:val="32"/>
          <w:highlight w:val="none"/>
        </w:rPr>
      </w:pPr>
      <w:bookmarkStart w:id="194" w:name="_Toc2912"/>
      <w:r>
        <w:rPr>
          <w:rFonts w:hint="eastAsia"/>
          <w:b/>
          <w:bCs/>
          <w:color w:val="auto"/>
          <w:sz w:val="24"/>
          <w:szCs w:val="32"/>
          <w:highlight w:val="none"/>
        </w:rPr>
        <w:t>格式十</w:t>
      </w:r>
      <w:r>
        <w:rPr>
          <w:rFonts w:hint="eastAsia"/>
          <w:b/>
          <w:bCs/>
          <w:color w:val="auto"/>
          <w:sz w:val="24"/>
          <w:szCs w:val="32"/>
          <w:highlight w:val="none"/>
          <w:lang w:val="en-US" w:eastAsia="zh-CN"/>
        </w:rPr>
        <w:t>三</w:t>
      </w:r>
      <w:r>
        <w:rPr>
          <w:rFonts w:hint="eastAsia"/>
          <w:b/>
          <w:bCs/>
          <w:color w:val="auto"/>
          <w:sz w:val="24"/>
          <w:szCs w:val="32"/>
          <w:highlight w:val="none"/>
        </w:rPr>
        <w:t>：</w:t>
      </w:r>
      <w:bookmarkEnd w:id="194"/>
    </w:p>
    <w:p>
      <w:pPr>
        <w:pStyle w:val="8"/>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rPr>
          <w:color w:val="auto"/>
          <w:sz w:val="20"/>
          <w:szCs w:val="20"/>
          <w:highlight w:val="none"/>
        </w:rPr>
      </w:pPr>
    </w:p>
    <w:p>
      <w:pPr>
        <w:pStyle w:val="8"/>
        <w:jc w:val="center"/>
        <w:rPr>
          <w:b/>
          <w:bCs/>
          <w:color w:val="auto"/>
          <w:highlight w:val="none"/>
        </w:rPr>
      </w:pPr>
      <w:r>
        <w:rPr>
          <w:b/>
          <w:bCs/>
          <w:color w:val="auto"/>
          <w:highlight w:val="none"/>
        </w:rPr>
        <w:t>各类证明材料</w:t>
      </w:r>
    </w:p>
    <w:p>
      <w:pPr>
        <w:pStyle w:val="20"/>
        <w:tabs>
          <w:tab w:val="left" w:pos="673"/>
        </w:tabs>
        <w:spacing w:line="360" w:lineRule="auto"/>
        <w:ind w:firstLine="0" w:firstLineChars="0"/>
        <w:outlineLvl w:val="1"/>
        <w:rPr>
          <w:rFonts w:ascii="宋体" w:hAnsi="宋体" w:cs="宋体"/>
          <w:color w:val="auto"/>
          <w:szCs w:val="21"/>
          <w:highlight w:val="none"/>
        </w:rPr>
      </w:pPr>
      <w:bookmarkStart w:id="195" w:name="_Toc14919"/>
      <w:r>
        <w:rPr>
          <w:rFonts w:hint="eastAsia" w:ascii="宋体" w:hAnsi="宋体" w:cs="宋体"/>
          <w:color w:val="auto"/>
          <w:szCs w:val="21"/>
          <w:highlight w:val="none"/>
        </w:rPr>
        <w:t>1、招标文件要求提供的其他资料。</w:t>
      </w:r>
      <w:bookmarkEnd w:id="195"/>
    </w:p>
    <w:p>
      <w:pPr>
        <w:pStyle w:val="20"/>
        <w:tabs>
          <w:tab w:val="left" w:pos="673"/>
        </w:tabs>
        <w:spacing w:line="360" w:lineRule="auto"/>
        <w:ind w:firstLine="0" w:firstLineChars="0"/>
        <w:outlineLvl w:val="1"/>
        <w:rPr>
          <w:rFonts w:ascii="宋体" w:hAnsi="宋体" w:cs="宋体"/>
          <w:color w:val="auto"/>
          <w:szCs w:val="21"/>
          <w:highlight w:val="none"/>
        </w:rPr>
      </w:pPr>
      <w:bookmarkStart w:id="196" w:name="_Toc7938"/>
      <w:r>
        <w:rPr>
          <w:rFonts w:hint="eastAsia" w:ascii="宋体" w:hAnsi="宋体" w:cs="宋体"/>
          <w:color w:val="auto"/>
          <w:szCs w:val="21"/>
          <w:highlight w:val="none"/>
        </w:rPr>
        <w:t>2、投标人认为需提供的其他资料。</w:t>
      </w:r>
      <w:bookmarkEnd w:id="196"/>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197" w:name="_Toc30382"/>
      <w:r>
        <w:rPr>
          <w:rFonts w:hint="eastAsia" w:ascii="宋体" w:hAnsi="宋体" w:cs="宋体"/>
          <w:b/>
          <w:bCs/>
          <w:color w:val="auto"/>
          <w:sz w:val="24"/>
          <w:highlight w:val="none"/>
        </w:rPr>
        <w:t>格式十</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w:t>
      </w:r>
      <w:bookmarkEnd w:id="197"/>
    </w:p>
    <w:p>
      <w:pPr>
        <w:pStyle w:val="20"/>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投标人法定名称（公章）：</w:t>
      </w:r>
    </w:p>
    <w:p>
      <w:pPr>
        <w:spacing w:line="480" w:lineRule="auto"/>
        <w:ind w:firstLine="420" w:firstLineChars="200"/>
        <w:rPr>
          <w:color w:val="auto"/>
          <w:highlight w:val="none"/>
        </w:rPr>
      </w:pPr>
      <w:r>
        <w:rPr>
          <w:rFonts w:hint="eastAsia"/>
          <w:color w:val="auto"/>
          <w:highlight w:val="none"/>
        </w:rPr>
        <w:t>投标人法定地址：</w:t>
      </w:r>
    </w:p>
    <w:p>
      <w:pPr>
        <w:spacing w:line="480" w:lineRule="auto"/>
        <w:ind w:firstLine="420" w:firstLineChars="200"/>
        <w:rPr>
          <w:color w:val="auto"/>
          <w:highlight w:val="none"/>
        </w:rPr>
      </w:pPr>
      <w:r>
        <w:rPr>
          <w:rFonts w:hint="eastAsia"/>
          <w:color w:val="auto"/>
          <w:highlight w:val="none"/>
        </w:rPr>
        <w:t>投标人授权代表（签字或盖章）：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20"/>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198" w:name="_Toc3970"/>
      <w:r>
        <w:rPr>
          <w:rFonts w:hint="eastAsia" w:ascii="宋体" w:hAnsi="宋体" w:cs="宋体"/>
          <w:b/>
          <w:bCs/>
          <w:color w:val="auto"/>
          <w:sz w:val="24"/>
          <w:highlight w:val="none"/>
        </w:rPr>
        <w:t>格式十五：</w:t>
      </w:r>
      <w:bookmarkEnd w:id="198"/>
    </w:p>
    <w:p>
      <w:pPr>
        <w:pStyle w:val="8"/>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pPr>
        <w:pStyle w:val="8"/>
        <w:spacing w:before="8"/>
        <w:rPr>
          <w:color w:val="auto"/>
          <w:sz w:val="21"/>
          <w:szCs w:val="21"/>
          <w:highlight w:val="none"/>
        </w:rPr>
      </w:pPr>
    </w:p>
    <w:p>
      <w:pPr>
        <w:jc w:val="center"/>
        <w:outlineLvl w:val="1"/>
        <w:rPr>
          <w:rFonts w:ascii="宋体" w:hAnsi="宋体" w:cs="宋体"/>
          <w:b/>
          <w:bCs/>
          <w:color w:val="auto"/>
          <w:szCs w:val="21"/>
          <w:highlight w:val="none"/>
        </w:rPr>
      </w:pPr>
      <w:bookmarkStart w:id="199" w:name="_Toc4401"/>
      <w:r>
        <w:rPr>
          <w:rFonts w:hint="eastAsia" w:ascii="宋体" w:hAnsi="宋体" w:cs="宋体"/>
          <w:b/>
          <w:bCs/>
          <w:color w:val="auto"/>
          <w:szCs w:val="21"/>
          <w:highlight w:val="none"/>
        </w:rPr>
        <w:t>需要招标人提供的附加条件</w:t>
      </w:r>
      <w:bookmarkEnd w:id="199"/>
    </w:p>
    <w:p>
      <w:pPr>
        <w:pStyle w:val="8"/>
        <w:autoSpaceDE w:val="0"/>
        <w:autoSpaceDN w:val="0"/>
        <w:spacing w:before="0" w:line="360" w:lineRule="auto"/>
        <w:ind w:left="0"/>
        <w:rPr>
          <w:b/>
          <w:color w:val="auto"/>
          <w:sz w:val="21"/>
          <w:szCs w:val="21"/>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pPr>
              <w:pStyle w:val="22"/>
              <w:spacing w:line="360" w:lineRule="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pPr>
        <w:rPr>
          <w:color w:val="auto"/>
          <w:sz w:val="20"/>
          <w:szCs w:val="20"/>
          <w:highlight w:val="none"/>
        </w:rPr>
      </w:pPr>
      <w:r>
        <w:rPr>
          <w:color w:val="auto"/>
          <w:sz w:val="20"/>
          <w:szCs w:val="20"/>
          <w:highlight w:val="none"/>
        </w:rPr>
        <w:br w:type="page"/>
      </w:r>
    </w:p>
    <w:p>
      <w:pPr>
        <w:pStyle w:val="8"/>
        <w:outlineLvl w:val="1"/>
        <w:rPr>
          <w:b/>
          <w:bCs/>
          <w:color w:val="auto"/>
          <w:highlight w:val="none"/>
          <w:lang w:val="en-US"/>
        </w:rPr>
      </w:pPr>
      <w:bookmarkStart w:id="200" w:name="_Toc25747"/>
      <w:r>
        <w:rPr>
          <w:rFonts w:hint="eastAsia"/>
          <w:b/>
          <w:bCs/>
          <w:color w:val="auto"/>
          <w:highlight w:val="none"/>
          <w:lang w:val="en-US"/>
        </w:rPr>
        <w:t>格式十六：</w:t>
      </w:r>
      <w:bookmarkEnd w:id="200"/>
    </w:p>
    <w:p>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pPr>
        <w:pStyle w:val="8"/>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3"/>
        <w:rPr>
          <w:color w:val="auto"/>
          <w:highlight w:val="none"/>
        </w:rPr>
      </w:pPr>
      <w:bookmarkStart w:id="201" w:name="_Toc27211"/>
      <w:r>
        <w:rPr>
          <w:rFonts w:hint="eastAsia"/>
          <w:color w:val="auto"/>
          <w:highlight w:val="none"/>
        </w:rPr>
        <w:t>第七篇 开标文件格式</w:t>
      </w:r>
      <w:bookmarkEnd w:id="201"/>
    </w:p>
    <w:p>
      <w:pPr>
        <w:jc w:val="center"/>
        <w:outlineLvl w:val="1"/>
        <w:rPr>
          <w:b/>
          <w:bCs/>
          <w:color w:val="auto"/>
          <w:highlight w:val="none"/>
        </w:rPr>
      </w:pPr>
      <w:bookmarkStart w:id="202" w:name="_Toc32249"/>
      <w:r>
        <w:rPr>
          <w:rFonts w:hint="eastAsia"/>
          <w:b/>
          <w:bCs/>
          <w:color w:val="auto"/>
          <w:highlight w:val="none"/>
        </w:rPr>
        <w:t>（封面格式仅供参考）</w:t>
      </w:r>
      <w:bookmarkEnd w:id="202"/>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203"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203"/>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204"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204"/>
    </w:p>
    <w:p>
      <w:pPr>
        <w:autoSpaceDE w:val="0"/>
        <w:autoSpaceDN w:val="0"/>
        <w:spacing w:line="479" w:lineRule="exact"/>
        <w:jc w:val="center"/>
        <w:rPr>
          <w:rFonts w:ascii="宋体" w:hAnsi="宋体" w:cs="宋体"/>
          <w:b/>
          <w:bCs/>
          <w:color w:val="auto"/>
          <w:sz w:val="24"/>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8"/>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pPr>
        <w:pStyle w:val="8"/>
        <w:spacing w:before="0" w:line="360" w:lineRule="auto"/>
        <w:ind w:left="0"/>
        <w:outlineLvl w:val="1"/>
        <w:rPr>
          <w:b/>
          <w:bCs/>
          <w:color w:val="auto"/>
          <w:sz w:val="21"/>
          <w:szCs w:val="21"/>
          <w:highlight w:val="none"/>
          <w:lang w:val="en-US"/>
        </w:rPr>
      </w:pPr>
      <w:bookmarkStart w:id="205" w:name="_Toc32100"/>
      <w:r>
        <w:rPr>
          <w:rFonts w:hint="eastAsia"/>
          <w:b/>
          <w:bCs/>
          <w:color w:val="auto"/>
          <w:sz w:val="21"/>
          <w:szCs w:val="21"/>
          <w:highlight w:val="none"/>
          <w:lang w:val="en-US"/>
        </w:rPr>
        <w:t>1、开标一览表</w:t>
      </w:r>
      <w:bookmarkEnd w:id="205"/>
    </w:p>
    <w:p>
      <w:pPr>
        <w:spacing w:line="360" w:lineRule="auto"/>
        <w:outlineLvl w:val="1"/>
        <w:rPr>
          <w:rFonts w:ascii="宋体" w:hAnsi="宋体" w:cs="宋体"/>
          <w:b/>
          <w:bCs/>
          <w:color w:val="auto"/>
          <w:szCs w:val="21"/>
          <w:highlight w:val="none"/>
        </w:rPr>
      </w:pPr>
      <w:bookmarkStart w:id="206" w:name="_Toc8054"/>
      <w:r>
        <w:rPr>
          <w:rFonts w:hint="eastAsia" w:ascii="宋体" w:hAnsi="宋体" w:cs="宋体"/>
          <w:b/>
          <w:bCs/>
          <w:color w:val="auto"/>
          <w:szCs w:val="21"/>
          <w:highlight w:val="none"/>
        </w:rPr>
        <w:t>2、分项报价表</w:t>
      </w:r>
      <w:bookmarkEnd w:id="206"/>
    </w:p>
    <w:p>
      <w:pPr>
        <w:pStyle w:val="8"/>
        <w:spacing w:before="0" w:line="360" w:lineRule="auto"/>
        <w:ind w:left="0"/>
        <w:outlineLvl w:val="1"/>
        <w:rPr>
          <w:b/>
          <w:bCs/>
          <w:color w:val="auto"/>
          <w:sz w:val="21"/>
          <w:szCs w:val="21"/>
          <w:highlight w:val="none"/>
          <w:lang w:val="en-US"/>
        </w:rPr>
      </w:pPr>
      <w:bookmarkStart w:id="207" w:name="_Toc5011"/>
      <w:r>
        <w:rPr>
          <w:rFonts w:hint="eastAsia"/>
          <w:b/>
          <w:bCs/>
          <w:color w:val="auto"/>
          <w:sz w:val="21"/>
          <w:szCs w:val="21"/>
          <w:highlight w:val="none"/>
          <w:lang w:val="en-US"/>
        </w:rPr>
        <w:t>3、法定代表人证明书</w:t>
      </w:r>
      <w:bookmarkEnd w:id="207"/>
    </w:p>
    <w:p>
      <w:pPr>
        <w:pStyle w:val="8"/>
        <w:spacing w:before="0" w:line="360" w:lineRule="auto"/>
        <w:ind w:left="0"/>
        <w:outlineLvl w:val="1"/>
        <w:rPr>
          <w:b/>
          <w:bCs/>
          <w:color w:val="auto"/>
          <w:sz w:val="21"/>
          <w:szCs w:val="21"/>
          <w:highlight w:val="none"/>
          <w:lang w:val="en-US"/>
        </w:rPr>
      </w:pPr>
      <w:bookmarkStart w:id="208" w:name="_Toc27439"/>
      <w:r>
        <w:rPr>
          <w:rFonts w:hint="eastAsia"/>
          <w:b/>
          <w:bCs/>
          <w:color w:val="auto"/>
          <w:sz w:val="21"/>
          <w:szCs w:val="21"/>
          <w:highlight w:val="none"/>
          <w:lang w:val="en-US"/>
        </w:rPr>
        <w:t>4、法定代表人授权书</w:t>
      </w:r>
      <w:bookmarkEnd w:id="208"/>
    </w:p>
    <w:p>
      <w:pPr>
        <w:spacing w:line="360" w:lineRule="auto"/>
        <w:outlineLvl w:val="1"/>
        <w:rPr>
          <w:rFonts w:ascii="宋体" w:hAnsi="宋体" w:cs="宋体"/>
          <w:b/>
          <w:bCs/>
          <w:color w:val="auto"/>
          <w:szCs w:val="21"/>
          <w:highlight w:val="none"/>
        </w:rPr>
      </w:pPr>
      <w:bookmarkStart w:id="209" w:name="_Toc16304"/>
      <w:r>
        <w:rPr>
          <w:rFonts w:hint="eastAsia" w:ascii="宋体" w:hAnsi="宋体" w:cs="宋体"/>
          <w:b/>
          <w:bCs/>
          <w:color w:val="auto"/>
          <w:szCs w:val="21"/>
          <w:highlight w:val="none"/>
        </w:rPr>
        <w:t>5、投标保证金</w:t>
      </w:r>
      <w:bookmarkEnd w:id="209"/>
    </w:p>
    <w:p>
      <w:pPr>
        <w:rPr>
          <w:color w:val="auto"/>
          <w:highlight w:val="none"/>
        </w:rPr>
      </w:pPr>
    </w:p>
    <w:p>
      <w:pPr>
        <w:pStyle w:val="8"/>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3"/>
        <w:rPr>
          <w:color w:val="auto"/>
          <w:highlight w:val="none"/>
        </w:rPr>
      </w:pPr>
      <w:bookmarkStart w:id="210" w:name="_Toc2722"/>
      <w:r>
        <w:rPr>
          <w:rFonts w:hint="eastAsia"/>
          <w:color w:val="auto"/>
          <w:highlight w:val="none"/>
        </w:rPr>
        <w:t>第八篇 其它文件格式（如有需要）</w:t>
      </w:r>
      <w:bookmarkEnd w:id="210"/>
    </w:p>
    <w:p>
      <w:pPr>
        <w:rPr>
          <w:b/>
          <w:bCs/>
          <w:color w:val="auto"/>
          <w:highlight w:val="none"/>
        </w:rPr>
      </w:pPr>
      <w:r>
        <w:rPr>
          <w:rFonts w:hint="eastAsia"/>
          <w:b/>
          <w:bCs/>
          <w:color w:val="auto"/>
          <w:highlight w:val="none"/>
        </w:rPr>
        <w:t>格式一：</w:t>
      </w:r>
    </w:p>
    <w:p>
      <w:pPr>
        <w:jc w:val="center"/>
        <w:rPr>
          <w:b/>
          <w:bCs/>
          <w:color w:val="auto"/>
          <w:highlight w:val="none"/>
        </w:rPr>
      </w:pPr>
      <w:r>
        <w:rPr>
          <w:b/>
          <w:bCs/>
          <w:color w:val="auto"/>
          <w:highlight w:val="none"/>
        </w:rPr>
        <w:t>询问函、质疑函格式</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pPr>
        <w:jc w:val="center"/>
        <w:rPr>
          <w:b/>
          <w:bCs/>
          <w:color w:val="auto"/>
          <w:highlight w:val="none"/>
        </w:rPr>
      </w:pPr>
      <w:r>
        <w:rPr>
          <w:b/>
          <w:bCs/>
          <w:color w:val="auto"/>
          <w:highlight w:val="none"/>
        </w:rPr>
        <w:t>询问函</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pPr>
        <w:pStyle w:val="8"/>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8"/>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8"/>
        <w:tabs>
          <w:tab w:val="left" w:pos="10713"/>
        </w:tabs>
        <w:autoSpaceDE w:val="0"/>
        <w:autoSpaceDN w:val="0"/>
        <w:spacing w:before="0" w:line="360" w:lineRule="auto"/>
        <w:ind w:left="0" w:firstLine="420" w:firstLineChars="200"/>
        <w:rPr>
          <w:color w:val="auto"/>
          <w:sz w:val="21"/>
          <w:szCs w:val="21"/>
          <w:highlight w:val="none"/>
        </w:rPr>
      </w:pP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8"/>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jc w:val="center"/>
        <w:rPr>
          <w:b/>
          <w:bCs/>
          <w:color w:val="auto"/>
          <w:highlight w:val="none"/>
        </w:rPr>
      </w:pPr>
      <w:r>
        <w:rPr>
          <w:b/>
          <w:bCs/>
          <w:color w:val="auto"/>
          <w:highlight w:val="none"/>
        </w:rPr>
        <w:t>质疑函</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8"/>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8"/>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8"/>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8"/>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8"/>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pPr>
        <w:pStyle w:val="8"/>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8"/>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8"/>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8"/>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8"/>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8"/>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8"/>
        <w:tabs>
          <w:tab w:val="left" w:pos="3165"/>
          <w:tab w:val="left" w:pos="5818"/>
        </w:tabs>
        <w:autoSpaceDE w:val="0"/>
        <w:autoSpaceDN w:val="0"/>
        <w:spacing w:line="360" w:lineRule="auto"/>
        <w:ind w:left="0" w:firstLine="420" w:firstLineChars="200"/>
        <w:rPr>
          <w:color w:val="auto"/>
          <w:sz w:val="21"/>
          <w:szCs w:val="21"/>
          <w:highlight w:val="none"/>
        </w:rPr>
      </w:pPr>
    </w:p>
    <w:p>
      <w:pPr>
        <w:pStyle w:val="8"/>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rFonts w:hint="eastAsia"/>
          <w:color w:val="auto"/>
          <w:spacing w:val="-3"/>
          <w:sz w:val="21"/>
          <w:szCs w:val="21"/>
          <w:highlight w:val="none"/>
          <w:lang w:eastAsia="zh-CN"/>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8"/>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8"/>
        <w:autoSpaceDE w:val="0"/>
        <w:autoSpaceDN w:val="0"/>
        <w:spacing w:line="360" w:lineRule="auto"/>
        <w:ind w:left="0" w:firstLine="420" w:firstLineChars="200"/>
        <w:rPr>
          <w:color w:val="auto"/>
          <w:sz w:val="21"/>
          <w:szCs w:val="21"/>
          <w:highlight w:val="none"/>
        </w:rPr>
      </w:pP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20"/>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8"/>
        <w:rPr>
          <w:b/>
          <w:bCs/>
          <w:color w:val="auto"/>
          <w:highlight w:val="none"/>
        </w:rPr>
      </w:pPr>
      <w:r>
        <w:rPr>
          <w:rFonts w:hint="eastAsia"/>
          <w:b/>
          <w:bCs/>
          <w:color w:val="auto"/>
          <w:highlight w:val="none"/>
        </w:rPr>
        <w:t>格式二：</w:t>
      </w:r>
    </w:p>
    <w:p>
      <w:pPr>
        <w:jc w:val="center"/>
        <w:rPr>
          <w:b/>
          <w:bCs/>
          <w:color w:val="auto"/>
          <w:highlight w:val="none"/>
        </w:rPr>
      </w:pPr>
      <w:r>
        <w:rPr>
          <w:rFonts w:hint="eastAsia"/>
          <w:b/>
          <w:bCs/>
          <w:color w:val="auto"/>
          <w:highlight w:val="none"/>
        </w:rPr>
        <w:t>投标担保函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8"/>
        <w:rPr>
          <w:b/>
          <w:bCs/>
          <w:color w:val="auto"/>
          <w:highlight w:val="none"/>
        </w:rPr>
      </w:pPr>
      <w:r>
        <w:rPr>
          <w:rFonts w:hint="eastAsia"/>
          <w:b/>
          <w:bCs/>
          <w:color w:val="auto"/>
          <w:highlight w:val="none"/>
        </w:rPr>
        <w:t>格式三：</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w:t>
      </w:r>
      <w:r>
        <w:rPr>
          <w:rFonts w:hint="eastAsia" w:ascii="宋体" w:hAnsi="宋体" w:cs="宋体"/>
          <w:color w:val="auto"/>
          <w:szCs w:val="21"/>
          <w:highlight w:val="none"/>
          <w:lang w:eastAsia="zh-CN"/>
        </w:rPr>
        <w:t>（</w:t>
      </w:r>
      <w:r>
        <w:rPr>
          <w:rFonts w:hint="eastAsia" w:ascii="宋体" w:hAnsi="宋体" w:cs="宋体"/>
          <w:color w:val="auto"/>
          <w:szCs w:val="21"/>
          <w:highlight w:val="none"/>
        </w:rPr>
        <w:t>招标人)：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2)_______________________________________________________________。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8"/>
        <w:rPr>
          <w:b/>
          <w:bCs/>
          <w:color w:val="auto"/>
          <w:highlight w:val="none"/>
        </w:rPr>
      </w:pPr>
      <w:r>
        <w:rPr>
          <w:rFonts w:hint="eastAsia"/>
          <w:b/>
          <w:bCs/>
          <w:color w:val="auto"/>
          <w:highlight w:val="none"/>
        </w:rPr>
        <w:t>格式四：</w:t>
      </w:r>
    </w:p>
    <w:p>
      <w:pPr>
        <w:jc w:val="center"/>
        <w:rPr>
          <w:b/>
          <w:bCs/>
          <w:color w:val="auto"/>
          <w:highlight w:val="none"/>
        </w:rPr>
      </w:pPr>
      <w:r>
        <w:rPr>
          <w:rFonts w:hint="eastAsia"/>
          <w:b/>
          <w:bCs/>
          <w:color w:val="auto"/>
          <w:highlight w:val="none"/>
        </w:rPr>
        <w:t>联合体共同投标协议书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pPr>
        <w:spacing w:line="360" w:lineRule="auto"/>
        <w:rPr>
          <w:rFonts w:ascii="宋体" w:hAnsi="宋体" w:cs="宋体"/>
          <w:color w:val="auto"/>
          <w:highlight w:val="none"/>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思源黑体 CN Heavy">
    <w:altName w:val="黑体"/>
    <w:panose1 w:val="000000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eastAsia" w:eastAsia="宋体"/>
        <w:lang w:eastAsia="zh-CN"/>
      </w:rPr>
    </w:pPr>
    <w:r>
      <w:rPr>
        <w:rFonts w:hint="eastAsia"/>
        <w:lang w:eastAsia="zh-CN"/>
      </w:rPr>
      <w:t>东坑镇黄屋村环卫清扫保洁、生活垃圾收集、“牛皮癣”清理、绿化养护服务采购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73AA4"/>
    <w:multiLevelType w:val="singleLevel"/>
    <w:tmpl w:val="99073AA4"/>
    <w:lvl w:ilvl="0" w:tentative="0">
      <w:start w:val="1"/>
      <w:numFmt w:val="chineseCounting"/>
      <w:suff w:val="space"/>
      <w:lvlText w:val="第%1篇"/>
      <w:lvlJc w:val="left"/>
      <w:rPr>
        <w:rFonts w:hint="eastAsia"/>
      </w:rPr>
    </w:lvl>
  </w:abstractNum>
  <w:abstractNum w:abstractNumId="1">
    <w:nsid w:val="E55BFF18"/>
    <w:multiLevelType w:val="singleLevel"/>
    <w:tmpl w:val="E55BFF18"/>
    <w:lvl w:ilvl="0" w:tentative="0">
      <w:start w:val="1"/>
      <w:numFmt w:val="decimal"/>
      <w:suff w:val="nothing"/>
      <w:lvlText w:val="（%1）"/>
      <w:lvlJc w:val="left"/>
    </w:lvl>
  </w:abstractNum>
  <w:abstractNum w:abstractNumId="2">
    <w:nsid w:val="F3851CDE"/>
    <w:multiLevelType w:val="singleLevel"/>
    <w:tmpl w:val="F3851CDE"/>
    <w:lvl w:ilvl="0" w:tentative="0">
      <w:start w:val="2"/>
      <w:numFmt w:val="chineseCounting"/>
      <w:suff w:val="nothing"/>
      <w:lvlText w:val="%1、"/>
      <w:lvlJc w:val="left"/>
      <w:rPr>
        <w:rFonts w:hint="eastAsia"/>
      </w:rPr>
    </w:lvl>
  </w:abstractNum>
  <w:abstractNum w:abstractNumId="3">
    <w:nsid w:val="F73DC5D7"/>
    <w:multiLevelType w:val="singleLevel"/>
    <w:tmpl w:val="F73DC5D7"/>
    <w:lvl w:ilvl="0" w:tentative="0">
      <w:start w:val="1"/>
      <w:numFmt w:val="decimal"/>
      <w:suff w:val="nothing"/>
      <w:lvlText w:val="（%1）"/>
      <w:lvlJc w:val="left"/>
      <w:pPr>
        <w:ind w:left="660"/>
      </w:pPr>
    </w:lvl>
  </w:abstractNum>
  <w:abstractNum w:abstractNumId="4">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06CABF7"/>
    <w:multiLevelType w:val="singleLevel"/>
    <w:tmpl w:val="206CABF7"/>
    <w:lvl w:ilvl="0" w:tentative="0">
      <w:start w:val="1"/>
      <w:numFmt w:val="decimal"/>
      <w:suff w:val="nothing"/>
      <w:lvlText w:val="（%1）"/>
      <w:lvlJc w:val="left"/>
    </w:lvl>
  </w:abstractNum>
  <w:abstractNum w:abstractNumId="6">
    <w:nsid w:val="32E25990"/>
    <w:multiLevelType w:val="singleLevel"/>
    <w:tmpl w:val="32E25990"/>
    <w:lvl w:ilvl="0" w:tentative="0">
      <w:start w:val="1"/>
      <w:numFmt w:val="decimal"/>
      <w:suff w:val="nothing"/>
      <w:lvlText w:val="%1、"/>
      <w:lvlJc w:val="left"/>
    </w:lvl>
  </w:abstractNum>
  <w:abstractNum w:abstractNumId="7">
    <w:nsid w:val="3F88662E"/>
    <w:multiLevelType w:val="singleLevel"/>
    <w:tmpl w:val="3F88662E"/>
    <w:lvl w:ilvl="0" w:tentative="0">
      <w:start w:val="1"/>
      <w:numFmt w:val="decimal"/>
      <w:suff w:val="space"/>
      <w:lvlText w:val="%1)"/>
      <w:lvlJc w:val="left"/>
    </w:lvl>
  </w:abstractNum>
  <w:num w:numId="1">
    <w:abstractNumId w:val="0"/>
  </w:num>
  <w:num w:numId="2">
    <w:abstractNumId w:val="6"/>
  </w:num>
  <w:num w:numId="3">
    <w:abstractNumId w:val="1"/>
  </w:num>
  <w:num w:numId="4">
    <w:abstractNumId w:val="2"/>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00239C0"/>
    <w:rsid w:val="00036EFF"/>
    <w:rsid w:val="001B4CC4"/>
    <w:rsid w:val="001D0F5C"/>
    <w:rsid w:val="00240B9E"/>
    <w:rsid w:val="00322F58"/>
    <w:rsid w:val="00402A62"/>
    <w:rsid w:val="004165F2"/>
    <w:rsid w:val="004F3033"/>
    <w:rsid w:val="006A68DC"/>
    <w:rsid w:val="0073568B"/>
    <w:rsid w:val="00750EC0"/>
    <w:rsid w:val="008755AA"/>
    <w:rsid w:val="0089082B"/>
    <w:rsid w:val="00890EDC"/>
    <w:rsid w:val="008C2A4C"/>
    <w:rsid w:val="00A24392"/>
    <w:rsid w:val="00A7029B"/>
    <w:rsid w:val="00AE7502"/>
    <w:rsid w:val="00B73293"/>
    <w:rsid w:val="00C21B40"/>
    <w:rsid w:val="00D77B21"/>
    <w:rsid w:val="01455ABA"/>
    <w:rsid w:val="017754C9"/>
    <w:rsid w:val="02CF5979"/>
    <w:rsid w:val="035D45BC"/>
    <w:rsid w:val="03DB3CD5"/>
    <w:rsid w:val="0428632B"/>
    <w:rsid w:val="043A58F7"/>
    <w:rsid w:val="04BC008C"/>
    <w:rsid w:val="057C5CF6"/>
    <w:rsid w:val="05BE394B"/>
    <w:rsid w:val="070A665C"/>
    <w:rsid w:val="07342FC6"/>
    <w:rsid w:val="08B75ED8"/>
    <w:rsid w:val="08F278CA"/>
    <w:rsid w:val="0A5C25E5"/>
    <w:rsid w:val="0AAB1D08"/>
    <w:rsid w:val="0B5B7E94"/>
    <w:rsid w:val="0B696582"/>
    <w:rsid w:val="0C502C33"/>
    <w:rsid w:val="0CD41D0B"/>
    <w:rsid w:val="0CE31B26"/>
    <w:rsid w:val="0DE142A9"/>
    <w:rsid w:val="0E8C422E"/>
    <w:rsid w:val="0F1622A5"/>
    <w:rsid w:val="10AE6151"/>
    <w:rsid w:val="11565C91"/>
    <w:rsid w:val="121918AE"/>
    <w:rsid w:val="126E350F"/>
    <w:rsid w:val="131751AB"/>
    <w:rsid w:val="15380D0C"/>
    <w:rsid w:val="157D67F2"/>
    <w:rsid w:val="161909DD"/>
    <w:rsid w:val="178164D0"/>
    <w:rsid w:val="17C70888"/>
    <w:rsid w:val="18062A99"/>
    <w:rsid w:val="19A95E9D"/>
    <w:rsid w:val="1BBB674D"/>
    <w:rsid w:val="1BE705BF"/>
    <w:rsid w:val="1DB725C0"/>
    <w:rsid w:val="1E440D57"/>
    <w:rsid w:val="20332F5E"/>
    <w:rsid w:val="209314D4"/>
    <w:rsid w:val="23477A98"/>
    <w:rsid w:val="23CC039E"/>
    <w:rsid w:val="244868B3"/>
    <w:rsid w:val="250937D0"/>
    <w:rsid w:val="269A0871"/>
    <w:rsid w:val="29B22AEF"/>
    <w:rsid w:val="29DE5CB2"/>
    <w:rsid w:val="29F618B4"/>
    <w:rsid w:val="2A213986"/>
    <w:rsid w:val="2A6C3AA2"/>
    <w:rsid w:val="2A9664AE"/>
    <w:rsid w:val="2B57233C"/>
    <w:rsid w:val="2CF3089A"/>
    <w:rsid w:val="2D3A4F1C"/>
    <w:rsid w:val="2DE33D62"/>
    <w:rsid w:val="2E462ABD"/>
    <w:rsid w:val="2F4F681A"/>
    <w:rsid w:val="2FE55D43"/>
    <w:rsid w:val="30C474C2"/>
    <w:rsid w:val="30E0025A"/>
    <w:rsid w:val="3158095E"/>
    <w:rsid w:val="31ED0D4A"/>
    <w:rsid w:val="329A0229"/>
    <w:rsid w:val="329A2711"/>
    <w:rsid w:val="33A52943"/>
    <w:rsid w:val="34537F00"/>
    <w:rsid w:val="34560B78"/>
    <w:rsid w:val="34BE4BEB"/>
    <w:rsid w:val="34C7582D"/>
    <w:rsid w:val="35A74528"/>
    <w:rsid w:val="35C1129C"/>
    <w:rsid w:val="36EE642E"/>
    <w:rsid w:val="372D3A3D"/>
    <w:rsid w:val="373F6180"/>
    <w:rsid w:val="37423885"/>
    <w:rsid w:val="37A82279"/>
    <w:rsid w:val="3B2A432E"/>
    <w:rsid w:val="3C8E00EA"/>
    <w:rsid w:val="3CCF619A"/>
    <w:rsid w:val="3DE1069B"/>
    <w:rsid w:val="3E0202C6"/>
    <w:rsid w:val="3F0A76BA"/>
    <w:rsid w:val="401711CC"/>
    <w:rsid w:val="40B55567"/>
    <w:rsid w:val="418C20FD"/>
    <w:rsid w:val="422E2420"/>
    <w:rsid w:val="42D6466E"/>
    <w:rsid w:val="43143B39"/>
    <w:rsid w:val="43585670"/>
    <w:rsid w:val="438833C2"/>
    <w:rsid w:val="442C18EF"/>
    <w:rsid w:val="468A6BFD"/>
    <w:rsid w:val="47735BD0"/>
    <w:rsid w:val="47BB609D"/>
    <w:rsid w:val="47CA196A"/>
    <w:rsid w:val="481D3236"/>
    <w:rsid w:val="4839282C"/>
    <w:rsid w:val="498145E0"/>
    <w:rsid w:val="49961FF8"/>
    <w:rsid w:val="4A81194A"/>
    <w:rsid w:val="4BE07E65"/>
    <w:rsid w:val="4C0672A7"/>
    <w:rsid w:val="4C573AD4"/>
    <w:rsid w:val="4DAA2866"/>
    <w:rsid w:val="4DD27F03"/>
    <w:rsid w:val="4F2676D5"/>
    <w:rsid w:val="4F55619D"/>
    <w:rsid w:val="5112378D"/>
    <w:rsid w:val="52024705"/>
    <w:rsid w:val="525B07C5"/>
    <w:rsid w:val="52E14EC4"/>
    <w:rsid w:val="532F1B63"/>
    <w:rsid w:val="53710418"/>
    <w:rsid w:val="53F51E89"/>
    <w:rsid w:val="54D338A8"/>
    <w:rsid w:val="57106398"/>
    <w:rsid w:val="57EE60DD"/>
    <w:rsid w:val="59CD421A"/>
    <w:rsid w:val="5B812734"/>
    <w:rsid w:val="5BE04967"/>
    <w:rsid w:val="5C015C21"/>
    <w:rsid w:val="5C410A87"/>
    <w:rsid w:val="5D744988"/>
    <w:rsid w:val="5E720F58"/>
    <w:rsid w:val="622349C8"/>
    <w:rsid w:val="63C47ACF"/>
    <w:rsid w:val="64344366"/>
    <w:rsid w:val="64D3048A"/>
    <w:rsid w:val="65851F87"/>
    <w:rsid w:val="65953987"/>
    <w:rsid w:val="665212BA"/>
    <w:rsid w:val="66CA48D2"/>
    <w:rsid w:val="687065DC"/>
    <w:rsid w:val="69FB3BA8"/>
    <w:rsid w:val="6B7D0257"/>
    <w:rsid w:val="6E003853"/>
    <w:rsid w:val="6ECE5FF3"/>
    <w:rsid w:val="6ED74C74"/>
    <w:rsid w:val="6EF74724"/>
    <w:rsid w:val="6F566CB3"/>
    <w:rsid w:val="70832ED7"/>
    <w:rsid w:val="7152191D"/>
    <w:rsid w:val="717F42C4"/>
    <w:rsid w:val="72F0415A"/>
    <w:rsid w:val="741D2A4D"/>
    <w:rsid w:val="74951BFB"/>
    <w:rsid w:val="74F42CD7"/>
    <w:rsid w:val="74F71418"/>
    <w:rsid w:val="750B0F29"/>
    <w:rsid w:val="7B507070"/>
    <w:rsid w:val="7BBD3424"/>
    <w:rsid w:val="7C064FFF"/>
    <w:rsid w:val="7D8D1366"/>
    <w:rsid w:val="7EA32264"/>
    <w:rsid w:val="7F2D0F9D"/>
    <w:rsid w:val="7FCF4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1"/>
    <w:qFormat/>
    <w:uiPriority w:val="0"/>
    <w:pPr>
      <w:keepNext/>
      <w:keepLines/>
      <w:spacing w:line="576" w:lineRule="auto"/>
      <w:jc w:val="center"/>
      <w:outlineLvl w:val="0"/>
    </w:pPr>
    <w:rPr>
      <w:b/>
      <w:kern w:val="44"/>
      <w:sz w:val="30"/>
    </w:rPr>
  </w:style>
  <w:style w:type="paragraph" w:styleId="2">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4">
    <w:name w:val="heading 3"/>
    <w:basedOn w:val="1"/>
    <w:next w:val="1"/>
    <w:unhideWhenUsed/>
    <w:qFormat/>
    <w:uiPriority w:val="0"/>
    <w:pPr>
      <w:keepNext/>
      <w:keepLines/>
      <w:spacing w:line="360" w:lineRule="auto"/>
      <w:outlineLvl w:val="2"/>
    </w:pPr>
    <w:rPr>
      <w:b/>
    </w:rPr>
  </w:style>
  <w:style w:type="paragraph" w:styleId="5">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7">
    <w:name w:val="annotation text"/>
    <w:basedOn w:val="1"/>
    <w:qFormat/>
    <w:uiPriority w:val="0"/>
  </w:style>
  <w:style w:type="paragraph" w:styleId="8">
    <w:name w:val="Body Text"/>
    <w:basedOn w:val="1"/>
    <w:next w:val="1"/>
    <w:qFormat/>
    <w:uiPriority w:val="1"/>
    <w:pPr>
      <w:spacing w:before="161"/>
      <w:ind w:left="120"/>
    </w:pPr>
    <w:rPr>
      <w:rFonts w:ascii="宋体" w:hAnsi="宋体" w:cs="宋体"/>
      <w:sz w:val="24"/>
      <w:lang w:val="zh-CN" w:bidi="zh-CN"/>
    </w:rPr>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eastAsiaTheme="minorEastAsia"/>
      <w:szCs w:val="22"/>
    </w:rPr>
  </w:style>
  <w:style w:type="paragraph" w:styleId="11">
    <w:name w:val="Balloon Text"/>
    <w:basedOn w:val="1"/>
    <w:link w:val="28"/>
    <w:qFormat/>
    <w:uiPriority w:val="0"/>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Body Text First Indent 2"/>
    <w:basedOn w:val="9"/>
    <w:qFormat/>
    <w:uiPriority w:val="0"/>
    <w:pPr>
      <w:spacing w:line="360" w:lineRule="auto"/>
      <w:ind w:firstLine="420" w:firstLineChars="200"/>
    </w:pPr>
    <w:rPr>
      <w:bCs/>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99"/>
    <w:rPr>
      <w:color w:val="0000FF"/>
      <w:u w:val="single"/>
    </w:rPr>
  </w:style>
  <w:style w:type="character" w:styleId="19">
    <w:name w:val="annotation reference"/>
    <w:basedOn w:val="17"/>
    <w:qFormat/>
    <w:uiPriority w:val="0"/>
    <w:rPr>
      <w:sz w:val="21"/>
      <w:szCs w:val="21"/>
    </w:rPr>
  </w:style>
  <w:style w:type="paragraph" w:styleId="20">
    <w:name w:val="List Paragraph"/>
    <w:basedOn w:val="1"/>
    <w:qFormat/>
    <w:uiPriority w:val="34"/>
    <w:pPr>
      <w:ind w:firstLine="420" w:firstLineChars="200"/>
    </w:pPr>
  </w:style>
  <w:style w:type="character" w:customStyle="1" w:styleId="21">
    <w:name w:val="标题 1 Char"/>
    <w:link w:val="3"/>
    <w:qFormat/>
    <w:uiPriority w:val="0"/>
    <w:rPr>
      <w:b/>
      <w:kern w:val="44"/>
      <w:sz w:val="30"/>
    </w:rPr>
  </w:style>
  <w:style w:type="paragraph" w:customStyle="1" w:styleId="22">
    <w:name w:val="Table Paragraph"/>
    <w:basedOn w:val="1"/>
    <w:qFormat/>
    <w:uiPriority w:val="1"/>
  </w:style>
  <w:style w:type="paragraph" w:customStyle="1" w:styleId="23">
    <w:name w:val="正文缩进2格"/>
    <w:basedOn w:val="1"/>
    <w:qFormat/>
    <w:uiPriority w:val="0"/>
    <w:pPr>
      <w:spacing w:line="600" w:lineRule="exact"/>
      <w:ind w:firstLine="639" w:firstLineChars="206"/>
      <w:jc w:val="both"/>
    </w:pPr>
    <w:rPr>
      <w:rFonts w:ascii="仿宋_GB2312" w:hAnsi="宋体" w:eastAsia="仿宋_GB2312"/>
      <w:sz w:val="31"/>
    </w:rPr>
  </w:style>
  <w:style w:type="paragraph" w:customStyle="1" w:styleId="24">
    <w:name w:val="WPSOffice手动目录 1"/>
    <w:qFormat/>
    <w:uiPriority w:val="0"/>
    <w:rPr>
      <w:rFonts w:asciiTheme="minorHAnsi" w:hAnsiTheme="minorHAnsi" w:eastAsiaTheme="minorEastAsia" w:cstheme="minorBidi"/>
      <w:lang w:val="en-US" w:eastAsia="zh-CN" w:bidi="ar-SA"/>
    </w:rPr>
  </w:style>
  <w:style w:type="paragraph" w:customStyle="1" w:styleId="2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6">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7">
    <w:name w:val="列出段落1"/>
    <w:basedOn w:val="1"/>
    <w:qFormat/>
    <w:uiPriority w:val="0"/>
    <w:pPr>
      <w:ind w:firstLine="420" w:firstLineChars="200"/>
    </w:pPr>
    <w:rPr>
      <w:rFonts w:ascii="Calibri" w:hAnsi="Calibri"/>
      <w:kern w:val="0"/>
      <w:sz w:val="20"/>
      <w:szCs w:val="20"/>
    </w:rPr>
  </w:style>
  <w:style w:type="character" w:customStyle="1" w:styleId="28">
    <w:name w:val="批注框文本 Char"/>
    <w:basedOn w:val="17"/>
    <w:link w:val="11"/>
    <w:qFormat/>
    <w:uiPriority w:val="0"/>
    <w:rPr>
      <w:rFonts w:asciiTheme="minorHAnsi" w:hAnsiTheme="minorHAnsi" w:cstheme="minorBidi"/>
      <w:kern w:val="2"/>
      <w:sz w:val="18"/>
      <w:szCs w:val="18"/>
    </w:rPr>
  </w:style>
  <w:style w:type="paragraph" w:customStyle="1" w:styleId="29">
    <w:name w:val="Other|1"/>
    <w:basedOn w:val="1"/>
    <w:qFormat/>
    <w:uiPriority w:val="0"/>
    <w:pPr>
      <w:jc w:val="center"/>
    </w:pPr>
    <w:rPr>
      <w:rFonts w:ascii="宋体" w:hAnsi="宋体" w:cs="宋体"/>
      <w:sz w:val="14"/>
      <w:szCs w:val="14"/>
      <w:lang w:val="zh-TW" w:eastAsia="zh-TW" w:bidi="zh-TW"/>
    </w:rPr>
  </w:style>
  <w:style w:type="paragraph" w:customStyle="1" w:styleId="30">
    <w:name w:val="Char"/>
    <w:qFormat/>
    <w:uiPriority w:val="0"/>
    <w:pPr>
      <w:adjustRightInd w:val="0"/>
      <w:snapToGrid w:val="0"/>
      <w:spacing w:after="160" w:line="240" w:lineRule="exact"/>
      <w:ind w:left="-62" w:right="36" w:rightChars="15"/>
    </w:pPr>
    <w:rPr>
      <w:rFonts w:ascii="Arial" w:hAnsi="Arial" w:eastAsia="Times New Roman" w:cs="Times New Roman"/>
      <w:lang w:val="en-US" w:eastAsia="en-US" w:bidi="ar-SA"/>
    </w:rPr>
  </w:style>
  <w:style w:type="paragraph" w:customStyle="1" w:styleId="31">
    <w:name w:val="List Paragraph1"/>
    <w:basedOn w:val="1"/>
    <w:qFormat/>
    <w:uiPriority w:val="0"/>
    <w:pPr>
      <w:widowControl w:val="0"/>
      <w:adjustRightInd/>
      <w:snapToGrid/>
      <w:spacing w:after="0"/>
      <w:ind w:firstLine="420" w:firstLineChars="200"/>
      <w:jc w:val="both"/>
    </w:pPr>
    <w:rPr>
      <w:rFonts w:ascii="Calibri" w:hAnsi="Calibri" w:eastAsia="宋体"/>
      <w:kern w:val="2"/>
      <w:sz w:val="21"/>
    </w:rPr>
  </w:style>
  <w:style w:type="character" w:customStyle="1" w:styleId="32">
    <w:name w:val="font21"/>
    <w:basedOn w:val="17"/>
    <w:qFormat/>
    <w:uiPriority w:val="0"/>
    <w:rPr>
      <w:rFonts w:ascii="宋体" w:hAnsi="宋体" w:eastAsia="宋体" w:cs="宋体"/>
      <w:color w:val="000000"/>
      <w:sz w:val="18"/>
      <w:szCs w:val="18"/>
      <w:u w:val="none"/>
    </w:rPr>
  </w:style>
  <w:style w:type="character" w:customStyle="1" w:styleId="33">
    <w:name w:val="font41"/>
    <w:basedOn w:val="17"/>
    <w:qFormat/>
    <w:uiPriority w:val="0"/>
    <w:rPr>
      <w:rFonts w:hint="default" w:ascii="Times New Roman" w:hAnsi="Times New Roman" w:cs="Times New Roman"/>
      <w:color w:val="000000"/>
      <w:sz w:val="20"/>
      <w:szCs w:val="20"/>
      <w:u w:val="none"/>
    </w:rPr>
  </w:style>
  <w:style w:type="character" w:customStyle="1" w:styleId="34">
    <w:name w:val="font51"/>
    <w:basedOn w:val="17"/>
    <w:qFormat/>
    <w:uiPriority w:val="0"/>
    <w:rPr>
      <w:rFonts w:hint="eastAsia" w:ascii="宋体" w:hAnsi="宋体" w:eastAsia="宋体" w:cs="宋体"/>
      <w:color w:val="000000"/>
      <w:sz w:val="20"/>
      <w:szCs w:val="20"/>
      <w:u w:val="none"/>
      <w:vertAlign w:val="superscript"/>
    </w:rPr>
  </w:style>
  <w:style w:type="character" w:customStyle="1" w:styleId="35">
    <w:name w:val="font11"/>
    <w:basedOn w:val="17"/>
    <w:qFormat/>
    <w:uiPriority w:val="0"/>
    <w:rPr>
      <w:rFonts w:hint="eastAsia" w:ascii="宋体" w:hAnsi="宋体" w:eastAsia="宋体" w:cs="宋体"/>
      <w:color w:val="000000"/>
      <w:sz w:val="20"/>
      <w:szCs w:val="20"/>
      <w:u w:val="none"/>
    </w:rPr>
  </w:style>
  <w:style w:type="character" w:customStyle="1" w:styleId="36">
    <w:name w:val="font61"/>
    <w:basedOn w:val="17"/>
    <w:qFormat/>
    <w:uiPriority w:val="0"/>
    <w:rPr>
      <w:rFonts w:hint="default" w:ascii="Times New Roman" w:hAnsi="Times New Roman" w:cs="Times New Roman"/>
      <w:color w:val="000000"/>
      <w:sz w:val="20"/>
      <w:szCs w:val="20"/>
      <w:u w:val="none"/>
      <w:vertAlign w:val="superscript"/>
    </w:rPr>
  </w:style>
  <w:style w:type="paragraph" w:customStyle="1" w:styleId="37">
    <w:name w:val="列出段落1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38">
    <w:name w:val="font31"/>
    <w:basedOn w:val="17"/>
    <w:qFormat/>
    <w:uiPriority w:val="0"/>
    <w:rPr>
      <w:rFonts w:hint="default" w:ascii="Arial" w:hAnsi="Arial" w:cs="Arial"/>
      <w:color w:val="000000"/>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80</Pages>
  <Words>37572</Words>
  <Characters>38947</Characters>
  <Lines>343</Lines>
  <Paragraphs>96</Paragraphs>
  <TotalTime>6</TotalTime>
  <ScaleCrop>false</ScaleCrop>
  <LinksUpToDate>false</LinksUpToDate>
  <CharactersWithSpaces>40344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T</cp:lastModifiedBy>
  <cp:lastPrinted>2024-07-19T07:07:00Z</cp:lastPrinted>
  <dcterms:modified xsi:type="dcterms:W3CDTF">2024-07-25T02:16:18Z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7D59ADD649E24C9F90256AC2B9F78150_13</vt:lpwstr>
  </property>
</Properties>
</file>